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5D910" w14:textId="01930BD1" w:rsidR="00A55000" w:rsidRDefault="00A55000" w:rsidP="00A55000">
      <w:pPr>
        <w:jc w:val="center"/>
      </w:pPr>
      <w:bookmarkStart w:id="0" w:name="_Hlk6916106"/>
      <w:bookmarkStart w:id="1" w:name="_Hlk530492093"/>
      <w:r>
        <w:t>UNIVERSITY OF OKL</w:t>
      </w:r>
      <w:r w:rsidR="00454CCC">
        <w:t>A</w:t>
      </w:r>
      <w:r>
        <w:t>H</w:t>
      </w:r>
      <w:r w:rsidR="00454CCC">
        <w:t>O</w:t>
      </w:r>
      <w:r>
        <w:t>MA</w:t>
      </w:r>
    </w:p>
    <w:p w14:paraId="72C4FC26" w14:textId="77777777" w:rsidR="00A55000" w:rsidRDefault="00A55000" w:rsidP="00A55000">
      <w:pPr>
        <w:jc w:val="center"/>
      </w:pPr>
      <w:r>
        <w:t>GRADUATE COLLEGE</w:t>
      </w:r>
    </w:p>
    <w:p w14:paraId="0A0A26A2" w14:textId="77777777" w:rsidR="00A55000" w:rsidRDefault="00A55000" w:rsidP="00A55000">
      <w:pPr>
        <w:jc w:val="center"/>
      </w:pPr>
    </w:p>
    <w:p w14:paraId="4278CCD3" w14:textId="77777777" w:rsidR="00A55000" w:rsidRDefault="00A55000" w:rsidP="00A55000">
      <w:pPr>
        <w:jc w:val="center"/>
      </w:pPr>
    </w:p>
    <w:p w14:paraId="2F56886E" w14:textId="77777777" w:rsidR="00A55000" w:rsidRDefault="00A55000" w:rsidP="00A55000">
      <w:pPr>
        <w:jc w:val="center"/>
      </w:pPr>
    </w:p>
    <w:p w14:paraId="25BCAC45" w14:textId="77777777" w:rsidR="00A55000" w:rsidRDefault="00A55000" w:rsidP="00A55000">
      <w:pPr>
        <w:jc w:val="center"/>
      </w:pPr>
    </w:p>
    <w:p w14:paraId="52299168" w14:textId="77777777" w:rsidR="00A55000" w:rsidRDefault="00A55000" w:rsidP="00A55000">
      <w:pPr>
        <w:jc w:val="center"/>
      </w:pPr>
    </w:p>
    <w:p w14:paraId="1FBC216B" w14:textId="77777777" w:rsidR="00A55000" w:rsidRDefault="00A55000" w:rsidP="00A55000">
      <w:pPr>
        <w:jc w:val="center"/>
      </w:pPr>
      <w:r>
        <w:t>BIOMOLECULAR PRESERVATION IN DENTAL CALCULUS FROM THE TEOTIHUACAN RITUAL LANDSCAPE</w:t>
      </w:r>
    </w:p>
    <w:p w14:paraId="0F5AC929" w14:textId="77777777" w:rsidR="00A55000" w:rsidRDefault="00A55000" w:rsidP="00A55000">
      <w:pPr>
        <w:jc w:val="center"/>
      </w:pPr>
    </w:p>
    <w:p w14:paraId="28E3E1B8" w14:textId="77777777" w:rsidR="00A55000" w:rsidRDefault="00A55000" w:rsidP="00A55000">
      <w:pPr>
        <w:jc w:val="center"/>
      </w:pPr>
    </w:p>
    <w:p w14:paraId="49570FAF" w14:textId="77777777" w:rsidR="00A55000" w:rsidRDefault="00A55000" w:rsidP="00A55000">
      <w:pPr>
        <w:jc w:val="center"/>
      </w:pPr>
    </w:p>
    <w:p w14:paraId="2C017D20" w14:textId="77777777" w:rsidR="00A55000" w:rsidRDefault="00A55000" w:rsidP="00A55000">
      <w:pPr>
        <w:jc w:val="center"/>
      </w:pPr>
    </w:p>
    <w:p w14:paraId="5029F237" w14:textId="77777777" w:rsidR="00A55000" w:rsidRDefault="00A55000" w:rsidP="00A55000">
      <w:pPr>
        <w:jc w:val="center"/>
      </w:pPr>
    </w:p>
    <w:p w14:paraId="743E0DA8" w14:textId="77777777" w:rsidR="00A55000" w:rsidRDefault="00A55000" w:rsidP="00A55000">
      <w:pPr>
        <w:jc w:val="center"/>
      </w:pPr>
    </w:p>
    <w:p w14:paraId="0B9ED288" w14:textId="77777777" w:rsidR="00A55000" w:rsidRDefault="00A55000" w:rsidP="00A55000">
      <w:pPr>
        <w:jc w:val="center"/>
      </w:pPr>
      <w:r>
        <w:t>A THESIS</w:t>
      </w:r>
    </w:p>
    <w:p w14:paraId="66FF5F7B" w14:textId="77777777" w:rsidR="00A55000" w:rsidRDefault="00A55000" w:rsidP="00A55000">
      <w:pPr>
        <w:jc w:val="center"/>
      </w:pPr>
      <w:r>
        <w:t>SUBMITTED TO THE GRADUATE FACULTY</w:t>
      </w:r>
    </w:p>
    <w:p w14:paraId="6DFED4BC" w14:textId="77777777" w:rsidR="00A55000" w:rsidRDefault="00A55000" w:rsidP="00A55000">
      <w:pPr>
        <w:jc w:val="center"/>
      </w:pPr>
      <w:r>
        <w:t>in partial fulfillment of the requirements for the</w:t>
      </w:r>
    </w:p>
    <w:p w14:paraId="64343571" w14:textId="77777777" w:rsidR="00A55000" w:rsidRDefault="00A55000" w:rsidP="00A55000">
      <w:pPr>
        <w:jc w:val="center"/>
      </w:pPr>
      <w:r>
        <w:t xml:space="preserve">Degree of </w:t>
      </w:r>
    </w:p>
    <w:p w14:paraId="41F327B6" w14:textId="77777777" w:rsidR="00A55000" w:rsidRDefault="00A55000" w:rsidP="00A55000">
      <w:pPr>
        <w:jc w:val="center"/>
      </w:pPr>
      <w:r>
        <w:t>MASTER OF ARTS</w:t>
      </w:r>
    </w:p>
    <w:p w14:paraId="28474E08" w14:textId="77777777" w:rsidR="00A55000" w:rsidRDefault="00A55000" w:rsidP="00A55000">
      <w:pPr>
        <w:jc w:val="center"/>
      </w:pPr>
    </w:p>
    <w:p w14:paraId="5289455F" w14:textId="77777777" w:rsidR="00A55000" w:rsidRDefault="00A55000" w:rsidP="00A55000">
      <w:pPr>
        <w:jc w:val="center"/>
      </w:pPr>
    </w:p>
    <w:p w14:paraId="77373DC0" w14:textId="77777777" w:rsidR="00A55000" w:rsidRDefault="00A55000" w:rsidP="00A55000">
      <w:pPr>
        <w:jc w:val="center"/>
      </w:pPr>
    </w:p>
    <w:p w14:paraId="1D48F2B3" w14:textId="77777777" w:rsidR="00A55000" w:rsidRDefault="00A55000" w:rsidP="00A55000">
      <w:pPr>
        <w:jc w:val="center"/>
      </w:pPr>
    </w:p>
    <w:p w14:paraId="129391ED" w14:textId="77777777" w:rsidR="00A55000" w:rsidRDefault="00A55000" w:rsidP="00A55000">
      <w:pPr>
        <w:jc w:val="center"/>
      </w:pPr>
    </w:p>
    <w:p w14:paraId="4251DCDB" w14:textId="77777777" w:rsidR="00A55000" w:rsidRDefault="00A55000" w:rsidP="00A55000">
      <w:pPr>
        <w:jc w:val="center"/>
      </w:pPr>
      <w:r>
        <w:t xml:space="preserve"> </w:t>
      </w:r>
    </w:p>
    <w:p w14:paraId="59929A65" w14:textId="77777777" w:rsidR="00A55000" w:rsidRDefault="00A55000" w:rsidP="00A55000">
      <w:pPr>
        <w:jc w:val="center"/>
      </w:pPr>
      <w:r>
        <w:t xml:space="preserve">By </w:t>
      </w:r>
    </w:p>
    <w:p w14:paraId="6839F08D" w14:textId="77777777" w:rsidR="00A55000" w:rsidRDefault="00A55000" w:rsidP="00A55000">
      <w:pPr>
        <w:jc w:val="center"/>
      </w:pPr>
      <w:r>
        <w:t>STERLING LEE WRIGHT</w:t>
      </w:r>
    </w:p>
    <w:p w14:paraId="11CE4597" w14:textId="77777777" w:rsidR="00A55000" w:rsidRDefault="00A55000" w:rsidP="00A55000">
      <w:pPr>
        <w:jc w:val="center"/>
      </w:pPr>
      <w:r>
        <w:t xml:space="preserve">Norman, Oklahoma </w:t>
      </w:r>
    </w:p>
    <w:p w14:paraId="315068B4" w14:textId="77777777" w:rsidR="00A55000" w:rsidRDefault="00A55000" w:rsidP="00A55000">
      <w:pPr>
        <w:jc w:val="center"/>
      </w:pPr>
      <w:r>
        <w:t>2019</w:t>
      </w:r>
    </w:p>
    <w:p w14:paraId="74CD99BA" w14:textId="77777777" w:rsidR="00A55000" w:rsidRDefault="00A55000" w:rsidP="00A55000">
      <w:pPr>
        <w:jc w:val="center"/>
      </w:pPr>
      <w:r>
        <w:lastRenderedPageBreak/>
        <w:t>BIOMOLECULAR PRESERVATION IN DENTAL CALCULUS FROM THE TEOTIHUACAN RITUAL LANDSCAPE</w:t>
      </w:r>
    </w:p>
    <w:p w14:paraId="0E8F7AB2" w14:textId="77777777" w:rsidR="00A55000" w:rsidRDefault="00A55000" w:rsidP="00A55000">
      <w:pPr>
        <w:jc w:val="center"/>
      </w:pPr>
    </w:p>
    <w:p w14:paraId="3162B789" w14:textId="77777777" w:rsidR="00A55000" w:rsidRDefault="00A55000" w:rsidP="00A55000">
      <w:pPr>
        <w:jc w:val="center"/>
      </w:pPr>
    </w:p>
    <w:p w14:paraId="3327D771" w14:textId="77777777" w:rsidR="00A55000" w:rsidRDefault="00A55000" w:rsidP="00A55000">
      <w:pPr>
        <w:jc w:val="center"/>
      </w:pPr>
      <w:r>
        <w:t>A THESIS APPROVED FOR THE DEPARTMENT OF ANTHROPOLOGY</w:t>
      </w:r>
    </w:p>
    <w:p w14:paraId="1A80C745" w14:textId="77777777" w:rsidR="00A55000" w:rsidRDefault="00A55000" w:rsidP="00A55000">
      <w:pPr>
        <w:jc w:val="center"/>
      </w:pPr>
    </w:p>
    <w:p w14:paraId="596964E7" w14:textId="77777777" w:rsidR="00A55000" w:rsidRDefault="00A55000" w:rsidP="00A55000">
      <w:pPr>
        <w:jc w:val="center"/>
      </w:pPr>
    </w:p>
    <w:p w14:paraId="3B50CCA8" w14:textId="77777777" w:rsidR="00A55000" w:rsidRDefault="00A55000" w:rsidP="00A55000">
      <w:pPr>
        <w:jc w:val="center"/>
      </w:pPr>
    </w:p>
    <w:p w14:paraId="25C82199" w14:textId="77777777" w:rsidR="00A55000" w:rsidRDefault="00A55000" w:rsidP="00A55000">
      <w:pPr>
        <w:jc w:val="center"/>
      </w:pPr>
    </w:p>
    <w:p w14:paraId="09BDB8E3" w14:textId="77777777" w:rsidR="00A55000" w:rsidRDefault="00A55000" w:rsidP="00A55000">
      <w:pPr>
        <w:jc w:val="center"/>
      </w:pPr>
    </w:p>
    <w:p w14:paraId="4E6A88D2" w14:textId="77777777" w:rsidR="00A55000" w:rsidRDefault="00A55000" w:rsidP="00A55000">
      <w:pPr>
        <w:jc w:val="center"/>
      </w:pPr>
    </w:p>
    <w:p w14:paraId="680FCE82" w14:textId="77777777" w:rsidR="00A55000" w:rsidRDefault="00A55000" w:rsidP="00A55000">
      <w:pPr>
        <w:jc w:val="center"/>
      </w:pPr>
    </w:p>
    <w:p w14:paraId="4172327C" w14:textId="77777777" w:rsidR="00A55000" w:rsidRDefault="00A55000" w:rsidP="00A55000">
      <w:pPr>
        <w:jc w:val="center"/>
      </w:pPr>
    </w:p>
    <w:p w14:paraId="5507900B" w14:textId="77777777" w:rsidR="00A55000" w:rsidRDefault="00A55000" w:rsidP="00A55000">
      <w:pPr>
        <w:jc w:val="center"/>
      </w:pPr>
    </w:p>
    <w:p w14:paraId="1E2DDD66" w14:textId="77777777" w:rsidR="00A55000" w:rsidRDefault="00A55000" w:rsidP="00A55000">
      <w:pPr>
        <w:jc w:val="center"/>
      </w:pPr>
    </w:p>
    <w:p w14:paraId="60935F01" w14:textId="77777777" w:rsidR="00A55000" w:rsidRDefault="00A55000" w:rsidP="00A55000">
      <w:pPr>
        <w:jc w:val="center"/>
      </w:pPr>
    </w:p>
    <w:p w14:paraId="10B0981C" w14:textId="77777777" w:rsidR="00A55000" w:rsidRDefault="00A55000" w:rsidP="00A55000">
      <w:pPr>
        <w:jc w:val="center"/>
      </w:pPr>
    </w:p>
    <w:p w14:paraId="61C82F7B" w14:textId="77777777" w:rsidR="00A55000" w:rsidRDefault="00A55000" w:rsidP="00A55000">
      <w:pPr>
        <w:jc w:val="center"/>
      </w:pPr>
    </w:p>
    <w:p w14:paraId="57D25C32" w14:textId="77777777" w:rsidR="00A55000" w:rsidRDefault="00A55000" w:rsidP="00A55000">
      <w:pPr>
        <w:jc w:val="center"/>
      </w:pPr>
    </w:p>
    <w:p w14:paraId="3C27D430" w14:textId="77777777" w:rsidR="00A55000" w:rsidRDefault="00A55000" w:rsidP="00A55000">
      <w:pPr>
        <w:jc w:val="center"/>
      </w:pPr>
    </w:p>
    <w:p w14:paraId="5F041019" w14:textId="77777777" w:rsidR="00A55000" w:rsidRDefault="00A55000" w:rsidP="00A55000">
      <w:pPr>
        <w:jc w:val="center"/>
      </w:pPr>
    </w:p>
    <w:p w14:paraId="39EA870B" w14:textId="77777777" w:rsidR="00A55000" w:rsidRDefault="00A55000" w:rsidP="00A55000">
      <w:pPr>
        <w:jc w:val="center"/>
      </w:pPr>
      <w:r>
        <w:t xml:space="preserve">BY </w:t>
      </w:r>
    </w:p>
    <w:p w14:paraId="754B836A" w14:textId="77777777" w:rsidR="00A55000" w:rsidRDefault="00A55000" w:rsidP="00A55000">
      <w:pPr>
        <w:jc w:val="center"/>
      </w:pPr>
    </w:p>
    <w:p w14:paraId="6CFD7237" w14:textId="77777777" w:rsidR="00A55000" w:rsidRDefault="00A55000" w:rsidP="00A55000">
      <w:pPr>
        <w:jc w:val="center"/>
      </w:pPr>
    </w:p>
    <w:p w14:paraId="521399CC" w14:textId="77777777" w:rsidR="00A55000" w:rsidRDefault="00A55000" w:rsidP="00A55000">
      <w:pPr>
        <w:jc w:val="right"/>
      </w:pPr>
      <w:r>
        <w:t>Dr. Courtney Hofman, Chair</w:t>
      </w:r>
    </w:p>
    <w:p w14:paraId="54FFFDA7" w14:textId="57BA7EC2" w:rsidR="00A55000" w:rsidRDefault="00A55000" w:rsidP="00A55000">
      <w:pPr>
        <w:jc w:val="right"/>
      </w:pPr>
      <w:r>
        <w:t>Dr. Krithi</w:t>
      </w:r>
      <w:r w:rsidR="00531888">
        <w:t>vasan</w:t>
      </w:r>
      <w:r>
        <w:t xml:space="preserve"> Sankaranarayanan</w:t>
      </w:r>
    </w:p>
    <w:p w14:paraId="7BB2C1A3" w14:textId="77777777" w:rsidR="00A55000" w:rsidRDefault="00A55000" w:rsidP="00A55000">
      <w:pPr>
        <w:jc w:val="right"/>
      </w:pPr>
      <w:r>
        <w:t>Dr. Matthew Pailes</w:t>
      </w:r>
    </w:p>
    <w:p w14:paraId="13BB7F7B" w14:textId="77777777" w:rsidR="00A55000" w:rsidRDefault="00A55000" w:rsidP="00A55000">
      <w:pPr>
        <w:jc w:val="right"/>
      </w:pPr>
    </w:p>
    <w:p w14:paraId="1B164F81" w14:textId="77777777" w:rsidR="00A55000" w:rsidRDefault="00A55000" w:rsidP="00A55000">
      <w:pPr>
        <w:jc w:val="right"/>
      </w:pPr>
    </w:p>
    <w:p w14:paraId="41F4B5B8" w14:textId="77777777" w:rsidR="00A55000" w:rsidRDefault="00A55000" w:rsidP="00A55000">
      <w:pPr>
        <w:jc w:val="right"/>
      </w:pPr>
    </w:p>
    <w:p w14:paraId="63EC33FA" w14:textId="77777777" w:rsidR="00A55000" w:rsidRDefault="00A55000" w:rsidP="00C21A2F"/>
    <w:p w14:paraId="7792D961" w14:textId="77777777" w:rsidR="00A55000" w:rsidRDefault="00A55000" w:rsidP="00A55000">
      <w:pPr>
        <w:jc w:val="right"/>
      </w:pPr>
    </w:p>
    <w:p w14:paraId="57AA5D17" w14:textId="77777777" w:rsidR="00A55000" w:rsidRDefault="00A55000" w:rsidP="00A55000">
      <w:pPr>
        <w:jc w:val="right"/>
      </w:pPr>
    </w:p>
    <w:p w14:paraId="3DC22920" w14:textId="77777777" w:rsidR="00A55000" w:rsidRDefault="00A55000" w:rsidP="00A55000">
      <w:pPr>
        <w:jc w:val="right"/>
      </w:pPr>
    </w:p>
    <w:p w14:paraId="5CB08E6F" w14:textId="77777777" w:rsidR="00A55000" w:rsidRDefault="00A55000" w:rsidP="00A55000">
      <w:pPr>
        <w:jc w:val="right"/>
      </w:pPr>
    </w:p>
    <w:p w14:paraId="7C55220B" w14:textId="77777777" w:rsidR="00A55000" w:rsidRDefault="00A55000" w:rsidP="00A55000">
      <w:pPr>
        <w:jc w:val="right"/>
      </w:pPr>
    </w:p>
    <w:p w14:paraId="69080B83" w14:textId="77777777" w:rsidR="00A55000" w:rsidRDefault="00A55000" w:rsidP="00A55000">
      <w:pPr>
        <w:jc w:val="right"/>
      </w:pPr>
    </w:p>
    <w:p w14:paraId="74AE82D1" w14:textId="77777777" w:rsidR="00A55000" w:rsidRDefault="00A55000" w:rsidP="00A55000">
      <w:pPr>
        <w:jc w:val="right"/>
      </w:pPr>
    </w:p>
    <w:p w14:paraId="65DD9125" w14:textId="77777777" w:rsidR="00A55000" w:rsidRDefault="00A55000" w:rsidP="00A55000">
      <w:pPr>
        <w:jc w:val="right"/>
      </w:pPr>
    </w:p>
    <w:p w14:paraId="00163726" w14:textId="77777777" w:rsidR="00A55000" w:rsidRDefault="00A55000" w:rsidP="00A55000">
      <w:pPr>
        <w:jc w:val="right"/>
      </w:pPr>
    </w:p>
    <w:p w14:paraId="6F4E6632" w14:textId="77777777" w:rsidR="00A55000" w:rsidRDefault="00A55000" w:rsidP="00A55000">
      <w:pPr>
        <w:jc w:val="right"/>
      </w:pPr>
    </w:p>
    <w:p w14:paraId="2DB3919D" w14:textId="77777777" w:rsidR="00A55000" w:rsidRDefault="00A55000" w:rsidP="00A55000">
      <w:pPr>
        <w:jc w:val="right"/>
      </w:pPr>
    </w:p>
    <w:p w14:paraId="5CE6087A" w14:textId="77777777" w:rsidR="00A55000" w:rsidRDefault="00A55000" w:rsidP="00A55000">
      <w:pPr>
        <w:jc w:val="right"/>
      </w:pPr>
    </w:p>
    <w:p w14:paraId="7FE0255B" w14:textId="77777777" w:rsidR="00A55000" w:rsidRDefault="00A55000" w:rsidP="00A55000">
      <w:pPr>
        <w:jc w:val="right"/>
      </w:pPr>
    </w:p>
    <w:p w14:paraId="5506099F" w14:textId="77777777" w:rsidR="00A55000" w:rsidRDefault="00A55000" w:rsidP="00A55000">
      <w:pPr>
        <w:jc w:val="right"/>
      </w:pPr>
    </w:p>
    <w:p w14:paraId="63ABF273" w14:textId="77777777" w:rsidR="00A55000" w:rsidRDefault="00A55000" w:rsidP="00A55000">
      <w:pPr>
        <w:jc w:val="right"/>
      </w:pPr>
    </w:p>
    <w:p w14:paraId="56810FE0" w14:textId="77777777" w:rsidR="00A55000" w:rsidRDefault="00A55000" w:rsidP="00A55000">
      <w:pPr>
        <w:jc w:val="right"/>
      </w:pPr>
    </w:p>
    <w:p w14:paraId="304AE602" w14:textId="77777777" w:rsidR="00A55000" w:rsidRDefault="00A55000" w:rsidP="00A55000">
      <w:pPr>
        <w:jc w:val="right"/>
      </w:pPr>
    </w:p>
    <w:p w14:paraId="4466A834" w14:textId="77777777" w:rsidR="00A55000" w:rsidRDefault="00A55000" w:rsidP="00A55000">
      <w:pPr>
        <w:jc w:val="right"/>
      </w:pPr>
    </w:p>
    <w:p w14:paraId="314FA5B0" w14:textId="77777777" w:rsidR="00A55000" w:rsidRDefault="00A55000" w:rsidP="00A55000">
      <w:pPr>
        <w:jc w:val="right"/>
      </w:pPr>
    </w:p>
    <w:p w14:paraId="57941FC3" w14:textId="77777777" w:rsidR="00A55000" w:rsidRDefault="00A55000" w:rsidP="00A55000">
      <w:pPr>
        <w:jc w:val="right"/>
      </w:pPr>
    </w:p>
    <w:p w14:paraId="689358F9" w14:textId="77777777" w:rsidR="00A55000" w:rsidRDefault="00A55000" w:rsidP="00A55000">
      <w:pPr>
        <w:jc w:val="right"/>
      </w:pPr>
    </w:p>
    <w:p w14:paraId="77C94030" w14:textId="77777777" w:rsidR="00A55000" w:rsidRDefault="00A55000" w:rsidP="00A55000">
      <w:pPr>
        <w:jc w:val="right"/>
      </w:pPr>
    </w:p>
    <w:p w14:paraId="7EB07BAD" w14:textId="77777777" w:rsidR="00A55000" w:rsidRDefault="00A55000" w:rsidP="00A55000">
      <w:pPr>
        <w:jc w:val="right"/>
      </w:pPr>
    </w:p>
    <w:p w14:paraId="5385A0FF" w14:textId="77777777" w:rsidR="00A55000" w:rsidRDefault="00A55000" w:rsidP="00A55000">
      <w:pPr>
        <w:jc w:val="right"/>
      </w:pPr>
    </w:p>
    <w:p w14:paraId="487E27EF" w14:textId="77777777" w:rsidR="00A55000" w:rsidRDefault="00A55000" w:rsidP="00A55000">
      <w:pPr>
        <w:jc w:val="right"/>
      </w:pPr>
    </w:p>
    <w:p w14:paraId="2ACED8BD" w14:textId="77777777" w:rsidR="00A55000" w:rsidRDefault="00A55000" w:rsidP="00A55000">
      <w:pPr>
        <w:jc w:val="right"/>
      </w:pPr>
    </w:p>
    <w:p w14:paraId="5C5D8720" w14:textId="77777777" w:rsidR="00A55000" w:rsidRDefault="00A55000" w:rsidP="00A55000">
      <w:pPr>
        <w:jc w:val="right"/>
      </w:pPr>
    </w:p>
    <w:p w14:paraId="0B15C6DF" w14:textId="77777777" w:rsidR="00A55000" w:rsidRDefault="00A55000" w:rsidP="00A55000">
      <w:pPr>
        <w:jc w:val="center"/>
      </w:pPr>
      <w:r>
        <w:t>© Copyright by STERLING WRIGHT 2019</w:t>
      </w:r>
    </w:p>
    <w:p w14:paraId="552AA29D" w14:textId="62FCCF79" w:rsidR="00A55000" w:rsidRDefault="00A55000" w:rsidP="001D6EF3">
      <w:pPr>
        <w:jc w:val="center"/>
      </w:pPr>
      <w:r>
        <w:t xml:space="preserve">All Rights Reserved </w:t>
      </w:r>
    </w:p>
    <w:bookmarkEnd w:id="0"/>
    <w:p w14:paraId="0A00B7FC" w14:textId="77777777" w:rsidR="00BE2254" w:rsidRDefault="00BE2254" w:rsidP="00C21A2F">
      <w:pPr>
        <w:pStyle w:val="Heading1"/>
        <w:rPr>
          <w:rFonts w:ascii="Times New Roman" w:hAnsi="Times New Roman" w:cs="Times New Roman"/>
          <w:b/>
          <w:color w:val="auto"/>
          <w:sz w:val="28"/>
          <w:szCs w:val="28"/>
        </w:rPr>
        <w:sectPr w:rsidR="00BE2254" w:rsidSect="00BE2254">
          <w:footerReference w:type="default" r:id="rId8"/>
          <w:footerReference w:type="first" r:id="rId9"/>
          <w:pgSz w:w="12240" w:h="15840"/>
          <w:pgMar w:top="1440" w:right="1440" w:bottom="1440" w:left="1440" w:header="720" w:footer="720" w:gutter="0"/>
          <w:pgNumType w:fmt="lowerRoman" w:start="4"/>
          <w:cols w:space="720"/>
          <w:titlePg/>
          <w:docGrid w:linePitch="360"/>
        </w:sectPr>
      </w:pPr>
    </w:p>
    <w:p w14:paraId="5FAD528D" w14:textId="063713D6" w:rsidR="00A55000" w:rsidRPr="0009794E" w:rsidRDefault="00A55000" w:rsidP="00C21A2F">
      <w:pPr>
        <w:pStyle w:val="Heading1"/>
        <w:rPr>
          <w:rFonts w:ascii="Times New Roman" w:hAnsi="Times New Roman" w:cs="Times New Roman"/>
          <w:b/>
          <w:sz w:val="28"/>
          <w:szCs w:val="28"/>
        </w:rPr>
      </w:pPr>
      <w:bookmarkStart w:id="2" w:name="_Hlk6916343"/>
      <w:bookmarkStart w:id="3" w:name="_Toc8404618"/>
      <w:r w:rsidRPr="0009794E">
        <w:rPr>
          <w:rFonts w:ascii="Times New Roman" w:hAnsi="Times New Roman" w:cs="Times New Roman"/>
          <w:b/>
          <w:color w:val="auto"/>
          <w:sz w:val="28"/>
          <w:szCs w:val="28"/>
        </w:rPr>
        <w:lastRenderedPageBreak/>
        <w:t>Acknowledgements</w:t>
      </w:r>
      <w:bookmarkEnd w:id="3"/>
      <w:r w:rsidRPr="0009794E">
        <w:rPr>
          <w:rFonts w:ascii="Times New Roman" w:hAnsi="Times New Roman" w:cs="Times New Roman"/>
          <w:b/>
          <w:color w:val="auto"/>
          <w:sz w:val="28"/>
          <w:szCs w:val="28"/>
        </w:rPr>
        <w:t xml:space="preserve"> </w:t>
      </w:r>
    </w:p>
    <w:p w14:paraId="1744CC2F" w14:textId="220870CB" w:rsidR="00A55000" w:rsidRDefault="00A55000" w:rsidP="00A55000">
      <w:r>
        <w:tab/>
        <w:t xml:space="preserve"> </w:t>
      </w:r>
    </w:p>
    <w:p w14:paraId="4559DC33" w14:textId="22189B88" w:rsidR="00A55000" w:rsidRPr="0009794E" w:rsidRDefault="00251E90" w:rsidP="0009794E">
      <w:pPr>
        <w:spacing w:line="480" w:lineRule="auto"/>
        <w:rPr>
          <w:sz w:val="24"/>
          <w:szCs w:val="24"/>
        </w:rPr>
      </w:pPr>
      <w:r w:rsidRPr="0009794E">
        <w:rPr>
          <w:sz w:val="24"/>
          <w:szCs w:val="24"/>
        </w:rPr>
        <w:t>I am grateful for the support from my committee members throughout this project. I thank Dr. Matthew Pailes for his guidance about archaeology in the Americas. I thank Dr. Krithivasan “Krithi” Sankaranyayanan for his instruction and affirmation that I understand the bioinformatic analyses applied within this project. Above all, I am most grateful to be under the tutelage of Dr. Courtney Hofman who provided me an opportunity when no one else did. Her guidance and mentorship significantly integral to my development as a scholar. In addition, I thank the faculty and staff of the De</w:t>
      </w:r>
      <w:r w:rsidR="007A1BD2" w:rsidRPr="0009794E">
        <w:rPr>
          <w:sz w:val="24"/>
          <w:szCs w:val="24"/>
        </w:rPr>
        <w:t xml:space="preserve">partment of Anthropology for making me a better graduate student. I also thank Dr. Tanvi Honap for her bioinformatic pipelines that truly helped me during this project. I am also grateful for John Boyd and Elizabeth Young for their efforts in making LMAMR one of the best laboratories in the world. I am especially thankful for Nihan Dagtas and Karissa Hughes who were instrumental for the lab work for this project. Finally, I was truly blessed to have such wonderful lab mates who were monumental in the completion of this project. Justin Lund, Rita Austin, Jacob Hafner, Abigail Gamble, Kristen Rayfield, Robin Singleton, Nisha Patel, Christine Woelfel-Monsivais, and especially David “Dave” Jacobson. It cannot be understated how grateful I am for Dave’s patience and knowledge about the microbiome field enhanced the quality of this project. </w:t>
      </w:r>
      <w:r w:rsidR="006D7C66">
        <w:rPr>
          <w:sz w:val="24"/>
          <w:szCs w:val="24"/>
        </w:rPr>
        <w:t xml:space="preserve">I am also compelled to thank Cellar Darling, Avenged Sevenfold, </w:t>
      </w:r>
      <w:r w:rsidR="00AE6504">
        <w:rPr>
          <w:sz w:val="24"/>
          <w:szCs w:val="24"/>
        </w:rPr>
        <w:t xml:space="preserve">Kate Voegele, </w:t>
      </w:r>
      <w:r w:rsidR="006D7C66">
        <w:rPr>
          <w:sz w:val="24"/>
          <w:szCs w:val="24"/>
        </w:rPr>
        <w:t xml:space="preserve">and all the other artists on my iPod. Let this thesis be a testament to art being an impetus for science. </w:t>
      </w:r>
      <w:r w:rsidR="0009794E" w:rsidRPr="0009794E">
        <w:rPr>
          <w:sz w:val="24"/>
          <w:szCs w:val="24"/>
        </w:rPr>
        <w:t>For this reason, this project would not have been possible without the efforts of so many people.</w:t>
      </w:r>
      <w:r w:rsidR="004A0A8F">
        <w:rPr>
          <w:sz w:val="24"/>
          <w:szCs w:val="24"/>
        </w:rPr>
        <w:t xml:space="preserve"> </w:t>
      </w:r>
      <w:r w:rsidR="007A1BD2" w:rsidRPr="0009794E">
        <w:rPr>
          <w:sz w:val="24"/>
          <w:szCs w:val="24"/>
        </w:rPr>
        <w:t xml:space="preserve"> </w:t>
      </w:r>
    </w:p>
    <w:p w14:paraId="2361620D" w14:textId="77777777" w:rsidR="00A55000" w:rsidRPr="007A1BD2" w:rsidRDefault="00A55000" w:rsidP="00A55000"/>
    <w:p w14:paraId="69FB582C" w14:textId="77777777" w:rsidR="00A55000" w:rsidRPr="007A1BD2" w:rsidRDefault="00A55000" w:rsidP="00A55000"/>
    <w:p w14:paraId="6A728CD0" w14:textId="77777777" w:rsidR="00A55000" w:rsidRPr="007A1BD2" w:rsidRDefault="00A55000" w:rsidP="00A55000"/>
    <w:sdt>
      <w:sdtPr>
        <w:rPr>
          <w:rFonts w:ascii="Times New Roman" w:eastAsiaTheme="minorHAnsi" w:hAnsi="Times New Roman" w:cs="Times New Roman"/>
          <w:color w:val="auto"/>
          <w:sz w:val="22"/>
          <w:szCs w:val="22"/>
        </w:rPr>
        <w:id w:val="-383406475"/>
        <w:docPartObj>
          <w:docPartGallery w:val="Table of Contents"/>
          <w:docPartUnique/>
        </w:docPartObj>
      </w:sdtPr>
      <w:sdtEndPr>
        <w:rPr>
          <w:b/>
          <w:bCs/>
          <w:noProof/>
        </w:rPr>
      </w:sdtEndPr>
      <w:sdtContent>
        <w:p w14:paraId="5A9B6928" w14:textId="623DB69C" w:rsidR="00C21A2F" w:rsidRPr="00C21A2F" w:rsidRDefault="00C21A2F">
          <w:pPr>
            <w:pStyle w:val="TOCHeading"/>
            <w:rPr>
              <w:rStyle w:val="Heading1Char"/>
              <w:rFonts w:ascii="Times New Roman" w:hAnsi="Times New Roman" w:cs="Times New Roman"/>
              <w:color w:val="auto"/>
              <w:sz w:val="28"/>
              <w:szCs w:val="28"/>
            </w:rPr>
          </w:pPr>
          <w:r w:rsidRPr="00C21A2F">
            <w:rPr>
              <w:rStyle w:val="Heading1Char"/>
              <w:rFonts w:ascii="Times New Roman" w:hAnsi="Times New Roman" w:cs="Times New Roman"/>
              <w:color w:val="auto"/>
              <w:sz w:val="28"/>
              <w:szCs w:val="28"/>
            </w:rPr>
            <w:t>Table of Contents</w:t>
          </w:r>
        </w:p>
        <w:p w14:paraId="44E3334E" w14:textId="6E04F5DC" w:rsidR="00E525BC" w:rsidRDefault="00C21A2F">
          <w:pPr>
            <w:pStyle w:val="TOC1"/>
            <w:rPr>
              <w:rFonts w:asciiTheme="minorHAnsi" w:eastAsiaTheme="minorEastAsia" w:hAnsiTheme="minorHAnsi" w:cstheme="minorBidi"/>
              <w:b w:val="0"/>
            </w:rPr>
          </w:pPr>
          <w:r>
            <w:fldChar w:fldCharType="begin"/>
          </w:r>
          <w:r>
            <w:instrText xml:space="preserve"> TOC \o "1-3" \h \z \u </w:instrText>
          </w:r>
          <w:r>
            <w:fldChar w:fldCharType="separate"/>
          </w:r>
          <w:hyperlink w:anchor="_Toc8404618" w:history="1">
            <w:r w:rsidR="00E525BC" w:rsidRPr="00F8430E">
              <w:rPr>
                <w:rStyle w:val="Hyperlink"/>
              </w:rPr>
              <w:t>Acknowledgements</w:t>
            </w:r>
            <w:r w:rsidR="00E525BC">
              <w:rPr>
                <w:webHidden/>
              </w:rPr>
              <w:tab/>
            </w:r>
            <w:r w:rsidR="00E525BC">
              <w:rPr>
                <w:webHidden/>
              </w:rPr>
              <w:fldChar w:fldCharType="begin"/>
            </w:r>
            <w:r w:rsidR="00E525BC">
              <w:rPr>
                <w:webHidden/>
              </w:rPr>
              <w:instrText xml:space="preserve"> PAGEREF _Toc8404618 \h </w:instrText>
            </w:r>
            <w:r w:rsidR="00E525BC">
              <w:rPr>
                <w:webHidden/>
              </w:rPr>
            </w:r>
            <w:r w:rsidR="00E525BC">
              <w:rPr>
                <w:webHidden/>
              </w:rPr>
              <w:fldChar w:fldCharType="separate"/>
            </w:r>
            <w:r w:rsidR="00E525BC">
              <w:rPr>
                <w:webHidden/>
              </w:rPr>
              <w:t>iv</w:t>
            </w:r>
            <w:r w:rsidR="00E525BC">
              <w:rPr>
                <w:webHidden/>
              </w:rPr>
              <w:fldChar w:fldCharType="end"/>
            </w:r>
          </w:hyperlink>
        </w:p>
        <w:p w14:paraId="5B3405DC" w14:textId="541A53DD" w:rsidR="00E525BC" w:rsidRDefault="00E525BC">
          <w:pPr>
            <w:pStyle w:val="TOC1"/>
            <w:rPr>
              <w:rFonts w:asciiTheme="minorHAnsi" w:eastAsiaTheme="minorEastAsia" w:hAnsiTheme="minorHAnsi" w:cstheme="minorBidi"/>
              <w:b w:val="0"/>
            </w:rPr>
          </w:pPr>
          <w:hyperlink w:anchor="_Toc8404619" w:history="1">
            <w:r w:rsidRPr="00F8430E">
              <w:rPr>
                <w:rStyle w:val="Hyperlink"/>
              </w:rPr>
              <w:t>Abstract</w:t>
            </w:r>
            <w:r>
              <w:rPr>
                <w:webHidden/>
              </w:rPr>
              <w:tab/>
              <w:t>viii</w:t>
            </w:r>
          </w:hyperlink>
        </w:p>
        <w:p w14:paraId="75D1B08B" w14:textId="4F5AC37B" w:rsidR="00E525BC" w:rsidRDefault="00E525BC">
          <w:pPr>
            <w:pStyle w:val="TOC1"/>
            <w:rPr>
              <w:rFonts w:asciiTheme="minorHAnsi" w:eastAsiaTheme="minorEastAsia" w:hAnsiTheme="minorHAnsi" w:cstheme="minorBidi"/>
              <w:b w:val="0"/>
            </w:rPr>
          </w:pPr>
          <w:hyperlink w:anchor="_Toc8404620" w:history="1">
            <w:r w:rsidRPr="00F8430E">
              <w:rPr>
                <w:rStyle w:val="Hyperlink"/>
              </w:rPr>
              <w:t>Introduction</w:t>
            </w:r>
            <w:r>
              <w:rPr>
                <w:webHidden/>
              </w:rPr>
              <w:tab/>
            </w:r>
            <w:r>
              <w:rPr>
                <w:webHidden/>
              </w:rPr>
              <w:fldChar w:fldCharType="begin"/>
            </w:r>
            <w:r>
              <w:rPr>
                <w:webHidden/>
              </w:rPr>
              <w:instrText xml:space="preserve"> PAGEREF _Toc8404620 \h </w:instrText>
            </w:r>
            <w:r>
              <w:rPr>
                <w:webHidden/>
              </w:rPr>
            </w:r>
            <w:r>
              <w:rPr>
                <w:webHidden/>
              </w:rPr>
              <w:fldChar w:fldCharType="separate"/>
            </w:r>
            <w:r>
              <w:rPr>
                <w:webHidden/>
              </w:rPr>
              <w:t>1</w:t>
            </w:r>
            <w:r>
              <w:rPr>
                <w:webHidden/>
              </w:rPr>
              <w:fldChar w:fldCharType="end"/>
            </w:r>
          </w:hyperlink>
        </w:p>
        <w:p w14:paraId="086ECCB8" w14:textId="0A3B2DEF" w:rsidR="00E525BC" w:rsidRDefault="00E525BC">
          <w:pPr>
            <w:pStyle w:val="TOC2"/>
            <w:tabs>
              <w:tab w:val="right" w:leader="dot" w:pos="9350"/>
            </w:tabs>
            <w:rPr>
              <w:rFonts w:asciiTheme="minorHAnsi" w:eastAsiaTheme="minorEastAsia" w:hAnsiTheme="minorHAnsi" w:cstheme="minorBidi"/>
              <w:noProof/>
            </w:rPr>
          </w:pPr>
          <w:hyperlink w:anchor="_Toc8404621" w:history="1">
            <w:r w:rsidRPr="00F8430E">
              <w:rPr>
                <w:rStyle w:val="Hyperlink"/>
                <w:i/>
                <w:noProof/>
              </w:rPr>
              <w:t>The oral microbiome</w:t>
            </w:r>
            <w:r>
              <w:rPr>
                <w:noProof/>
                <w:webHidden/>
              </w:rPr>
              <w:tab/>
            </w:r>
            <w:r>
              <w:rPr>
                <w:noProof/>
                <w:webHidden/>
              </w:rPr>
              <w:fldChar w:fldCharType="begin"/>
            </w:r>
            <w:r>
              <w:rPr>
                <w:noProof/>
                <w:webHidden/>
              </w:rPr>
              <w:instrText xml:space="preserve"> PAGEREF _Toc8404621 \h </w:instrText>
            </w:r>
            <w:r>
              <w:rPr>
                <w:noProof/>
                <w:webHidden/>
              </w:rPr>
            </w:r>
            <w:r>
              <w:rPr>
                <w:noProof/>
                <w:webHidden/>
              </w:rPr>
              <w:fldChar w:fldCharType="separate"/>
            </w:r>
            <w:r>
              <w:rPr>
                <w:noProof/>
                <w:webHidden/>
              </w:rPr>
              <w:t>1</w:t>
            </w:r>
            <w:r>
              <w:rPr>
                <w:noProof/>
                <w:webHidden/>
              </w:rPr>
              <w:fldChar w:fldCharType="end"/>
            </w:r>
          </w:hyperlink>
        </w:p>
        <w:p w14:paraId="1DB06B03" w14:textId="5D09DA31" w:rsidR="00E525BC" w:rsidRDefault="00E525BC">
          <w:pPr>
            <w:pStyle w:val="TOC2"/>
            <w:tabs>
              <w:tab w:val="right" w:leader="dot" w:pos="9350"/>
            </w:tabs>
            <w:rPr>
              <w:rFonts w:asciiTheme="minorHAnsi" w:eastAsiaTheme="minorEastAsia" w:hAnsiTheme="minorHAnsi" w:cstheme="minorBidi"/>
              <w:noProof/>
            </w:rPr>
          </w:pPr>
          <w:hyperlink w:anchor="_Toc8404622" w:history="1">
            <w:r w:rsidRPr="00F8430E">
              <w:rPr>
                <w:rStyle w:val="Hyperlink"/>
                <w:i/>
                <w:noProof/>
              </w:rPr>
              <w:t>Dental calculus and ancient oral microbiomes</w:t>
            </w:r>
            <w:r>
              <w:rPr>
                <w:noProof/>
                <w:webHidden/>
              </w:rPr>
              <w:tab/>
            </w:r>
            <w:r>
              <w:rPr>
                <w:noProof/>
                <w:webHidden/>
              </w:rPr>
              <w:fldChar w:fldCharType="begin"/>
            </w:r>
            <w:r>
              <w:rPr>
                <w:noProof/>
                <w:webHidden/>
              </w:rPr>
              <w:instrText xml:space="preserve"> PAGEREF _Toc8404622 \h </w:instrText>
            </w:r>
            <w:r>
              <w:rPr>
                <w:noProof/>
                <w:webHidden/>
              </w:rPr>
            </w:r>
            <w:r>
              <w:rPr>
                <w:noProof/>
                <w:webHidden/>
              </w:rPr>
              <w:fldChar w:fldCharType="separate"/>
            </w:r>
            <w:r>
              <w:rPr>
                <w:noProof/>
                <w:webHidden/>
              </w:rPr>
              <w:t>3</w:t>
            </w:r>
            <w:r>
              <w:rPr>
                <w:noProof/>
                <w:webHidden/>
              </w:rPr>
              <w:fldChar w:fldCharType="end"/>
            </w:r>
          </w:hyperlink>
        </w:p>
        <w:p w14:paraId="14062676" w14:textId="361D4E17" w:rsidR="00E525BC" w:rsidRDefault="00E525BC">
          <w:pPr>
            <w:pStyle w:val="TOC2"/>
            <w:tabs>
              <w:tab w:val="right" w:leader="dot" w:pos="9350"/>
            </w:tabs>
            <w:rPr>
              <w:rFonts w:asciiTheme="minorHAnsi" w:eastAsiaTheme="minorEastAsia" w:hAnsiTheme="minorHAnsi" w:cstheme="minorBidi"/>
              <w:noProof/>
            </w:rPr>
          </w:pPr>
          <w:hyperlink w:anchor="_Toc8404623" w:history="1">
            <w:r w:rsidRPr="00F8430E">
              <w:rPr>
                <w:rStyle w:val="Hyperlink"/>
                <w:i/>
                <w:noProof/>
              </w:rPr>
              <w:t>History of authenticating ancient DNA</w:t>
            </w:r>
            <w:r>
              <w:rPr>
                <w:noProof/>
                <w:webHidden/>
              </w:rPr>
              <w:tab/>
            </w:r>
            <w:r>
              <w:rPr>
                <w:noProof/>
                <w:webHidden/>
              </w:rPr>
              <w:fldChar w:fldCharType="begin"/>
            </w:r>
            <w:r>
              <w:rPr>
                <w:noProof/>
                <w:webHidden/>
              </w:rPr>
              <w:instrText xml:space="preserve"> PAGEREF _Toc8404623 \h </w:instrText>
            </w:r>
            <w:r>
              <w:rPr>
                <w:noProof/>
                <w:webHidden/>
              </w:rPr>
            </w:r>
            <w:r>
              <w:rPr>
                <w:noProof/>
                <w:webHidden/>
              </w:rPr>
              <w:fldChar w:fldCharType="separate"/>
            </w:r>
            <w:r>
              <w:rPr>
                <w:noProof/>
                <w:webHidden/>
              </w:rPr>
              <w:t>5</w:t>
            </w:r>
            <w:r>
              <w:rPr>
                <w:noProof/>
                <w:webHidden/>
              </w:rPr>
              <w:fldChar w:fldCharType="end"/>
            </w:r>
          </w:hyperlink>
        </w:p>
        <w:p w14:paraId="4AFE4493" w14:textId="5668CFC9" w:rsidR="00E525BC" w:rsidRDefault="00E525BC">
          <w:pPr>
            <w:pStyle w:val="TOC2"/>
            <w:tabs>
              <w:tab w:val="right" w:leader="dot" w:pos="9350"/>
            </w:tabs>
            <w:rPr>
              <w:rFonts w:asciiTheme="minorHAnsi" w:eastAsiaTheme="minorEastAsia" w:hAnsiTheme="minorHAnsi" w:cstheme="minorBidi"/>
              <w:noProof/>
            </w:rPr>
          </w:pPr>
          <w:hyperlink w:anchor="_Toc8404624" w:history="1">
            <w:r w:rsidRPr="00F8430E">
              <w:rPr>
                <w:rStyle w:val="Hyperlink"/>
                <w:i/>
                <w:noProof/>
              </w:rPr>
              <w:t>Ancient DNA research in Mesoamerica</w:t>
            </w:r>
            <w:r>
              <w:rPr>
                <w:noProof/>
                <w:webHidden/>
              </w:rPr>
              <w:tab/>
            </w:r>
            <w:r>
              <w:rPr>
                <w:noProof/>
                <w:webHidden/>
              </w:rPr>
              <w:fldChar w:fldCharType="begin"/>
            </w:r>
            <w:r>
              <w:rPr>
                <w:noProof/>
                <w:webHidden/>
              </w:rPr>
              <w:instrText xml:space="preserve"> PAGEREF _Toc8404624 \h </w:instrText>
            </w:r>
            <w:r>
              <w:rPr>
                <w:noProof/>
                <w:webHidden/>
              </w:rPr>
            </w:r>
            <w:r>
              <w:rPr>
                <w:noProof/>
                <w:webHidden/>
              </w:rPr>
              <w:fldChar w:fldCharType="separate"/>
            </w:r>
            <w:r>
              <w:rPr>
                <w:noProof/>
                <w:webHidden/>
              </w:rPr>
              <w:t>8</w:t>
            </w:r>
            <w:r>
              <w:rPr>
                <w:noProof/>
                <w:webHidden/>
              </w:rPr>
              <w:fldChar w:fldCharType="end"/>
            </w:r>
          </w:hyperlink>
        </w:p>
        <w:p w14:paraId="17998EBA" w14:textId="18BDE31C" w:rsidR="00E525BC" w:rsidRDefault="00E525BC">
          <w:pPr>
            <w:pStyle w:val="TOC1"/>
            <w:rPr>
              <w:rFonts w:asciiTheme="minorHAnsi" w:eastAsiaTheme="minorEastAsia" w:hAnsiTheme="minorHAnsi" w:cstheme="minorBidi"/>
              <w:b w:val="0"/>
            </w:rPr>
          </w:pPr>
          <w:hyperlink w:anchor="_Toc8404625" w:history="1">
            <w:r w:rsidRPr="00F8430E">
              <w:rPr>
                <w:rStyle w:val="Hyperlink"/>
              </w:rPr>
              <w:t>Materials and Methods</w:t>
            </w:r>
            <w:r>
              <w:rPr>
                <w:webHidden/>
              </w:rPr>
              <w:tab/>
            </w:r>
            <w:r>
              <w:rPr>
                <w:webHidden/>
              </w:rPr>
              <w:fldChar w:fldCharType="begin"/>
            </w:r>
            <w:r>
              <w:rPr>
                <w:webHidden/>
              </w:rPr>
              <w:instrText xml:space="preserve"> PAGEREF _Toc8404625 \h </w:instrText>
            </w:r>
            <w:r>
              <w:rPr>
                <w:webHidden/>
              </w:rPr>
            </w:r>
            <w:r>
              <w:rPr>
                <w:webHidden/>
              </w:rPr>
              <w:fldChar w:fldCharType="separate"/>
            </w:r>
            <w:r>
              <w:rPr>
                <w:webHidden/>
              </w:rPr>
              <w:t>13</w:t>
            </w:r>
            <w:r>
              <w:rPr>
                <w:webHidden/>
              </w:rPr>
              <w:fldChar w:fldCharType="end"/>
            </w:r>
          </w:hyperlink>
        </w:p>
        <w:p w14:paraId="79052872" w14:textId="21821E2F" w:rsidR="00E525BC" w:rsidRDefault="00E525BC">
          <w:pPr>
            <w:pStyle w:val="TOC2"/>
            <w:tabs>
              <w:tab w:val="right" w:leader="dot" w:pos="9350"/>
            </w:tabs>
            <w:rPr>
              <w:rFonts w:asciiTheme="minorHAnsi" w:eastAsiaTheme="minorEastAsia" w:hAnsiTheme="minorHAnsi" w:cstheme="minorBidi"/>
              <w:noProof/>
            </w:rPr>
          </w:pPr>
          <w:hyperlink w:anchor="_Toc8404626" w:history="1">
            <w:r w:rsidRPr="00F8430E">
              <w:rPr>
                <w:rStyle w:val="Hyperlink"/>
                <w:i/>
                <w:noProof/>
              </w:rPr>
              <w:t>Archaeological site and samples</w:t>
            </w:r>
            <w:r>
              <w:rPr>
                <w:noProof/>
                <w:webHidden/>
              </w:rPr>
              <w:tab/>
            </w:r>
            <w:r>
              <w:rPr>
                <w:noProof/>
                <w:webHidden/>
              </w:rPr>
              <w:fldChar w:fldCharType="begin"/>
            </w:r>
            <w:r>
              <w:rPr>
                <w:noProof/>
                <w:webHidden/>
              </w:rPr>
              <w:instrText xml:space="preserve"> PAGEREF _Toc8404626 \h </w:instrText>
            </w:r>
            <w:r>
              <w:rPr>
                <w:noProof/>
                <w:webHidden/>
              </w:rPr>
            </w:r>
            <w:r>
              <w:rPr>
                <w:noProof/>
                <w:webHidden/>
              </w:rPr>
              <w:fldChar w:fldCharType="separate"/>
            </w:r>
            <w:r>
              <w:rPr>
                <w:noProof/>
                <w:webHidden/>
              </w:rPr>
              <w:t>13</w:t>
            </w:r>
            <w:r>
              <w:rPr>
                <w:noProof/>
                <w:webHidden/>
              </w:rPr>
              <w:fldChar w:fldCharType="end"/>
            </w:r>
          </w:hyperlink>
        </w:p>
        <w:p w14:paraId="55ED8411" w14:textId="3703CAA7" w:rsidR="00E525BC" w:rsidRDefault="00E525BC">
          <w:pPr>
            <w:pStyle w:val="TOC2"/>
            <w:tabs>
              <w:tab w:val="right" w:leader="dot" w:pos="9350"/>
            </w:tabs>
            <w:rPr>
              <w:rFonts w:asciiTheme="minorHAnsi" w:eastAsiaTheme="minorEastAsia" w:hAnsiTheme="minorHAnsi" w:cstheme="minorBidi"/>
              <w:noProof/>
            </w:rPr>
          </w:pPr>
          <w:hyperlink w:anchor="_Toc8404627" w:history="1">
            <w:r w:rsidRPr="00F8430E">
              <w:rPr>
                <w:rStyle w:val="Hyperlink"/>
                <w:i/>
                <w:noProof/>
              </w:rPr>
              <w:t>DNA Extraction</w:t>
            </w:r>
            <w:r>
              <w:rPr>
                <w:noProof/>
                <w:webHidden/>
              </w:rPr>
              <w:tab/>
            </w:r>
            <w:r>
              <w:rPr>
                <w:noProof/>
                <w:webHidden/>
              </w:rPr>
              <w:fldChar w:fldCharType="begin"/>
            </w:r>
            <w:r>
              <w:rPr>
                <w:noProof/>
                <w:webHidden/>
              </w:rPr>
              <w:instrText xml:space="preserve"> PAGEREF _Toc8404627 \h </w:instrText>
            </w:r>
            <w:r>
              <w:rPr>
                <w:noProof/>
                <w:webHidden/>
              </w:rPr>
            </w:r>
            <w:r>
              <w:rPr>
                <w:noProof/>
                <w:webHidden/>
              </w:rPr>
              <w:fldChar w:fldCharType="separate"/>
            </w:r>
            <w:r>
              <w:rPr>
                <w:noProof/>
                <w:webHidden/>
              </w:rPr>
              <w:t>14</w:t>
            </w:r>
            <w:r>
              <w:rPr>
                <w:noProof/>
                <w:webHidden/>
              </w:rPr>
              <w:fldChar w:fldCharType="end"/>
            </w:r>
          </w:hyperlink>
        </w:p>
        <w:p w14:paraId="13F05453" w14:textId="26EFE818" w:rsidR="00E525BC" w:rsidRDefault="00E525BC">
          <w:pPr>
            <w:pStyle w:val="TOC2"/>
            <w:tabs>
              <w:tab w:val="right" w:leader="dot" w:pos="9350"/>
            </w:tabs>
            <w:rPr>
              <w:rFonts w:asciiTheme="minorHAnsi" w:eastAsiaTheme="minorEastAsia" w:hAnsiTheme="minorHAnsi" w:cstheme="minorBidi"/>
              <w:noProof/>
            </w:rPr>
          </w:pPr>
          <w:hyperlink w:anchor="_Toc8404628" w:history="1">
            <w:r w:rsidRPr="00F8430E">
              <w:rPr>
                <w:rStyle w:val="Hyperlink"/>
                <w:i/>
                <w:noProof/>
              </w:rPr>
              <w:t>Illumina library preparation and sequencing</w:t>
            </w:r>
            <w:r>
              <w:rPr>
                <w:noProof/>
                <w:webHidden/>
              </w:rPr>
              <w:tab/>
            </w:r>
            <w:r>
              <w:rPr>
                <w:noProof/>
                <w:webHidden/>
              </w:rPr>
              <w:fldChar w:fldCharType="begin"/>
            </w:r>
            <w:r>
              <w:rPr>
                <w:noProof/>
                <w:webHidden/>
              </w:rPr>
              <w:instrText xml:space="preserve"> PAGEREF _Toc8404628 \h </w:instrText>
            </w:r>
            <w:r>
              <w:rPr>
                <w:noProof/>
                <w:webHidden/>
              </w:rPr>
            </w:r>
            <w:r>
              <w:rPr>
                <w:noProof/>
                <w:webHidden/>
              </w:rPr>
              <w:fldChar w:fldCharType="separate"/>
            </w:r>
            <w:r>
              <w:rPr>
                <w:noProof/>
                <w:webHidden/>
              </w:rPr>
              <w:t>15</w:t>
            </w:r>
            <w:r>
              <w:rPr>
                <w:noProof/>
                <w:webHidden/>
              </w:rPr>
              <w:fldChar w:fldCharType="end"/>
            </w:r>
          </w:hyperlink>
        </w:p>
        <w:p w14:paraId="05DFA6F5" w14:textId="06060874" w:rsidR="00E525BC" w:rsidRDefault="00E525BC">
          <w:pPr>
            <w:pStyle w:val="TOC2"/>
            <w:tabs>
              <w:tab w:val="right" w:leader="dot" w:pos="9350"/>
            </w:tabs>
            <w:rPr>
              <w:rFonts w:asciiTheme="minorHAnsi" w:eastAsiaTheme="minorEastAsia" w:hAnsiTheme="minorHAnsi" w:cstheme="minorBidi"/>
              <w:noProof/>
            </w:rPr>
          </w:pPr>
          <w:hyperlink w:anchor="_Toc8404629" w:history="1">
            <w:r w:rsidRPr="00F8430E">
              <w:rPr>
                <w:rStyle w:val="Hyperlink"/>
                <w:i/>
                <w:noProof/>
              </w:rPr>
              <w:t>Shotgun data analysis and quality filtering</w:t>
            </w:r>
            <w:r>
              <w:rPr>
                <w:noProof/>
                <w:webHidden/>
              </w:rPr>
              <w:tab/>
            </w:r>
            <w:r>
              <w:rPr>
                <w:noProof/>
                <w:webHidden/>
              </w:rPr>
              <w:fldChar w:fldCharType="begin"/>
            </w:r>
            <w:r>
              <w:rPr>
                <w:noProof/>
                <w:webHidden/>
              </w:rPr>
              <w:instrText xml:space="preserve"> PAGEREF _Toc8404629 \h </w:instrText>
            </w:r>
            <w:r>
              <w:rPr>
                <w:noProof/>
                <w:webHidden/>
              </w:rPr>
            </w:r>
            <w:r>
              <w:rPr>
                <w:noProof/>
                <w:webHidden/>
              </w:rPr>
              <w:fldChar w:fldCharType="separate"/>
            </w:r>
            <w:r>
              <w:rPr>
                <w:noProof/>
                <w:webHidden/>
              </w:rPr>
              <w:t>16</w:t>
            </w:r>
            <w:r>
              <w:rPr>
                <w:noProof/>
                <w:webHidden/>
              </w:rPr>
              <w:fldChar w:fldCharType="end"/>
            </w:r>
          </w:hyperlink>
        </w:p>
        <w:p w14:paraId="7014BE52" w14:textId="0F5A33FD" w:rsidR="00E525BC" w:rsidRDefault="00E525BC">
          <w:pPr>
            <w:pStyle w:val="TOC2"/>
            <w:tabs>
              <w:tab w:val="right" w:leader="dot" w:pos="9350"/>
            </w:tabs>
            <w:rPr>
              <w:rFonts w:asciiTheme="minorHAnsi" w:eastAsiaTheme="minorEastAsia" w:hAnsiTheme="minorHAnsi" w:cstheme="minorBidi"/>
              <w:noProof/>
            </w:rPr>
          </w:pPr>
          <w:hyperlink w:anchor="_Toc8404630" w:history="1">
            <w:r w:rsidRPr="00F8430E">
              <w:rPr>
                <w:rStyle w:val="Hyperlink"/>
                <w:i/>
                <w:noProof/>
              </w:rPr>
              <w:t>Metataxonomic characterization</w:t>
            </w:r>
            <w:r>
              <w:rPr>
                <w:noProof/>
                <w:webHidden/>
              </w:rPr>
              <w:tab/>
            </w:r>
            <w:r>
              <w:rPr>
                <w:noProof/>
                <w:webHidden/>
              </w:rPr>
              <w:fldChar w:fldCharType="begin"/>
            </w:r>
            <w:r>
              <w:rPr>
                <w:noProof/>
                <w:webHidden/>
              </w:rPr>
              <w:instrText xml:space="preserve"> PAGEREF _Toc8404630 \h </w:instrText>
            </w:r>
            <w:r>
              <w:rPr>
                <w:noProof/>
                <w:webHidden/>
              </w:rPr>
            </w:r>
            <w:r>
              <w:rPr>
                <w:noProof/>
                <w:webHidden/>
              </w:rPr>
              <w:fldChar w:fldCharType="separate"/>
            </w:r>
            <w:r>
              <w:rPr>
                <w:noProof/>
                <w:webHidden/>
              </w:rPr>
              <w:t>16</w:t>
            </w:r>
            <w:r>
              <w:rPr>
                <w:noProof/>
                <w:webHidden/>
              </w:rPr>
              <w:fldChar w:fldCharType="end"/>
            </w:r>
          </w:hyperlink>
        </w:p>
        <w:p w14:paraId="66D64E44" w14:textId="4138E8F9" w:rsidR="00E525BC" w:rsidRDefault="00E525BC">
          <w:pPr>
            <w:pStyle w:val="TOC2"/>
            <w:tabs>
              <w:tab w:val="right" w:leader="dot" w:pos="9350"/>
            </w:tabs>
            <w:rPr>
              <w:rFonts w:asciiTheme="minorHAnsi" w:eastAsiaTheme="minorEastAsia" w:hAnsiTheme="minorHAnsi" w:cstheme="minorBidi"/>
              <w:noProof/>
            </w:rPr>
          </w:pPr>
          <w:hyperlink w:anchor="_Toc8404631" w:history="1">
            <w:r w:rsidRPr="00F8430E">
              <w:rPr>
                <w:rStyle w:val="Hyperlink"/>
                <w:i/>
                <w:noProof/>
              </w:rPr>
              <w:t>SourceTracker –a Bayesian approach to estimate endogenous and exogenous content</w:t>
            </w:r>
            <w:r>
              <w:rPr>
                <w:noProof/>
                <w:webHidden/>
              </w:rPr>
              <w:tab/>
            </w:r>
            <w:r>
              <w:rPr>
                <w:noProof/>
                <w:webHidden/>
              </w:rPr>
              <w:fldChar w:fldCharType="begin"/>
            </w:r>
            <w:r>
              <w:rPr>
                <w:noProof/>
                <w:webHidden/>
              </w:rPr>
              <w:instrText xml:space="preserve"> PAGEREF _Toc8404631 \h </w:instrText>
            </w:r>
            <w:r>
              <w:rPr>
                <w:noProof/>
                <w:webHidden/>
              </w:rPr>
            </w:r>
            <w:r>
              <w:rPr>
                <w:noProof/>
                <w:webHidden/>
              </w:rPr>
              <w:fldChar w:fldCharType="separate"/>
            </w:r>
            <w:r>
              <w:rPr>
                <w:noProof/>
                <w:webHidden/>
              </w:rPr>
              <w:t>17</w:t>
            </w:r>
            <w:r>
              <w:rPr>
                <w:noProof/>
                <w:webHidden/>
              </w:rPr>
              <w:fldChar w:fldCharType="end"/>
            </w:r>
          </w:hyperlink>
        </w:p>
        <w:p w14:paraId="468577EB" w14:textId="0F1ED0CA" w:rsidR="00E525BC" w:rsidRDefault="00E525BC">
          <w:pPr>
            <w:pStyle w:val="TOC2"/>
            <w:tabs>
              <w:tab w:val="right" w:leader="dot" w:pos="9350"/>
            </w:tabs>
            <w:rPr>
              <w:rFonts w:asciiTheme="minorHAnsi" w:eastAsiaTheme="minorEastAsia" w:hAnsiTheme="minorHAnsi" w:cstheme="minorBidi"/>
              <w:noProof/>
            </w:rPr>
          </w:pPr>
          <w:hyperlink w:anchor="_Toc8404632" w:history="1">
            <w:r w:rsidRPr="00F8430E">
              <w:rPr>
                <w:rStyle w:val="Hyperlink"/>
                <w:i/>
                <w:noProof/>
              </w:rPr>
              <w:t>Ancient DNA authentication</w:t>
            </w:r>
            <w:r>
              <w:rPr>
                <w:noProof/>
                <w:webHidden/>
              </w:rPr>
              <w:tab/>
            </w:r>
            <w:r>
              <w:rPr>
                <w:noProof/>
                <w:webHidden/>
              </w:rPr>
              <w:fldChar w:fldCharType="begin"/>
            </w:r>
            <w:r>
              <w:rPr>
                <w:noProof/>
                <w:webHidden/>
              </w:rPr>
              <w:instrText xml:space="preserve"> PAGEREF _Toc8404632 \h </w:instrText>
            </w:r>
            <w:r>
              <w:rPr>
                <w:noProof/>
                <w:webHidden/>
              </w:rPr>
            </w:r>
            <w:r>
              <w:rPr>
                <w:noProof/>
                <w:webHidden/>
              </w:rPr>
              <w:fldChar w:fldCharType="separate"/>
            </w:r>
            <w:r>
              <w:rPr>
                <w:noProof/>
                <w:webHidden/>
              </w:rPr>
              <w:t>17</w:t>
            </w:r>
            <w:r>
              <w:rPr>
                <w:noProof/>
                <w:webHidden/>
              </w:rPr>
              <w:fldChar w:fldCharType="end"/>
            </w:r>
          </w:hyperlink>
        </w:p>
        <w:p w14:paraId="09565DD2" w14:textId="2D3F9B04" w:rsidR="00E525BC" w:rsidRDefault="00E525BC">
          <w:pPr>
            <w:pStyle w:val="TOC1"/>
            <w:rPr>
              <w:rFonts w:asciiTheme="minorHAnsi" w:eastAsiaTheme="minorEastAsia" w:hAnsiTheme="minorHAnsi" w:cstheme="minorBidi"/>
              <w:b w:val="0"/>
            </w:rPr>
          </w:pPr>
          <w:hyperlink w:anchor="_Toc8404633" w:history="1">
            <w:r w:rsidRPr="00F8430E">
              <w:rPr>
                <w:rStyle w:val="Hyperlink"/>
              </w:rPr>
              <w:t>Results</w:t>
            </w:r>
            <w:r>
              <w:rPr>
                <w:webHidden/>
              </w:rPr>
              <w:tab/>
            </w:r>
            <w:r>
              <w:rPr>
                <w:webHidden/>
              </w:rPr>
              <w:fldChar w:fldCharType="begin"/>
            </w:r>
            <w:r>
              <w:rPr>
                <w:webHidden/>
              </w:rPr>
              <w:instrText xml:space="preserve"> PAGEREF _Toc8404633 \h </w:instrText>
            </w:r>
            <w:r>
              <w:rPr>
                <w:webHidden/>
              </w:rPr>
            </w:r>
            <w:r>
              <w:rPr>
                <w:webHidden/>
              </w:rPr>
              <w:fldChar w:fldCharType="separate"/>
            </w:r>
            <w:r>
              <w:rPr>
                <w:webHidden/>
              </w:rPr>
              <w:t>20</w:t>
            </w:r>
            <w:r>
              <w:rPr>
                <w:webHidden/>
              </w:rPr>
              <w:fldChar w:fldCharType="end"/>
            </w:r>
          </w:hyperlink>
        </w:p>
        <w:p w14:paraId="515A06E6" w14:textId="26FFA0BF" w:rsidR="00E525BC" w:rsidRDefault="00E525BC">
          <w:pPr>
            <w:pStyle w:val="TOC2"/>
            <w:tabs>
              <w:tab w:val="right" w:leader="dot" w:pos="9350"/>
            </w:tabs>
            <w:rPr>
              <w:rFonts w:asciiTheme="minorHAnsi" w:eastAsiaTheme="minorEastAsia" w:hAnsiTheme="minorHAnsi" w:cstheme="minorBidi"/>
              <w:noProof/>
            </w:rPr>
          </w:pPr>
          <w:hyperlink w:anchor="_Toc8404634" w:history="1">
            <w:r w:rsidRPr="00F8430E">
              <w:rPr>
                <w:rStyle w:val="Hyperlink"/>
                <w:i/>
                <w:noProof/>
              </w:rPr>
              <w:t>Read Metadata</w:t>
            </w:r>
            <w:r>
              <w:rPr>
                <w:noProof/>
                <w:webHidden/>
              </w:rPr>
              <w:tab/>
            </w:r>
            <w:r>
              <w:rPr>
                <w:noProof/>
                <w:webHidden/>
              </w:rPr>
              <w:fldChar w:fldCharType="begin"/>
            </w:r>
            <w:r>
              <w:rPr>
                <w:noProof/>
                <w:webHidden/>
              </w:rPr>
              <w:instrText xml:space="preserve"> PAGEREF _Toc8404634 \h </w:instrText>
            </w:r>
            <w:r>
              <w:rPr>
                <w:noProof/>
                <w:webHidden/>
              </w:rPr>
            </w:r>
            <w:r>
              <w:rPr>
                <w:noProof/>
                <w:webHidden/>
              </w:rPr>
              <w:fldChar w:fldCharType="separate"/>
            </w:r>
            <w:r>
              <w:rPr>
                <w:noProof/>
                <w:webHidden/>
              </w:rPr>
              <w:t>20</w:t>
            </w:r>
            <w:r>
              <w:rPr>
                <w:noProof/>
                <w:webHidden/>
              </w:rPr>
              <w:fldChar w:fldCharType="end"/>
            </w:r>
          </w:hyperlink>
        </w:p>
        <w:p w14:paraId="05C77595" w14:textId="20B32CFE" w:rsidR="00E525BC" w:rsidRDefault="00E525BC">
          <w:pPr>
            <w:pStyle w:val="TOC2"/>
            <w:tabs>
              <w:tab w:val="right" w:leader="dot" w:pos="9350"/>
            </w:tabs>
            <w:rPr>
              <w:rFonts w:asciiTheme="minorHAnsi" w:eastAsiaTheme="minorEastAsia" w:hAnsiTheme="minorHAnsi" w:cstheme="minorBidi"/>
              <w:noProof/>
            </w:rPr>
          </w:pPr>
          <w:hyperlink w:anchor="_Toc8404635" w:history="1">
            <w:r w:rsidRPr="00F8430E">
              <w:rPr>
                <w:rStyle w:val="Hyperlink"/>
                <w:i/>
                <w:noProof/>
              </w:rPr>
              <w:t>Metataxonomic characterization</w:t>
            </w:r>
            <w:r>
              <w:rPr>
                <w:noProof/>
                <w:webHidden/>
              </w:rPr>
              <w:tab/>
            </w:r>
            <w:r>
              <w:rPr>
                <w:noProof/>
                <w:webHidden/>
              </w:rPr>
              <w:fldChar w:fldCharType="begin"/>
            </w:r>
            <w:r>
              <w:rPr>
                <w:noProof/>
                <w:webHidden/>
              </w:rPr>
              <w:instrText xml:space="preserve"> PAGEREF _Toc8404635 \h </w:instrText>
            </w:r>
            <w:r>
              <w:rPr>
                <w:noProof/>
                <w:webHidden/>
              </w:rPr>
            </w:r>
            <w:r>
              <w:rPr>
                <w:noProof/>
                <w:webHidden/>
              </w:rPr>
              <w:fldChar w:fldCharType="separate"/>
            </w:r>
            <w:r>
              <w:rPr>
                <w:noProof/>
                <w:webHidden/>
              </w:rPr>
              <w:t>20</w:t>
            </w:r>
            <w:r>
              <w:rPr>
                <w:noProof/>
                <w:webHidden/>
              </w:rPr>
              <w:fldChar w:fldCharType="end"/>
            </w:r>
          </w:hyperlink>
        </w:p>
        <w:p w14:paraId="4FF6884E" w14:textId="0E61FB08" w:rsidR="00E525BC" w:rsidRDefault="00E525BC">
          <w:pPr>
            <w:pStyle w:val="TOC2"/>
            <w:tabs>
              <w:tab w:val="right" w:leader="dot" w:pos="9350"/>
            </w:tabs>
            <w:rPr>
              <w:rFonts w:asciiTheme="minorHAnsi" w:eastAsiaTheme="minorEastAsia" w:hAnsiTheme="minorHAnsi" w:cstheme="minorBidi"/>
              <w:noProof/>
            </w:rPr>
          </w:pPr>
          <w:hyperlink w:anchor="_Toc8404636" w:history="1">
            <w:r w:rsidRPr="00F8430E">
              <w:rPr>
                <w:rStyle w:val="Hyperlink"/>
                <w:i/>
                <w:noProof/>
              </w:rPr>
              <w:t>Microbial Damage Patterns</w:t>
            </w:r>
            <w:r>
              <w:rPr>
                <w:noProof/>
                <w:webHidden/>
              </w:rPr>
              <w:tab/>
            </w:r>
            <w:r>
              <w:rPr>
                <w:noProof/>
                <w:webHidden/>
              </w:rPr>
              <w:fldChar w:fldCharType="begin"/>
            </w:r>
            <w:r>
              <w:rPr>
                <w:noProof/>
                <w:webHidden/>
              </w:rPr>
              <w:instrText xml:space="preserve"> PAGEREF _Toc8404636 \h </w:instrText>
            </w:r>
            <w:r>
              <w:rPr>
                <w:noProof/>
                <w:webHidden/>
              </w:rPr>
            </w:r>
            <w:r>
              <w:rPr>
                <w:noProof/>
                <w:webHidden/>
              </w:rPr>
              <w:fldChar w:fldCharType="separate"/>
            </w:r>
            <w:r>
              <w:rPr>
                <w:noProof/>
                <w:webHidden/>
              </w:rPr>
              <w:t>21</w:t>
            </w:r>
            <w:r>
              <w:rPr>
                <w:noProof/>
                <w:webHidden/>
              </w:rPr>
              <w:fldChar w:fldCharType="end"/>
            </w:r>
          </w:hyperlink>
        </w:p>
        <w:p w14:paraId="3FD7F480" w14:textId="205301AB" w:rsidR="00E525BC" w:rsidRDefault="00E525BC">
          <w:pPr>
            <w:pStyle w:val="TOC2"/>
            <w:tabs>
              <w:tab w:val="right" w:leader="dot" w:pos="9350"/>
            </w:tabs>
            <w:rPr>
              <w:rFonts w:asciiTheme="minorHAnsi" w:eastAsiaTheme="minorEastAsia" w:hAnsiTheme="minorHAnsi" w:cstheme="minorBidi"/>
              <w:noProof/>
            </w:rPr>
          </w:pPr>
          <w:hyperlink w:anchor="_Toc8404637" w:history="1">
            <w:r w:rsidRPr="00F8430E">
              <w:rPr>
                <w:rStyle w:val="Hyperlink"/>
                <w:i/>
                <w:noProof/>
              </w:rPr>
              <w:t>Microbial fragment length analysis</w:t>
            </w:r>
            <w:r>
              <w:rPr>
                <w:noProof/>
                <w:webHidden/>
              </w:rPr>
              <w:tab/>
            </w:r>
            <w:r>
              <w:rPr>
                <w:noProof/>
                <w:webHidden/>
              </w:rPr>
              <w:fldChar w:fldCharType="begin"/>
            </w:r>
            <w:r>
              <w:rPr>
                <w:noProof/>
                <w:webHidden/>
              </w:rPr>
              <w:instrText xml:space="preserve"> PAGEREF _Toc8404637 \h </w:instrText>
            </w:r>
            <w:r>
              <w:rPr>
                <w:noProof/>
                <w:webHidden/>
              </w:rPr>
            </w:r>
            <w:r>
              <w:rPr>
                <w:noProof/>
                <w:webHidden/>
              </w:rPr>
              <w:fldChar w:fldCharType="separate"/>
            </w:r>
            <w:r>
              <w:rPr>
                <w:noProof/>
                <w:webHidden/>
              </w:rPr>
              <w:t>21</w:t>
            </w:r>
            <w:r>
              <w:rPr>
                <w:noProof/>
                <w:webHidden/>
              </w:rPr>
              <w:fldChar w:fldCharType="end"/>
            </w:r>
          </w:hyperlink>
        </w:p>
        <w:p w14:paraId="5ACB9602" w14:textId="7AEA02E0" w:rsidR="00E525BC" w:rsidRDefault="00E525BC">
          <w:pPr>
            <w:pStyle w:val="TOC2"/>
            <w:tabs>
              <w:tab w:val="right" w:leader="dot" w:pos="9350"/>
            </w:tabs>
            <w:rPr>
              <w:rFonts w:asciiTheme="minorHAnsi" w:eastAsiaTheme="minorEastAsia" w:hAnsiTheme="minorHAnsi" w:cstheme="minorBidi"/>
              <w:noProof/>
            </w:rPr>
          </w:pPr>
          <w:hyperlink w:anchor="_Toc8404638" w:history="1">
            <w:r w:rsidRPr="00F8430E">
              <w:rPr>
                <w:rStyle w:val="Hyperlink"/>
                <w:i/>
                <w:noProof/>
              </w:rPr>
              <w:t>Bayesian source tracking</w:t>
            </w:r>
            <w:r>
              <w:rPr>
                <w:noProof/>
                <w:webHidden/>
              </w:rPr>
              <w:tab/>
            </w:r>
            <w:r>
              <w:rPr>
                <w:noProof/>
                <w:webHidden/>
              </w:rPr>
              <w:fldChar w:fldCharType="begin"/>
            </w:r>
            <w:r>
              <w:rPr>
                <w:noProof/>
                <w:webHidden/>
              </w:rPr>
              <w:instrText xml:space="preserve"> PAGEREF _Toc8404638 \h </w:instrText>
            </w:r>
            <w:r>
              <w:rPr>
                <w:noProof/>
                <w:webHidden/>
              </w:rPr>
            </w:r>
            <w:r>
              <w:rPr>
                <w:noProof/>
                <w:webHidden/>
              </w:rPr>
              <w:fldChar w:fldCharType="separate"/>
            </w:r>
            <w:r>
              <w:rPr>
                <w:noProof/>
                <w:webHidden/>
              </w:rPr>
              <w:t>22</w:t>
            </w:r>
            <w:r>
              <w:rPr>
                <w:noProof/>
                <w:webHidden/>
              </w:rPr>
              <w:fldChar w:fldCharType="end"/>
            </w:r>
          </w:hyperlink>
        </w:p>
        <w:p w14:paraId="4F46BDD1" w14:textId="4813CD7E" w:rsidR="00E525BC" w:rsidRDefault="00E525BC">
          <w:pPr>
            <w:pStyle w:val="TOC2"/>
            <w:tabs>
              <w:tab w:val="right" w:leader="dot" w:pos="9350"/>
            </w:tabs>
            <w:rPr>
              <w:rFonts w:asciiTheme="minorHAnsi" w:eastAsiaTheme="minorEastAsia" w:hAnsiTheme="minorHAnsi" w:cstheme="minorBidi"/>
              <w:noProof/>
            </w:rPr>
          </w:pPr>
          <w:hyperlink w:anchor="_Toc8404639" w:history="1">
            <w:r w:rsidRPr="00F8430E">
              <w:rPr>
                <w:rStyle w:val="Hyperlink"/>
                <w:i/>
                <w:noProof/>
              </w:rPr>
              <w:t>Human DNA Content</w:t>
            </w:r>
            <w:r>
              <w:rPr>
                <w:noProof/>
                <w:webHidden/>
              </w:rPr>
              <w:tab/>
            </w:r>
            <w:r>
              <w:rPr>
                <w:noProof/>
                <w:webHidden/>
              </w:rPr>
              <w:fldChar w:fldCharType="begin"/>
            </w:r>
            <w:r>
              <w:rPr>
                <w:noProof/>
                <w:webHidden/>
              </w:rPr>
              <w:instrText xml:space="preserve"> PAGEREF _Toc8404639 \h </w:instrText>
            </w:r>
            <w:r>
              <w:rPr>
                <w:noProof/>
                <w:webHidden/>
              </w:rPr>
            </w:r>
            <w:r>
              <w:rPr>
                <w:noProof/>
                <w:webHidden/>
              </w:rPr>
              <w:fldChar w:fldCharType="separate"/>
            </w:r>
            <w:r>
              <w:rPr>
                <w:noProof/>
                <w:webHidden/>
              </w:rPr>
              <w:t>23</w:t>
            </w:r>
            <w:r>
              <w:rPr>
                <w:noProof/>
                <w:webHidden/>
              </w:rPr>
              <w:fldChar w:fldCharType="end"/>
            </w:r>
          </w:hyperlink>
        </w:p>
        <w:p w14:paraId="67ECD4C3" w14:textId="68137A55" w:rsidR="00E525BC" w:rsidRDefault="00E525BC">
          <w:pPr>
            <w:pStyle w:val="TOC2"/>
            <w:tabs>
              <w:tab w:val="right" w:leader="dot" w:pos="9350"/>
            </w:tabs>
            <w:rPr>
              <w:rFonts w:asciiTheme="minorHAnsi" w:eastAsiaTheme="minorEastAsia" w:hAnsiTheme="minorHAnsi" w:cstheme="minorBidi"/>
              <w:noProof/>
            </w:rPr>
          </w:pPr>
          <w:hyperlink w:anchor="_Toc8404640" w:history="1">
            <w:r w:rsidRPr="00F8430E">
              <w:rPr>
                <w:rStyle w:val="Hyperlink"/>
                <w:i/>
                <w:noProof/>
              </w:rPr>
              <w:t>Human Damage Patterns and Fragment Lengths</w:t>
            </w:r>
            <w:r>
              <w:rPr>
                <w:noProof/>
                <w:webHidden/>
              </w:rPr>
              <w:tab/>
            </w:r>
            <w:r>
              <w:rPr>
                <w:noProof/>
                <w:webHidden/>
              </w:rPr>
              <w:fldChar w:fldCharType="begin"/>
            </w:r>
            <w:r>
              <w:rPr>
                <w:noProof/>
                <w:webHidden/>
              </w:rPr>
              <w:instrText xml:space="preserve"> PAGEREF _Toc8404640 \h </w:instrText>
            </w:r>
            <w:r>
              <w:rPr>
                <w:noProof/>
                <w:webHidden/>
              </w:rPr>
            </w:r>
            <w:r>
              <w:rPr>
                <w:noProof/>
                <w:webHidden/>
              </w:rPr>
              <w:fldChar w:fldCharType="separate"/>
            </w:r>
            <w:r>
              <w:rPr>
                <w:noProof/>
                <w:webHidden/>
              </w:rPr>
              <w:t>23</w:t>
            </w:r>
            <w:r>
              <w:rPr>
                <w:noProof/>
                <w:webHidden/>
              </w:rPr>
              <w:fldChar w:fldCharType="end"/>
            </w:r>
          </w:hyperlink>
        </w:p>
        <w:p w14:paraId="03AB34E1" w14:textId="3C755A24" w:rsidR="00E525BC" w:rsidRDefault="00E525BC">
          <w:pPr>
            <w:pStyle w:val="TOC1"/>
            <w:rPr>
              <w:rFonts w:asciiTheme="minorHAnsi" w:eastAsiaTheme="minorEastAsia" w:hAnsiTheme="minorHAnsi" w:cstheme="minorBidi"/>
              <w:b w:val="0"/>
            </w:rPr>
          </w:pPr>
          <w:hyperlink w:anchor="_Toc8404641" w:history="1">
            <w:r w:rsidRPr="00F8430E">
              <w:rPr>
                <w:rStyle w:val="Hyperlink"/>
              </w:rPr>
              <w:t>Discussion</w:t>
            </w:r>
            <w:r>
              <w:rPr>
                <w:webHidden/>
              </w:rPr>
              <w:tab/>
            </w:r>
            <w:r>
              <w:rPr>
                <w:webHidden/>
              </w:rPr>
              <w:fldChar w:fldCharType="begin"/>
            </w:r>
            <w:r>
              <w:rPr>
                <w:webHidden/>
              </w:rPr>
              <w:instrText xml:space="preserve"> PAGEREF _Toc8404641 \h </w:instrText>
            </w:r>
            <w:r>
              <w:rPr>
                <w:webHidden/>
              </w:rPr>
            </w:r>
            <w:r>
              <w:rPr>
                <w:webHidden/>
              </w:rPr>
              <w:fldChar w:fldCharType="separate"/>
            </w:r>
            <w:r>
              <w:rPr>
                <w:webHidden/>
              </w:rPr>
              <w:t>45</w:t>
            </w:r>
            <w:r>
              <w:rPr>
                <w:webHidden/>
              </w:rPr>
              <w:fldChar w:fldCharType="end"/>
            </w:r>
          </w:hyperlink>
        </w:p>
        <w:p w14:paraId="5A184EC3" w14:textId="18380D22" w:rsidR="00E525BC" w:rsidRDefault="00E525BC">
          <w:pPr>
            <w:pStyle w:val="TOC2"/>
            <w:tabs>
              <w:tab w:val="right" w:leader="dot" w:pos="9350"/>
            </w:tabs>
            <w:rPr>
              <w:rFonts w:asciiTheme="minorHAnsi" w:eastAsiaTheme="minorEastAsia" w:hAnsiTheme="minorHAnsi" w:cstheme="minorBidi"/>
              <w:noProof/>
            </w:rPr>
          </w:pPr>
          <w:hyperlink w:anchor="_Toc8404642" w:history="1">
            <w:r w:rsidRPr="00F8430E">
              <w:rPr>
                <w:rStyle w:val="Hyperlink"/>
                <w:i/>
                <w:noProof/>
              </w:rPr>
              <w:t>Identification of oral, skin, and soil microbes in the Teotihuacan samples</w:t>
            </w:r>
            <w:r>
              <w:rPr>
                <w:noProof/>
                <w:webHidden/>
              </w:rPr>
              <w:tab/>
            </w:r>
            <w:r>
              <w:rPr>
                <w:noProof/>
                <w:webHidden/>
              </w:rPr>
              <w:fldChar w:fldCharType="begin"/>
            </w:r>
            <w:r>
              <w:rPr>
                <w:noProof/>
                <w:webHidden/>
              </w:rPr>
              <w:instrText xml:space="preserve"> PAGEREF _Toc8404642 \h </w:instrText>
            </w:r>
            <w:r>
              <w:rPr>
                <w:noProof/>
                <w:webHidden/>
              </w:rPr>
            </w:r>
            <w:r>
              <w:rPr>
                <w:noProof/>
                <w:webHidden/>
              </w:rPr>
              <w:fldChar w:fldCharType="separate"/>
            </w:r>
            <w:r>
              <w:rPr>
                <w:noProof/>
                <w:webHidden/>
              </w:rPr>
              <w:t>45</w:t>
            </w:r>
            <w:r>
              <w:rPr>
                <w:noProof/>
                <w:webHidden/>
              </w:rPr>
              <w:fldChar w:fldCharType="end"/>
            </w:r>
          </w:hyperlink>
        </w:p>
        <w:p w14:paraId="7192836D" w14:textId="1362CC34" w:rsidR="00E525BC" w:rsidRDefault="00E525BC">
          <w:pPr>
            <w:pStyle w:val="TOC2"/>
            <w:tabs>
              <w:tab w:val="right" w:leader="dot" w:pos="9350"/>
            </w:tabs>
            <w:rPr>
              <w:rFonts w:asciiTheme="minorHAnsi" w:eastAsiaTheme="minorEastAsia" w:hAnsiTheme="minorHAnsi" w:cstheme="minorBidi"/>
              <w:noProof/>
            </w:rPr>
          </w:pPr>
          <w:hyperlink w:anchor="_Toc8404643" w:history="1">
            <w:r w:rsidRPr="00F8430E">
              <w:rPr>
                <w:rStyle w:val="Hyperlink"/>
                <w:i/>
                <w:noProof/>
              </w:rPr>
              <w:t>Authentication of the microbial sequences</w:t>
            </w:r>
            <w:r>
              <w:rPr>
                <w:noProof/>
                <w:webHidden/>
              </w:rPr>
              <w:tab/>
            </w:r>
            <w:r>
              <w:rPr>
                <w:noProof/>
                <w:webHidden/>
              </w:rPr>
              <w:fldChar w:fldCharType="begin"/>
            </w:r>
            <w:r>
              <w:rPr>
                <w:noProof/>
                <w:webHidden/>
              </w:rPr>
              <w:instrText xml:space="preserve"> PAGEREF _Toc8404643 \h </w:instrText>
            </w:r>
            <w:r>
              <w:rPr>
                <w:noProof/>
                <w:webHidden/>
              </w:rPr>
            </w:r>
            <w:r>
              <w:rPr>
                <w:noProof/>
                <w:webHidden/>
              </w:rPr>
              <w:fldChar w:fldCharType="separate"/>
            </w:r>
            <w:r>
              <w:rPr>
                <w:noProof/>
                <w:webHidden/>
              </w:rPr>
              <w:t>47</w:t>
            </w:r>
            <w:r>
              <w:rPr>
                <w:noProof/>
                <w:webHidden/>
              </w:rPr>
              <w:fldChar w:fldCharType="end"/>
            </w:r>
          </w:hyperlink>
        </w:p>
        <w:p w14:paraId="1CC8DEB7" w14:textId="024178F4" w:rsidR="00E525BC" w:rsidRDefault="00E525BC">
          <w:pPr>
            <w:pStyle w:val="TOC2"/>
            <w:tabs>
              <w:tab w:val="right" w:leader="dot" w:pos="9350"/>
            </w:tabs>
            <w:rPr>
              <w:rFonts w:asciiTheme="minorHAnsi" w:eastAsiaTheme="minorEastAsia" w:hAnsiTheme="minorHAnsi" w:cstheme="minorBidi"/>
              <w:noProof/>
            </w:rPr>
          </w:pPr>
          <w:hyperlink w:anchor="_Toc8404644" w:history="1">
            <w:r w:rsidRPr="00F8430E">
              <w:rPr>
                <w:rStyle w:val="Hyperlink"/>
                <w:i/>
                <w:noProof/>
              </w:rPr>
              <w:t>Human DNA recovered from the Teotihuacan samples</w:t>
            </w:r>
            <w:r>
              <w:rPr>
                <w:noProof/>
                <w:webHidden/>
              </w:rPr>
              <w:tab/>
            </w:r>
            <w:r>
              <w:rPr>
                <w:noProof/>
                <w:webHidden/>
              </w:rPr>
              <w:fldChar w:fldCharType="begin"/>
            </w:r>
            <w:r>
              <w:rPr>
                <w:noProof/>
                <w:webHidden/>
              </w:rPr>
              <w:instrText xml:space="preserve"> PAGEREF _Toc8404644 \h </w:instrText>
            </w:r>
            <w:r>
              <w:rPr>
                <w:noProof/>
                <w:webHidden/>
              </w:rPr>
            </w:r>
            <w:r>
              <w:rPr>
                <w:noProof/>
                <w:webHidden/>
              </w:rPr>
              <w:fldChar w:fldCharType="separate"/>
            </w:r>
            <w:r>
              <w:rPr>
                <w:noProof/>
                <w:webHidden/>
              </w:rPr>
              <w:t>48</w:t>
            </w:r>
            <w:r>
              <w:rPr>
                <w:noProof/>
                <w:webHidden/>
              </w:rPr>
              <w:fldChar w:fldCharType="end"/>
            </w:r>
          </w:hyperlink>
        </w:p>
        <w:p w14:paraId="6114DE88" w14:textId="59AC3A15" w:rsidR="00E525BC" w:rsidRDefault="00E525BC">
          <w:pPr>
            <w:pStyle w:val="TOC1"/>
            <w:rPr>
              <w:rFonts w:asciiTheme="minorHAnsi" w:eastAsiaTheme="minorEastAsia" w:hAnsiTheme="minorHAnsi" w:cstheme="minorBidi"/>
              <w:b w:val="0"/>
            </w:rPr>
          </w:pPr>
          <w:hyperlink w:anchor="_Toc8404645" w:history="1">
            <w:r w:rsidRPr="00F8430E">
              <w:rPr>
                <w:rStyle w:val="Hyperlink"/>
              </w:rPr>
              <w:t>Conclusion</w:t>
            </w:r>
            <w:r>
              <w:rPr>
                <w:webHidden/>
              </w:rPr>
              <w:tab/>
            </w:r>
            <w:r>
              <w:rPr>
                <w:webHidden/>
              </w:rPr>
              <w:fldChar w:fldCharType="begin"/>
            </w:r>
            <w:r>
              <w:rPr>
                <w:webHidden/>
              </w:rPr>
              <w:instrText xml:space="preserve"> PAGEREF _Toc8404645 \h </w:instrText>
            </w:r>
            <w:r>
              <w:rPr>
                <w:webHidden/>
              </w:rPr>
            </w:r>
            <w:r>
              <w:rPr>
                <w:webHidden/>
              </w:rPr>
              <w:fldChar w:fldCharType="separate"/>
            </w:r>
            <w:r>
              <w:rPr>
                <w:webHidden/>
              </w:rPr>
              <w:t>50</w:t>
            </w:r>
            <w:r>
              <w:rPr>
                <w:webHidden/>
              </w:rPr>
              <w:fldChar w:fldCharType="end"/>
            </w:r>
          </w:hyperlink>
        </w:p>
        <w:p w14:paraId="78A9EF41" w14:textId="0E6A2333" w:rsidR="00E525BC" w:rsidRDefault="00E525BC">
          <w:pPr>
            <w:pStyle w:val="TOC1"/>
            <w:rPr>
              <w:rFonts w:asciiTheme="minorHAnsi" w:eastAsiaTheme="minorEastAsia" w:hAnsiTheme="minorHAnsi" w:cstheme="minorBidi"/>
              <w:b w:val="0"/>
            </w:rPr>
          </w:pPr>
          <w:hyperlink w:anchor="_Toc8404646" w:history="1">
            <w:r w:rsidRPr="00F8430E">
              <w:rPr>
                <w:rStyle w:val="Hyperlink"/>
              </w:rPr>
              <w:t>References</w:t>
            </w:r>
            <w:r>
              <w:rPr>
                <w:webHidden/>
              </w:rPr>
              <w:tab/>
            </w:r>
            <w:r>
              <w:rPr>
                <w:webHidden/>
              </w:rPr>
              <w:fldChar w:fldCharType="begin"/>
            </w:r>
            <w:r>
              <w:rPr>
                <w:webHidden/>
              </w:rPr>
              <w:instrText xml:space="preserve"> PAGEREF _Toc8404646 \h </w:instrText>
            </w:r>
            <w:r>
              <w:rPr>
                <w:webHidden/>
              </w:rPr>
            </w:r>
            <w:r>
              <w:rPr>
                <w:webHidden/>
              </w:rPr>
              <w:fldChar w:fldCharType="separate"/>
            </w:r>
            <w:r>
              <w:rPr>
                <w:webHidden/>
              </w:rPr>
              <w:t>51</w:t>
            </w:r>
            <w:r>
              <w:rPr>
                <w:webHidden/>
              </w:rPr>
              <w:fldChar w:fldCharType="end"/>
            </w:r>
          </w:hyperlink>
        </w:p>
        <w:p w14:paraId="2A4C8760" w14:textId="41772F56" w:rsidR="00E525BC" w:rsidRDefault="00E525BC">
          <w:pPr>
            <w:pStyle w:val="TOC1"/>
            <w:rPr>
              <w:rFonts w:asciiTheme="minorHAnsi" w:eastAsiaTheme="minorEastAsia" w:hAnsiTheme="minorHAnsi" w:cstheme="minorBidi"/>
              <w:b w:val="0"/>
            </w:rPr>
          </w:pPr>
          <w:hyperlink w:anchor="_Toc8404647" w:history="1">
            <w:r w:rsidRPr="00F8430E">
              <w:rPr>
                <w:rStyle w:val="Hyperlink"/>
              </w:rPr>
              <w:t>Appendix A</w:t>
            </w:r>
            <w:r>
              <w:rPr>
                <w:webHidden/>
              </w:rPr>
              <w:tab/>
            </w:r>
            <w:r>
              <w:rPr>
                <w:webHidden/>
              </w:rPr>
              <w:fldChar w:fldCharType="begin"/>
            </w:r>
            <w:r>
              <w:rPr>
                <w:webHidden/>
              </w:rPr>
              <w:instrText xml:space="preserve"> PAGEREF _Toc8404647 \h </w:instrText>
            </w:r>
            <w:r>
              <w:rPr>
                <w:webHidden/>
              </w:rPr>
            </w:r>
            <w:r>
              <w:rPr>
                <w:webHidden/>
              </w:rPr>
              <w:fldChar w:fldCharType="separate"/>
            </w:r>
            <w:r>
              <w:rPr>
                <w:webHidden/>
              </w:rPr>
              <w:t>58</w:t>
            </w:r>
            <w:r>
              <w:rPr>
                <w:webHidden/>
              </w:rPr>
              <w:fldChar w:fldCharType="end"/>
            </w:r>
          </w:hyperlink>
        </w:p>
        <w:p w14:paraId="54F243F7" w14:textId="44325950" w:rsidR="00E525BC" w:rsidRDefault="00E525BC">
          <w:pPr>
            <w:pStyle w:val="TOC2"/>
            <w:tabs>
              <w:tab w:val="right" w:leader="dot" w:pos="9350"/>
            </w:tabs>
            <w:rPr>
              <w:rFonts w:asciiTheme="minorHAnsi" w:eastAsiaTheme="minorEastAsia" w:hAnsiTheme="minorHAnsi" w:cstheme="minorBidi"/>
              <w:noProof/>
            </w:rPr>
          </w:pPr>
          <w:hyperlink w:anchor="_Toc8404648" w:history="1">
            <w:r w:rsidRPr="00F8430E">
              <w:rPr>
                <w:rStyle w:val="Hyperlink"/>
                <w:b/>
                <w:noProof/>
              </w:rPr>
              <w:t xml:space="preserve">Table A.1: </w:t>
            </w:r>
            <w:r w:rsidRPr="00F8430E">
              <w:rPr>
                <w:rStyle w:val="Hyperlink"/>
                <w:noProof/>
              </w:rPr>
              <w:t>Sample metadata</w:t>
            </w:r>
            <w:r>
              <w:rPr>
                <w:noProof/>
                <w:webHidden/>
              </w:rPr>
              <w:tab/>
            </w:r>
            <w:r>
              <w:rPr>
                <w:noProof/>
                <w:webHidden/>
              </w:rPr>
              <w:fldChar w:fldCharType="begin"/>
            </w:r>
            <w:r>
              <w:rPr>
                <w:noProof/>
                <w:webHidden/>
              </w:rPr>
              <w:instrText xml:space="preserve"> PAGEREF _Toc8404648 \h </w:instrText>
            </w:r>
            <w:r>
              <w:rPr>
                <w:noProof/>
                <w:webHidden/>
              </w:rPr>
            </w:r>
            <w:r>
              <w:rPr>
                <w:noProof/>
                <w:webHidden/>
              </w:rPr>
              <w:fldChar w:fldCharType="separate"/>
            </w:r>
            <w:r>
              <w:rPr>
                <w:noProof/>
                <w:webHidden/>
              </w:rPr>
              <w:t>58</w:t>
            </w:r>
            <w:r>
              <w:rPr>
                <w:noProof/>
                <w:webHidden/>
              </w:rPr>
              <w:fldChar w:fldCharType="end"/>
            </w:r>
          </w:hyperlink>
        </w:p>
        <w:p w14:paraId="171E03AB" w14:textId="0714D2AF" w:rsidR="00C21A2F" w:rsidRDefault="00C21A2F">
          <w:r>
            <w:rPr>
              <w:b/>
              <w:bCs/>
              <w:noProof/>
            </w:rPr>
            <w:fldChar w:fldCharType="end"/>
          </w:r>
        </w:p>
      </w:sdtContent>
    </w:sdt>
    <w:p w14:paraId="0143C7D3" w14:textId="6B3497FA" w:rsidR="00454CCC" w:rsidRDefault="00454CCC">
      <w:pPr>
        <w:rPr>
          <w:sz w:val="28"/>
          <w:szCs w:val="28"/>
        </w:rPr>
      </w:pPr>
      <w:bookmarkStart w:id="4" w:name="_Hlk4272126"/>
      <w:r>
        <w:rPr>
          <w:sz w:val="28"/>
          <w:szCs w:val="28"/>
        </w:rPr>
        <w:br w:type="page"/>
      </w:r>
    </w:p>
    <w:p w14:paraId="227DDA1E" w14:textId="2C2E5865" w:rsidR="0009794E" w:rsidRDefault="00C21A2F" w:rsidP="00671139">
      <w:pPr>
        <w:rPr>
          <w:sz w:val="28"/>
          <w:szCs w:val="28"/>
        </w:rPr>
      </w:pPr>
      <w:bookmarkStart w:id="5" w:name="_Hlk6870769"/>
      <w:r>
        <w:rPr>
          <w:sz w:val="28"/>
          <w:szCs w:val="28"/>
        </w:rPr>
        <w:lastRenderedPageBreak/>
        <w:t>List of Tables</w:t>
      </w:r>
      <w:r w:rsidR="004A0A8F">
        <w:rPr>
          <w:sz w:val="28"/>
          <w:szCs w:val="28"/>
        </w:rPr>
        <w:t xml:space="preserve"> </w:t>
      </w:r>
      <w:bookmarkEnd w:id="4"/>
    </w:p>
    <w:p w14:paraId="5C94C478" w14:textId="02B8A7E9" w:rsidR="006706AC" w:rsidRDefault="006706AC" w:rsidP="00845AC7">
      <w:pPr>
        <w:pStyle w:val="TOC1"/>
        <w:rPr>
          <w:rFonts w:asciiTheme="minorHAnsi" w:eastAsiaTheme="minorEastAsia" w:hAnsiTheme="minorHAnsi" w:cstheme="minorBidi"/>
        </w:rPr>
      </w:pPr>
      <w:r>
        <w:t>Table 1.</w:t>
      </w:r>
      <w:r w:rsidR="00617B77">
        <w:t xml:space="preserve"> Sumary of Reads</w:t>
      </w:r>
      <w:r w:rsidRPr="00E91585">
        <w:rPr>
          <w:b w:val="0"/>
          <w:webHidden/>
        </w:rPr>
        <w:tab/>
      </w:r>
      <w:r w:rsidR="00AE6504">
        <w:rPr>
          <w:b w:val="0"/>
          <w:webHidden/>
        </w:rPr>
        <w:t>2</w:t>
      </w:r>
      <w:r w:rsidR="00351553">
        <w:rPr>
          <w:b w:val="0"/>
          <w:webHidden/>
        </w:rPr>
        <w:t>5</w:t>
      </w:r>
    </w:p>
    <w:p w14:paraId="647F5386" w14:textId="2244F20C" w:rsidR="006706AC" w:rsidRDefault="006706AC" w:rsidP="00845AC7">
      <w:pPr>
        <w:pStyle w:val="TOC1"/>
        <w:rPr>
          <w:webHidden/>
        </w:rPr>
      </w:pPr>
      <w:r>
        <w:t>Table 2.</w:t>
      </w:r>
      <w:r w:rsidR="009A0715">
        <w:t xml:space="preserve"> Relative abundances for bacterial phyla</w:t>
      </w:r>
      <w:r w:rsidR="00991767">
        <w:t xml:space="preserve"> within the samples</w:t>
      </w:r>
      <w:r w:rsidRPr="00E91585">
        <w:rPr>
          <w:b w:val="0"/>
          <w:webHidden/>
        </w:rPr>
        <w:tab/>
      </w:r>
      <w:r w:rsidR="00351553">
        <w:rPr>
          <w:b w:val="0"/>
          <w:webHidden/>
        </w:rPr>
        <w:t>26</w:t>
      </w:r>
    </w:p>
    <w:p w14:paraId="2CCBF039" w14:textId="75337019" w:rsidR="00991767" w:rsidRPr="00E91585" w:rsidRDefault="00991767" w:rsidP="00845AC7">
      <w:pPr>
        <w:pStyle w:val="TOC1"/>
        <w:rPr>
          <w:rFonts w:asciiTheme="minorHAnsi" w:eastAsiaTheme="minorEastAsia" w:hAnsiTheme="minorHAnsi" w:cstheme="minorBidi"/>
          <w:b w:val="0"/>
        </w:rPr>
      </w:pPr>
      <w:r>
        <w:t xml:space="preserve">Table 3. Relative abundances for bacterial phyla within the </w:t>
      </w:r>
      <w:r w:rsidR="00A77AB3">
        <w:t>blanks</w:t>
      </w:r>
      <w:r w:rsidRPr="00E91585">
        <w:rPr>
          <w:b w:val="0"/>
          <w:webHidden/>
        </w:rPr>
        <w:tab/>
      </w:r>
      <w:r w:rsidR="00351553">
        <w:rPr>
          <w:b w:val="0"/>
          <w:webHidden/>
        </w:rPr>
        <w:t>27</w:t>
      </w:r>
    </w:p>
    <w:p w14:paraId="03B41C0B" w14:textId="61D4CF7B" w:rsidR="006706AC" w:rsidRDefault="006706AC" w:rsidP="00845AC7">
      <w:pPr>
        <w:pStyle w:val="TOC1"/>
        <w:rPr>
          <w:webHidden/>
        </w:rPr>
      </w:pPr>
      <w:r>
        <w:t xml:space="preserve">Table </w:t>
      </w:r>
      <w:r w:rsidR="00991767">
        <w:t>4</w:t>
      </w:r>
      <w:r>
        <w:t>.</w:t>
      </w:r>
      <w:r w:rsidR="009A0715">
        <w:t xml:space="preserve"> Relative abundances for bacterial genera</w:t>
      </w:r>
      <w:r w:rsidR="00991767">
        <w:t xml:space="preserve"> within the samples</w:t>
      </w:r>
      <w:r w:rsidRPr="00E91585">
        <w:rPr>
          <w:b w:val="0"/>
          <w:webHidden/>
        </w:rPr>
        <w:tab/>
      </w:r>
      <w:r w:rsidR="00351553">
        <w:rPr>
          <w:b w:val="0"/>
          <w:webHidden/>
        </w:rPr>
        <w:t>28</w:t>
      </w:r>
    </w:p>
    <w:p w14:paraId="01985EA9" w14:textId="041971BD" w:rsidR="006706AC" w:rsidRPr="00E91585" w:rsidRDefault="006706AC" w:rsidP="00845AC7">
      <w:pPr>
        <w:pStyle w:val="TOC1"/>
        <w:rPr>
          <w:rFonts w:asciiTheme="minorHAnsi" w:eastAsiaTheme="minorEastAsia" w:hAnsiTheme="minorHAnsi" w:cstheme="minorBidi"/>
          <w:b w:val="0"/>
        </w:rPr>
      </w:pPr>
      <w:r>
        <w:t xml:space="preserve">Table </w:t>
      </w:r>
      <w:r w:rsidR="00AE6504">
        <w:t>5</w:t>
      </w:r>
      <w:r>
        <w:t>.</w:t>
      </w:r>
      <w:r w:rsidR="009A0715">
        <w:t xml:space="preserve"> Median Fragment Lengths</w:t>
      </w:r>
      <w:r w:rsidRPr="00E91585">
        <w:rPr>
          <w:b w:val="0"/>
          <w:webHidden/>
        </w:rPr>
        <w:tab/>
      </w:r>
      <w:r w:rsidR="00351553">
        <w:rPr>
          <w:b w:val="0"/>
          <w:webHidden/>
        </w:rPr>
        <w:t>29</w:t>
      </w:r>
    </w:p>
    <w:p w14:paraId="019D10C1" w14:textId="77777777" w:rsidR="006706AC" w:rsidRPr="006706AC" w:rsidRDefault="006706AC" w:rsidP="006706AC"/>
    <w:p w14:paraId="17EF7C88" w14:textId="526908A7" w:rsidR="00C21A2F" w:rsidRDefault="00C21A2F" w:rsidP="00C21A2F">
      <w:pPr>
        <w:pStyle w:val="Heading1"/>
      </w:pPr>
      <w:r>
        <w:br w:type="page"/>
      </w:r>
      <w:bookmarkStart w:id="6" w:name="_GoBack"/>
    </w:p>
    <w:bookmarkEnd w:id="6"/>
    <w:p w14:paraId="590737F3" w14:textId="2AEF3881" w:rsidR="006706AC" w:rsidRDefault="006706AC" w:rsidP="006706AC">
      <w:pPr>
        <w:rPr>
          <w:sz w:val="28"/>
          <w:szCs w:val="28"/>
        </w:rPr>
      </w:pPr>
      <w:r>
        <w:rPr>
          <w:sz w:val="28"/>
          <w:szCs w:val="28"/>
        </w:rPr>
        <w:lastRenderedPageBreak/>
        <w:t>List of Figures</w:t>
      </w:r>
      <w:r w:rsidR="004A0A8F">
        <w:rPr>
          <w:sz w:val="28"/>
          <w:szCs w:val="28"/>
        </w:rPr>
        <w:t xml:space="preserve"> </w:t>
      </w:r>
    </w:p>
    <w:p w14:paraId="4530A14E" w14:textId="2105A7B1" w:rsidR="006706AC" w:rsidRPr="00E91585" w:rsidRDefault="006706AC" w:rsidP="00845AC7">
      <w:pPr>
        <w:pStyle w:val="TOC1"/>
        <w:rPr>
          <w:rFonts w:asciiTheme="minorHAnsi" w:eastAsiaTheme="minorEastAsia" w:hAnsiTheme="minorHAnsi" w:cstheme="minorBidi"/>
          <w:b w:val="0"/>
        </w:rPr>
      </w:pPr>
      <w:r w:rsidRPr="001E3691">
        <w:t xml:space="preserve">Figure 1. </w:t>
      </w:r>
      <w:r w:rsidRPr="00D80991">
        <w:rPr>
          <w:b w:val="0"/>
        </w:rPr>
        <w:t>Satellite image of Central America</w:t>
      </w:r>
      <w:r w:rsidRPr="00E91585">
        <w:rPr>
          <w:b w:val="0"/>
          <w:webHidden/>
        </w:rPr>
        <w:tab/>
      </w:r>
      <w:r w:rsidR="00351553">
        <w:rPr>
          <w:b w:val="0"/>
          <w:webHidden/>
        </w:rPr>
        <w:t>12</w:t>
      </w:r>
    </w:p>
    <w:p w14:paraId="75A8FF4E" w14:textId="12D229FB" w:rsidR="006706AC" w:rsidRPr="006706AC" w:rsidRDefault="006706AC" w:rsidP="00845AC7">
      <w:pPr>
        <w:pStyle w:val="TOC1"/>
        <w:rPr>
          <w:rFonts w:asciiTheme="minorHAnsi" w:eastAsiaTheme="minorEastAsia" w:hAnsiTheme="minorHAnsi" w:cstheme="minorBidi"/>
        </w:rPr>
      </w:pPr>
      <w:r w:rsidRPr="006706AC">
        <w:t xml:space="preserve">Figure </w:t>
      </w:r>
      <w:r>
        <w:t>2</w:t>
      </w:r>
      <w:r w:rsidRPr="006706AC">
        <w:t xml:space="preserve">. </w:t>
      </w:r>
      <w:r w:rsidRPr="00D80991">
        <w:rPr>
          <w:b w:val="0"/>
        </w:rPr>
        <w:t>Aerial view of Teotihuacan</w:t>
      </w:r>
      <w:r w:rsidRPr="00E91585">
        <w:rPr>
          <w:b w:val="0"/>
          <w:webHidden/>
        </w:rPr>
        <w:tab/>
      </w:r>
      <w:r w:rsidR="00351553">
        <w:rPr>
          <w:b w:val="0"/>
          <w:webHidden/>
        </w:rPr>
        <w:t>19</w:t>
      </w:r>
    </w:p>
    <w:p w14:paraId="04FA4929" w14:textId="5E5E9278" w:rsidR="006706AC" w:rsidRDefault="006706AC" w:rsidP="00845AC7">
      <w:pPr>
        <w:pStyle w:val="TOC1"/>
        <w:rPr>
          <w:rFonts w:asciiTheme="minorHAnsi" w:eastAsiaTheme="minorEastAsia" w:hAnsiTheme="minorHAnsi" w:cstheme="minorBidi"/>
        </w:rPr>
      </w:pPr>
      <w:r w:rsidRPr="006706AC">
        <w:t xml:space="preserve">Figure </w:t>
      </w:r>
      <w:r>
        <w:t>3</w:t>
      </w:r>
      <w:r w:rsidRPr="006706AC">
        <w:t xml:space="preserve">. </w:t>
      </w:r>
      <w:r w:rsidRPr="00D80991">
        <w:rPr>
          <w:b w:val="0"/>
        </w:rPr>
        <w:t>Relative abundances of phyla identified by QIIME</w:t>
      </w:r>
      <w:r w:rsidRPr="00E91585">
        <w:rPr>
          <w:b w:val="0"/>
        </w:rPr>
        <w:t>.</w:t>
      </w:r>
      <w:r w:rsidRPr="00E91585">
        <w:rPr>
          <w:b w:val="0"/>
          <w:webHidden/>
        </w:rPr>
        <w:tab/>
      </w:r>
      <w:r w:rsidR="00351553">
        <w:rPr>
          <w:b w:val="0"/>
          <w:webHidden/>
        </w:rPr>
        <w:t>30</w:t>
      </w:r>
    </w:p>
    <w:p w14:paraId="6C0A70D8" w14:textId="612774ED" w:rsidR="006C665D" w:rsidRDefault="006706AC" w:rsidP="00845AC7">
      <w:pPr>
        <w:pStyle w:val="TOC1"/>
      </w:pPr>
      <w:r w:rsidRPr="006706AC">
        <w:t xml:space="preserve">Figure 4. </w:t>
      </w:r>
      <w:r w:rsidR="00EA4636" w:rsidRPr="00D80991">
        <w:rPr>
          <w:b w:val="0"/>
        </w:rPr>
        <w:t>Relative abundances of genera identified by QIIME</w:t>
      </w:r>
      <w:r w:rsidR="00F330A8" w:rsidRPr="00E91585">
        <w:rPr>
          <w:b w:val="0"/>
          <w:webHidden/>
        </w:rPr>
        <w:tab/>
      </w:r>
      <w:r w:rsidR="00EA4636">
        <w:rPr>
          <w:b w:val="0"/>
          <w:webHidden/>
        </w:rPr>
        <w:t>3</w:t>
      </w:r>
      <w:r w:rsidR="00351553">
        <w:rPr>
          <w:b w:val="0"/>
          <w:webHidden/>
        </w:rPr>
        <w:t>1</w:t>
      </w:r>
    </w:p>
    <w:p w14:paraId="4E42F896" w14:textId="52F021AD" w:rsidR="006C665D" w:rsidRPr="006706AC" w:rsidRDefault="006C665D" w:rsidP="006C665D">
      <w:pPr>
        <w:pStyle w:val="TOC1"/>
        <w:rPr>
          <w:rFonts w:asciiTheme="minorHAnsi" w:eastAsiaTheme="minorEastAsia" w:hAnsiTheme="minorHAnsi" w:cstheme="minorBidi"/>
        </w:rPr>
      </w:pPr>
      <w:r w:rsidRPr="006706AC">
        <w:t xml:space="preserve">Figure </w:t>
      </w:r>
      <w:r>
        <w:t>5</w:t>
      </w:r>
      <w:r w:rsidRPr="006706AC">
        <w:t xml:space="preserve">. </w:t>
      </w:r>
      <w:r w:rsidR="00EA4636" w:rsidRPr="00D80991">
        <w:rPr>
          <w:b w:val="0"/>
        </w:rPr>
        <w:t xml:space="preserve">Relative abundances of </w:t>
      </w:r>
      <w:r w:rsidR="00EA4636">
        <w:rPr>
          <w:b w:val="0"/>
        </w:rPr>
        <w:t xml:space="preserve">phyla </w:t>
      </w:r>
      <w:r w:rsidR="00EA4636" w:rsidRPr="00D80991">
        <w:rPr>
          <w:b w:val="0"/>
        </w:rPr>
        <w:t>identified by MetaPhlAn</w:t>
      </w:r>
      <w:r w:rsidRPr="00E91585">
        <w:rPr>
          <w:b w:val="0"/>
          <w:webHidden/>
        </w:rPr>
        <w:tab/>
      </w:r>
      <w:r w:rsidR="00EA4636">
        <w:rPr>
          <w:b w:val="0"/>
          <w:webHidden/>
        </w:rPr>
        <w:t>3</w:t>
      </w:r>
      <w:r w:rsidR="00351553">
        <w:rPr>
          <w:b w:val="0"/>
          <w:webHidden/>
        </w:rPr>
        <w:t>2</w:t>
      </w:r>
    </w:p>
    <w:p w14:paraId="7A476ECD" w14:textId="3E461718" w:rsidR="006C665D" w:rsidRPr="006706AC" w:rsidRDefault="006C665D" w:rsidP="006C665D">
      <w:pPr>
        <w:pStyle w:val="TOC1"/>
        <w:rPr>
          <w:rFonts w:asciiTheme="minorHAnsi" w:eastAsiaTheme="minorEastAsia" w:hAnsiTheme="minorHAnsi" w:cstheme="minorBidi"/>
        </w:rPr>
      </w:pPr>
      <w:r w:rsidRPr="006706AC">
        <w:t xml:space="preserve">Figure </w:t>
      </w:r>
      <w:r>
        <w:t>6</w:t>
      </w:r>
      <w:r w:rsidRPr="00D80991">
        <w:rPr>
          <w:b w:val="0"/>
        </w:rPr>
        <w:t xml:space="preserve">. </w:t>
      </w:r>
      <w:r w:rsidR="00EA4636" w:rsidRPr="00D80991">
        <w:rPr>
          <w:b w:val="0"/>
        </w:rPr>
        <w:t>Relative abundances of genera identified by MetaPhlAn</w:t>
      </w:r>
      <w:r w:rsidRPr="00E91585">
        <w:rPr>
          <w:b w:val="0"/>
          <w:webHidden/>
        </w:rPr>
        <w:tab/>
      </w:r>
      <w:r w:rsidR="00EA4636">
        <w:rPr>
          <w:b w:val="0"/>
          <w:webHidden/>
        </w:rPr>
        <w:t>3</w:t>
      </w:r>
      <w:r w:rsidR="00351553">
        <w:rPr>
          <w:b w:val="0"/>
          <w:webHidden/>
        </w:rPr>
        <w:t>3</w:t>
      </w:r>
    </w:p>
    <w:p w14:paraId="2172A649" w14:textId="6251196B" w:rsidR="006C665D" w:rsidRPr="00E91585" w:rsidRDefault="006C665D" w:rsidP="006C665D">
      <w:pPr>
        <w:pStyle w:val="TOC1"/>
        <w:rPr>
          <w:rFonts w:asciiTheme="minorHAnsi" w:eastAsiaTheme="minorEastAsia" w:hAnsiTheme="minorHAnsi" w:cstheme="minorBidi"/>
          <w:b w:val="0"/>
        </w:rPr>
      </w:pPr>
      <w:r w:rsidRPr="006706AC">
        <w:t xml:space="preserve">Figure </w:t>
      </w:r>
      <w:r>
        <w:t>7</w:t>
      </w:r>
      <w:r w:rsidRPr="006706AC">
        <w:t xml:space="preserve">. </w:t>
      </w:r>
      <w:r w:rsidR="00EA4636" w:rsidRPr="00D80991">
        <w:rPr>
          <w:b w:val="0"/>
        </w:rPr>
        <w:t>Relative abundances of species identified by MetaPhlAn</w:t>
      </w:r>
      <w:r w:rsidRPr="00E91585">
        <w:rPr>
          <w:b w:val="0"/>
          <w:webHidden/>
        </w:rPr>
        <w:tab/>
      </w:r>
      <w:r w:rsidR="00EA4636">
        <w:rPr>
          <w:b w:val="0"/>
          <w:webHidden/>
        </w:rPr>
        <w:t>3</w:t>
      </w:r>
      <w:r w:rsidR="00351553">
        <w:rPr>
          <w:b w:val="0"/>
          <w:webHidden/>
        </w:rPr>
        <w:t>4</w:t>
      </w:r>
    </w:p>
    <w:p w14:paraId="4F980295" w14:textId="7A6FE374" w:rsidR="006C665D" w:rsidRPr="006706AC" w:rsidRDefault="006C665D" w:rsidP="006C665D">
      <w:pPr>
        <w:pStyle w:val="TOC1"/>
        <w:rPr>
          <w:rFonts w:asciiTheme="minorHAnsi" w:eastAsiaTheme="minorEastAsia" w:hAnsiTheme="minorHAnsi" w:cstheme="minorBidi"/>
        </w:rPr>
      </w:pPr>
      <w:r w:rsidRPr="006706AC">
        <w:t xml:space="preserve">Figure </w:t>
      </w:r>
      <w:r>
        <w:t xml:space="preserve">8. </w:t>
      </w:r>
      <w:r w:rsidR="00EA4636" w:rsidRPr="00D80991">
        <w:rPr>
          <w:b w:val="0"/>
        </w:rPr>
        <w:t xml:space="preserve">MapDamage results for </w:t>
      </w:r>
      <w:r w:rsidR="00EA4636">
        <w:rPr>
          <w:b w:val="0"/>
          <w:i/>
        </w:rPr>
        <w:t>Methanobrevibacter oralis</w:t>
      </w:r>
      <w:r w:rsidRPr="00E91585">
        <w:rPr>
          <w:b w:val="0"/>
          <w:webHidden/>
        </w:rPr>
        <w:tab/>
      </w:r>
      <w:r w:rsidR="00EA4636">
        <w:rPr>
          <w:b w:val="0"/>
          <w:webHidden/>
        </w:rPr>
        <w:t>3</w:t>
      </w:r>
      <w:r w:rsidR="00351553">
        <w:rPr>
          <w:b w:val="0"/>
          <w:webHidden/>
        </w:rPr>
        <w:t>5</w:t>
      </w:r>
    </w:p>
    <w:p w14:paraId="592F7FFA" w14:textId="67010225" w:rsidR="00F330A8" w:rsidRDefault="006C665D" w:rsidP="006C665D">
      <w:pPr>
        <w:pStyle w:val="TOC1"/>
      </w:pPr>
      <w:r w:rsidRPr="006706AC">
        <w:t xml:space="preserve">Figure </w:t>
      </w:r>
      <w:r>
        <w:t>9</w:t>
      </w:r>
      <w:r w:rsidRPr="006706AC">
        <w:t>.</w:t>
      </w:r>
      <w:r w:rsidR="00F330A8">
        <w:t xml:space="preserve"> </w:t>
      </w:r>
      <w:r w:rsidR="00EA4636" w:rsidRPr="00D80991">
        <w:rPr>
          <w:b w:val="0"/>
        </w:rPr>
        <w:t xml:space="preserve">MapDamage results for </w:t>
      </w:r>
      <w:r w:rsidR="00EA4636">
        <w:rPr>
          <w:b w:val="0"/>
          <w:i/>
        </w:rPr>
        <w:t>Streptococcus anginosus</w:t>
      </w:r>
      <w:r w:rsidR="00F330A8" w:rsidRPr="00E91585">
        <w:rPr>
          <w:b w:val="0"/>
          <w:webHidden/>
        </w:rPr>
        <w:tab/>
      </w:r>
      <w:r w:rsidR="00351553">
        <w:rPr>
          <w:b w:val="0"/>
          <w:webHidden/>
        </w:rPr>
        <w:t>36</w:t>
      </w:r>
    </w:p>
    <w:p w14:paraId="494F640F" w14:textId="43786EB3" w:rsidR="006C665D" w:rsidRPr="00E91585" w:rsidRDefault="006C665D" w:rsidP="006C665D">
      <w:pPr>
        <w:pStyle w:val="TOC1"/>
        <w:rPr>
          <w:rFonts w:asciiTheme="minorHAnsi" w:eastAsiaTheme="minorEastAsia" w:hAnsiTheme="minorHAnsi" w:cstheme="minorBidi"/>
          <w:b w:val="0"/>
        </w:rPr>
      </w:pPr>
      <w:r w:rsidRPr="006706AC">
        <w:t xml:space="preserve">Figure </w:t>
      </w:r>
      <w:r>
        <w:t>10</w:t>
      </w:r>
      <w:r w:rsidRPr="006706AC">
        <w:t>.</w:t>
      </w:r>
      <w:r>
        <w:t xml:space="preserve"> </w:t>
      </w:r>
      <w:r w:rsidR="00EA4636" w:rsidRPr="00D80991">
        <w:rPr>
          <w:b w:val="0"/>
        </w:rPr>
        <w:t xml:space="preserve">MapDamage results for </w:t>
      </w:r>
      <w:r w:rsidR="00EA4636">
        <w:rPr>
          <w:b w:val="0"/>
          <w:i/>
        </w:rPr>
        <w:t>Cutibacterium acnes</w:t>
      </w:r>
      <w:r w:rsidRPr="00E91585">
        <w:rPr>
          <w:b w:val="0"/>
          <w:webHidden/>
        </w:rPr>
        <w:tab/>
      </w:r>
      <w:r w:rsidR="00351553">
        <w:rPr>
          <w:b w:val="0"/>
          <w:webHidden/>
        </w:rPr>
        <w:t>37</w:t>
      </w:r>
    </w:p>
    <w:p w14:paraId="74796CCE" w14:textId="6C0E20A5" w:rsidR="006C665D" w:rsidRPr="00E91585" w:rsidRDefault="006C665D" w:rsidP="006C665D">
      <w:pPr>
        <w:pStyle w:val="TOC1"/>
        <w:rPr>
          <w:b w:val="0"/>
          <w:webHidden/>
        </w:rPr>
      </w:pPr>
      <w:r w:rsidRPr="006706AC">
        <w:t xml:space="preserve">Figure </w:t>
      </w:r>
      <w:r>
        <w:t>11</w:t>
      </w:r>
      <w:r w:rsidRPr="006706AC">
        <w:t>.</w:t>
      </w:r>
      <w:r>
        <w:t xml:space="preserve"> </w:t>
      </w:r>
      <w:r w:rsidR="00EA4636">
        <w:rPr>
          <w:b w:val="0"/>
          <w:i/>
        </w:rPr>
        <w:t xml:space="preserve">Methanobrevibacter oralis </w:t>
      </w:r>
      <w:r w:rsidR="00EA4636">
        <w:rPr>
          <w:b w:val="0"/>
        </w:rPr>
        <w:t>fragmentation length distributions</w:t>
      </w:r>
      <w:r w:rsidRPr="00E91585">
        <w:rPr>
          <w:b w:val="0"/>
          <w:webHidden/>
        </w:rPr>
        <w:tab/>
      </w:r>
      <w:r w:rsidR="00351553">
        <w:rPr>
          <w:b w:val="0"/>
          <w:webHidden/>
        </w:rPr>
        <w:t>38</w:t>
      </w:r>
    </w:p>
    <w:p w14:paraId="2555EC8E" w14:textId="4A5878E5" w:rsidR="006C665D" w:rsidRPr="006D5A14" w:rsidRDefault="006C665D" w:rsidP="006C665D">
      <w:pPr>
        <w:pStyle w:val="TOC1"/>
        <w:rPr>
          <w:webHidden/>
        </w:rPr>
      </w:pPr>
      <w:r w:rsidRPr="006D5A14">
        <w:t>Figure 12.</w:t>
      </w:r>
      <w:r w:rsidR="00EA4636" w:rsidRPr="006D5A14">
        <w:rPr>
          <w:b w:val="0"/>
          <w:i/>
        </w:rPr>
        <w:t xml:space="preserve"> Streptococcus anginosus </w:t>
      </w:r>
      <w:r w:rsidR="00EA4636" w:rsidRPr="006D5A14">
        <w:rPr>
          <w:b w:val="0"/>
        </w:rPr>
        <w:t>fragmentation length distributions</w:t>
      </w:r>
      <w:r w:rsidRPr="006D5A14">
        <w:rPr>
          <w:b w:val="0"/>
          <w:webHidden/>
        </w:rPr>
        <w:tab/>
      </w:r>
      <w:r w:rsidR="00351553">
        <w:rPr>
          <w:b w:val="0"/>
          <w:webHidden/>
        </w:rPr>
        <w:t>39</w:t>
      </w:r>
    </w:p>
    <w:p w14:paraId="5B04714E" w14:textId="33AC5B10" w:rsidR="006C665D" w:rsidRPr="006706AC" w:rsidRDefault="006C665D" w:rsidP="006C665D">
      <w:pPr>
        <w:pStyle w:val="TOC1"/>
        <w:rPr>
          <w:rFonts w:asciiTheme="minorHAnsi" w:eastAsiaTheme="minorEastAsia" w:hAnsiTheme="minorHAnsi" w:cstheme="minorBidi"/>
        </w:rPr>
      </w:pPr>
      <w:r w:rsidRPr="00A77AB3">
        <w:t xml:space="preserve">Figure </w:t>
      </w:r>
      <w:r>
        <w:t>13</w:t>
      </w:r>
      <w:r w:rsidRPr="00A77AB3">
        <w:t xml:space="preserve">. </w:t>
      </w:r>
      <w:r w:rsidR="00EA4636" w:rsidRPr="006D5A14">
        <w:rPr>
          <w:b w:val="0"/>
          <w:i/>
        </w:rPr>
        <w:t xml:space="preserve">Cutibacterium acnes </w:t>
      </w:r>
      <w:r w:rsidR="00EA4636" w:rsidRPr="006D5A14">
        <w:rPr>
          <w:b w:val="0"/>
        </w:rPr>
        <w:t>fragmentation length distributions</w:t>
      </w:r>
      <w:r w:rsidRPr="00E91585">
        <w:rPr>
          <w:b w:val="0"/>
          <w:webHidden/>
        </w:rPr>
        <w:tab/>
      </w:r>
      <w:r w:rsidR="00EA4636">
        <w:rPr>
          <w:b w:val="0"/>
          <w:webHidden/>
        </w:rPr>
        <w:t>4</w:t>
      </w:r>
      <w:r w:rsidR="00351553">
        <w:rPr>
          <w:b w:val="0"/>
          <w:webHidden/>
        </w:rPr>
        <w:t>0</w:t>
      </w:r>
    </w:p>
    <w:p w14:paraId="2925D8C0" w14:textId="67028B91" w:rsidR="006C665D" w:rsidRPr="006706AC" w:rsidRDefault="006C665D" w:rsidP="006C665D">
      <w:pPr>
        <w:pStyle w:val="TOC1"/>
        <w:rPr>
          <w:rFonts w:asciiTheme="minorHAnsi" w:eastAsiaTheme="minorEastAsia" w:hAnsiTheme="minorHAnsi" w:cstheme="minorBidi"/>
        </w:rPr>
      </w:pPr>
      <w:r w:rsidRPr="006706AC">
        <w:t>Figure 1</w:t>
      </w:r>
      <w:r>
        <w:t>4</w:t>
      </w:r>
      <w:r w:rsidRPr="006706AC">
        <w:t xml:space="preserve">. </w:t>
      </w:r>
      <w:r w:rsidR="00EA4636">
        <w:rPr>
          <w:b w:val="0"/>
        </w:rPr>
        <w:t>SourceTracker Analysis</w:t>
      </w:r>
      <w:r w:rsidRPr="00E91585">
        <w:rPr>
          <w:b w:val="0"/>
          <w:webHidden/>
        </w:rPr>
        <w:tab/>
      </w:r>
      <w:r w:rsidR="00EA4636">
        <w:rPr>
          <w:b w:val="0"/>
          <w:webHidden/>
        </w:rPr>
        <w:t>4</w:t>
      </w:r>
      <w:r w:rsidR="00351553">
        <w:rPr>
          <w:b w:val="0"/>
          <w:webHidden/>
        </w:rPr>
        <w:t>1</w:t>
      </w:r>
    </w:p>
    <w:p w14:paraId="2388F4DA" w14:textId="10CD6F0A" w:rsidR="006C665D" w:rsidRPr="00E91585" w:rsidRDefault="006C665D" w:rsidP="006C665D">
      <w:pPr>
        <w:pStyle w:val="TOC1"/>
        <w:rPr>
          <w:rFonts w:asciiTheme="minorHAnsi" w:eastAsiaTheme="minorEastAsia" w:hAnsiTheme="minorHAnsi" w:cstheme="minorBidi"/>
          <w:b w:val="0"/>
        </w:rPr>
      </w:pPr>
      <w:r w:rsidRPr="006706AC">
        <w:t>Figure 1</w:t>
      </w:r>
      <w:r>
        <w:t>5</w:t>
      </w:r>
      <w:r w:rsidRPr="006706AC">
        <w:t xml:space="preserve">. </w:t>
      </w:r>
      <w:r w:rsidR="00CD714B">
        <w:rPr>
          <w:b w:val="0"/>
        </w:rPr>
        <w:t>Perccnt of human endogenous DNA</w:t>
      </w:r>
      <w:r w:rsidRPr="00E91585">
        <w:rPr>
          <w:b w:val="0"/>
          <w:webHidden/>
        </w:rPr>
        <w:tab/>
      </w:r>
      <w:r w:rsidR="00EA4636">
        <w:rPr>
          <w:b w:val="0"/>
          <w:webHidden/>
        </w:rPr>
        <w:t>4</w:t>
      </w:r>
      <w:r w:rsidR="00351553">
        <w:rPr>
          <w:b w:val="0"/>
          <w:webHidden/>
        </w:rPr>
        <w:t>2</w:t>
      </w:r>
    </w:p>
    <w:p w14:paraId="275873A2" w14:textId="3A3858C1" w:rsidR="006C665D" w:rsidRPr="00E91585" w:rsidRDefault="006C665D" w:rsidP="006C665D">
      <w:pPr>
        <w:pStyle w:val="TOC1"/>
        <w:rPr>
          <w:rFonts w:asciiTheme="minorHAnsi" w:eastAsiaTheme="minorEastAsia" w:hAnsiTheme="minorHAnsi" w:cstheme="minorBidi"/>
          <w:b w:val="0"/>
        </w:rPr>
      </w:pPr>
      <w:r w:rsidRPr="006706AC">
        <w:t>Figure 1</w:t>
      </w:r>
      <w:r>
        <w:t>6</w:t>
      </w:r>
      <w:r w:rsidRPr="006706AC">
        <w:t xml:space="preserve">. </w:t>
      </w:r>
      <w:r w:rsidRPr="00D80991">
        <w:rPr>
          <w:b w:val="0"/>
        </w:rPr>
        <w:t xml:space="preserve">MapDamage results for </w:t>
      </w:r>
      <w:r w:rsidR="00CD714B">
        <w:rPr>
          <w:b w:val="0"/>
        </w:rPr>
        <w:t>human genome</w:t>
      </w:r>
      <w:r w:rsidRPr="00E91585">
        <w:rPr>
          <w:b w:val="0"/>
          <w:webHidden/>
        </w:rPr>
        <w:tab/>
      </w:r>
      <w:r w:rsidR="00EA4636">
        <w:rPr>
          <w:b w:val="0"/>
          <w:webHidden/>
        </w:rPr>
        <w:t>4</w:t>
      </w:r>
      <w:r w:rsidR="00351553">
        <w:rPr>
          <w:b w:val="0"/>
          <w:webHidden/>
        </w:rPr>
        <w:t>3</w:t>
      </w:r>
    </w:p>
    <w:p w14:paraId="46218812" w14:textId="24AB817C" w:rsidR="006C665D" w:rsidRPr="006706AC" w:rsidRDefault="006C665D" w:rsidP="006C665D">
      <w:pPr>
        <w:pStyle w:val="TOC1"/>
        <w:rPr>
          <w:rFonts w:asciiTheme="minorHAnsi" w:eastAsiaTheme="minorEastAsia" w:hAnsiTheme="minorHAnsi" w:cstheme="minorBidi"/>
        </w:rPr>
      </w:pPr>
      <w:r w:rsidRPr="006706AC">
        <w:t>Figure 1</w:t>
      </w:r>
      <w:r>
        <w:t>7</w:t>
      </w:r>
      <w:r w:rsidRPr="006706AC">
        <w:t xml:space="preserve">. </w:t>
      </w:r>
      <w:r w:rsidR="00CD714B">
        <w:rPr>
          <w:b w:val="0"/>
        </w:rPr>
        <w:t>Human genome fragmentation length distributions</w:t>
      </w:r>
      <w:r w:rsidRPr="00E91585">
        <w:rPr>
          <w:b w:val="0"/>
          <w:webHidden/>
        </w:rPr>
        <w:tab/>
      </w:r>
      <w:r w:rsidR="00EA4636">
        <w:rPr>
          <w:b w:val="0"/>
          <w:webHidden/>
        </w:rPr>
        <w:t>4</w:t>
      </w:r>
      <w:r w:rsidR="00351553">
        <w:rPr>
          <w:b w:val="0"/>
          <w:webHidden/>
        </w:rPr>
        <w:t>4</w:t>
      </w:r>
    </w:p>
    <w:bookmarkEnd w:id="5"/>
    <w:p w14:paraId="12F9F2D7" w14:textId="77777777" w:rsidR="006706AC" w:rsidRPr="006706AC" w:rsidRDefault="006706AC" w:rsidP="006706AC"/>
    <w:p w14:paraId="20779EA6" w14:textId="1F45EFA4" w:rsidR="00C21A2F" w:rsidRPr="006706AC" w:rsidRDefault="00C21A2F" w:rsidP="00C21A2F">
      <w:pPr>
        <w:pStyle w:val="Heading1"/>
        <w:rPr>
          <w:rFonts w:ascii="Times New Roman" w:hAnsi="Times New Roman" w:cs="Times New Roman"/>
          <w:sz w:val="28"/>
          <w:szCs w:val="28"/>
        </w:rPr>
      </w:pPr>
      <w:r w:rsidRPr="006706AC">
        <w:rPr>
          <w:rFonts w:ascii="Times New Roman" w:hAnsi="Times New Roman" w:cs="Times New Roman"/>
          <w:sz w:val="28"/>
          <w:szCs w:val="28"/>
        </w:rPr>
        <w:br w:type="page"/>
      </w:r>
    </w:p>
    <w:p w14:paraId="41394B05" w14:textId="77777777" w:rsidR="00BE2254" w:rsidRDefault="00BE2254" w:rsidP="00C21A2F">
      <w:pPr>
        <w:pStyle w:val="Heading1"/>
        <w:rPr>
          <w:rFonts w:ascii="Times New Roman" w:hAnsi="Times New Roman" w:cs="Times New Roman"/>
          <w:b/>
          <w:color w:val="auto"/>
          <w:sz w:val="28"/>
          <w:szCs w:val="28"/>
        </w:rPr>
        <w:sectPr w:rsidR="00BE2254" w:rsidSect="00BA3942">
          <w:footerReference w:type="default" r:id="rId10"/>
          <w:footerReference w:type="first" r:id="rId11"/>
          <w:pgSz w:w="12240" w:h="15840" w:code="1"/>
          <w:pgMar w:top="1440" w:right="1440" w:bottom="1440" w:left="1440" w:header="720" w:footer="720" w:gutter="0"/>
          <w:pgNumType w:fmt="lowerRoman" w:start="4"/>
          <w:cols w:space="720"/>
          <w:docGrid w:linePitch="360"/>
        </w:sectPr>
      </w:pPr>
    </w:p>
    <w:p w14:paraId="5D48740B" w14:textId="5211D006" w:rsidR="00B53C19" w:rsidRPr="00B53C19" w:rsidRDefault="00C21A2F" w:rsidP="00C21A2F">
      <w:pPr>
        <w:pStyle w:val="Heading1"/>
        <w:rPr>
          <w:rFonts w:ascii="Times New Roman" w:hAnsi="Times New Roman" w:cs="Times New Roman"/>
          <w:b/>
          <w:color w:val="auto"/>
          <w:sz w:val="28"/>
          <w:szCs w:val="28"/>
        </w:rPr>
      </w:pPr>
      <w:bookmarkStart w:id="7" w:name="_Toc8404619"/>
      <w:r w:rsidRPr="00B53C19">
        <w:rPr>
          <w:rFonts w:ascii="Times New Roman" w:hAnsi="Times New Roman" w:cs="Times New Roman"/>
          <w:b/>
          <w:color w:val="auto"/>
          <w:sz w:val="28"/>
          <w:szCs w:val="28"/>
        </w:rPr>
        <w:lastRenderedPageBreak/>
        <w:t>Abstract</w:t>
      </w:r>
      <w:bookmarkEnd w:id="7"/>
      <w:r w:rsidR="004A0A8F">
        <w:rPr>
          <w:rFonts w:ascii="Times New Roman" w:hAnsi="Times New Roman" w:cs="Times New Roman"/>
          <w:b/>
          <w:color w:val="auto"/>
          <w:sz w:val="28"/>
          <w:szCs w:val="28"/>
        </w:rPr>
        <w:t xml:space="preserve"> </w:t>
      </w:r>
    </w:p>
    <w:p w14:paraId="0565FFB5" w14:textId="10379071" w:rsidR="00BC4418" w:rsidRDefault="00B53C19" w:rsidP="009D7E82">
      <w:pPr>
        <w:spacing w:line="480" w:lineRule="auto"/>
        <w:rPr>
          <w:sz w:val="24"/>
          <w:szCs w:val="24"/>
        </w:rPr>
      </w:pPr>
      <w:r w:rsidRPr="00B53C19">
        <w:rPr>
          <w:sz w:val="24"/>
          <w:szCs w:val="24"/>
        </w:rPr>
        <w:t xml:space="preserve">The </w:t>
      </w:r>
      <w:r>
        <w:rPr>
          <w:sz w:val="24"/>
          <w:szCs w:val="24"/>
        </w:rPr>
        <w:t xml:space="preserve">advent of high-throughput sequencing </w:t>
      </w:r>
      <w:r w:rsidR="000A3231">
        <w:rPr>
          <w:sz w:val="24"/>
          <w:szCs w:val="24"/>
        </w:rPr>
        <w:t xml:space="preserve">techniques </w:t>
      </w:r>
      <w:r>
        <w:rPr>
          <w:sz w:val="24"/>
          <w:szCs w:val="24"/>
        </w:rPr>
        <w:t>has yielded a wealth of genomic</w:t>
      </w:r>
      <w:r w:rsidR="00531888">
        <w:rPr>
          <w:sz w:val="24"/>
          <w:szCs w:val="24"/>
        </w:rPr>
        <w:t xml:space="preserve"> </w:t>
      </w:r>
      <w:r>
        <w:rPr>
          <w:sz w:val="24"/>
          <w:szCs w:val="24"/>
        </w:rPr>
        <w:t xml:space="preserve">information about the human oral microbiome. </w:t>
      </w:r>
      <w:r w:rsidR="000A3231">
        <w:rPr>
          <w:sz w:val="24"/>
          <w:szCs w:val="24"/>
        </w:rPr>
        <w:t>This</w:t>
      </w:r>
      <w:r>
        <w:rPr>
          <w:sz w:val="24"/>
          <w:szCs w:val="24"/>
        </w:rPr>
        <w:t xml:space="preserve"> research has expanded </w:t>
      </w:r>
      <w:r w:rsidR="000A3231">
        <w:rPr>
          <w:sz w:val="24"/>
          <w:szCs w:val="24"/>
        </w:rPr>
        <w:t>wi</w:t>
      </w:r>
      <w:r>
        <w:rPr>
          <w:sz w:val="24"/>
          <w:szCs w:val="24"/>
        </w:rPr>
        <w:t>th the direct</w:t>
      </w:r>
      <w:r w:rsidR="00D80991">
        <w:rPr>
          <w:sz w:val="24"/>
          <w:szCs w:val="24"/>
        </w:rPr>
        <w:t xml:space="preserve"> </w:t>
      </w:r>
      <w:r>
        <w:rPr>
          <w:sz w:val="24"/>
          <w:szCs w:val="24"/>
        </w:rPr>
        <w:t xml:space="preserve">sequencing of </w:t>
      </w:r>
      <w:r w:rsidR="00454CCC">
        <w:rPr>
          <w:sz w:val="24"/>
          <w:szCs w:val="24"/>
        </w:rPr>
        <w:t xml:space="preserve">DNA from </w:t>
      </w:r>
      <w:r>
        <w:rPr>
          <w:sz w:val="24"/>
          <w:szCs w:val="24"/>
        </w:rPr>
        <w:t>dental calculus (calcified dental plaque) from archaeological material</w:t>
      </w:r>
      <w:r w:rsidR="000A3231">
        <w:rPr>
          <w:sz w:val="24"/>
          <w:szCs w:val="24"/>
        </w:rPr>
        <w:t xml:space="preserve">. </w:t>
      </w:r>
      <w:r w:rsidR="00531888">
        <w:rPr>
          <w:sz w:val="24"/>
          <w:szCs w:val="24"/>
        </w:rPr>
        <w:t>Archaeological d</w:t>
      </w:r>
      <w:r w:rsidR="000A3231">
        <w:rPr>
          <w:sz w:val="24"/>
          <w:szCs w:val="24"/>
        </w:rPr>
        <w:t xml:space="preserve">ental calculus </w:t>
      </w:r>
      <w:r w:rsidR="00454CCC">
        <w:rPr>
          <w:sz w:val="24"/>
          <w:szCs w:val="24"/>
        </w:rPr>
        <w:t>is</w:t>
      </w:r>
      <w:r w:rsidR="000A3231">
        <w:rPr>
          <w:sz w:val="24"/>
          <w:szCs w:val="24"/>
        </w:rPr>
        <w:t xml:space="preserve"> a bio</w:t>
      </w:r>
      <w:r w:rsidR="00531888">
        <w:rPr>
          <w:sz w:val="24"/>
          <w:szCs w:val="24"/>
        </w:rPr>
        <w:t>mineral</w:t>
      </w:r>
      <w:r w:rsidR="000A3231">
        <w:rPr>
          <w:sz w:val="24"/>
          <w:szCs w:val="24"/>
        </w:rPr>
        <w:t xml:space="preserve"> </w:t>
      </w:r>
      <w:r w:rsidR="00454CCC">
        <w:rPr>
          <w:sz w:val="24"/>
          <w:szCs w:val="24"/>
        </w:rPr>
        <w:t xml:space="preserve">that </w:t>
      </w:r>
      <w:r w:rsidR="00255E56">
        <w:rPr>
          <w:sz w:val="24"/>
          <w:szCs w:val="24"/>
        </w:rPr>
        <w:t>contains remnants of the</w:t>
      </w:r>
      <w:r w:rsidR="00454CCC">
        <w:rPr>
          <w:sz w:val="24"/>
          <w:szCs w:val="24"/>
        </w:rPr>
        <w:t xml:space="preserve"> </w:t>
      </w:r>
      <w:r w:rsidR="000A3231">
        <w:rPr>
          <w:sz w:val="24"/>
          <w:szCs w:val="24"/>
        </w:rPr>
        <w:t xml:space="preserve">oral </w:t>
      </w:r>
      <w:r w:rsidR="00531888">
        <w:rPr>
          <w:sz w:val="24"/>
          <w:szCs w:val="24"/>
        </w:rPr>
        <w:t xml:space="preserve">(subgingival) </w:t>
      </w:r>
      <w:r w:rsidR="000A3231">
        <w:rPr>
          <w:sz w:val="24"/>
          <w:szCs w:val="24"/>
        </w:rPr>
        <w:t>microbiome. While</w:t>
      </w:r>
      <w:r w:rsidR="00531888">
        <w:rPr>
          <w:sz w:val="24"/>
          <w:szCs w:val="24"/>
        </w:rPr>
        <w:t xml:space="preserve"> preserved DNA in dental calculus has been characterized from </w:t>
      </w:r>
      <w:r w:rsidR="000A3231">
        <w:rPr>
          <w:sz w:val="24"/>
          <w:szCs w:val="24"/>
        </w:rPr>
        <w:t xml:space="preserve">a number of archaeological contexts, </w:t>
      </w:r>
      <w:r w:rsidR="00531888">
        <w:rPr>
          <w:sz w:val="24"/>
          <w:szCs w:val="24"/>
        </w:rPr>
        <w:t xml:space="preserve">similar research in Mesoamerica is </w:t>
      </w:r>
      <w:r w:rsidR="006D5A14">
        <w:rPr>
          <w:sz w:val="24"/>
          <w:szCs w:val="24"/>
        </w:rPr>
        <w:t>needed</w:t>
      </w:r>
      <w:r w:rsidR="00531888">
        <w:rPr>
          <w:sz w:val="24"/>
          <w:szCs w:val="24"/>
        </w:rPr>
        <w:t xml:space="preserve">. </w:t>
      </w:r>
      <w:r w:rsidR="000A3231">
        <w:rPr>
          <w:sz w:val="24"/>
          <w:szCs w:val="24"/>
        </w:rPr>
        <w:t xml:space="preserve">This study aims to </w:t>
      </w:r>
      <w:r w:rsidR="00B93717">
        <w:rPr>
          <w:sz w:val="24"/>
          <w:szCs w:val="24"/>
        </w:rPr>
        <w:t xml:space="preserve">provide empirical data about </w:t>
      </w:r>
      <w:r w:rsidR="000A3231">
        <w:rPr>
          <w:sz w:val="24"/>
          <w:szCs w:val="24"/>
        </w:rPr>
        <w:t xml:space="preserve">biomolecular preservation </w:t>
      </w:r>
      <w:r w:rsidR="00002FB5">
        <w:rPr>
          <w:sz w:val="24"/>
          <w:szCs w:val="24"/>
        </w:rPr>
        <w:t xml:space="preserve">in </w:t>
      </w:r>
      <w:r w:rsidR="00B93717">
        <w:rPr>
          <w:sz w:val="24"/>
          <w:szCs w:val="24"/>
        </w:rPr>
        <w:t>Mesoamerica</w:t>
      </w:r>
      <w:r w:rsidR="006D5A14">
        <w:rPr>
          <w:sz w:val="24"/>
          <w:szCs w:val="24"/>
        </w:rPr>
        <w:t>n dental calculus</w:t>
      </w:r>
      <w:r w:rsidR="00B93717">
        <w:rPr>
          <w:sz w:val="24"/>
          <w:szCs w:val="24"/>
        </w:rPr>
        <w:t xml:space="preserve"> by performing DNA sequencing on </w:t>
      </w:r>
      <w:r w:rsidR="00002FB5">
        <w:rPr>
          <w:sz w:val="24"/>
          <w:szCs w:val="24"/>
        </w:rPr>
        <w:t xml:space="preserve">dental calculus recovered from the Plaza of the Columns Complex and the Moon Pyramid, two archaeological contexts </w:t>
      </w:r>
      <w:r w:rsidR="000A3231">
        <w:rPr>
          <w:sz w:val="24"/>
          <w:szCs w:val="24"/>
        </w:rPr>
        <w:t>at Teotihuacan</w:t>
      </w:r>
      <w:r w:rsidR="00002FB5">
        <w:rPr>
          <w:sz w:val="24"/>
          <w:szCs w:val="24"/>
        </w:rPr>
        <w:t xml:space="preserve">. </w:t>
      </w:r>
      <w:r w:rsidR="00454CCC">
        <w:rPr>
          <w:sz w:val="24"/>
          <w:szCs w:val="24"/>
        </w:rPr>
        <w:t xml:space="preserve">DNA was extracted using a </w:t>
      </w:r>
      <w:r w:rsidR="00002FB5">
        <w:rPr>
          <w:sz w:val="24"/>
          <w:szCs w:val="24"/>
        </w:rPr>
        <w:t xml:space="preserve">modified Dabney et al. (2013) protocol. The extracts were </w:t>
      </w:r>
      <w:r w:rsidR="00531888">
        <w:rPr>
          <w:sz w:val="24"/>
          <w:szCs w:val="24"/>
        </w:rPr>
        <w:t xml:space="preserve">built </w:t>
      </w:r>
      <w:r w:rsidR="00002FB5">
        <w:rPr>
          <w:sz w:val="24"/>
          <w:szCs w:val="24"/>
        </w:rPr>
        <w:t xml:space="preserve">into high-throughput </w:t>
      </w:r>
      <w:r w:rsidR="00531888">
        <w:rPr>
          <w:sz w:val="24"/>
          <w:szCs w:val="24"/>
        </w:rPr>
        <w:t xml:space="preserve">(Illumina) </w:t>
      </w:r>
      <w:r w:rsidR="00002FB5">
        <w:rPr>
          <w:sz w:val="24"/>
          <w:szCs w:val="24"/>
        </w:rPr>
        <w:t>shotgun</w:t>
      </w:r>
      <w:r w:rsidR="00454CCC">
        <w:rPr>
          <w:sz w:val="24"/>
          <w:szCs w:val="24"/>
        </w:rPr>
        <w:t xml:space="preserve"> </w:t>
      </w:r>
      <w:r w:rsidR="00002FB5">
        <w:rPr>
          <w:sz w:val="24"/>
          <w:szCs w:val="24"/>
        </w:rPr>
        <w:t>sequencing libraries</w:t>
      </w:r>
      <w:r w:rsidR="0056530D">
        <w:rPr>
          <w:sz w:val="24"/>
          <w:szCs w:val="24"/>
        </w:rPr>
        <w:t xml:space="preserve">. </w:t>
      </w:r>
      <w:r w:rsidR="00454CCC">
        <w:rPr>
          <w:sz w:val="24"/>
          <w:szCs w:val="24"/>
        </w:rPr>
        <w:t xml:space="preserve">Quality filtered </w:t>
      </w:r>
      <w:r w:rsidR="00002FB5">
        <w:rPr>
          <w:sz w:val="24"/>
          <w:szCs w:val="24"/>
        </w:rPr>
        <w:t>sequence</w:t>
      </w:r>
      <w:r w:rsidR="0056530D">
        <w:rPr>
          <w:sz w:val="24"/>
          <w:szCs w:val="24"/>
        </w:rPr>
        <w:t>s</w:t>
      </w:r>
      <w:r w:rsidR="00002FB5">
        <w:rPr>
          <w:sz w:val="24"/>
          <w:szCs w:val="24"/>
        </w:rPr>
        <w:t xml:space="preserve"> </w:t>
      </w:r>
      <w:r w:rsidR="00454CCC">
        <w:rPr>
          <w:sz w:val="24"/>
          <w:szCs w:val="24"/>
        </w:rPr>
        <w:t>wer</w:t>
      </w:r>
      <w:r w:rsidR="00F21EA4">
        <w:rPr>
          <w:sz w:val="24"/>
          <w:szCs w:val="24"/>
        </w:rPr>
        <w:t xml:space="preserve">e </w:t>
      </w:r>
      <w:r w:rsidR="00531888">
        <w:rPr>
          <w:sz w:val="24"/>
          <w:szCs w:val="24"/>
        </w:rPr>
        <w:t xml:space="preserve">analyzed to evaluate overall DNA preservation (microbial and host), and characterize microbial community profiles. While the samples selected from the Moon Pyramid (n=3) showed strong evidence of post-depositional environmental contamination, a well-preserved microbial community was identified from the Plaza of the Columns sample (n=1). </w:t>
      </w:r>
      <w:r w:rsidR="00274A96">
        <w:rPr>
          <w:sz w:val="24"/>
          <w:szCs w:val="24"/>
        </w:rPr>
        <w:t xml:space="preserve">Therefore, </w:t>
      </w:r>
      <w:r w:rsidR="00F21EA4">
        <w:rPr>
          <w:sz w:val="24"/>
          <w:szCs w:val="24"/>
        </w:rPr>
        <w:t xml:space="preserve">this thesis suggests </w:t>
      </w:r>
      <w:r w:rsidR="00274A96">
        <w:rPr>
          <w:sz w:val="24"/>
          <w:szCs w:val="24"/>
        </w:rPr>
        <w:t xml:space="preserve">the recovery of biomolecules from a Mesoamerican context varies within a site and that dental calculus is susceptible to taphonomic processes. </w:t>
      </w:r>
      <w:r w:rsidR="004C21DA">
        <w:rPr>
          <w:sz w:val="24"/>
          <w:szCs w:val="24"/>
        </w:rPr>
        <w:t xml:space="preserve"> </w:t>
      </w:r>
    </w:p>
    <w:p w14:paraId="3EAD00C3" w14:textId="77777777" w:rsidR="00BC4418" w:rsidRDefault="00BC4418">
      <w:pPr>
        <w:rPr>
          <w:sz w:val="24"/>
          <w:szCs w:val="24"/>
        </w:rPr>
      </w:pPr>
      <w:r>
        <w:rPr>
          <w:sz w:val="24"/>
          <w:szCs w:val="24"/>
        </w:rPr>
        <w:br w:type="page"/>
      </w:r>
    </w:p>
    <w:p w14:paraId="0253AA02" w14:textId="5CB06CB5" w:rsidR="00EC0669" w:rsidRPr="00E525BC" w:rsidRDefault="00EC0669" w:rsidP="00E525BC">
      <w:pPr>
        <w:pStyle w:val="Heading1"/>
        <w:rPr>
          <w:rFonts w:ascii="Times New Roman" w:hAnsi="Times New Roman" w:cs="Times New Roman"/>
          <w:color w:val="auto"/>
          <w:sz w:val="28"/>
          <w:szCs w:val="28"/>
        </w:rPr>
      </w:pPr>
      <w:bookmarkStart w:id="8" w:name="_Toc8404620"/>
      <w:bookmarkEnd w:id="2"/>
      <w:r w:rsidRPr="00E525BC">
        <w:rPr>
          <w:rFonts w:ascii="Times New Roman" w:hAnsi="Times New Roman" w:cs="Times New Roman"/>
          <w:color w:val="auto"/>
          <w:sz w:val="28"/>
          <w:szCs w:val="28"/>
        </w:rPr>
        <w:lastRenderedPageBreak/>
        <w:t>Introduction</w:t>
      </w:r>
      <w:bookmarkEnd w:id="8"/>
      <w:r w:rsidRPr="00E525BC">
        <w:rPr>
          <w:rFonts w:ascii="Times New Roman" w:hAnsi="Times New Roman" w:cs="Times New Roman"/>
          <w:color w:val="auto"/>
          <w:sz w:val="28"/>
          <w:szCs w:val="28"/>
        </w:rPr>
        <w:t xml:space="preserve"> </w:t>
      </w:r>
    </w:p>
    <w:p w14:paraId="4F09FB9D" w14:textId="4935488C" w:rsidR="00133556" w:rsidRDefault="00C96938" w:rsidP="008F4A95">
      <w:pPr>
        <w:rPr>
          <w:sz w:val="28"/>
          <w:szCs w:val="28"/>
        </w:rPr>
      </w:pPr>
      <w:r>
        <w:rPr>
          <w:sz w:val="28"/>
          <w:szCs w:val="28"/>
        </w:rPr>
        <w:t>Project Summary</w:t>
      </w:r>
      <w:r w:rsidR="00133556">
        <w:rPr>
          <w:sz w:val="28"/>
          <w:szCs w:val="28"/>
        </w:rPr>
        <w:t>:</w:t>
      </w:r>
    </w:p>
    <w:p w14:paraId="7992BC28" w14:textId="434F3C37" w:rsidR="00133556" w:rsidRPr="00133556" w:rsidRDefault="00133556" w:rsidP="00133556">
      <w:pPr>
        <w:pStyle w:val="ListParagraph"/>
        <w:numPr>
          <w:ilvl w:val="0"/>
          <w:numId w:val="2"/>
        </w:numPr>
        <w:rPr>
          <w:sz w:val="28"/>
          <w:szCs w:val="28"/>
        </w:rPr>
      </w:pPr>
      <w:r>
        <w:rPr>
          <w:sz w:val="24"/>
          <w:szCs w:val="24"/>
        </w:rPr>
        <w:t>To assess the biomolecular preservation of dental calculus from two archaeological contexts at Teotihuacan, we conducted a</w:t>
      </w:r>
      <w:r w:rsidR="0066463D">
        <w:rPr>
          <w:sz w:val="24"/>
          <w:szCs w:val="24"/>
        </w:rPr>
        <w:t xml:space="preserve"> high-throughput sequencing</w:t>
      </w:r>
      <w:r>
        <w:rPr>
          <w:sz w:val="24"/>
          <w:szCs w:val="24"/>
        </w:rPr>
        <w:t xml:space="preserve"> study on four dental calculus samples</w:t>
      </w:r>
      <w:r w:rsidR="004A0A8F">
        <w:rPr>
          <w:sz w:val="24"/>
          <w:szCs w:val="24"/>
        </w:rPr>
        <w:t>.</w:t>
      </w:r>
      <w:r>
        <w:rPr>
          <w:sz w:val="24"/>
          <w:szCs w:val="24"/>
        </w:rPr>
        <w:t xml:space="preserve"> </w:t>
      </w:r>
    </w:p>
    <w:p w14:paraId="691109C9" w14:textId="6F74E833" w:rsidR="00133556" w:rsidRPr="00133556" w:rsidRDefault="00133556" w:rsidP="00133556">
      <w:pPr>
        <w:pStyle w:val="ListParagraph"/>
        <w:numPr>
          <w:ilvl w:val="0"/>
          <w:numId w:val="2"/>
        </w:numPr>
        <w:rPr>
          <w:sz w:val="28"/>
          <w:szCs w:val="28"/>
        </w:rPr>
      </w:pPr>
      <w:r>
        <w:rPr>
          <w:sz w:val="24"/>
          <w:szCs w:val="24"/>
        </w:rPr>
        <w:t xml:space="preserve">To assess the </w:t>
      </w:r>
      <w:r w:rsidR="00531888">
        <w:rPr>
          <w:sz w:val="24"/>
          <w:szCs w:val="24"/>
        </w:rPr>
        <w:t xml:space="preserve">microbial community </w:t>
      </w:r>
      <w:r>
        <w:rPr>
          <w:sz w:val="24"/>
          <w:szCs w:val="24"/>
        </w:rPr>
        <w:t xml:space="preserve">diversity, we applied two </w:t>
      </w:r>
      <w:r w:rsidR="00531888">
        <w:rPr>
          <w:sz w:val="24"/>
          <w:szCs w:val="24"/>
        </w:rPr>
        <w:t>commonly</w:t>
      </w:r>
      <w:r>
        <w:rPr>
          <w:sz w:val="24"/>
          <w:szCs w:val="24"/>
        </w:rPr>
        <w:t xml:space="preserve">-used microbiome </w:t>
      </w:r>
      <w:r w:rsidR="00C96938">
        <w:rPr>
          <w:sz w:val="24"/>
          <w:szCs w:val="24"/>
        </w:rPr>
        <w:t>analy</w:t>
      </w:r>
      <w:r w:rsidR="00531888">
        <w:rPr>
          <w:sz w:val="24"/>
          <w:szCs w:val="24"/>
        </w:rPr>
        <w:t>sis</w:t>
      </w:r>
      <w:r w:rsidR="00C96938">
        <w:rPr>
          <w:sz w:val="24"/>
          <w:szCs w:val="24"/>
        </w:rPr>
        <w:t xml:space="preserve"> </w:t>
      </w:r>
      <w:r>
        <w:rPr>
          <w:sz w:val="24"/>
          <w:szCs w:val="24"/>
        </w:rPr>
        <w:t>pipelines</w:t>
      </w:r>
      <w:r w:rsidR="00531888">
        <w:rPr>
          <w:sz w:val="24"/>
          <w:szCs w:val="24"/>
        </w:rPr>
        <w:t xml:space="preserve"> targeting distinct taxonomic markers</w:t>
      </w:r>
      <w:r>
        <w:rPr>
          <w:sz w:val="24"/>
          <w:szCs w:val="24"/>
        </w:rPr>
        <w:t>: QIIME and MetaPhlAn</w:t>
      </w:r>
      <w:r w:rsidR="004A0A8F">
        <w:rPr>
          <w:sz w:val="24"/>
          <w:szCs w:val="24"/>
        </w:rPr>
        <w:t>.</w:t>
      </w:r>
    </w:p>
    <w:p w14:paraId="2ED7F589" w14:textId="03E2C669" w:rsidR="00133556" w:rsidRPr="00133556" w:rsidRDefault="00133556" w:rsidP="008F4A95">
      <w:pPr>
        <w:pStyle w:val="ListParagraph"/>
        <w:numPr>
          <w:ilvl w:val="0"/>
          <w:numId w:val="2"/>
        </w:numPr>
        <w:rPr>
          <w:sz w:val="28"/>
          <w:szCs w:val="28"/>
        </w:rPr>
      </w:pPr>
      <w:r>
        <w:rPr>
          <w:sz w:val="24"/>
          <w:szCs w:val="24"/>
        </w:rPr>
        <w:t xml:space="preserve">To </w:t>
      </w:r>
      <w:r w:rsidR="00531888">
        <w:rPr>
          <w:sz w:val="24"/>
          <w:szCs w:val="24"/>
        </w:rPr>
        <w:t xml:space="preserve">assess ancient DNA (aDNA) preservation, we applied </w:t>
      </w:r>
      <w:r>
        <w:rPr>
          <w:sz w:val="24"/>
          <w:szCs w:val="24"/>
        </w:rPr>
        <w:t xml:space="preserve">three different </w:t>
      </w:r>
      <w:r w:rsidR="004A0A8F">
        <w:rPr>
          <w:sz w:val="24"/>
          <w:szCs w:val="24"/>
        </w:rPr>
        <w:t xml:space="preserve">authentication criteria: </w:t>
      </w:r>
      <w:r>
        <w:rPr>
          <w:sz w:val="24"/>
          <w:szCs w:val="24"/>
        </w:rPr>
        <w:t>SourceTracker</w:t>
      </w:r>
      <w:r w:rsidR="004A0A8F">
        <w:rPr>
          <w:sz w:val="24"/>
          <w:szCs w:val="24"/>
        </w:rPr>
        <w:t xml:space="preserve"> (microbial community profile)</w:t>
      </w:r>
      <w:r>
        <w:rPr>
          <w:sz w:val="24"/>
          <w:szCs w:val="24"/>
        </w:rPr>
        <w:t>,</w:t>
      </w:r>
      <w:r w:rsidR="004A0A8F">
        <w:rPr>
          <w:sz w:val="24"/>
          <w:szCs w:val="24"/>
        </w:rPr>
        <w:t xml:space="preserve"> </w:t>
      </w:r>
      <w:r>
        <w:rPr>
          <w:sz w:val="24"/>
          <w:szCs w:val="24"/>
        </w:rPr>
        <w:t>fragment length distribution</w:t>
      </w:r>
      <w:r w:rsidR="004A0A8F">
        <w:rPr>
          <w:sz w:val="24"/>
          <w:szCs w:val="24"/>
        </w:rPr>
        <w:t xml:space="preserve"> and MapDamage (microbial and host DNA preservation). </w:t>
      </w:r>
    </w:p>
    <w:p w14:paraId="3A3514F0" w14:textId="77777777" w:rsidR="0062245D" w:rsidRDefault="0062245D" w:rsidP="001179B9">
      <w:pPr>
        <w:spacing w:line="480" w:lineRule="auto"/>
        <w:ind w:firstLine="720"/>
        <w:rPr>
          <w:sz w:val="24"/>
          <w:szCs w:val="24"/>
        </w:rPr>
      </w:pPr>
    </w:p>
    <w:p w14:paraId="5EADD0E3" w14:textId="4DC0D575" w:rsidR="00EC0669" w:rsidRDefault="00EC0669" w:rsidP="001179B9">
      <w:pPr>
        <w:spacing w:line="480" w:lineRule="auto"/>
        <w:ind w:firstLine="720"/>
        <w:rPr>
          <w:sz w:val="24"/>
          <w:szCs w:val="24"/>
        </w:rPr>
      </w:pPr>
      <w:r w:rsidRPr="0016617B">
        <w:rPr>
          <w:sz w:val="24"/>
          <w:szCs w:val="24"/>
        </w:rPr>
        <w:t xml:space="preserve">In 2007, the National Institute of Health established the Human Microbiome Project (HMP) to identify and characterize </w:t>
      </w:r>
      <w:r>
        <w:rPr>
          <w:sz w:val="24"/>
          <w:szCs w:val="24"/>
        </w:rPr>
        <w:t>the human microbiome—the aggregate DNA content of microbes coexisting with</w:t>
      </w:r>
      <w:r w:rsidR="004D7BC9">
        <w:rPr>
          <w:sz w:val="24"/>
          <w:szCs w:val="24"/>
        </w:rPr>
        <w:t>in</w:t>
      </w:r>
      <w:r>
        <w:rPr>
          <w:sz w:val="24"/>
          <w:szCs w:val="24"/>
        </w:rPr>
        <w:t xml:space="preserve"> </w:t>
      </w:r>
      <w:r w:rsidR="0062245D">
        <w:rPr>
          <w:sz w:val="24"/>
          <w:szCs w:val="24"/>
        </w:rPr>
        <w:t>the human</w:t>
      </w:r>
      <w:r>
        <w:rPr>
          <w:sz w:val="24"/>
          <w:szCs w:val="24"/>
        </w:rPr>
        <w:t xml:space="preserve"> body</w:t>
      </w:r>
      <w:r w:rsidRPr="0016617B">
        <w:rPr>
          <w:sz w:val="24"/>
          <w:szCs w:val="24"/>
        </w:rPr>
        <w:t xml:space="preserve"> </w:t>
      </w:r>
      <w:r w:rsidRPr="0016617B">
        <w:rPr>
          <w:sz w:val="24"/>
          <w:szCs w:val="24"/>
        </w:rPr>
        <w:fldChar w:fldCharType="begin"/>
      </w:r>
      <w:r>
        <w:rPr>
          <w:sz w:val="24"/>
          <w:szCs w:val="24"/>
        </w:rPr>
        <w:instrText xml:space="preserve"> ADDIN ZOTERO_ITEM CSL_CITATION {"citationID":"3zh6Zd1g","properties":{"formattedCitation":"(Turnbaugh et al., 2007)","plainCitation":"(Turnbaugh et al., 2007)","noteIndex":0},"citationItems":[{"id":770,"uris":["http://zotero.org/users/4461938/items/FCQ4WCGA"],"uri":["http://zotero.org/users/4461938/items/FCQ4WCGA"],"itemData":{"id":770,"type":"article-journal","title":"The Human Microbiome Project","container-title":"Nature","page":"804-810","volume":"449","source":"www.nature.com","abstract":"A strategy to understand the microbial components of the human genetic and metabolic landscape and how they contribute to normal physiology and predisposition to disease.","DOI":"10.1038/nature06244","ISSN":"1476-4687","language":"en","author":[{"family":"Turnbaugh","given":"Peter J."},{"family":"Ley","given":"Ruth E."},{"family":"Hamady","given":"Micah"},{"family":"Fraser-Liggett","given":"Claire M."},{"family":"Knight","given":"Rob"},{"family":"Gordon","given":"Jeffrey I."}],"issued":{"date-parts":[["2007",10,17]]}}}],"schema":"https://github.com/citation-style-language/schema/raw/master/csl-citation.json"} </w:instrText>
      </w:r>
      <w:r w:rsidRPr="0016617B">
        <w:rPr>
          <w:sz w:val="24"/>
          <w:szCs w:val="24"/>
        </w:rPr>
        <w:fldChar w:fldCharType="separate"/>
      </w:r>
      <w:r w:rsidRPr="00EC0669">
        <w:rPr>
          <w:sz w:val="24"/>
        </w:rPr>
        <w:t>(Turnbaugh et al., 2007)</w:t>
      </w:r>
      <w:r w:rsidRPr="0016617B">
        <w:rPr>
          <w:sz w:val="24"/>
          <w:szCs w:val="24"/>
        </w:rPr>
        <w:fldChar w:fldCharType="end"/>
      </w:r>
      <w:r w:rsidRPr="0016617B">
        <w:rPr>
          <w:sz w:val="24"/>
          <w:szCs w:val="24"/>
        </w:rPr>
        <w:t xml:space="preserve">. </w:t>
      </w:r>
      <w:r w:rsidR="0062245D">
        <w:rPr>
          <w:sz w:val="24"/>
          <w:szCs w:val="24"/>
        </w:rPr>
        <w:t xml:space="preserve">Since the inception of HMP, the study of the microbiome </w:t>
      </w:r>
      <w:r w:rsidR="00BD0939">
        <w:rPr>
          <w:sz w:val="24"/>
          <w:szCs w:val="24"/>
        </w:rPr>
        <w:t xml:space="preserve">in conjunction with advances in sequencing technology </w:t>
      </w:r>
      <w:r>
        <w:rPr>
          <w:sz w:val="24"/>
          <w:szCs w:val="24"/>
        </w:rPr>
        <w:t xml:space="preserve">have reshaped our understanding how microbes impact </w:t>
      </w:r>
      <w:r w:rsidR="006D7C66">
        <w:rPr>
          <w:sz w:val="24"/>
          <w:szCs w:val="24"/>
        </w:rPr>
        <w:t xml:space="preserve">human </w:t>
      </w:r>
      <w:r>
        <w:rPr>
          <w:sz w:val="24"/>
          <w:szCs w:val="24"/>
        </w:rPr>
        <w:t>health and disease</w:t>
      </w:r>
      <w:r w:rsidR="001179B9">
        <w:rPr>
          <w:sz w:val="24"/>
          <w:szCs w:val="24"/>
        </w:rPr>
        <w:t xml:space="preserve"> </w:t>
      </w:r>
      <w:r w:rsidR="006D7C66">
        <w:rPr>
          <w:sz w:val="24"/>
          <w:szCs w:val="24"/>
        </w:rPr>
        <w:fldChar w:fldCharType="begin"/>
      </w:r>
      <w:r w:rsidR="006D7C66">
        <w:rPr>
          <w:sz w:val="24"/>
          <w:szCs w:val="24"/>
        </w:rPr>
        <w:instrText xml:space="preserve"> ADDIN ZOTERO_ITEM CSL_CITATION {"citationID":"900DkNtw","properties":{"formattedCitation":"(Benn et al., 2018; Giongo et al., 2011; Gomez-Arango et al., 2016; Ojeda-Garc\\uc0\\u233{}s et al., 2013)","plainCitation":"(Benn et al., 2018; Giongo et al., 2011; Gomez-Arango et al., 2016; Ojeda-Garcés et al., 2013)","noteIndex":0},"citationItems":[{"id":606,"uris":["http://zotero.org/users/4461938/items/8Q69JN65"],"uri":["http://zotero.org/users/4461938/items/8Q69JN65"],"itemData":{"id":606,"type":"article-journal","title":"Studying the human oral microbiome: challenges and the evolution of solutions","container-title":"Australian dental journal","page":"14-24","volume":"63","issue":"1","author":[{"family":"Benn","given":"Angela ML"},{"family":"Heng","given":"Nicholas CK"},{"family":"Broadbent","given":"Jonathan Mark"},{"family":"Thomson","given":"William Murray"}],"issued":{"date-parts":[["2018"]]}}},{"id":922,"uris":["http://zotero.org/users/4461938/items/H6GR8PI4"],"uri":["http://zotero.org/users/4461938/items/H6GR8PI4"],"itemData":{"id":922,"type":"article-journal","title":"Toward defining the autoimmune microbiome for type 1 diabetes","container-title":"The ISME journal","page":"82","volume":"5","issue":"1","author":[{"family":"Giongo","given":"Adriana"},{"family":"Gano","given":"Kelsey A."},{"family":"Crabb","given":"David B."},{"family":"Mukherjee","given":"Nabanit</w:instrText>
      </w:r>
      <w:r w:rsidR="006D7C66" w:rsidRPr="00BC4418">
        <w:rPr>
          <w:sz w:val="24"/>
          <w:szCs w:val="24"/>
          <w:lang w:val="fr-FR"/>
        </w:rPr>
        <w:instrText>a"},{"family":"Novelo","given":"Luis L."},{"family":"Casella","give</w:instrText>
      </w:r>
      <w:r w:rsidR="006D7C66" w:rsidRPr="006D7C66">
        <w:rPr>
          <w:sz w:val="24"/>
          <w:szCs w:val="24"/>
          <w:lang w:val="fr-FR"/>
        </w:rPr>
        <w:instrText xml:space="preserve">n":"George"},{"family":"Drew","given":"Jennifer C."},{"family":"Ilonen","given":"Jorma"},{"family":"Knip","given":"Mikael"},{"family":"Hyöty","given":"Heikki"}],"issued":{"date-parts":[["2011"]]}}},{"id":923,"uris":["http://zotero.org/users/4461938/items/3SPS8KJV"],"uri":["http://zotero.org/users/4461938/items/3SPS8KJV"],"itemData":{"id":923,"type":"article-journal","title":"Connections between the gut microbiome and metabolic hormones in early pregnancy in overweight and obese women","container-title":"Diabetes","page":"2214-2223","volume":"65","issue":"8","author":[{"family":"Gomez-Arango","given":"Luisa F."},{"family":"Barrett","given":"Helen L."},{"family":"McIntyre","given":"H. David"},{"family":"Callaway","given":"Leonie K."},{"family":"Morrison","given":"Mark"},{"family":"Nitert","given":"Marloes Dekker"}],"issued":{"date-parts":[["2016"]]}}},{"id":629,"uris":["http://zotero.org/users/4461938/items/2TVBP2YA"],"uri":["http://zotero.org/users/4461938/items/2TVBP2YA"],"itemData":{"id":629,"type":"article-journal","title":"Streptococcus mutans and dental caries","container-title":"Ces Odontología","page":"44-56","volume":"26","issue":"1","author":[{"family":"Ojeda-Garcés","given":"Juan Carlos"},{"family":"Oviedo-García","given":"Eliana"},{"family":"Salas","given":"Luis Andrés"}],"issued":{"date-parts":[["2013"]]}}}],"schema":"https://github.com/citation-style-language/schema/raw/master/csl-citation.json"} </w:instrText>
      </w:r>
      <w:r w:rsidR="006D7C66">
        <w:rPr>
          <w:sz w:val="24"/>
          <w:szCs w:val="24"/>
        </w:rPr>
        <w:fldChar w:fldCharType="separate"/>
      </w:r>
      <w:r w:rsidR="006D7C66" w:rsidRPr="006D7C66">
        <w:rPr>
          <w:sz w:val="24"/>
          <w:szCs w:val="24"/>
          <w:lang w:val="fr-FR"/>
        </w:rPr>
        <w:t>(Benn et al., 2018; Giongo et al., 2011; Gomez-Arango et al., 2016; Ojeda-Garcés et al., 2013)</w:t>
      </w:r>
      <w:r w:rsidR="006D7C66">
        <w:rPr>
          <w:sz w:val="24"/>
          <w:szCs w:val="24"/>
        </w:rPr>
        <w:fldChar w:fldCharType="end"/>
      </w:r>
      <w:r w:rsidRPr="006D7C66">
        <w:rPr>
          <w:sz w:val="24"/>
          <w:szCs w:val="24"/>
          <w:lang w:val="fr-FR"/>
        </w:rPr>
        <w:t xml:space="preserve">. </w:t>
      </w:r>
      <w:r w:rsidR="00D670E7" w:rsidRPr="00D670E7">
        <w:rPr>
          <w:sz w:val="24"/>
          <w:szCs w:val="24"/>
        </w:rPr>
        <w:t>Fo</w:t>
      </w:r>
      <w:r w:rsidR="00D670E7">
        <w:rPr>
          <w:sz w:val="24"/>
          <w:szCs w:val="24"/>
        </w:rPr>
        <w:t xml:space="preserve">r instance, </w:t>
      </w:r>
      <w:r w:rsidR="00CC67D9">
        <w:rPr>
          <w:sz w:val="24"/>
          <w:szCs w:val="24"/>
        </w:rPr>
        <w:t>high-throughput sequencing (HTS)</w:t>
      </w:r>
      <w:r w:rsidR="00062C86">
        <w:rPr>
          <w:sz w:val="24"/>
          <w:szCs w:val="24"/>
        </w:rPr>
        <w:t xml:space="preserve"> </w:t>
      </w:r>
      <w:r w:rsidR="00D670E7">
        <w:rPr>
          <w:sz w:val="24"/>
          <w:szCs w:val="24"/>
        </w:rPr>
        <w:t xml:space="preserve">technologies and bioinformatic methods </w:t>
      </w:r>
      <w:r w:rsidR="00822023">
        <w:rPr>
          <w:sz w:val="24"/>
          <w:szCs w:val="24"/>
        </w:rPr>
        <w:t xml:space="preserve">have shown us how </w:t>
      </w:r>
      <w:r w:rsidR="00D670E7">
        <w:rPr>
          <w:sz w:val="24"/>
          <w:szCs w:val="24"/>
        </w:rPr>
        <w:t xml:space="preserve">the composition and functional capacity of microbial communities in the gut </w:t>
      </w:r>
      <w:r w:rsidR="00822023">
        <w:rPr>
          <w:sz w:val="24"/>
          <w:szCs w:val="24"/>
        </w:rPr>
        <w:t xml:space="preserve">can influence several diseases </w:t>
      </w:r>
      <w:r w:rsidR="00D670E7">
        <w:rPr>
          <w:sz w:val="24"/>
          <w:szCs w:val="24"/>
        </w:rPr>
        <w:fldChar w:fldCharType="begin"/>
      </w:r>
      <w:r w:rsidR="00D670E7">
        <w:rPr>
          <w:sz w:val="24"/>
          <w:szCs w:val="24"/>
        </w:rPr>
        <w:instrText xml:space="preserve"> ADDIN ZOTERO_ITEM CSL_CITATION {"citationID":"pWcsDAd3","properties":{"formattedCitation":"(Dave et al., 2012)","plainCitation":"(Dave et al., 2012)","noteIndex":0},"citationItems":[{"id":1274,"uris":["http://zotero.org/users/4461938/items/FFZU4WII"],"uri":["http://zotero.org/users/4461938/items/FFZU4WII"],"itemData":{"id":1274,"type":"article-journal","title":"The human gut microbiome: current knowledge, challenges, and future directions","container-title":"Translational Research","page":"246-257","volume":"160","issue":"4","ISSN":"1931-5244","journalAbbreviation":"Translational Research","author":[{"family":"Dave","given":"Maneesh"},{"family":"Higgins","given":"Peter D"},{"family":"Middha","given":"Sumit"},{"family":"Rioux","given":"Kevin P"}],"issued":{"date-parts":[["2012"]]}}}],"schema":"https://github.com/citation-style-language/schema/raw/master/csl-citation.json"} </w:instrText>
      </w:r>
      <w:r w:rsidR="00D670E7">
        <w:rPr>
          <w:sz w:val="24"/>
          <w:szCs w:val="24"/>
        </w:rPr>
        <w:fldChar w:fldCharType="separate"/>
      </w:r>
      <w:r w:rsidR="00D670E7" w:rsidRPr="00D670E7">
        <w:rPr>
          <w:sz w:val="24"/>
        </w:rPr>
        <w:t>(Dave et al., 2012)</w:t>
      </w:r>
      <w:r w:rsidR="00D670E7">
        <w:rPr>
          <w:sz w:val="24"/>
          <w:szCs w:val="24"/>
        </w:rPr>
        <w:fldChar w:fldCharType="end"/>
      </w:r>
      <w:r w:rsidR="00D670E7">
        <w:rPr>
          <w:sz w:val="24"/>
          <w:szCs w:val="24"/>
        </w:rPr>
        <w:t>.</w:t>
      </w:r>
      <w:r w:rsidR="00822023">
        <w:rPr>
          <w:sz w:val="24"/>
          <w:szCs w:val="24"/>
        </w:rPr>
        <w:t xml:space="preserve"> S</w:t>
      </w:r>
      <w:r w:rsidR="00D670E7">
        <w:rPr>
          <w:sz w:val="24"/>
          <w:szCs w:val="24"/>
        </w:rPr>
        <w:t>imilar research on the microbial communities</w:t>
      </w:r>
      <w:r w:rsidR="00F17C88">
        <w:rPr>
          <w:sz w:val="24"/>
          <w:szCs w:val="24"/>
        </w:rPr>
        <w:t xml:space="preserve"> </w:t>
      </w:r>
      <w:r w:rsidR="00D670E7">
        <w:rPr>
          <w:sz w:val="24"/>
          <w:szCs w:val="24"/>
        </w:rPr>
        <w:t>with</w:t>
      </w:r>
      <w:r w:rsidR="00F17C88">
        <w:rPr>
          <w:sz w:val="24"/>
          <w:szCs w:val="24"/>
        </w:rPr>
        <w:t xml:space="preserve">in the </w:t>
      </w:r>
      <w:r w:rsidR="0062245D">
        <w:rPr>
          <w:sz w:val="24"/>
          <w:szCs w:val="24"/>
        </w:rPr>
        <w:t xml:space="preserve">mouth </w:t>
      </w:r>
      <w:r w:rsidR="00D670E7">
        <w:rPr>
          <w:sz w:val="24"/>
          <w:szCs w:val="24"/>
        </w:rPr>
        <w:t xml:space="preserve">has lagged behind </w:t>
      </w:r>
      <w:r w:rsidR="00D670E7">
        <w:rPr>
          <w:sz w:val="24"/>
          <w:szCs w:val="24"/>
        </w:rPr>
        <w:fldChar w:fldCharType="begin"/>
      </w:r>
      <w:r w:rsidR="00D670E7">
        <w:rPr>
          <w:sz w:val="24"/>
          <w:szCs w:val="24"/>
        </w:rPr>
        <w:instrText xml:space="preserve"> ADDIN ZOTERO_ITEM CSL_CITATION {"citationID":"OzwB3cX6","properties":{"formattedCitation":"(Zaura et al., 2014)","plainCitation":"(Zaura et al., 2014)","noteIndex":0},"citationItems":[{"id":1275,"uris":["http://zotero.org/users/4461938/items/FCFWQNVH"],"uri":["http://zotero.org/users/4461938/items/FCFWQNVH"],"itemData":{"id":1275,"type":"article-journal","title":"Acquiring and maintaining a normal oral microbiome: current perspective","container-title":"Frontiers in cellular and infection microbiology","page":"85","volume":"4","ISSN":"2235-2988","journalAbbreviation":"Frontiers in cellular and infection microbiology","author":[{"family":"Zaura","given":"Egija"},{"family":"Nicu","given":"Elena A"},{"family":"Krom","given":"Bastiaan P"},{"family":"Keijser","given":"Bart JF"}],"issued":{"date-parts":[["2014"]]}}}],"schema":"https://github.com/citation-style-language/schema/raw/master/csl-citation.json"} </w:instrText>
      </w:r>
      <w:r w:rsidR="00D670E7">
        <w:rPr>
          <w:sz w:val="24"/>
          <w:szCs w:val="24"/>
        </w:rPr>
        <w:fldChar w:fldCharType="separate"/>
      </w:r>
      <w:r w:rsidR="00D670E7" w:rsidRPr="00D670E7">
        <w:rPr>
          <w:sz w:val="24"/>
        </w:rPr>
        <w:t>(Zaura et al., 2014)</w:t>
      </w:r>
      <w:r w:rsidR="00D670E7">
        <w:rPr>
          <w:sz w:val="24"/>
          <w:szCs w:val="24"/>
        </w:rPr>
        <w:fldChar w:fldCharType="end"/>
      </w:r>
      <w:r w:rsidR="0062245D">
        <w:rPr>
          <w:sz w:val="24"/>
          <w:szCs w:val="24"/>
        </w:rPr>
        <w:t xml:space="preserve">. </w:t>
      </w:r>
    </w:p>
    <w:p w14:paraId="4B579546" w14:textId="77777777" w:rsidR="00EC0669" w:rsidRPr="00C21A2F" w:rsidRDefault="00EC0669" w:rsidP="00C21A2F">
      <w:pPr>
        <w:pStyle w:val="Heading2"/>
        <w:rPr>
          <w:rFonts w:ascii="Times New Roman" w:hAnsi="Times New Roman" w:cs="Times New Roman"/>
          <w:i/>
          <w:color w:val="auto"/>
          <w:sz w:val="24"/>
          <w:szCs w:val="24"/>
        </w:rPr>
      </w:pPr>
      <w:bookmarkStart w:id="9" w:name="_Toc8404621"/>
      <w:r w:rsidRPr="00C21A2F">
        <w:rPr>
          <w:rFonts w:ascii="Times New Roman" w:hAnsi="Times New Roman" w:cs="Times New Roman"/>
          <w:i/>
          <w:color w:val="auto"/>
          <w:sz w:val="24"/>
          <w:szCs w:val="24"/>
        </w:rPr>
        <w:t>The oral microbiome</w:t>
      </w:r>
      <w:bookmarkEnd w:id="9"/>
      <w:r w:rsidRPr="00C21A2F">
        <w:rPr>
          <w:rFonts w:ascii="Times New Roman" w:hAnsi="Times New Roman" w:cs="Times New Roman"/>
          <w:i/>
          <w:color w:val="auto"/>
          <w:sz w:val="24"/>
          <w:szCs w:val="24"/>
        </w:rPr>
        <w:t xml:space="preserve"> </w:t>
      </w:r>
    </w:p>
    <w:p w14:paraId="7A0686A7" w14:textId="779F28D2" w:rsidR="00EC0669" w:rsidRPr="004C6AD3" w:rsidRDefault="003F25FF" w:rsidP="00EC0669">
      <w:pPr>
        <w:spacing w:line="480" w:lineRule="auto"/>
        <w:ind w:firstLine="720"/>
        <w:rPr>
          <w:sz w:val="24"/>
          <w:szCs w:val="24"/>
        </w:rPr>
      </w:pPr>
      <w:r>
        <w:rPr>
          <w:sz w:val="24"/>
          <w:szCs w:val="24"/>
        </w:rPr>
        <w:t xml:space="preserve">The human oral cavity encompasses a dynamic and diverse microbial community </w:t>
      </w:r>
      <w:r w:rsidR="00EC0669">
        <w:rPr>
          <w:sz w:val="24"/>
          <w:szCs w:val="24"/>
        </w:rPr>
        <w:fldChar w:fldCharType="begin"/>
      </w:r>
      <w:r w:rsidR="00EC0669">
        <w:rPr>
          <w:sz w:val="24"/>
          <w:szCs w:val="24"/>
        </w:rPr>
        <w:instrText xml:space="preserve"> ADDIN ZOTERO_ITEM CSL_CITATION {"citationID":"0RDtPsKp","properties":{"formattedCitation":"(Marsh et al., 2009)","plainCitation":"(Marsh et al., 2009)","noteIndex":0},"citationItems":[{"id":613,"uris":["http://zotero.org/users/4461938/items/PZ44LKW7"],"uri":["http://zotero.org/users/4461938/items/PZ44LKW7"],"itemData":{"id":613,"type":"book","title":"Oral Microbiology E-Book","publisher":"Elsevier health sciences","ISBN":"0-7020-4015-0","author":[{"family":"Marsh","given":"Philip D."},{"family":"Martin","given":"Michael V."},{"family":"Lewis","given":"Michael AO"},{"family":"Williams","given":"David"}],"issued":{"date-parts":[["2009"]]}}}],"schema":"https://github.com/citation-style-language/schema/raw/master/csl-citation.json"} </w:instrText>
      </w:r>
      <w:r w:rsidR="00EC0669">
        <w:rPr>
          <w:sz w:val="24"/>
          <w:szCs w:val="24"/>
        </w:rPr>
        <w:fldChar w:fldCharType="separate"/>
      </w:r>
      <w:r w:rsidR="00EC0669" w:rsidRPr="00EC0669">
        <w:rPr>
          <w:sz w:val="24"/>
        </w:rPr>
        <w:t>(Marsh et al., 2009)</w:t>
      </w:r>
      <w:r w:rsidR="00EC0669">
        <w:rPr>
          <w:sz w:val="24"/>
          <w:szCs w:val="24"/>
        </w:rPr>
        <w:fldChar w:fldCharType="end"/>
      </w:r>
      <w:r w:rsidR="00EC0669" w:rsidRPr="0016617B">
        <w:rPr>
          <w:sz w:val="24"/>
          <w:szCs w:val="24"/>
        </w:rPr>
        <w:t xml:space="preserve">. </w:t>
      </w:r>
      <w:r w:rsidR="003D4BB3">
        <w:rPr>
          <w:sz w:val="24"/>
          <w:szCs w:val="24"/>
        </w:rPr>
        <w:t>The HMP found that 185-355 genera, belonging to 13-19 bacterial phyla, dominate the oral microbiome</w:t>
      </w:r>
      <w:r w:rsidR="00862377">
        <w:rPr>
          <w:sz w:val="24"/>
          <w:szCs w:val="24"/>
        </w:rPr>
        <w:t xml:space="preserve"> </w:t>
      </w:r>
      <w:r w:rsidR="00862377">
        <w:rPr>
          <w:sz w:val="24"/>
          <w:szCs w:val="24"/>
        </w:rPr>
        <w:fldChar w:fldCharType="begin"/>
      </w:r>
      <w:r w:rsidR="00862377">
        <w:rPr>
          <w:sz w:val="24"/>
          <w:szCs w:val="24"/>
        </w:rPr>
        <w:instrText xml:space="preserve"> ADDIN ZOTERO_ITEM CSL_CITATION {"citationID":"McIW0dT1","properties":{"formattedCitation":"(Zhou et al., 2013)","plainCitation":"(Zhou et al., 2013)","noteIndex":0},"citationItems":[{"id":1276,"uris":["http://zotero.org/users/4461938/items/S73YD9MK"],"uri":["http://zotero.org/users/4461938/items/S73YD9MK"],"itemData":{"id":1276,"type":"article-journal","title":"Biogeography of the ecosystems of the healthy human body","container-title":"Genome biology","page":"R1","volume":"14","issue":"1","ISSN":"1474-760X","journalAbbreviation":"Genome biology","author":[{"family":"Zhou","given":"Yanjiao"},{"family":"Gao","given":"Hongyu"},{"family":"Mihindukulasuriya","given":"Kathie A"},{"family":"La Rosa","given":"Patricio S"},{"family":"Wylie","given":"Kristine M"},{"family":"Vishnivetskaya","given":"Tatiana"},{"family":"Podar","given":"Mircea"},{"family":"Warner","given":"Barb"},{"family":"Tarr","given":"Phillip I"},{"family":"Nelson","given":"David E"}],"issued":{"date-parts":[["2013"]]}}}],"schema":"https://github.com/citation-style-language/schema/raw/master/csl-citation.json"} </w:instrText>
      </w:r>
      <w:r w:rsidR="00862377">
        <w:rPr>
          <w:sz w:val="24"/>
          <w:szCs w:val="24"/>
        </w:rPr>
        <w:fldChar w:fldCharType="separate"/>
      </w:r>
      <w:r w:rsidR="00862377" w:rsidRPr="00862377">
        <w:rPr>
          <w:sz w:val="24"/>
        </w:rPr>
        <w:t>(Zhou et al., 2013)</w:t>
      </w:r>
      <w:r w:rsidR="00862377">
        <w:rPr>
          <w:sz w:val="24"/>
          <w:szCs w:val="24"/>
        </w:rPr>
        <w:fldChar w:fldCharType="end"/>
      </w:r>
      <w:r w:rsidR="00862377">
        <w:rPr>
          <w:sz w:val="24"/>
          <w:szCs w:val="24"/>
        </w:rPr>
        <w:t>.</w:t>
      </w:r>
      <w:r w:rsidR="003D4BB3">
        <w:rPr>
          <w:sz w:val="24"/>
          <w:szCs w:val="24"/>
        </w:rPr>
        <w:t xml:space="preserve"> </w:t>
      </w:r>
      <w:r w:rsidR="00822023">
        <w:rPr>
          <w:sz w:val="24"/>
          <w:szCs w:val="24"/>
        </w:rPr>
        <w:t xml:space="preserve">Of these phyla, </w:t>
      </w:r>
      <w:r w:rsidR="003D4BB3">
        <w:rPr>
          <w:sz w:val="24"/>
          <w:szCs w:val="24"/>
        </w:rPr>
        <w:t xml:space="preserve">approximately </w:t>
      </w:r>
      <w:r w:rsidR="00EC0669" w:rsidRPr="0016617B">
        <w:rPr>
          <w:sz w:val="24"/>
          <w:szCs w:val="24"/>
        </w:rPr>
        <w:t xml:space="preserve">700 oral bacterial species </w:t>
      </w:r>
      <w:r w:rsidR="005024B9">
        <w:rPr>
          <w:sz w:val="24"/>
          <w:szCs w:val="24"/>
        </w:rPr>
        <w:t xml:space="preserve">dominate the oral microbiome </w:t>
      </w:r>
      <w:r w:rsidR="00EC0669" w:rsidRPr="0016617B">
        <w:rPr>
          <w:sz w:val="24"/>
          <w:szCs w:val="24"/>
        </w:rPr>
        <w:fldChar w:fldCharType="begin"/>
      </w:r>
      <w:r w:rsidR="00EC0669">
        <w:rPr>
          <w:sz w:val="24"/>
          <w:szCs w:val="24"/>
        </w:rPr>
        <w:instrText xml:space="preserve"> ADDIN ZOTERO_ITEM CSL_CITATION {"citationID":"AxEYkM6m","properties":{"formattedCitation":"(Benn et al., 2018; Wade, 2013)","plainCitation":"(Benn et al., 2018; Wade, 2013)","noteIndex":0},"citationItems":[{"id":606,"uris":["http://zotero.org/users/4461938/items/8Q69JN65"],"uri":["http://zotero.org/users/4461938/items/8Q69JN65"],"itemData":{"id":606,"type":"article-journal","title":"Studying the human oral microbiome: challenges and the evolution of solutions","container-title":"Australian dental journal","page":"14-24","volume":"63","issue":"1","author":[{"family":"Benn","given":"Angela ML"},{"family":"Heng","given":"Nicholas CK"},{"family":"Broadbent","given":"Jonathan Mark"},{"family":"Thomson","given":"William Murray"}],"issued":{"date-parts":[["2018"]]}}},{"id":604,"uris":["http://zotero.org/users/4461938/items/SBKBVUHU"],"uri":["http://zotero.org/users/4461938/items/SBKBVUHU"],"itemData":{"id":604,"type":"article-journal","title":"The oral microbiome in health and disease","container-title":"Pharmacological research","page":"137-143","volume":"69","issue":"1","author":[{"family":"Wade","given":"William G."}],"issued":{"date-parts":[["2013"]]}}}],"schema":"https://github.com/citation-style-language/schema/raw/master/csl-citation.json"} </w:instrText>
      </w:r>
      <w:r w:rsidR="00EC0669" w:rsidRPr="0016617B">
        <w:rPr>
          <w:sz w:val="24"/>
          <w:szCs w:val="24"/>
        </w:rPr>
        <w:fldChar w:fldCharType="separate"/>
      </w:r>
      <w:r w:rsidR="00EC0669" w:rsidRPr="00EC0669">
        <w:rPr>
          <w:sz w:val="24"/>
        </w:rPr>
        <w:t>(Benn et al., 2018; Wade, 2013)</w:t>
      </w:r>
      <w:r w:rsidR="00EC0669" w:rsidRPr="0016617B">
        <w:rPr>
          <w:sz w:val="24"/>
          <w:szCs w:val="24"/>
        </w:rPr>
        <w:fldChar w:fldCharType="end"/>
      </w:r>
      <w:r w:rsidR="00EC0669" w:rsidRPr="0016617B">
        <w:rPr>
          <w:sz w:val="24"/>
          <w:szCs w:val="24"/>
        </w:rPr>
        <w:t xml:space="preserve">. </w:t>
      </w:r>
      <w:r w:rsidR="00862377">
        <w:rPr>
          <w:sz w:val="24"/>
          <w:szCs w:val="24"/>
        </w:rPr>
        <w:t>Some of</w:t>
      </w:r>
      <w:r w:rsidR="00EC0669" w:rsidRPr="0016617B">
        <w:rPr>
          <w:sz w:val="24"/>
          <w:szCs w:val="24"/>
        </w:rPr>
        <w:t xml:space="preserve"> these species </w:t>
      </w:r>
      <w:r w:rsidR="00862377">
        <w:rPr>
          <w:sz w:val="24"/>
          <w:szCs w:val="24"/>
        </w:rPr>
        <w:t xml:space="preserve">play a role </w:t>
      </w:r>
      <w:r w:rsidR="00EC0669" w:rsidRPr="0016617B">
        <w:rPr>
          <w:sz w:val="24"/>
          <w:szCs w:val="24"/>
        </w:rPr>
        <w:lastRenderedPageBreak/>
        <w:t xml:space="preserve">in the development of periodontal, respiratory, neurological, cardiovascular and systemic diseases </w:t>
      </w:r>
      <w:r w:rsidR="00EC0669" w:rsidRPr="0016617B">
        <w:rPr>
          <w:sz w:val="24"/>
          <w:szCs w:val="24"/>
        </w:rPr>
        <w:fldChar w:fldCharType="begin"/>
      </w:r>
      <w:r w:rsidR="00EC0669">
        <w:rPr>
          <w:sz w:val="24"/>
          <w:szCs w:val="24"/>
        </w:rPr>
        <w:instrText xml:space="preserve"> ADDIN ZOTERO_ITEM CSL_CITATION {"citationID":"OPxzcZU5","properties":{"formattedCitation":"(Dewhirst et al. 2010; Huttenhower et al. 2012; Hujoel 2009; Leishman, Lien Do, and Ford 2010)","plainCitation":"(Dewhirst et al. 2010; Huttenhower et al. 2012; Hujoel 2009; Leishman, Lien Do, and Ford 2010)","dontUpdate":true,"noteIndex":0},"citationItems":[{"id":605,"uris":["http://zotero.org/users/4461938/items/WSLI8Q4D"],"uri":["http://zotero.org/users/4461938/items/WSLI8Q4D"],"itemData":{"id":605,"type":"article-journal","title":"The human oral microbiome","container-title":"Journal of bacteriology","page":"5002-5017","volume":"192","issue":"19","author":[{"family":"Dewhirst","given":"Floyd E."},{"family":"Chen","given":"Tuste"},{"family":"Izard","given":"Jacques"},{"family":"Paster","given":"Bruce J."},{"family":"Tanner","given":"Anne CR"},{"family":"Yu","given":"Wen-Han"},{"family":"Lakshmanan","given":"Abirami"},{"family":"Wade","given":"William G."}],"issued":{"date-parts":[["2010"]]}}},{"id":625,"uris":["http://zotero.org/users/4461938/items/KL8IJMI5"],"uri":["http://zotero.org/users/4461938/items/KL8IJMI5"],"itemData":{"id":625,"type":"article-journal","title":"Structure, function and diversity of the healthy human microbiome","container-title":"Nature","page":"207","volume":"486","issue":"7402","author":[{"family":"Huttenhower","given":"Curtis"},{"family":"Gevers","given":"Dirk"},{"family":"Knight","given":"Rob"},{"family":"Abubucker","given":"Sahar"},{"family":"Badger","given":"Jonathan H."},{"family":"Chinwalla","given":"Asif T."},{"family":"Creasy","given":"Heather H."},{"family":"Earl","given":"Ashlee M."},{"family":"FitzGerald","given":"Michael G."},{"family":"Fulton","given":"Robert S."}],"issued":{"date-parts":[["2012"]]}}},{"id":626,"uris":["http://zotero.org/users/4461938/items/BKTHTTBK"],"uri":["http://zotero.org/users/4461938/items/BKTHTTBK"],"itemData":{"id":626,"type":"article-journal","title":"Dietary carbohydrates and dental-systemic diseases","container-title":"Journal of Dental Research","page":"490-502","volume":"88","issue":"6","author":[{"family":"Hujoel","given":"Phillip"}],"issued":{"date-parts":[["2009"]]}}},{"id":628,"uris":["http://zotero.org/users/4461938/items/DYMCDQPX"],"uri":["http://zotero.org/users/4461938/items/DYMCDQPX"],"itemData":{"id":628,"type":"article-journal","title":"Cardiovascular disease and the role of oral bacteria","container-title":"Journal of oral microbiology","page":"5781","volume":"2","issue":"1","author":[{"family":"Leishman","given":"Shaneen J."},{"family":"Lien Do","given":"Hong"},{"family":"Ford","given":"Pauline J."}],"issued":{"date-parts":[["2010"]]}}}],"schema":"https://github.com/citation-style-language/schema/raw/master/csl-citation.json"} </w:instrText>
      </w:r>
      <w:r w:rsidR="00EC0669" w:rsidRPr="0016617B">
        <w:rPr>
          <w:sz w:val="24"/>
          <w:szCs w:val="24"/>
        </w:rPr>
        <w:fldChar w:fldCharType="separate"/>
      </w:r>
      <w:r w:rsidR="00EC0669" w:rsidRPr="0016617B">
        <w:rPr>
          <w:sz w:val="24"/>
          <w:szCs w:val="24"/>
        </w:rPr>
        <w:t>(Dewhirst et al. 2010; Huttenhower et al. 2012; Hujoel 2009; Leishman, Lien Do, and Ford 2010</w:t>
      </w:r>
      <w:r w:rsidR="00EC0669" w:rsidRPr="0016617B">
        <w:rPr>
          <w:sz w:val="24"/>
          <w:szCs w:val="24"/>
        </w:rPr>
        <w:fldChar w:fldCharType="end"/>
      </w:r>
      <w:r w:rsidR="00EC0669" w:rsidRPr="0016617B">
        <w:rPr>
          <w:sz w:val="24"/>
          <w:szCs w:val="24"/>
        </w:rPr>
        <w:t xml:space="preserve">; </w:t>
      </w:r>
      <w:r w:rsidR="00EC0669" w:rsidRPr="0016617B">
        <w:rPr>
          <w:sz w:val="24"/>
          <w:szCs w:val="24"/>
        </w:rPr>
        <w:fldChar w:fldCharType="begin"/>
      </w:r>
      <w:r w:rsidR="00EC0669">
        <w:rPr>
          <w:sz w:val="24"/>
          <w:szCs w:val="24"/>
        </w:rPr>
        <w:instrText xml:space="preserve"> ADDIN ZOTERO_ITEM CSL_CITATION {"citationID":"HK2QLaO2","properties":{"formattedCitation":"(Paranjapye and Daggett 2018)","plainCitation":"(Paranjapye and Daggett 2018)","dontUpdate":true,"noteIndex":0},"citationItems":[{"id":695,"uris":["http://zotero.org/users/4461938/items/BRQ5LV8G"],"uri":["http://zotero.org/users/4461938/items/BRQ5LV8G"],"itemData":{"id":695,"type":"article-journal","title":"De Novo Designed α-Sheet Peptides Inhibit Functional Amyloid Formation of Streptococcus mutans Biofilms","container-title":"Journal of molecular biology","page":"3764-3773","volume":"430","issue":"20","ISSN":"0022-2836","journalAbbreviation":"Journal of molecular biology","author":[{"family":"Paranjapye","given":"Natasha"},{"family":"Daggett","given":"Valerie"}],"issued":{"date-parts":[["2018"]]}}}],"schema":"https://github.com/citation-style-language/schema/raw/master/csl-citation.json"} </w:instrText>
      </w:r>
      <w:r w:rsidR="00EC0669" w:rsidRPr="0016617B">
        <w:rPr>
          <w:sz w:val="24"/>
          <w:szCs w:val="24"/>
        </w:rPr>
        <w:fldChar w:fldCharType="separate"/>
      </w:r>
      <w:r w:rsidR="00EC0669" w:rsidRPr="00B63AF1">
        <w:rPr>
          <w:sz w:val="24"/>
        </w:rPr>
        <w:t>Paranjapye and Daggett 2018)</w:t>
      </w:r>
      <w:r w:rsidR="00EC0669" w:rsidRPr="0016617B">
        <w:rPr>
          <w:sz w:val="24"/>
          <w:szCs w:val="24"/>
        </w:rPr>
        <w:fldChar w:fldCharType="end"/>
      </w:r>
      <w:r w:rsidR="00EC0669" w:rsidRPr="0016617B">
        <w:rPr>
          <w:sz w:val="24"/>
          <w:szCs w:val="24"/>
        </w:rPr>
        <w:t xml:space="preserve">. </w:t>
      </w:r>
      <w:r w:rsidR="00822023">
        <w:rPr>
          <w:sz w:val="24"/>
          <w:szCs w:val="24"/>
        </w:rPr>
        <w:t xml:space="preserve">In addition to a wide-array of taxa, </w:t>
      </w:r>
      <w:r w:rsidR="00862377">
        <w:rPr>
          <w:sz w:val="24"/>
          <w:szCs w:val="24"/>
        </w:rPr>
        <w:t xml:space="preserve">the oral cavity is </w:t>
      </w:r>
      <w:r w:rsidR="00822023">
        <w:rPr>
          <w:sz w:val="24"/>
          <w:szCs w:val="24"/>
        </w:rPr>
        <w:t xml:space="preserve">also </w:t>
      </w:r>
      <w:r w:rsidR="00862377">
        <w:rPr>
          <w:sz w:val="24"/>
          <w:szCs w:val="24"/>
        </w:rPr>
        <w:t>comprised of several ecological niches—</w:t>
      </w:r>
      <w:r w:rsidR="00862377" w:rsidRPr="0016617B">
        <w:rPr>
          <w:sz w:val="24"/>
          <w:szCs w:val="24"/>
        </w:rPr>
        <w:t>teeth, the gingival sulcus, the attached gingiva, the tongue, the cheek, the lip, and the hard and soft palate</w:t>
      </w:r>
      <w:r w:rsidR="00862377">
        <w:rPr>
          <w:sz w:val="24"/>
          <w:szCs w:val="24"/>
        </w:rPr>
        <w:t>, and saliva—and each promotes the development of different microb</w:t>
      </w:r>
      <w:r w:rsidR="005024B9">
        <w:rPr>
          <w:sz w:val="24"/>
          <w:szCs w:val="24"/>
        </w:rPr>
        <w:t>ial communities</w:t>
      </w:r>
      <w:r w:rsidR="00862377">
        <w:rPr>
          <w:sz w:val="24"/>
          <w:szCs w:val="24"/>
        </w:rPr>
        <w:t xml:space="preserve">. </w:t>
      </w:r>
    </w:p>
    <w:p w14:paraId="316DF64B" w14:textId="3AC2B5AD" w:rsidR="00DD4360" w:rsidRPr="00DD37EB" w:rsidRDefault="005024B9" w:rsidP="00DD4360">
      <w:pPr>
        <w:spacing w:line="480" w:lineRule="auto"/>
        <w:ind w:firstLine="720"/>
        <w:rPr>
          <w:sz w:val="24"/>
          <w:szCs w:val="24"/>
          <w:lang w:val="fr-FR"/>
        </w:rPr>
      </w:pPr>
      <w:r>
        <w:rPr>
          <w:sz w:val="24"/>
          <w:szCs w:val="24"/>
        </w:rPr>
        <w:t>Dental plaque, an oral biofilm, is the accumulation of microbes on the tooth surface near</w:t>
      </w:r>
      <w:r w:rsidR="009D05FF">
        <w:rPr>
          <w:sz w:val="24"/>
          <w:szCs w:val="24"/>
        </w:rPr>
        <w:t xml:space="preserve"> the gingival margin and in the gingival sulcus </w:t>
      </w:r>
      <w:r w:rsidR="009D05FF">
        <w:rPr>
          <w:sz w:val="24"/>
          <w:szCs w:val="24"/>
        </w:rPr>
        <w:fldChar w:fldCharType="begin"/>
      </w:r>
      <w:r w:rsidR="009D05FF">
        <w:rPr>
          <w:sz w:val="24"/>
          <w:szCs w:val="24"/>
        </w:rPr>
        <w:instrText xml:space="preserve"> ADDIN ZOTERO_ITEM CSL_CITATION {"citationID":"Ahp4ZWy1","properties":{"formattedCitation":"(Struzycka, 2014)","plainCitation":"(Struzycka, 2014)","noteIndex":0},"citationItems":[{"id":566,"uris":["http://zotero.org/users/4461938/items/PL972B5W"],"uri":["http://zotero.org/users/4461938/items/PL972B5W"],"itemData":{"id":566,"type":"article-journal","title":"The oral microbiome in dental caries","container-title":"Polish Microbiology","page":"127-135","volume":"63","issue":"2","author":[{"family":"Struzycka","given":"Izabela"}],"issued":{"date-parts":[["2014"]]}}}],"schema":"https://github.com/citation-style-language/schema/raw/master/csl-citation.json"} </w:instrText>
      </w:r>
      <w:r w:rsidR="009D05FF">
        <w:rPr>
          <w:sz w:val="24"/>
          <w:szCs w:val="24"/>
        </w:rPr>
        <w:fldChar w:fldCharType="separate"/>
      </w:r>
      <w:r w:rsidR="009D05FF" w:rsidRPr="009D05FF">
        <w:rPr>
          <w:sz w:val="24"/>
        </w:rPr>
        <w:t>(Struzycka, 2014)</w:t>
      </w:r>
      <w:r w:rsidR="009D05FF">
        <w:rPr>
          <w:sz w:val="24"/>
          <w:szCs w:val="24"/>
        </w:rPr>
        <w:fldChar w:fldCharType="end"/>
      </w:r>
      <w:r w:rsidR="009D05FF">
        <w:rPr>
          <w:sz w:val="24"/>
          <w:szCs w:val="24"/>
        </w:rPr>
        <w:t xml:space="preserve">. </w:t>
      </w:r>
      <w:r w:rsidR="003C7431">
        <w:rPr>
          <w:sz w:val="24"/>
          <w:szCs w:val="24"/>
        </w:rPr>
        <w:t>A number of species</w:t>
      </w:r>
      <w:r w:rsidR="00EF6619">
        <w:rPr>
          <w:sz w:val="24"/>
          <w:szCs w:val="24"/>
        </w:rPr>
        <w:t xml:space="preserve"> within th</w:t>
      </w:r>
      <w:r>
        <w:rPr>
          <w:sz w:val="24"/>
          <w:szCs w:val="24"/>
        </w:rPr>
        <w:t>is</w:t>
      </w:r>
      <w:r w:rsidR="00EF6619">
        <w:rPr>
          <w:sz w:val="24"/>
          <w:szCs w:val="24"/>
        </w:rPr>
        <w:t xml:space="preserve"> biofilm </w:t>
      </w:r>
      <w:r w:rsidR="00EC0669" w:rsidRPr="0016617B">
        <w:rPr>
          <w:sz w:val="24"/>
          <w:szCs w:val="24"/>
        </w:rPr>
        <w:t xml:space="preserve">play an </w:t>
      </w:r>
      <w:r w:rsidR="009D05FF">
        <w:rPr>
          <w:sz w:val="24"/>
          <w:szCs w:val="24"/>
        </w:rPr>
        <w:t xml:space="preserve">active </w:t>
      </w:r>
      <w:r w:rsidR="00EC0669" w:rsidRPr="0016617B">
        <w:rPr>
          <w:sz w:val="24"/>
          <w:szCs w:val="24"/>
        </w:rPr>
        <w:t xml:space="preserve">role in the development and pathogenesis of oral diseases, including caries, gingivitis, and periodontitis </w:t>
      </w:r>
      <w:r w:rsidR="00EC0669" w:rsidRPr="0016617B">
        <w:rPr>
          <w:sz w:val="24"/>
          <w:szCs w:val="24"/>
        </w:rPr>
        <w:fldChar w:fldCharType="begin"/>
      </w:r>
      <w:r w:rsidR="00EC0669">
        <w:rPr>
          <w:sz w:val="24"/>
          <w:szCs w:val="24"/>
        </w:rPr>
        <w:instrText xml:space="preserve"> ADDIN ZOTERO_ITEM CSL_CITATION {"citationID":"6ewSFB6x","properties":{"formattedCitation":"(Mancl, Kirsner, and Ajdic 2013)","plainCitation":"(Mancl, Kirsner, and Ajdic 2013)","dontUpdate":true,"noteIndex":0},"citationItems":[{"id":614,"uris":["http://zotero.org/users/4461938/items/IB2W363Z"],"uri":["http://zotero.org/users/4461938/items/IB2W363Z"],"itemData":{"id":614,"type":"article-journal","title":"Wound biofilms: lessons learned from oral biofilms","container-title":"Wound repair and regeneration","page":"352-362","volume":"21","issue":"3","author":[{"family":"Mancl","given":"Kimberly A."},{"family":"Kirsner","given":"Robert S."},{"family":"Ajdic","given":"Dragana"}],"issued":{"date-parts":[["2013"]]}}}],"schema":"https://github.com/citation-style-language/schema/raw/master/csl-citation.json"} </w:instrText>
      </w:r>
      <w:r w:rsidR="00EC0669" w:rsidRPr="0016617B">
        <w:rPr>
          <w:sz w:val="24"/>
          <w:szCs w:val="24"/>
        </w:rPr>
        <w:fldChar w:fldCharType="separate"/>
      </w:r>
      <w:r w:rsidR="00EC0669" w:rsidRPr="0016617B">
        <w:rPr>
          <w:sz w:val="24"/>
          <w:szCs w:val="24"/>
        </w:rPr>
        <w:t>(Mancl et al., 2013)</w:t>
      </w:r>
      <w:r w:rsidR="00EC0669" w:rsidRPr="0016617B">
        <w:rPr>
          <w:sz w:val="24"/>
          <w:szCs w:val="24"/>
        </w:rPr>
        <w:fldChar w:fldCharType="end"/>
      </w:r>
      <w:r w:rsidR="00EC0669" w:rsidRPr="0016617B">
        <w:rPr>
          <w:sz w:val="24"/>
          <w:szCs w:val="24"/>
        </w:rPr>
        <w:t>.</w:t>
      </w:r>
      <w:r w:rsidR="003F25FF">
        <w:rPr>
          <w:sz w:val="24"/>
          <w:szCs w:val="24"/>
        </w:rPr>
        <w:t xml:space="preserve"> </w:t>
      </w:r>
      <w:r w:rsidR="003F25FF" w:rsidRPr="0016617B">
        <w:rPr>
          <w:sz w:val="24"/>
          <w:szCs w:val="24"/>
        </w:rPr>
        <w:t xml:space="preserve">For instance, </w:t>
      </w:r>
      <w:r w:rsidR="003F25FF" w:rsidRPr="0016617B">
        <w:rPr>
          <w:i/>
          <w:sz w:val="24"/>
          <w:szCs w:val="24"/>
        </w:rPr>
        <w:t>Streptococcus mutans</w:t>
      </w:r>
      <w:r w:rsidR="009D05FF">
        <w:rPr>
          <w:sz w:val="24"/>
          <w:szCs w:val="24"/>
        </w:rPr>
        <w:t>, a species that is commonly found in dental plaque,</w:t>
      </w:r>
      <w:r w:rsidR="003F25FF" w:rsidRPr="0016617B">
        <w:rPr>
          <w:i/>
          <w:sz w:val="24"/>
          <w:szCs w:val="24"/>
        </w:rPr>
        <w:t xml:space="preserve"> </w:t>
      </w:r>
      <w:r w:rsidR="00EF6619">
        <w:rPr>
          <w:sz w:val="24"/>
          <w:szCs w:val="24"/>
        </w:rPr>
        <w:t xml:space="preserve">manufactures lactic acid which degrades enamel </w:t>
      </w:r>
      <w:r w:rsidR="003F25FF" w:rsidRPr="0016617B">
        <w:rPr>
          <w:sz w:val="24"/>
          <w:szCs w:val="24"/>
        </w:rPr>
        <w:fldChar w:fldCharType="begin"/>
      </w:r>
      <w:r w:rsidR="00EF6619">
        <w:rPr>
          <w:sz w:val="24"/>
          <w:szCs w:val="24"/>
        </w:rPr>
        <w:instrText xml:space="preserve"> ADDIN ZOTERO_ITEM CSL_CITATION {"citationID":"NkhNmlEK","properties":{"formattedCitation":"(Gao et al., 2016; Ojeda-Garc\\uc0\\u233{}s et al., 2013; Okada et al., 2003; Sim\\uc0\\u243{}n-Soro and Mira, 2015)","plainCitation":"(Gao et al., 2016; Ojeda-Garcés et al., 2013; Okada et al., 2003; Simón-Soro and Mira, 2015)","noteIndex":0},"citationItems":[{"id":588,"uris":["http://zotero.org/users/4461938/items/HS92A9PW"],"uri":["http://zotero.org/users/4461938/items/HS92A9PW"],"itemData":{"id":588,"type":"article-journal","title":"Nanocatalysts promote Streptococcus mutans biofilm matrix degradation and enhance bacterial killing to suppress dental caries in vivo","container-title":"Biomaterials","page":"272-284","volume":"101","author":[{"family":"Gao","given":"Lizeng"},{"family":"Liu","given":"Yuan"},{"family":"Kim","given":"Dongyeop"},{"family":"Li","given":"Yong"},{"family":"Hwang","given":"Geelsu"},{"family":"Naha","given":"Pratap C."},{"family":"Cormode","given":"David P."},{"family":"Koo","given":"Hyun"}],"issued":{"date-parts":[["2016"]]}}},{"id":629,"uris":["http://zotero.org/users/4461938/items/2TVBP2YA"],"uri":["http://zotero.org/users/4461938/items/2TVBP2YA"],"itemData":{"id":629,"type":"article-journal","title":"Streptococcus mutans and dental caries","container-title":"Ces Odontología","p</w:instrText>
      </w:r>
      <w:r w:rsidR="00EF6619" w:rsidRPr="00BC4418">
        <w:rPr>
          <w:sz w:val="24"/>
          <w:szCs w:val="24"/>
          <w:lang w:val="fr-FR"/>
        </w:rPr>
        <w:instrText>age":"44-56","volume":"26","issue":"1","author"</w:instrText>
      </w:r>
      <w:r w:rsidR="00EF6619" w:rsidRPr="00EF6619">
        <w:rPr>
          <w:sz w:val="24"/>
          <w:szCs w:val="24"/>
          <w:lang w:val="fr-FR"/>
        </w:rPr>
        <w:instrText xml:space="preserve">:[{"family":"Ojeda-Garcés","given":"Juan Carlos"},{"family":"Oviedo-García","given":"Eliana"},{"family":"Salas","given":"Luis Andrés"}],"issued":{"date-parts":[["2013"]]}}},{"id":577,"uris":["http://zotero.org/users/4461938/items/DPAUMDUB"],"uri":["http://zotero.org/users/4461938/items/DPAUMDUB"],"itemData":{"id":577,"type":"paper-conference","title":"Longitudinal study of dental caries incidence with Streptococcus mutans and S-sobrinus in pre-school children.","container-title":"JOURNAL OF DENTAL RESEARCH","publisher":"INT AMER ASSOC DENTAL RESEARCHI ADR/AADR 1619 DUKE ST, ALEXANDRIA, VA 22314-3406 USA","page":"B351-B351","volume":"82","ISBN":"0022-0345","author":[{"family":"Okada","given":"M."},{"family":"Soda","given":"Y."},{"family":"Hayashi","given":"F."},{"family":"Doi","given":"T."},{"family":"Suzuki","given":"J."},{"family":"Miura","given":"K."},{"family":"Kozai","given":"K."}],"issued":{"date-parts":[["2003"]]}}},{"id":632,"uris":["http://zotero.org/users/4461938/items/L5FZXHP5"],"uri":["http://zotero.org/users/4461938/items/L5FZXHP5"],"itemData":{"id":632,"type":"article-journal","title":"Solving the etiology of dental caries","container-title":"Trends in microbiology","page":"76-82","volume":"23","issue":"2","author":[{"family":"Simón-Soro","given":"Aurea"},{"family":"Mira","given":"Alex"}],"issued":{"date-parts":[["2015"]]}}}],"schema":"https://github.com/citation-style-language/schema/raw/master/csl-citation.json"} </w:instrText>
      </w:r>
      <w:r w:rsidR="003F25FF" w:rsidRPr="0016617B">
        <w:rPr>
          <w:sz w:val="24"/>
          <w:szCs w:val="24"/>
        </w:rPr>
        <w:fldChar w:fldCharType="separate"/>
      </w:r>
      <w:r w:rsidR="00EF6619" w:rsidRPr="00EF6619">
        <w:rPr>
          <w:sz w:val="24"/>
          <w:szCs w:val="24"/>
          <w:lang w:val="fr-FR"/>
        </w:rPr>
        <w:t>(Gao et al., 2016; Ojeda-Garcés et al., 2013; Okada et al., 2003; Simón-Soro and Mira, 2015)</w:t>
      </w:r>
      <w:r w:rsidR="003F25FF" w:rsidRPr="0016617B">
        <w:rPr>
          <w:sz w:val="24"/>
          <w:szCs w:val="24"/>
        </w:rPr>
        <w:fldChar w:fldCharType="end"/>
      </w:r>
      <w:r w:rsidR="003F25FF" w:rsidRPr="00EC0669">
        <w:rPr>
          <w:sz w:val="24"/>
          <w:szCs w:val="24"/>
          <w:lang w:val="fr-FR"/>
        </w:rPr>
        <w:t xml:space="preserve">. </w:t>
      </w:r>
    </w:p>
    <w:p w14:paraId="3E6B33BB" w14:textId="49BEA6F4" w:rsidR="00721790" w:rsidRPr="00721790" w:rsidRDefault="00B970F7" w:rsidP="00DD4360">
      <w:pPr>
        <w:spacing w:line="480" w:lineRule="auto"/>
        <w:ind w:firstLine="720"/>
        <w:rPr>
          <w:sz w:val="24"/>
          <w:szCs w:val="24"/>
        </w:rPr>
      </w:pPr>
      <w:r>
        <w:rPr>
          <w:sz w:val="24"/>
          <w:szCs w:val="24"/>
        </w:rPr>
        <w:t>Another example of a dental biofilm is d</w:t>
      </w:r>
      <w:r w:rsidR="00721790" w:rsidRPr="00721790">
        <w:rPr>
          <w:sz w:val="24"/>
          <w:szCs w:val="24"/>
        </w:rPr>
        <w:t>ental calculus</w:t>
      </w:r>
      <w:r>
        <w:rPr>
          <w:sz w:val="24"/>
          <w:szCs w:val="24"/>
        </w:rPr>
        <w:t xml:space="preserve">. </w:t>
      </w:r>
      <w:r w:rsidR="00F80652">
        <w:rPr>
          <w:sz w:val="24"/>
          <w:szCs w:val="24"/>
        </w:rPr>
        <w:t>Even though the exact mechanisms for dental calculus formation is unknown, d</w:t>
      </w:r>
      <w:r>
        <w:rPr>
          <w:sz w:val="24"/>
          <w:szCs w:val="24"/>
        </w:rPr>
        <w:t xml:space="preserve">ental calculus </w:t>
      </w:r>
      <w:r w:rsidR="00F80652">
        <w:rPr>
          <w:sz w:val="24"/>
          <w:szCs w:val="24"/>
        </w:rPr>
        <w:t>is formed</w:t>
      </w:r>
      <w:r>
        <w:rPr>
          <w:sz w:val="24"/>
          <w:szCs w:val="24"/>
        </w:rPr>
        <w:t xml:space="preserve"> </w:t>
      </w:r>
      <w:r w:rsidR="00721790" w:rsidRPr="00721790">
        <w:rPr>
          <w:sz w:val="24"/>
          <w:szCs w:val="24"/>
        </w:rPr>
        <w:t>w</w:t>
      </w:r>
      <w:r w:rsidR="00721790">
        <w:rPr>
          <w:sz w:val="24"/>
          <w:szCs w:val="24"/>
        </w:rPr>
        <w:t>hen dental plaque</w:t>
      </w:r>
      <w:r>
        <w:rPr>
          <w:sz w:val="24"/>
          <w:szCs w:val="24"/>
        </w:rPr>
        <w:t>, saliva, gingival crevicular fluid</w:t>
      </w:r>
      <w:r w:rsidR="00F80652">
        <w:rPr>
          <w:sz w:val="24"/>
          <w:szCs w:val="24"/>
        </w:rPr>
        <w:t>, and</w:t>
      </w:r>
      <w:r w:rsidR="004C21DA">
        <w:rPr>
          <w:sz w:val="24"/>
          <w:szCs w:val="24"/>
        </w:rPr>
        <w:t xml:space="preserve"> </w:t>
      </w:r>
      <w:r w:rsidR="00721790">
        <w:rPr>
          <w:sz w:val="24"/>
          <w:szCs w:val="24"/>
        </w:rPr>
        <w:t>calcium phosphate minerals</w:t>
      </w:r>
      <w:r w:rsidR="004C21DA">
        <w:rPr>
          <w:sz w:val="24"/>
          <w:szCs w:val="24"/>
        </w:rPr>
        <w:t xml:space="preserve"> are present</w:t>
      </w:r>
      <w:r w:rsidR="00F21EA4">
        <w:rPr>
          <w:sz w:val="24"/>
          <w:szCs w:val="24"/>
        </w:rPr>
        <w:t xml:space="preserve"> </w:t>
      </w:r>
      <w:r w:rsidR="00F21EA4">
        <w:rPr>
          <w:sz w:val="24"/>
          <w:szCs w:val="24"/>
        </w:rPr>
        <w:fldChar w:fldCharType="begin"/>
      </w:r>
      <w:r w:rsidR="00F21EA4">
        <w:rPr>
          <w:sz w:val="24"/>
          <w:szCs w:val="24"/>
        </w:rPr>
        <w:instrText xml:space="preserve"> ADDIN ZOTERO_ITEM CSL_CITATION {"citationID":"0mYU4fZy","properties":{"formattedCitation":"(Warinner et al., 2014)","plainCitation":"(Warinner et al., 2014)","noteIndex":0},"citationItems":[{"id":624,"uris":["http://zotero.org/users/4461938/items/PZMVCPAA"],"uri":["http://zotero.org/users/4461938/items/PZMVCPAA"],"itemData":{"id":624,"type":"article-journal","title":"Pathogens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Y."},{"family":"Fiddyment","given":"Sarah"}],"issued":{"date-parts":[["2014"]]}}}],"schema":"https://github.com/citation-style-language/schema/raw/master/csl-citation.json"} </w:instrText>
      </w:r>
      <w:r w:rsidR="00F21EA4">
        <w:rPr>
          <w:sz w:val="24"/>
          <w:szCs w:val="24"/>
        </w:rPr>
        <w:fldChar w:fldCharType="separate"/>
      </w:r>
      <w:r w:rsidR="00F21EA4" w:rsidRPr="00F21EA4">
        <w:rPr>
          <w:sz w:val="24"/>
        </w:rPr>
        <w:t>(Warinner et al., 2014)</w:t>
      </w:r>
      <w:r w:rsidR="00F21EA4">
        <w:rPr>
          <w:sz w:val="24"/>
          <w:szCs w:val="24"/>
        </w:rPr>
        <w:fldChar w:fldCharType="end"/>
      </w:r>
      <w:r w:rsidR="00721790">
        <w:rPr>
          <w:sz w:val="24"/>
          <w:szCs w:val="24"/>
        </w:rPr>
        <w:t>.</w:t>
      </w:r>
      <w:r>
        <w:rPr>
          <w:sz w:val="24"/>
          <w:szCs w:val="24"/>
        </w:rPr>
        <w:t xml:space="preserve"> Dental calculus formation </w:t>
      </w:r>
      <w:r w:rsidR="00F80652">
        <w:rPr>
          <w:sz w:val="24"/>
          <w:szCs w:val="24"/>
        </w:rPr>
        <w:t>may also incorporate</w:t>
      </w:r>
      <w:r>
        <w:rPr>
          <w:sz w:val="24"/>
          <w:szCs w:val="24"/>
        </w:rPr>
        <w:t xml:space="preserve"> other particles, such as airborne and waterborne pollutants, plant and animal fibers, dietary microfossils</w:t>
      </w:r>
      <w:r w:rsidR="00717759">
        <w:rPr>
          <w:sz w:val="24"/>
          <w:szCs w:val="24"/>
        </w:rPr>
        <w:t>, and the DNA from host</w:t>
      </w:r>
      <w:r w:rsidR="005024B9">
        <w:rPr>
          <w:sz w:val="24"/>
          <w:szCs w:val="24"/>
        </w:rPr>
        <w:t>s</w:t>
      </w:r>
      <w:r w:rsidR="00717759">
        <w:rPr>
          <w:sz w:val="24"/>
          <w:szCs w:val="24"/>
        </w:rPr>
        <w:t xml:space="preserve"> and microbes</w:t>
      </w:r>
      <w:r>
        <w:rPr>
          <w:sz w:val="24"/>
          <w:szCs w:val="24"/>
        </w:rPr>
        <w:t xml:space="preserve"> </w:t>
      </w:r>
      <w:r>
        <w:rPr>
          <w:sz w:val="24"/>
          <w:szCs w:val="24"/>
        </w:rPr>
        <w:fldChar w:fldCharType="begin"/>
      </w:r>
      <w:r>
        <w:rPr>
          <w:sz w:val="24"/>
          <w:szCs w:val="24"/>
        </w:rPr>
        <w:instrText xml:space="preserve"> ADDIN ZOTERO_ITEM CSL_CITATION {"citationID":"xtqjAiLk","properties":{"formattedCitation":"(Warinner et al., 2015)","plainCitation":"(Warinner et al., 2015)","noteIndex":0},"citationItems":[{"id":271,"uris":["http://zotero.org/users/4461938/items/EQV6K7QB"],"uri":["http://zotero.org/users/4461938/items/EQV6K7QB"],"itemData":{"id":271,"type":"article-journal","title":"A new era in palaeomicrobiology: prospects for ancient dental calculus as a long-term record of the human oral microbiome","container-title":"Phil. Trans. R. Soc. B","page":"20130376","volume":"370","issue":"1660","ISSN":"0962-8436","journalAbbreviation":"Phil. Trans. R. Soc. B","author":[{"family":"Warinner","given":"Christina"},{"family":"Speller","given":"Camilla"},{"family":"Collins","given":"Matthew J"}],"issued":{"date-parts":[["2015"]]}}}],"schema":"https://github.com/citation-style-language/schema/raw/master/csl-citation.json"} </w:instrText>
      </w:r>
      <w:r>
        <w:rPr>
          <w:sz w:val="24"/>
          <w:szCs w:val="24"/>
        </w:rPr>
        <w:fldChar w:fldCharType="separate"/>
      </w:r>
      <w:r w:rsidRPr="00B970F7">
        <w:rPr>
          <w:sz w:val="24"/>
        </w:rPr>
        <w:t>(Warinner et al., 2015)</w:t>
      </w:r>
      <w:r>
        <w:rPr>
          <w:sz w:val="24"/>
          <w:szCs w:val="24"/>
        </w:rPr>
        <w:fldChar w:fldCharType="end"/>
      </w:r>
      <w:r>
        <w:rPr>
          <w:sz w:val="24"/>
          <w:szCs w:val="24"/>
        </w:rPr>
        <w:t>.</w:t>
      </w:r>
      <w:r w:rsidR="005024B9">
        <w:rPr>
          <w:sz w:val="24"/>
          <w:szCs w:val="24"/>
        </w:rPr>
        <w:t xml:space="preserve"> </w:t>
      </w:r>
      <w:r w:rsidR="007F7899">
        <w:rPr>
          <w:sz w:val="24"/>
          <w:szCs w:val="24"/>
        </w:rPr>
        <w:t xml:space="preserve">HTS of archaeological dental calculus </w:t>
      </w:r>
      <w:r w:rsidR="005024B9">
        <w:rPr>
          <w:sz w:val="24"/>
          <w:szCs w:val="24"/>
        </w:rPr>
        <w:t xml:space="preserve">provides a critical source of information about the oral microbiome </w:t>
      </w:r>
      <w:r w:rsidR="007F7899">
        <w:rPr>
          <w:sz w:val="24"/>
          <w:szCs w:val="24"/>
        </w:rPr>
        <w:t>of</w:t>
      </w:r>
      <w:r w:rsidR="005024B9">
        <w:rPr>
          <w:sz w:val="24"/>
          <w:szCs w:val="24"/>
        </w:rPr>
        <w:t xml:space="preserve"> past populations. </w:t>
      </w:r>
      <w:r w:rsidR="007F7899">
        <w:rPr>
          <w:sz w:val="24"/>
          <w:szCs w:val="24"/>
        </w:rPr>
        <w:t xml:space="preserve">This application in turn </w:t>
      </w:r>
      <w:r w:rsidR="00032F6D">
        <w:rPr>
          <w:sz w:val="24"/>
          <w:szCs w:val="24"/>
        </w:rPr>
        <w:t xml:space="preserve">has enabled the study of variation and evolution of the oral microbiome.  </w:t>
      </w:r>
    </w:p>
    <w:p w14:paraId="1C64639F" w14:textId="224427D6" w:rsidR="00EC0669" w:rsidRPr="00DD37EB" w:rsidRDefault="00062C86" w:rsidP="00C21A2F">
      <w:pPr>
        <w:pStyle w:val="Heading2"/>
        <w:rPr>
          <w:rFonts w:ascii="Times New Roman" w:hAnsi="Times New Roman" w:cs="Times New Roman"/>
          <w:i/>
          <w:color w:val="auto"/>
          <w:sz w:val="24"/>
          <w:szCs w:val="24"/>
        </w:rPr>
      </w:pPr>
      <w:bookmarkStart w:id="10" w:name="_Toc8404622"/>
      <w:r w:rsidRPr="00DD37EB">
        <w:rPr>
          <w:rFonts w:ascii="Times New Roman" w:hAnsi="Times New Roman" w:cs="Times New Roman"/>
          <w:i/>
          <w:color w:val="auto"/>
          <w:sz w:val="24"/>
          <w:szCs w:val="24"/>
        </w:rPr>
        <w:lastRenderedPageBreak/>
        <w:t xml:space="preserve">Dental calculus and ancient </w:t>
      </w:r>
      <w:r w:rsidR="009E4CBA" w:rsidRPr="00DD37EB">
        <w:rPr>
          <w:rFonts w:ascii="Times New Roman" w:hAnsi="Times New Roman" w:cs="Times New Roman"/>
          <w:i/>
          <w:color w:val="auto"/>
          <w:sz w:val="24"/>
          <w:szCs w:val="24"/>
        </w:rPr>
        <w:t>oral microbiomes</w:t>
      </w:r>
      <w:bookmarkEnd w:id="10"/>
    </w:p>
    <w:p w14:paraId="524E9CA8" w14:textId="668B4611" w:rsidR="00EC0669" w:rsidRPr="0016617B" w:rsidRDefault="007F7899" w:rsidP="009774A9">
      <w:pPr>
        <w:spacing w:line="480" w:lineRule="auto"/>
        <w:ind w:firstLine="720"/>
        <w:rPr>
          <w:sz w:val="24"/>
          <w:szCs w:val="24"/>
        </w:rPr>
      </w:pPr>
      <w:r>
        <w:rPr>
          <w:sz w:val="24"/>
          <w:szCs w:val="24"/>
        </w:rPr>
        <w:t>D</w:t>
      </w:r>
      <w:r w:rsidR="00721790">
        <w:rPr>
          <w:sz w:val="24"/>
          <w:szCs w:val="24"/>
        </w:rPr>
        <w:t xml:space="preserve">ental calculus </w:t>
      </w:r>
      <w:r>
        <w:rPr>
          <w:sz w:val="24"/>
          <w:szCs w:val="24"/>
        </w:rPr>
        <w:t>i</w:t>
      </w:r>
      <w:r w:rsidR="00032F6D">
        <w:rPr>
          <w:sz w:val="24"/>
          <w:szCs w:val="24"/>
        </w:rPr>
        <w:t xml:space="preserve">s a source of oral health and subsistence strategies </w:t>
      </w:r>
      <w:r w:rsidR="00721790">
        <w:rPr>
          <w:sz w:val="24"/>
          <w:szCs w:val="24"/>
        </w:rPr>
        <w:t xml:space="preserve">from past populations </w:t>
      </w:r>
      <w:r w:rsidR="00032F6D">
        <w:rPr>
          <w:sz w:val="24"/>
          <w:szCs w:val="24"/>
        </w:rPr>
        <w:fldChar w:fldCharType="begin"/>
      </w:r>
      <w:r w:rsidR="00032F6D">
        <w:rPr>
          <w:sz w:val="24"/>
          <w:szCs w:val="24"/>
        </w:rPr>
        <w:instrText xml:space="preserve"> ADDIN ZOTERO_ITEM CSL_CITATION {"citationID":"47Clt7p4","properties":{"formattedCitation":"(Warinner et al., 2015)","plainCitation":"(Warinner et al., 2015)","noteIndex":0},"citationItems":[{"id":271,"uris":["http://zotero.org/users/4461938/items/EQV6K7QB"],"uri":["http://zotero.org/users/4461938/items/EQV6K7QB"],"itemData":{"id":271,"type":"article-journal","title":"A new era in palaeomicrobiology: prospects for ancient dental calculus as a long-term record of the human oral microbiome","container-title":"Phil. Trans. R. Soc. B","page":"20130376","volume":"370","issue":"1660","ISSN":"0962-8436","journalAbbreviation":"Phil. Trans. R. Soc. B","author":[{"family":"Warinner","given":"Christina"},{"family":"Speller","given":"Camilla"},{"family":"Collins","given":"Matthew J"}],"issued":{"date-parts":[["2015"]]}}}],"schema":"https://github.com/citation-style-language/schema/raw/master/csl-citation.json"} </w:instrText>
      </w:r>
      <w:r w:rsidR="00032F6D">
        <w:rPr>
          <w:sz w:val="24"/>
          <w:szCs w:val="24"/>
        </w:rPr>
        <w:fldChar w:fldCharType="separate"/>
      </w:r>
      <w:r w:rsidR="00032F6D" w:rsidRPr="00032F6D">
        <w:rPr>
          <w:sz w:val="24"/>
        </w:rPr>
        <w:t>(Warinner et al., 2015)</w:t>
      </w:r>
      <w:r w:rsidR="00032F6D">
        <w:rPr>
          <w:sz w:val="24"/>
          <w:szCs w:val="24"/>
        </w:rPr>
        <w:fldChar w:fldCharType="end"/>
      </w:r>
      <w:r w:rsidR="00032F6D">
        <w:rPr>
          <w:sz w:val="24"/>
          <w:szCs w:val="24"/>
        </w:rPr>
        <w:t xml:space="preserve">. </w:t>
      </w:r>
      <w:r w:rsidR="00EC0669" w:rsidRPr="0016617B">
        <w:rPr>
          <w:sz w:val="24"/>
          <w:szCs w:val="24"/>
        </w:rPr>
        <w:t xml:space="preserve">The </w:t>
      </w:r>
      <w:r w:rsidR="007C2F92">
        <w:rPr>
          <w:sz w:val="24"/>
          <w:szCs w:val="24"/>
        </w:rPr>
        <w:t xml:space="preserve">earliest studies on archaeological </w:t>
      </w:r>
      <w:r w:rsidR="00EC0669" w:rsidRPr="0016617B">
        <w:rPr>
          <w:sz w:val="24"/>
          <w:szCs w:val="24"/>
        </w:rPr>
        <w:t>dental calculus</w:t>
      </w:r>
      <w:r w:rsidR="007C2F92">
        <w:rPr>
          <w:sz w:val="24"/>
          <w:szCs w:val="24"/>
        </w:rPr>
        <w:t xml:space="preserve"> </w:t>
      </w:r>
      <w:r w:rsidR="007274AE">
        <w:rPr>
          <w:sz w:val="24"/>
          <w:szCs w:val="24"/>
        </w:rPr>
        <w:t xml:space="preserve">focused on faunal diet reconstruction </w:t>
      </w:r>
      <w:r w:rsidR="007274AE">
        <w:rPr>
          <w:sz w:val="24"/>
          <w:szCs w:val="24"/>
        </w:rPr>
        <w:fldChar w:fldCharType="begin"/>
      </w:r>
      <w:r w:rsidR="007274AE">
        <w:rPr>
          <w:sz w:val="24"/>
          <w:szCs w:val="24"/>
        </w:rPr>
        <w:instrText xml:space="preserve"> ADDIN ZOTERO_ITEM CSL_CITATION {"citationID":"3y38rzy0","properties":{"formattedCitation":"(Armitage, 1975; Brothwell, 1981; Rowles, 1961)","plainCitation":"(Armitage, 1975; Brothwell, 1981; Rowles, 1961)","noteIndex":0},"citationItems":[{"id":718,"uris":["http://zotero.org/users/4461938/items/G98372YA"],"uri":["http://zotero.org/users/4461938/items/G98372YA"],"itemData":{"id":718,"type":"article-journal","title":"The extraction and identification of opal phytoliths from the teeth of ungulates","container-title":"Journal of Archaeological Science","page":"187-197","volume":"2","issue":"3","author":[{"family":"Armitage","given":"Philip L."}],"issued":{"date-parts":[["1975"]]}}},{"id":1282,"uris":["http://zotero.org/users/4461938/items/KLEH4XMM"],"uri":["http://zotero.org/users/4461938/items/KLEH4XMM"],"itemData":{"id":1282,"type":"book","title":"Digging up bones: the excavation, treatment, and study of human skeletal remains","publisher":"Cornell University Press","ISBN":"0-8014-9875-9","author":[{"family":"Brothwell","given":"Don R"}],"issued":{"date-parts":[["1981"]]}}},{"id":1281,"uris":["http://zotero.org/users/4461938/items/XN73YNBX"],"uri":["http://zotero.org/users/4461938/items/XN73YNBX"],"itemData":{"id":1281,"type":"article-journal","title":"Further studies on the crystalline constituents of oral calculus","container-title":"J. dent. Res","page":"1284","volume":"40","journalAbbreviation":"J. dent. Res","author":[{"family":"Rowles","given":"S"}],"issued":{"date-parts":[["1961"]]}}}],"schema":"https://github.com/citation-style-language/schema/raw/master/csl-citation.json"} </w:instrText>
      </w:r>
      <w:r w:rsidR="007274AE">
        <w:rPr>
          <w:sz w:val="24"/>
          <w:szCs w:val="24"/>
        </w:rPr>
        <w:fldChar w:fldCharType="separate"/>
      </w:r>
      <w:r w:rsidR="007274AE" w:rsidRPr="007274AE">
        <w:rPr>
          <w:sz w:val="24"/>
        </w:rPr>
        <w:t>(Armitage, 1975; Brothwell, 1981; Rowles, 1961)</w:t>
      </w:r>
      <w:r w:rsidR="007274AE">
        <w:rPr>
          <w:sz w:val="24"/>
          <w:szCs w:val="24"/>
        </w:rPr>
        <w:fldChar w:fldCharType="end"/>
      </w:r>
      <w:r w:rsidR="00EC0669" w:rsidRPr="0016617B">
        <w:rPr>
          <w:sz w:val="24"/>
          <w:szCs w:val="24"/>
        </w:rPr>
        <w:t xml:space="preserve">. </w:t>
      </w:r>
      <w:r>
        <w:rPr>
          <w:sz w:val="24"/>
          <w:szCs w:val="24"/>
        </w:rPr>
        <w:t>W</w:t>
      </w:r>
      <w:r w:rsidR="00EC0669" w:rsidRPr="0016617B">
        <w:rPr>
          <w:sz w:val="24"/>
          <w:szCs w:val="24"/>
        </w:rPr>
        <w:t xml:space="preserve">ell-preserved organic materials, such as pollen grains, animal hair, and a variety of unidentifiable animal and plant tissues </w:t>
      </w:r>
      <w:r w:rsidR="007368B0">
        <w:rPr>
          <w:sz w:val="24"/>
          <w:szCs w:val="24"/>
        </w:rPr>
        <w:t xml:space="preserve">have also been recovered from faunal dental calculus </w:t>
      </w:r>
      <w:r w:rsidR="00EC0669" w:rsidRPr="0016617B">
        <w:rPr>
          <w:sz w:val="24"/>
          <w:szCs w:val="24"/>
        </w:rPr>
        <w:fldChar w:fldCharType="begin"/>
      </w:r>
      <w:r w:rsidR="00EC0669">
        <w:rPr>
          <w:sz w:val="24"/>
          <w:szCs w:val="24"/>
        </w:rPr>
        <w:instrText xml:space="preserve"> ADDIN ZOTERO_ITEM CSL_CITATION {"citationID":"Qt2rNQYq","properties":{"formattedCitation":"(Dobney and Brothwell, 1988, 1986)","plainCitation":"(Dobney and Brothwell, 1988, 1986)","noteIndex":0},"citationItems":[{"id":719,"uris":["http://zotero.org/users/4461938/items/GT8494Q3"],"uri":["http://zotero.org/users/4461938/items/GT8494Q3"],"itemData":{"id":719,"type":"article-journal","title":"Dental calculus: its relevance to ancient diet and oral ecology","container-title":"Teeth and Anthropology","page":"55-81","volume":"291","author":[{"family":"Dobney","given":"Keith"},{"family":"Brothwell","given":"Don"}],"issued":{"date-parts":[["1986"]]}}},{"id":720,"uris":["http://zotero.org/users/4461938/items/NHQ87VVP"],"uri":["http://zotero.org/users/4461938/items/NHQ87VVP"],"itemData":{"id":720,"type":"chapter","title":"A scanning electron microscope study of archaeological dental calculus","container-title":"Scanning electron microscopy in archaeology","page":"372-385","ISBN":"0-86054-579-2","author":[{"family":"Dobney","given":"Keith"},{"family":"Brothwell","given":"Don"}],"issued":{"date-parts":[["1988"]]}}}],"schema":"https://github.com/citation-style-language/schema/raw/master/csl-citation.json"} </w:instrText>
      </w:r>
      <w:r w:rsidR="00EC0669" w:rsidRPr="0016617B">
        <w:rPr>
          <w:sz w:val="24"/>
          <w:szCs w:val="24"/>
        </w:rPr>
        <w:fldChar w:fldCharType="separate"/>
      </w:r>
      <w:r w:rsidR="00EC0669" w:rsidRPr="00EC0669">
        <w:rPr>
          <w:sz w:val="24"/>
        </w:rPr>
        <w:t>(Dobney and Brothwell, 1988, 1986)</w:t>
      </w:r>
      <w:r w:rsidR="00EC0669" w:rsidRPr="0016617B">
        <w:rPr>
          <w:sz w:val="24"/>
          <w:szCs w:val="24"/>
        </w:rPr>
        <w:fldChar w:fldCharType="end"/>
      </w:r>
      <w:r w:rsidR="00EC0669" w:rsidRPr="0016617B">
        <w:rPr>
          <w:sz w:val="24"/>
          <w:szCs w:val="24"/>
        </w:rPr>
        <w:t xml:space="preserve">. </w:t>
      </w:r>
      <w:r>
        <w:rPr>
          <w:sz w:val="24"/>
          <w:szCs w:val="24"/>
        </w:rPr>
        <w:t>The</w:t>
      </w:r>
      <w:r w:rsidR="00EC0669" w:rsidRPr="0016617B">
        <w:rPr>
          <w:sz w:val="24"/>
          <w:szCs w:val="24"/>
        </w:rPr>
        <w:t xml:space="preserve"> same techniques </w:t>
      </w:r>
      <w:r w:rsidR="00F80652">
        <w:rPr>
          <w:sz w:val="24"/>
          <w:szCs w:val="24"/>
        </w:rPr>
        <w:t>have been</w:t>
      </w:r>
      <w:r>
        <w:rPr>
          <w:sz w:val="24"/>
          <w:szCs w:val="24"/>
        </w:rPr>
        <w:t xml:space="preserve"> applied </w:t>
      </w:r>
      <w:r w:rsidR="00EC0669" w:rsidRPr="0016617B">
        <w:rPr>
          <w:sz w:val="24"/>
          <w:szCs w:val="24"/>
        </w:rPr>
        <w:t xml:space="preserve">to human </w:t>
      </w:r>
      <w:r w:rsidR="00671139">
        <w:rPr>
          <w:sz w:val="24"/>
          <w:szCs w:val="24"/>
        </w:rPr>
        <w:t>dental</w:t>
      </w:r>
      <w:r w:rsidR="009774A9">
        <w:rPr>
          <w:sz w:val="24"/>
          <w:szCs w:val="24"/>
        </w:rPr>
        <w:t xml:space="preserve"> </w:t>
      </w:r>
      <w:r w:rsidR="00EC0669" w:rsidRPr="0016617B">
        <w:rPr>
          <w:sz w:val="24"/>
          <w:szCs w:val="24"/>
        </w:rPr>
        <w:t xml:space="preserve">calculus </w:t>
      </w:r>
      <w:r w:rsidR="00F80652">
        <w:rPr>
          <w:sz w:val="24"/>
          <w:szCs w:val="24"/>
        </w:rPr>
        <w:t xml:space="preserve">and as a result enabled the study of archaeological dental calculus to also focus on human diet reconstruction </w:t>
      </w:r>
      <w:r w:rsidR="00EC0669" w:rsidRPr="0016617B">
        <w:rPr>
          <w:sz w:val="24"/>
          <w:szCs w:val="24"/>
        </w:rPr>
        <w:fldChar w:fldCharType="begin"/>
      </w:r>
      <w:r w:rsidR="00EC0669">
        <w:rPr>
          <w:sz w:val="24"/>
          <w:szCs w:val="24"/>
        </w:rPr>
        <w:instrText xml:space="preserve"> ADDIN ZOTERO_ITEM CSL_CITATION {"citationID":"7idd4bny","properties":{"formattedCitation":"(Hansen and Medlgaard, 1991; Lilley, 1994)","plainCitation":"(Hansen and Medlgaard, 1991; Lilley, 1994)","noteIndex":0},"citationItems":[{"id":721,"uris":["http://zotero.org/users/4461938/items/N2MBWYN7"],"uri":["http://zotero.org/users/4461938/items/N2MBWYN7"],"itemData":{"id":721,"type":"book","title":"Greenland Mummies","publisher":"McGill-Queen's Press-MQUP","ISBN":"0-7735-6312-1","author":[{"family":"Hansen","given":"Jens Peder Hart"},{"family":"Medlgaard","given":"Jorgen"}],"issued":{"date-parts":[["1991"]]}}},{"id":722,"uris":["http://zotero.org/users/4461938/items/EILUFRA5"],"uri":["http://zotero.org/users/4461938/items/EILUFRA5"],"itemData":{"id":722,"type":"book","title":"The Jewish burial ground at Jewbury","publisher":"Published for the York Archaeological Trust by the Council for British …","volume":"12","ISBN":"1-872414-50-8","author":[{"family":"Lilley","given":"Jane M."}],"issued":{"date-parts":[["1994"]]}}}],"schema":"https://github.com/citation-style-language/schema/raw/master/csl-citation.json"} </w:instrText>
      </w:r>
      <w:r w:rsidR="00EC0669" w:rsidRPr="0016617B">
        <w:rPr>
          <w:sz w:val="24"/>
          <w:szCs w:val="24"/>
        </w:rPr>
        <w:fldChar w:fldCharType="separate"/>
      </w:r>
      <w:r w:rsidR="00EC0669" w:rsidRPr="00EC0669">
        <w:rPr>
          <w:sz w:val="24"/>
        </w:rPr>
        <w:t>(Hansen and Medlgaard, 1991; Lilley, 1994)</w:t>
      </w:r>
      <w:r w:rsidR="00EC0669" w:rsidRPr="0016617B">
        <w:rPr>
          <w:sz w:val="24"/>
          <w:szCs w:val="24"/>
        </w:rPr>
        <w:fldChar w:fldCharType="end"/>
      </w:r>
      <w:r w:rsidR="00EC0669" w:rsidRPr="0016617B">
        <w:rPr>
          <w:sz w:val="24"/>
          <w:szCs w:val="24"/>
        </w:rPr>
        <w:t xml:space="preserve">. </w:t>
      </w:r>
      <w:r w:rsidR="007368B0">
        <w:rPr>
          <w:sz w:val="24"/>
          <w:szCs w:val="24"/>
        </w:rPr>
        <w:t xml:space="preserve">While </w:t>
      </w:r>
      <w:r w:rsidR="00B93717" w:rsidRPr="0016617B">
        <w:rPr>
          <w:sz w:val="24"/>
          <w:szCs w:val="24"/>
        </w:rPr>
        <w:t>Dobney and Brothwell (1988) observe</w:t>
      </w:r>
      <w:r w:rsidR="00B93717">
        <w:rPr>
          <w:sz w:val="24"/>
          <w:szCs w:val="24"/>
        </w:rPr>
        <w:t>d</w:t>
      </w:r>
      <w:r w:rsidR="00B93717" w:rsidRPr="0016617B">
        <w:rPr>
          <w:sz w:val="24"/>
          <w:szCs w:val="24"/>
        </w:rPr>
        <w:t xml:space="preserve"> and describe</w:t>
      </w:r>
      <w:r w:rsidR="00B93717">
        <w:rPr>
          <w:sz w:val="24"/>
          <w:szCs w:val="24"/>
        </w:rPr>
        <w:t>d</w:t>
      </w:r>
      <w:r w:rsidR="00B93717" w:rsidRPr="0016617B">
        <w:rPr>
          <w:sz w:val="24"/>
          <w:szCs w:val="24"/>
        </w:rPr>
        <w:t xml:space="preserve"> calcified oral microbes by using a scanning electron microscope</w:t>
      </w:r>
      <w:r w:rsidR="007368B0">
        <w:rPr>
          <w:sz w:val="24"/>
          <w:szCs w:val="24"/>
        </w:rPr>
        <w:t xml:space="preserve">, they </w:t>
      </w:r>
      <w:r w:rsidR="00746AFD">
        <w:rPr>
          <w:sz w:val="24"/>
          <w:szCs w:val="24"/>
        </w:rPr>
        <w:t xml:space="preserve">were unable to identify a specific </w:t>
      </w:r>
      <w:r w:rsidR="007368B0">
        <w:rPr>
          <w:sz w:val="24"/>
          <w:szCs w:val="24"/>
        </w:rPr>
        <w:t xml:space="preserve">oral </w:t>
      </w:r>
      <w:r w:rsidR="00746AFD">
        <w:rPr>
          <w:sz w:val="24"/>
          <w:szCs w:val="24"/>
        </w:rPr>
        <w:t>species</w:t>
      </w:r>
      <w:r w:rsidR="005C27DB">
        <w:rPr>
          <w:sz w:val="24"/>
          <w:szCs w:val="24"/>
        </w:rPr>
        <w:t xml:space="preserve">. </w:t>
      </w:r>
    </w:p>
    <w:p w14:paraId="4FA8703D" w14:textId="25F589E4" w:rsidR="00CC67D9" w:rsidRDefault="007F7899" w:rsidP="000674DB">
      <w:pPr>
        <w:spacing w:line="480" w:lineRule="auto"/>
        <w:ind w:firstLine="720"/>
        <w:rPr>
          <w:sz w:val="24"/>
          <w:szCs w:val="24"/>
        </w:rPr>
      </w:pPr>
      <w:r>
        <w:rPr>
          <w:sz w:val="24"/>
          <w:szCs w:val="24"/>
        </w:rPr>
        <w:t>In 1996</w:t>
      </w:r>
      <w:r w:rsidR="007274AE">
        <w:rPr>
          <w:sz w:val="24"/>
          <w:szCs w:val="24"/>
        </w:rPr>
        <w:t xml:space="preserve">, </w:t>
      </w:r>
      <w:r w:rsidR="007368B0">
        <w:rPr>
          <w:sz w:val="24"/>
          <w:szCs w:val="24"/>
        </w:rPr>
        <w:fldChar w:fldCharType="begin"/>
      </w:r>
      <w:r w:rsidR="00F21EA4">
        <w:rPr>
          <w:sz w:val="24"/>
          <w:szCs w:val="24"/>
        </w:rPr>
        <w:instrText xml:space="preserve"> ADDIN ZOTERO_ITEM CSL_CITATION {"citationID":"LwnPQcfJ","properties":{"formattedCitation":"(Linossier et al., 1996)","plainCitation":"(Linossier et al., 1996)","dontUpdate":true,"noteIndex":0},"citationItems":[{"id":621,"uris":["http://zotero.org/users/4461938/items/CJYHPTLW"],"uri":["http://zotero.org/users/4461938/items/CJYHPTLW"],"itemData":{"id":621,"type":"article-journal","title":"Paleomicrobiological study in dental calculus: Streptococcus mutans.","container-title":"Scanning microscopy","page":"1005-13; discussion 1014","volume":"10","issue":"4","author":[{"family":"Linossier","given":"A."},{"family":"Gajardo","given":"M."},{"family":"Olavarria","given":"J."}],"issued":{"date-parts":[["1996"]]}}}],"schema":"https://github.com/citation-style-language/schema/raw/master/csl-citation.json"} </w:instrText>
      </w:r>
      <w:r w:rsidR="007368B0">
        <w:rPr>
          <w:sz w:val="24"/>
          <w:szCs w:val="24"/>
        </w:rPr>
        <w:fldChar w:fldCharType="separate"/>
      </w:r>
      <w:r w:rsidR="007368B0" w:rsidRPr="007274AE">
        <w:rPr>
          <w:sz w:val="24"/>
        </w:rPr>
        <w:t>Linossier</w:t>
      </w:r>
      <w:r w:rsidR="00F21EA4">
        <w:rPr>
          <w:sz w:val="24"/>
        </w:rPr>
        <w:t>'s</w:t>
      </w:r>
      <w:r w:rsidR="007368B0" w:rsidRPr="007274AE">
        <w:rPr>
          <w:sz w:val="24"/>
        </w:rPr>
        <w:t xml:space="preserve"> et al.</w:t>
      </w:r>
      <w:r w:rsidR="00F21EA4">
        <w:rPr>
          <w:sz w:val="24"/>
        </w:rPr>
        <w:t>'s</w:t>
      </w:r>
      <w:r w:rsidR="007368B0" w:rsidRPr="007274AE">
        <w:rPr>
          <w:sz w:val="24"/>
        </w:rPr>
        <w:t xml:space="preserve"> </w:t>
      </w:r>
      <w:r w:rsidR="007368B0">
        <w:rPr>
          <w:sz w:val="24"/>
        </w:rPr>
        <w:t>(</w:t>
      </w:r>
      <w:r w:rsidR="007368B0" w:rsidRPr="007274AE">
        <w:rPr>
          <w:sz w:val="24"/>
        </w:rPr>
        <w:t>1996)</w:t>
      </w:r>
      <w:r w:rsidR="007368B0">
        <w:rPr>
          <w:sz w:val="24"/>
          <w:szCs w:val="24"/>
        </w:rPr>
        <w:fldChar w:fldCharType="end"/>
      </w:r>
      <w:r w:rsidR="007274AE">
        <w:rPr>
          <w:sz w:val="24"/>
          <w:szCs w:val="24"/>
        </w:rPr>
        <w:t xml:space="preserve"> immunohistochemical analysis of dental calculus marked t</w:t>
      </w:r>
      <w:r w:rsidR="00EC0669" w:rsidRPr="0016617B">
        <w:rPr>
          <w:sz w:val="24"/>
          <w:szCs w:val="24"/>
        </w:rPr>
        <w:t>he first biomolecular investigation of archaeological dental calculus</w:t>
      </w:r>
      <w:r w:rsidR="007274AE">
        <w:rPr>
          <w:sz w:val="24"/>
          <w:szCs w:val="24"/>
        </w:rPr>
        <w:t xml:space="preserve"> </w:t>
      </w:r>
      <w:r w:rsidR="00746AFD">
        <w:rPr>
          <w:sz w:val="24"/>
          <w:szCs w:val="24"/>
        </w:rPr>
        <w:t xml:space="preserve">and </w:t>
      </w:r>
      <w:r w:rsidR="007368B0">
        <w:rPr>
          <w:sz w:val="24"/>
          <w:szCs w:val="24"/>
        </w:rPr>
        <w:t>was</w:t>
      </w:r>
      <w:r w:rsidR="00746AFD">
        <w:rPr>
          <w:sz w:val="24"/>
          <w:szCs w:val="24"/>
        </w:rPr>
        <w:t xml:space="preserve"> able to identify </w:t>
      </w:r>
      <w:r w:rsidR="00746AFD">
        <w:rPr>
          <w:i/>
          <w:sz w:val="24"/>
          <w:szCs w:val="24"/>
        </w:rPr>
        <w:t xml:space="preserve">S. mutans </w:t>
      </w:r>
      <w:r w:rsidR="007274AE">
        <w:rPr>
          <w:sz w:val="24"/>
          <w:szCs w:val="24"/>
        </w:rPr>
        <w:fldChar w:fldCharType="begin"/>
      </w:r>
      <w:r w:rsidR="00F21EA4">
        <w:rPr>
          <w:sz w:val="24"/>
          <w:szCs w:val="24"/>
        </w:rPr>
        <w:instrText xml:space="preserve"> ADDIN ZOTERO_ITEM CSL_CITATION {"citationID":"Zr7JV7ws","properties":{"formattedCitation":"(Linossier et al., 1996)","plainCitation":"(Linossier et al., 1996)","noteIndex":0},"citationItems":[{"id":621,"uris":["http://zotero.org/users/4461938/items/CJYHPTLW"],"uri":["http://zotero.org/users/4461938/items/CJYHPTLW"],"itemData":{"id":621,"type":"article-journal","title":"Paleomicrobiological study in dental calculus: Streptococcus mutans.","container-title":"Scanning microscopy","page":"1005-13; discussion 1014","volume":"10","issue":"4","author":[{"family":"Linossier","given":"A."},{"family":"Gajardo","given":"M."},{"family":"Olavarria","given":"J."}],"issued":{"date-parts":[["1996"]]}}}],"schema":"https://github.com/citation-style-language/schema/raw/master/csl-citation.json"} </w:instrText>
      </w:r>
      <w:r w:rsidR="007274AE">
        <w:rPr>
          <w:sz w:val="24"/>
          <w:szCs w:val="24"/>
        </w:rPr>
        <w:fldChar w:fldCharType="separate"/>
      </w:r>
      <w:r w:rsidR="007274AE" w:rsidRPr="007274AE">
        <w:rPr>
          <w:sz w:val="24"/>
        </w:rPr>
        <w:t>(Linossier et al., 1996)</w:t>
      </w:r>
      <w:r w:rsidR="007274AE">
        <w:rPr>
          <w:sz w:val="24"/>
          <w:szCs w:val="24"/>
        </w:rPr>
        <w:fldChar w:fldCharType="end"/>
      </w:r>
      <w:r w:rsidR="007274AE">
        <w:rPr>
          <w:sz w:val="24"/>
          <w:szCs w:val="24"/>
        </w:rPr>
        <w:t>.</w:t>
      </w:r>
      <w:r w:rsidR="00EC0669" w:rsidRPr="0016617B">
        <w:rPr>
          <w:sz w:val="24"/>
          <w:szCs w:val="24"/>
        </w:rPr>
        <w:t xml:space="preserve"> </w:t>
      </w:r>
      <w:r w:rsidR="001730E6">
        <w:rPr>
          <w:sz w:val="24"/>
          <w:szCs w:val="24"/>
        </w:rPr>
        <w:t>In 2011, t</w:t>
      </w:r>
      <w:r w:rsidR="00EC0669" w:rsidRPr="0016617B">
        <w:rPr>
          <w:sz w:val="24"/>
          <w:szCs w:val="24"/>
        </w:rPr>
        <w:t xml:space="preserve">ransmission electron microscopy confirmed the preservation of bacterial DNA within </w:t>
      </w:r>
      <w:r w:rsidR="00746AFD">
        <w:rPr>
          <w:sz w:val="24"/>
          <w:szCs w:val="24"/>
        </w:rPr>
        <w:t xml:space="preserve">archaeological </w:t>
      </w:r>
      <w:r w:rsidR="00EC0669" w:rsidRPr="0016617B">
        <w:rPr>
          <w:sz w:val="24"/>
          <w:szCs w:val="24"/>
        </w:rPr>
        <w:t xml:space="preserve">dental calculus </w:t>
      </w:r>
      <w:r w:rsidR="00EC0669" w:rsidRPr="0016617B">
        <w:rPr>
          <w:sz w:val="24"/>
          <w:szCs w:val="24"/>
        </w:rPr>
        <w:fldChar w:fldCharType="begin"/>
      </w:r>
      <w:r w:rsidR="00EC0669">
        <w:rPr>
          <w:sz w:val="24"/>
          <w:szCs w:val="24"/>
        </w:rPr>
        <w:instrText xml:space="preserve"> ADDIN ZOTERO_ITEM CSL_CITATION {"citationID":"7NHXtmd6","properties":{"formattedCitation":"(Preus et al., 2011)","plainCitation":"(Preus et al., 2011)","noteIndex":0},"citationItems":[{"id":622,"uris":["http://zotero.org/users/4461938/items/AKVRE48X"],"uri":["http://zotero.org/users/4461938/items/AKVRE48X"],"itemData":{"id":622,"type":"article-journal","title":"Ancient bacterial DNA (aDNA) in dental calculus from archaeological human remains","container-title":"Journal of Archaeological Science","page":"1827-1831","volume":"38","issue":"8","author":[{"family":"Preus","given":"Hans R."},{"family":"Marvik","given":"Ole J."},{"family":"Selvig","given":"Knut A."},{"family":"Bennike","given":"Pia"}],"issued":{"date-parts":[["2011"]]}}}],"schema":"https://github.com/citation-style-language/schema/raw/master/csl-citation.json"} </w:instrText>
      </w:r>
      <w:r w:rsidR="00EC0669" w:rsidRPr="0016617B">
        <w:rPr>
          <w:sz w:val="24"/>
          <w:szCs w:val="24"/>
        </w:rPr>
        <w:fldChar w:fldCharType="separate"/>
      </w:r>
      <w:r w:rsidR="00EC0669" w:rsidRPr="00EC0669">
        <w:rPr>
          <w:sz w:val="24"/>
        </w:rPr>
        <w:t>(Preus et al., 2011)</w:t>
      </w:r>
      <w:r w:rsidR="00EC0669" w:rsidRPr="0016617B">
        <w:rPr>
          <w:sz w:val="24"/>
          <w:szCs w:val="24"/>
        </w:rPr>
        <w:fldChar w:fldCharType="end"/>
      </w:r>
      <w:r w:rsidR="007274AE">
        <w:rPr>
          <w:sz w:val="24"/>
          <w:szCs w:val="24"/>
        </w:rPr>
        <w:t xml:space="preserve">. </w:t>
      </w:r>
      <w:r w:rsidR="00062C86">
        <w:rPr>
          <w:sz w:val="24"/>
          <w:szCs w:val="24"/>
        </w:rPr>
        <w:t>T</w:t>
      </w:r>
      <w:r w:rsidR="007274AE">
        <w:rPr>
          <w:sz w:val="24"/>
          <w:szCs w:val="24"/>
        </w:rPr>
        <w:t xml:space="preserve">his finding was </w:t>
      </w:r>
      <w:r w:rsidR="00EC0669" w:rsidRPr="0016617B">
        <w:rPr>
          <w:sz w:val="24"/>
          <w:szCs w:val="24"/>
        </w:rPr>
        <w:t xml:space="preserve">supported </w:t>
      </w:r>
      <w:r w:rsidR="007274AE">
        <w:rPr>
          <w:sz w:val="24"/>
          <w:szCs w:val="24"/>
        </w:rPr>
        <w:t>when</w:t>
      </w:r>
      <w:r w:rsidR="00EC0669" w:rsidRPr="0016617B">
        <w:rPr>
          <w:sz w:val="24"/>
          <w:szCs w:val="24"/>
        </w:rPr>
        <w:t xml:space="preserve"> </w:t>
      </w:r>
      <w:r w:rsidR="00CC67D9">
        <w:rPr>
          <w:sz w:val="24"/>
          <w:szCs w:val="24"/>
        </w:rPr>
        <w:t xml:space="preserve">PCR-based genetic approaches </w:t>
      </w:r>
      <w:r w:rsidR="00396017">
        <w:rPr>
          <w:sz w:val="24"/>
          <w:szCs w:val="24"/>
        </w:rPr>
        <w:t xml:space="preserve">recovered DNA of  </w:t>
      </w:r>
      <w:r w:rsidR="00396017">
        <w:rPr>
          <w:i/>
          <w:sz w:val="24"/>
          <w:szCs w:val="24"/>
        </w:rPr>
        <w:t xml:space="preserve">S. mutans </w:t>
      </w:r>
      <w:r w:rsidR="00396017">
        <w:rPr>
          <w:sz w:val="24"/>
          <w:szCs w:val="24"/>
        </w:rPr>
        <w:t>and other oral taxa</w:t>
      </w:r>
      <w:r w:rsidR="00CC67D9">
        <w:rPr>
          <w:sz w:val="24"/>
          <w:szCs w:val="24"/>
        </w:rPr>
        <w:t xml:space="preserve"> from </w:t>
      </w:r>
      <w:r w:rsidR="00746AFD">
        <w:rPr>
          <w:sz w:val="24"/>
          <w:szCs w:val="24"/>
        </w:rPr>
        <w:t xml:space="preserve">archaeological </w:t>
      </w:r>
      <w:r w:rsidR="00CC67D9">
        <w:rPr>
          <w:sz w:val="24"/>
          <w:szCs w:val="24"/>
        </w:rPr>
        <w:t>dental calculus</w:t>
      </w:r>
      <w:r w:rsidR="00EC0669" w:rsidRPr="0016617B">
        <w:rPr>
          <w:sz w:val="24"/>
          <w:szCs w:val="24"/>
        </w:rPr>
        <w:t xml:space="preserve"> </w:t>
      </w:r>
      <w:r w:rsidR="00EC0669" w:rsidRPr="0016617B">
        <w:rPr>
          <w:sz w:val="24"/>
          <w:szCs w:val="24"/>
        </w:rPr>
        <w:fldChar w:fldCharType="begin"/>
      </w:r>
      <w:r w:rsidR="00CC67D9">
        <w:rPr>
          <w:sz w:val="24"/>
          <w:szCs w:val="24"/>
        </w:rPr>
        <w:instrText xml:space="preserve"> ADDIN ZOTERO_ITEM CSL_CITATION {"citationID":"miFPJ5fq","properties":{"formattedCitation":"(De La Fuente et al., 2013)","plainCitation":"(De La Fuente et al., 2013)","noteIndex":0},"citationItems":[{"id":254,"uris":["http://zotero.org/users/4461938/items/8ZSJ5QB4"],"uri":["http://zotero.org/users/4461938/items/8ZSJ5QB4"],"itemData":{"id":254,"type":"article-journal","title":"DNA from human ancient bacteria: a novel source of genetic evidence from archaeological dental calculus","container-title":"Archaeometry","page":"767-778","volume":"55","issue":"4","ISSN":"1475-4754","journalAbbreviation":"Archaeometry","author":[{"family":"De La Fuente","given":"C"},{"family":"Flores","given":"S"},{"family":"Moraga","given":"M"}],"issued":{"date-parts":[["2013"]]}}}],"schema":"https://github.com/citation-style-language/schema/raw/master/csl-citation.json"} </w:instrText>
      </w:r>
      <w:r w:rsidR="00EC0669" w:rsidRPr="0016617B">
        <w:rPr>
          <w:sz w:val="24"/>
          <w:szCs w:val="24"/>
        </w:rPr>
        <w:fldChar w:fldCharType="separate"/>
      </w:r>
      <w:r w:rsidR="00CC67D9" w:rsidRPr="00CC67D9">
        <w:rPr>
          <w:sz w:val="24"/>
        </w:rPr>
        <w:t>(De La Fuente et al., 2013)</w:t>
      </w:r>
      <w:r w:rsidR="00EC0669" w:rsidRPr="0016617B">
        <w:rPr>
          <w:sz w:val="24"/>
          <w:szCs w:val="24"/>
        </w:rPr>
        <w:fldChar w:fldCharType="end"/>
      </w:r>
      <w:r w:rsidR="00EC0669" w:rsidRPr="0016617B">
        <w:rPr>
          <w:sz w:val="24"/>
          <w:szCs w:val="24"/>
        </w:rPr>
        <w:t>.</w:t>
      </w:r>
      <w:r w:rsidR="00E7230D">
        <w:rPr>
          <w:sz w:val="24"/>
          <w:szCs w:val="24"/>
        </w:rPr>
        <w:t xml:space="preserve"> </w:t>
      </w:r>
      <w:r w:rsidR="00BF112F">
        <w:rPr>
          <w:sz w:val="24"/>
          <w:szCs w:val="24"/>
        </w:rPr>
        <w:t>However, there are several limitations to PCR-based approaches. One limitation of PCR is that it generally requires DNA templates that are longer than 100 b</w:t>
      </w:r>
      <w:r>
        <w:rPr>
          <w:sz w:val="24"/>
          <w:szCs w:val="24"/>
        </w:rPr>
        <w:t xml:space="preserve">ase pairs (bp) </w:t>
      </w:r>
      <w:r w:rsidR="00BF112F">
        <w:rPr>
          <w:sz w:val="24"/>
          <w:szCs w:val="24"/>
        </w:rPr>
        <w:t xml:space="preserve">which is </w:t>
      </w:r>
      <w:r>
        <w:rPr>
          <w:sz w:val="24"/>
          <w:szCs w:val="24"/>
        </w:rPr>
        <w:t xml:space="preserve">often </w:t>
      </w:r>
      <w:r w:rsidR="00BF112F">
        <w:rPr>
          <w:sz w:val="24"/>
          <w:szCs w:val="24"/>
        </w:rPr>
        <w:t xml:space="preserve">not the case for most authentic ancient DNA (aDNA) sequences </w:t>
      </w:r>
      <w:r w:rsidR="00BF112F">
        <w:rPr>
          <w:sz w:val="24"/>
          <w:szCs w:val="24"/>
        </w:rPr>
        <w:fldChar w:fldCharType="begin"/>
      </w:r>
      <w:r w:rsidR="00BF112F">
        <w:rPr>
          <w:sz w:val="24"/>
          <w:szCs w:val="24"/>
        </w:rPr>
        <w:instrText xml:space="preserve"> ADDIN ZOTERO_ITEM CSL_CITATION {"citationID":"JvqnxvDa","properties":{"formattedCitation":"(P\\uc0\\u228{}\\uc0\\u228{}bo et al., 2004; Sawyer et al., 2012)","plainCitation":"(Pääbo et al., 2004; Sawyer et al., 2012)","noteIndex":0},"citationItems":[{"id":821,"uris":["http://zotero.org/users/4461938/items/2DPFPL63"],"uri":["http://zotero.org/users/4461938/items/2DPFPL63"],"itemData":{"id":821,"type":"article-journal","title":"Genetic Analyses from Ancient DNA","container-title":"Annual Review of Genetics","page":"645-679","volume":"38","issue":"1","source":"Annual Reviews","abstract":"About 20 years ago, DNA sequences were separately described from the quagga (a type of zebra) and an ancient Egyptian individual. What made these DNA sequences exceptional was that they were derived from 140- and 2400-year-old specimens. However, ancient DNA research, defined broadly as the retrieval of DNA sequences from museum specimens, archaeological finds, fossil remains, and other unusual sources of DNA, only really became feasible with the advent of techniques for the enzymatic amplification of specific DNA sequences. Today, reports of analyses of specimens hundreds, thousands, and even millions of years old are almost commonplace. But can all these results be believed? In this paper, we critically assess the state of ancient DNA research. In particular, we discuss the precautions and criteria necessary to ascertain to the greatest extent possible that results represent authentic ancient DNA sequences. We also highlight some significant results and areas of promising future research.","DOI":"10.1146/annurev.genet.37.110801.143214","note":"PMID: 15568989","author":[{"family":"Pääbo","given":"Svante"},{"family":"Poinar","given":"Hendrik"},{"family":"Serre","given":"David"},{"family":"Jaenicke-Després","given":"Viviane"},{"family":"Hebler","given":"Juliane"},{"family":"Rohland","given":"Nadin"},{"family":"Kuch","given":"Melanie"},{"family":"Krause","given":"Johannes"},{"family":"Vigilant","given":"Linda"},{"family":"Hofreiter","given":"Michael"}],"issued":{"date-parts":[["2004"]]}}},{"id":1284,"uris":["http://zotero.org/users/4461938/items/UGAQZ2QU"],"uri":["http://zotero.org/users/4461938/items/UGAQZ2QU"],"itemData":{"id":1284,"type":"article-journal","title":"Temporal Patterns of Nucleotide Misincorporations and DNA Fragmentation in Ancient DNA","container-title":"PLOS ONE","page":"e34131","volume":"7","issue":"3","source":"PLoS Journals","abstract":"DNA that survives in museum specimens, bones and other tissues recovered by archaeologists is invariably fragmented and chemically modified. The extent to which such modifications accumulate over time is largely unknown but could potentially be used to differentiate between endogenous old DNA and present-day DNA contaminating specimens and experiments. Here we examine mitochondrial DNA sequences from tissue remains that vary in age between 18 and 60,000 years with respect to three molecular features: fragment length, base composition at strand breaks, and apparent C to T substitutions. We find that fragment length does not decrease consistently over time and that strand breaks occur preferentially before purine residues by what may be at least two different molecular mechanisms that are not yet understood. In contrast, the frequency of apparent C to T substitutions towards the 5′-ends of molecules tends to increase over time. These nucleotide misincorporations are thus a useful tool to distinguish recent from ancient DNA sources in specimens that have not been subjected to unusual or harsh treatments.","DOI":"10.1371/journal.pone.0034131","ISSN":"1932-6203","journalAbbreviation":"PLOS ONE","language":"en","author":[{"family":"Sawyer","given":"Susanna"},{"family":"Krause","given":"Johannes"},{"family":"Guschanski","given":"Katerina"},{"family":"Savolainen","given":"Vincent"},{"family":"Pääbo","given":"Svante"}],"issued":{"date-parts":[["2012",3,30]]}}}],"schema":"https://github.com/citation-style-language/schema/raw/master/csl-citation.json"} </w:instrText>
      </w:r>
      <w:r w:rsidR="00BF112F">
        <w:rPr>
          <w:sz w:val="24"/>
          <w:szCs w:val="24"/>
        </w:rPr>
        <w:fldChar w:fldCharType="separate"/>
      </w:r>
      <w:r w:rsidR="00BF112F" w:rsidRPr="00604F63">
        <w:rPr>
          <w:sz w:val="24"/>
          <w:szCs w:val="24"/>
        </w:rPr>
        <w:t>(Pääbo et al., 2004; Sawyer et al., 2012)</w:t>
      </w:r>
      <w:r w:rsidR="00BF112F">
        <w:rPr>
          <w:sz w:val="24"/>
          <w:szCs w:val="24"/>
        </w:rPr>
        <w:fldChar w:fldCharType="end"/>
      </w:r>
      <w:r w:rsidR="00BF112F">
        <w:rPr>
          <w:sz w:val="24"/>
          <w:szCs w:val="24"/>
        </w:rPr>
        <w:t xml:space="preserve">. Second, aDNA </w:t>
      </w:r>
      <w:r w:rsidR="00F21EA4">
        <w:rPr>
          <w:sz w:val="24"/>
          <w:szCs w:val="24"/>
        </w:rPr>
        <w:t>can</w:t>
      </w:r>
      <w:r w:rsidR="00BF112F">
        <w:rPr>
          <w:sz w:val="24"/>
          <w:szCs w:val="24"/>
        </w:rPr>
        <w:t xml:space="preserve"> require more than 35 PCR cycles for successful target amplification which also increases the risk of amplifying background and environmental contamination </w:t>
      </w:r>
      <w:r w:rsidR="00BF112F">
        <w:rPr>
          <w:sz w:val="24"/>
          <w:szCs w:val="24"/>
        </w:rPr>
        <w:fldChar w:fldCharType="begin"/>
      </w:r>
      <w:r w:rsidR="00BF112F">
        <w:rPr>
          <w:sz w:val="24"/>
          <w:szCs w:val="24"/>
        </w:rPr>
        <w:instrText xml:space="preserve"> ADDIN ZOTERO_ITEM CSL_CITATION {"citationID":"vzYGmMtu","properties":{"formattedCitation":"(V. Wintzingerode et al., 1997)","plainCitation":"(V. Wintzingerode et al., 1997)","noteIndex":0},"citationItems":[{"id":1287,"uris":["http://zotero.org/users/4461938/items/8LNGRDEQ"],"uri":["http://zotero.org/users/4461938/items/8LNGRDEQ"],"itemData":{"id":1287,"type":"article-journal","title":"Determination of microbial diversity in environmental samples: pitfalls of PCR-based rRNA analysis","container-title":"FEMS Microbiology Reviews","page":"213-229","volume":"21","issue":"3","source":"academic.oup.com","abstract":"Abstract.  After nearly 10 years of PCR-based analysis of prokaryotic small-subunit ribosomal RNAs for ecological studies it seems necessary to summarize report","DOI":"10.1111/j.1574-6976.1997.tb00351.x","ISSN":"0168-6445","title-short":"Determination of microbial diversity in environmental samples","journalAbbreviation":"FEMS Microbiol Rev","language":"en","author":[{"family":"V. Wintzingerode","given":"Friedrich"},{"family":"Göbel","given":"Ulf B."},{"family":"Stackebrandt","given":"Erko"}],"issued":{"date-parts":[["1997",11,1]]}}}],"schema":"https://github.com/citation-style-language/schema/raw/master/csl-citation.json"} </w:instrText>
      </w:r>
      <w:r w:rsidR="00BF112F">
        <w:rPr>
          <w:sz w:val="24"/>
          <w:szCs w:val="24"/>
        </w:rPr>
        <w:fldChar w:fldCharType="separate"/>
      </w:r>
      <w:r w:rsidR="00BF112F" w:rsidRPr="00604F63">
        <w:rPr>
          <w:sz w:val="24"/>
        </w:rPr>
        <w:t>(Wintzingerode et al., 1997)</w:t>
      </w:r>
      <w:r w:rsidR="00BF112F">
        <w:rPr>
          <w:sz w:val="24"/>
          <w:szCs w:val="24"/>
        </w:rPr>
        <w:fldChar w:fldCharType="end"/>
      </w:r>
      <w:r w:rsidR="00BF112F">
        <w:rPr>
          <w:sz w:val="24"/>
          <w:szCs w:val="24"/>
        </w:rPr>
        <w:t xml:space="preserve">. Third, the nature of cloning and Sanger sequencing </w:t>
      </w:r>
      <w:r w:rsidR="00F21EA4">
        <w:rPr>
          <w:sz w:val="24"/>
          <w:szCs w:val="24"/>
        </w:rPr>
        <w:t>limit</w:t>
      </w:r>
      <w:r w:rsidR="00BF112F">
        <w:rPr>
          <w:sz w:val="24"/>
          <w:szCs w:val="24"/>
        </w:rPr>
        <w:t xml:space="preserve"> the investigation of template damage patterns </w:t>
      </w:r>
      <w:r w:rsidR="00BF112F">
        <w:rPr>
          <w:sz w:val="24"/>
          <w:szCs w:val="24"/>
        </w:rPr>
        <w:fldChar w:fldCharType="begin"/>
      </w:r>
      <w:r w:rsidR="00BF112F">
        <w:rPr>
          <w:sz w:val="24"/>
          <w:szCs w:val="24"/>
        </w:rPr>
        <w:instrText xml:space="preserve"> ADDIN ZOTERO_ITEM CSL_CITATION {"citationID":"xVCXSy8Q","properties":{"formattedCitation":"(Hofreiter et al., 2015)","plainCitation":"(Hofreiter et al., 2015)","noteIndex":0},"citationItems":[{"id":792,"uris":["http://zotero.org/users/4461938/items/MSILJYHZ"],"uri":["http://zotero.org/users/4461938/items/MSILJYHZ"],"itemData":{"id":792,"type":"article-journal","title":"The future of ancient DNA: Technical advances and conceptual shifts","container-title":"BioEssays","page":"284-293","volume":"37","issue":"3","source":"Wiley Online Library","abstract":"Technological innovations such as next generation sequencing and DNA hybridisation enrichment have resulted in multi-fold increases in both the quantity of ancient DNA sequence data and the time depth for DNA retrieval. To date, over 30 ancient genomes have been sequenced, moving from 0.7× coverage (mammoth) in 2008 to more than 50× coverage (Neanderthal) in 2014. Studies of rapid evolutionary changes, such as the evolution and spread of pathogens and the genetic responses of hosts, or the genetics of domestication and climatic adaptation, are developing swiftly and the importance of palaeogenomics for investigating evolutionary processes during the last million years is likely to increase considerably. However, these new datasets require new methods of data processing and analysis, as well as conceptual changes in interpreting the results. In this review we highlight important areas of future technical and conceptual progress and discuss research topics in the rapidly growing field of palaeogenomics.","DOI":"10.1002/bies.201400160","ISSN":"1521-1878","title-short":"The future of ancient DNA","language":"en","author":[{"family":"Hofreiter","given":"Michael"},{"family":"Paijmans","given":"Johanna L. A."},{"family":"Goodchild","given":"Helen"},{"family":"Speller","given":"Camilla F."},{"family":"Barlow","given":"Axel"},{"family":"Fortes","given":"Gloria G."},{"family":"Thomas","given":"Jessica A."},{"family":"Ludwig","given":"Arne"},{"family":"Collins","given":"Matthew J."}],"issued":{"date-parts":[["2015"]]}}}],"schema":"https://github.com/citation-style-language/schema/raw/master/csl-citation.json"} </w:instrText>
      </w:r>
      <w:r w:rsidR="00BF112F">
        <w:rPr>
          <w:sz w:val="24"/>
          <w:szCs w:val="24"/>
        </w:rPr>
        <w:fldChar w:fldCharType="separate"/>
      </w:r>
      <w:r w:rsidR="00BF112F" w:rsidRPr="00BF112F">
        <w:rPr>
          <w:sz w:val="24"/>
        </w:rPr>
        <w:t>(Hofreiter et al., 2015)</w:t>
      </w:r>
      <w:r w:rsidR="00BF112F">
        <w:rPr>
          <w:sz w:val="24"/>
          <w:szCs w:val="24"/>
        </w:rPr>
        <w:fldChar w:fldCharType="end"/>
      </w:r>
      <w:r w:rsidR="00BF112F">
        <w:rPr>
          <w:sz w:val="24"/>
          <w:szCs w:val="24"/>
        </w:rPr>
        <w:t xml:space="preserve">. Fourth, targeted PCR is </w:t>
      </w:r>
      <w:r w:rsidR="00BF112F">
        <w:rPr>
          <w:sz w:val="24"/>
          <w:szCs w:val="24"/>
        </w:rPr>
        <w:lastRenderedPageBreak/>
        <w:t xml:space="preserve">susceptible to amplification biases, including both off-target and skewed PCR amplification </w:t>
      </w:r>
      <w:r w:rsidR="00BF112F">
        <w:rPr>
          <w:sz w:val="24"/>
          <w:szCs w:val="24"/>
        </w:rPr>
        <w:fldChar w:fldCharType="begin"/>
      </w:r>
      <w:r w:rsidR="00BF112F">
        <w:rPr>
          <w:sz w:val="24"/>
          <w:szCs w:val="24"/>
        </w:rPr>
        <w:instrText xml:space="preserve"> ADDIN ZOTERO_ITEM CSL_CITATION {"citationID":"jv2iF44A","properties":{"formattedCitation":"(Suzuki and Giovannoni, 1996)","plainCitation":"(Suzuki and Giovannoni, 1996)","noteIndex":0},"citationItems":[{"id":1290,"uris":["http://zotero.org/users/4461938/items/HS8PHE6D"],"uri":["http://zotero.org/users/4461938/items/HS8PHE6D"],"itemData":{"id":1290,"type":"article-journal","title":"Bias caused by template annealing in the amplification of mixtures of 16S rRNA genes by PCR.","container-title":"Appl. Environ. Microbiol.","page":"625-630","volume":"62","issue":"2","source":"aem.asm.org","abstract":"The PCR is used widely for the study of rRNA genes amplified from mixed microbial populations. These studies resemble quantitative applications of PCR in that the templates are mixtures of homologs and the relative abundance of amplicons is thought to provide some measure of the gene ratios in the starting mixture. Although such studies have established the presence of novel rRNA genes in many natural ecosystems, inferences about gene abundance have been limited by uncertainties about the relative efficiency of gene amplification in the PCR. To address this question, three rRNA gene standards were prepared by PCR, mixed in known proportions, and amplified a second time by using primer pairs in which one primer was labeled with a fluorescent nucleotide derivative. The PCR products were digested with restriction endonucleases, and the frequencies of genes in the products were determined by electrophoresis on an Applied Biosystems 373A automated DNA sequencer in Genescan mode. Mixtures of two templates amplified with the 519F-1406R primer pair yielded products in the predicted proportions. A second primer pair (27F-338R) resulted in strong bias towards 1:1 mixtures of genes in final products, regardless of the initial proportions of the templates. This bias was strongly dependent on the number of cycles of replication. The results fit a kinetic model in which the reannealing of genes progressively inhibits the formation of template-primer hybrids.","ISSN":"0099-2240, 1098-5336","note":"PMID: 8593063","journalAbbreviation":"Appl. Environ. Microbiol.","language":"en","author":[{"family":"Suzuki","given":"M. T."},{"family":"Giovannoni","given":"S. J."}],"issued":{"date-parts":[["1996",2,1]]}}}],"schema":"https://github.com/citation-style-language/schema/raw/master/csl-citation.json"} </w:instrText>
      </w:r>
      <w:r w:rsidR="00BF112F">
        <w:rPr>
          <w:sz w:val="24"/>
          <w:szCs w:val="24"/>
        </w:rPr>
        <w:fldChar w:fldCharType="separate"/>
      </w:r>
      <w:r w:rsidR="00BF112F" w:rsidRPr="00604F63">
        <w:rPr>
          <w:sz w:val="24"/>
        </w:rPr>
        <w:t>(Suzuki and Giovannoni, 1996)</w:t>
      </w:r>
      <w:r w:rsidR="00BF112F">
        <w:rPr>
          <w:sz w:val="24"/>
          <w:szCs w:val="24"/>
        </w:rPr>
        <w:fldChar w:fldCharType="end"/>
      </w:r>
      <w:r w:rsidR="00BF112F">
        <w:rPr>
          <w:sz w:val="24"/>
          <w:szCs w:val="24"/>
        </w:rPr>
        <w:t>. Fifth, aDNA scholars have been unable</w:t>
      </w:r>
      <w:r>
        <w:rPr>
          <w:sz w:val="24"/>
          <w:szCs w:val="24"/>
        </w:rPr>
        <w:t>, at times,</w:t>
      </w:r>
      <w:r w:rsidR="00BF112F">
        <w:rPr>
          <w:sz w:val="24"/>
          <w:szCs w:val="24"/>
        </w:rPr>
        <w:t xml:space="preserve"> to replicate their findings using PCR </w:t>
      </w:r>
      <w:r w:rsidR="00BF112F">
        <w:rPr>
          <w:sz w:val="24"/>
          <w:szCs w:val="24"/>
        </w:rPr>
        <w:fldChar w:fldCharType="begin"/>
      </w:r>
      <w:r w:rsidR="00BF112F">
        <w:rPr>
          <w:sz w:val="24"/>
          <w:szCs w:val="24"/>
        </w:rPr>
        <w:instrText xml:space="preserve"> ADDIN ZOTERO_ITEM CSL_CITATION {"citationID":"djyolaxS","properties":{"formattedCitation":"(P\\uc0\\u228{}\\uc0\\u228{}bo et al., 2004; Poinar and Cooper, 2000; Stoneking, 1995)","plainCitation":"(Pääbo et al., 2004; Poinar and Cooper, 2000; Stoneking, 1995)","noteIndex":0},"citationItems":[{"id":821,"uris":["http://zotero.org/users/4461938/items/2DPFPL63"],"uri":["http://zotero.org/users/4461938/items/2DPFPL63"],"itemData":{"id":821,"type":"article-journal","title":"Genetic Analyses from Ancient DNA","container-title":"Annual Review of Genetics","page":"645-679","volume":"38","issue":"1","source":"Annual Reviews","abstract":"About 20 years ago, DNA sequences were separately described from the quagga (a type of zebra) and an ancient Egyptian individual. What made these DNA sequences exceptional was that they were derived from 140- and 2400-year-old specimens. However, ancient DNA research, defined broadly as the retrieval of DNA sequences from museum specimens, archaeological finds, fossil remains, and other unusual sources of DNA, only really became feasible with the advent of techniques for the enzymatic amplification of specific DNA sequences. Today, reports of analyses of specimens hundreds, thousands, and even millions of years old are almost commonplace. But can all these results be believed? In this paper, we critically assess the state of ancient DNA research. In particular, we discuss the precautions and criteria necessary to ascertain to the greatest extent possible that results represent authentic ancient DNA sequences. We also highlight some significant results and areas of promising future research.","DOI":"10.1146/annurev.genet.37.110801.143214","note":"PMID: 15568989","author":[{"family":"Pääbo","given":"Svante"},{"family":"Poinar","given":"Hendrik"},{"family":"Serre","given":"David"},{"family":"Jaenicke-Després","given":"Viviane"},{"family":"Hebler","given":"Juliane"},{"family":"Rohland","given":"Nadin"},{"family":"Kuch","given":"Melanie"},{"family":"Krause","given":"Johannes"},{"family":"Vigilant","given":"Linda"},{"family":"Hofreiter","given":"Michael"}],"issued":{"date-parts":[["2004"]]}}},{"id":91,"uris":["http://zotero.org/users/4461938/items/CTEWXUWH"],"uri":["http://zotero.org/users/4461938/items/CTEWXUWH"],"itemData":{"id":91,"type":"article-journal","title":"Ancient DNA: do it right or not at all","container-title":"Science","page":"416","volume":"5482","issue":"1139","journalAbbreviation":"Science","author":[{"family":"Poinar","given":"Hendrik N"},{"family":"Cooper","given":"A"}],"issued":{"date-parts":[["2000"]]}}},{"id":834,"uris":["http://zotero.org/users/4461938/items/LHHKIE22"],"uri":["http://zotero.org/users/4461938/items/LHHKIE22"],"itemData":{"id":834,"type":"article-journal","title":"Ancient DNA: how do you know when you have it and what can you do with it?","container-title":"American Journal of Human Genetics","page":"1259","volume":"57","issue":"6","author":[{"family":"Stoneking","given":"Mark"}],"issued":{"date-parts":[["1995"]]}}}],"schema":"https://github.com/citation-style-language/schema/raw/master/csl-citation.json"} </w:instrText>
      </w:r>
      <w:r w:rsidR="00BF112F">
        <w:rPr>
          <w:sz w:val="24"/>
          <w:szCs w:val="24"/>
        </w:rPr>
        <w:fldChar w:fldCharType="separate"/>
      </w:r>
      <w:r w:rsidR="00BF112F" w:rsidRPr="00F602EA">
        <w:rPr>
          <w:sz w:val="24"/>
          <w:szCs w:val="24"/>
        </w:rPr>
        <w:t>(Pääbo et al., 2004; Poinar and Cooper, 2000; Stoneking, 1995)</w:t>
      </w:r>
      <w:r w:rsidR="00BF112F">
        <w:rPr>
          <w:sz w:val="24"/>
          <w:szCs w:val="24"/>
        </w:rPr>
        <w:fldChar w:fldCharType="end"/>
      </w:r>
      <w:r w:rsidR="00BF112F">
        <w:rPr>
          <w:sz w:val="24"/>
          <w:szCs w:val="24"/>
        </w:rPr>
        <w:t>. Thus, while</w:t>
      </w:r>
      <w:r w:rsidR="00CC67D9">
        <w:rPr>
          <w:sz w:val="24"/>
          <w:szCs w:val="24"/>
        </w:rPr>
        <w:t xml:space="preserve"> </w:t>
      </w:r>
      <w:r w:rsidR="00BF112F">
        <w:rPr>
          <w:sz w:val="24"/>
          <w:szCs w:val="24"/>
        </w:rPr>
        <w:t xml:space="preserve">this early PCR-based </w:t>
      </w:r>
      <w:r w:rsidR="00CC67D9">
        <w:rPr>
          <w:sz w:val="24"/>
          <w:szCs w:val="24"/>
        </w:rPr>
        <w:t>stud</w:t>
      </w:r>
      <w:r w:rsidR="00BF112F">
        <w:rPr>
          <w:sz w:val="24"/>
          <w:szCs w:val="24"/>
        </w:rPr>
        <w:t>y on dental calculus</w:t>
      </w:r>
      <w:r w:rsidR="00CC67D9">
        <w:rPr>
          <w:sz w:val="24"/>
          <w:szCs w:val="24"/>
        </w:rPr>
        <w:t xml:space="preserve"> paved the way for ancient oral microbiome research, </w:t>
      </w:r>
      <w:r w:rsidR="00BF112F">
        <w:rPr>
          <w:sz w:val="24"/>
          <w:szCs w:val="24"/>
        </w:rPr>
        <w:t>it only provided</w:t>
      </w:r>
      <w:r w:rsidR="00CC67D9">
        <w:rPr>
          <w:sz w:val="24"/>
          <w:szCs w:val="24"/>
        </w:rPr>
        <w:t xml:space="preserve"> a low-resolution survey of the microbial community present. </w:t>
      </w:r>
    </w:p>
    <w:p w14:paraId="2CDCC754" w14:textId="4B83AD09" w:rsidR="00EC0669" w:rsidRDefault="009A14CE" w:rsidP="000674DB">
      <w:pPr>
        <w:spacing w:line="480" w:lineRule="auto"/>
        <w:ind w:firstLine="720"/>
        <w:rPr>
          <w:sz w:val="24"/>
          <w:szCs w:val="24"/>
        </w:rPr>
      </w:pPr>
      <w:r>
        <w:rPr>
          <w:sz w:val="24"/>
          <w:szCs w:val="24"/>
        </w:rPr>
        <w:t>The advent of HTS</w:t>
      </w:r>
      <w:r w:rsidR="001962A0">
        <w:rPr>
          <w:sz w:val="24"/>
          <w:szCs w:val="24"/>
        </w:rPr>
        <w:t xml:space="preserve"> technologies</w:t>
      </w:r>
      <w:r>
        <w:rPr>
          <w:sz w:val="24"/>
          <w:szCs w:val="24"/>
        </w:rPr>
        <w:t xml:space="preserve"> revolutionized the study of DNA within dental calculus by providing high-</w:t>
      </w:r>
      <w:r w:rsidR="007F7899">
        <w:rPr>
          <w:sz w:val="24"/>
          <w:szCs w:val="24"/>
        </w:rPr>
        <w:t>resolution</w:t>
      </w:r>
      <w:r>
        <w:rPr>
          <w:sz w:val="24"/>
          <w:szCs w:val="24"/>
        </w:rPr>
        <w:t xml:space="preserve"> </w:t>
      </w:r>
      <w:r w:rsidR="009C50AF">
        <w:rPr>
          <w:sz w:val="24"/>
          <w:szCs w:val="24"/>
        </w:rPr>
        <w:t xml:space="preserve">taxonomic profiles </w:t>
      </w:r>
      <w:r>
        <w:rPr>
          <w:sz w:val="24"/>
          <w:szCs w:val="24"/>
        </w:rPr>
        <w:t xml:space="preserve">of </w:t>
      </w:r>
      <w:r w:rsidR="009C50AF">
        <w:rPr>
          <w:sz w:val="24"/>
          <w:szCs w:val="24"/>
        </w:rPr>
        <w:t>microbial communities</w:t>
      </w:r>
      <w:r>
        <w:rPr>
          <w:sz w:val="24"/>
          <w:szCs w:val="24"/>
        </w:rPr>
        <w:t xml:space="preserve">. </w:t>
      </w:r>
      <w:r w:rsidR="00CC67D9" w:rsidRPr="0016617B">
        <w:rPr>
          <w:sz w:val="24"/>
          <w:szCs w:val="24"/>
        </w:rPr>
        <w:t xml:space="preserve">In 2013, </w:t>
      </w:r>
      <w:r w:rsidR="00CC67D9">
        <w:rPr>
          <w:sz w:val="24"/>
          <w:szCs w:val="24"/>
        </w:rPr>
        <w:t xml:space="preserve">16S rRNA amplicon sequencing of 34 </w:t>
      </w:r>
      <w:r w:rsidR="00CC67D9" w:rsidRPr="0016617B">
        <w:rPr>
          <w:sz w:val="24"/>
          <w:szCs w:val="24"/>
        </w:rPr>
        <w:t xml:space="preserve">dental </w:t>
      </w:r>
      <w:r w:rsidR="001730E6">
        <w:rPr>
          <w:sz w:val="24"/>
          <w:szCs w:val="24"/>
        </w:rPr>
        <w:t xml:space="preserve">calculus samples spanning from the Mesolithic to the present </w:t>
      </w:r>
      <w:r w:rsidR="00CC67D9" w:rsidRPr="0016617B">
        <w:rPr>
          <w:sz w:val="24"/>
          <w:szCs w:val="24"/>
        </w:rPr>
        <w:t xml:space="preserve">generated </w:t>
      </w:r>
      <w:r w:rsidR="00CC67D9">
        <w:rPr>
          <w:sz w:val="24"/>
          <w:szCs w:val="24"/>
        </w:rPr>
        <w:t>the first</w:t>
      </w:r>
      <w:r w:rsidR="00CC67D9" w:rsidRPr="0016617B">
        <w:rPr>
          <w:sz w:val="24"/>
          <w:szCs w:val="24"/>
        </w:rPr>
        <w:t xml:space="preserve"> </w:t>
      </w:r>
      <w:r w:rsidR="00CC67D9">
        <w:rPr>
          <w:sz w:val="24"/>
          <w:szCs w:val="24"/>
        </w:rPr>
        <w:t xml:space="preserve">ancient </w:t>
      </w:r>
      <w:r w:rsidR="00CC67D9" w:rsidRPr="0016617B">
        <w:rPr>
          <w:sz w:val="24"/>
          <w:szCs w:val="24"/>
        </w:rPr>
        <w:t xml:space="preserve">oral microbiome </w:t>
      </w:r>
      <w:r w:rsidR="007F7899">
        <w:rPr>
          <w:sz w:val="24"/>
          <w:szCs w:val="24"/>
        </w:rPr>
        <w:t xml:space="preserve">HTS </w:t>
      </w:r>
      <w:r w:rsidR="00CC67D9" w:rsidRPr="0016617B">
        <w:rPr>
          <w:sz w:val="24"/>
          <w:szCs w:val="24"/>
        </w:rPr>
        <w:t>profile</w:t>
      </w:r>
      <w:r w:rsidR="001730E6">
        <w:rPr>
          <w:sz w:val="24"/>
          <w:szCs w:val="24"/>
        </w:rPr>
        <w:t>s</w:t>
      </w:r>
      <w:r w:rsidR="00CC67D9" w:rsidRPr="0016617B">
        <w:rPr>
          <w:sz w:val="24"/>
          <w:szCs w:val="24"/>
        </w:rPr>
        <w:t xml:space="preserve"> </w:t>
      </w:r>
      <w:r w:rsidR="00CC67D9" w:rsidRPr="0016617B">
        <w:rPr>
          <w:sz w:val="24"/>
          <w:szCs w:val="24"/>
        </w:rPr>
        <w:fldChar w:fldCharType="begin"/>
      </w:r>
      <w:r w:rsidR="00CC67D9">
        <w:rPr>
          <w:sz w:val="24"/>
          <w:szCs w:val="24"/>
        </w:rPr>
        <w:instrText xml:space="preserve"> ADDIN ZOTERO_ITEM CSL_CITATION {"citationID":"DcCwOb5B","properties":{"formattedCitation":"(Adler et al., 2013)","plainCitation":"(Adler et al., 2013)","noteIndex":0},"citationItems":[{"id":567,"uris":["http://zotero.org/users/4461938/items/CIYN8LF2"],"uri":["http://zotero.org/users/4461938/items/CIYN8LF2"],"itemData":{"id":567,"type":"article-journal","title":"Sequencing ancient calcified dental plaque shows changes in oral microbiota with dietary shifts of the Neolithic and Industrial revolutions","container-title":"Nature Genetics","page":"450-455","volume":"45","issue":"4","source":"www-nature-com.ezproxy.lib.ou.edu","abstract":"The importance of commensal microbes for human health is increasingly recognized1,2,3,4,5, yet the impacts of evolutionary changes in human diet and culture on commensal microbiota remain almost unknown. Two of the greatest dietary shifts in human evolution involved the adoption of carbohydrate-rich Neolithic (farming) diets6,7 (beginning </w:instrText>
      </w:r>
      <w:r w:rsidR="00CC67D9">
        <w:rPr>
          <w:rFonts w:ascii="Cambria Math" w:hAnsi="Cambria Math" w:cs="Cambria Math"/>
          <w:sz w:val="24"/>
          <w:szCs w:val="24"/>
        </w:rPr>
        <w:instrText>∼</w:instrText>
      </w:r>
      <w:r w:rsidR="00CC67D9">
        <w:rPr>
          <w:sz w:val="24"/>
          <w:szCs w:val="24"/>
        </w:rPr>
        <w:instrText xml:space="preserve">10,000 years before the present6,8) and the more recent advent of industrially processed flour and sugar (in </w:instrText>
      </w:r>
      <w:r w:rsidR="00CC67D9">
        <w:rPr>
          <w:rFonts w:ascii="Cambria Math" w:hAnsi="Cambria Math" w:cs="Cambria Math"/>
          <w:sz w:val="24"/>
          <w:szCs w:val="24"/>
        </w:rPr>
        <w:instrText>∼</w:instrText>
      </w:r>
      <w:r w:rsidR="00CC67D9">
        <w:rPr>
          <w:sz w:val="24"/>
          <w:szCs w:val="24"/>
        </w:rPr>
        <w:instrText xml:space="preserve">1850)9. Here, we show that calcified dental plaque (dental calculus) on ancient teeth preserves a detailed genetic record throughout this period. Data from 34 early European skeletons indicate that the transition from hunter-gatherer to farming shifted the oral microbial community to a disease-associated configuration. The composition of oral microbiota remained unexpectedly constant between Neolithic and medieval times, after which (the now ubiquitous) cariogenic bacteria became dominant, apparently during the Industrial Revolution. Modern oral microbiotic ecosystems are markedly less diverse than historic populations, which might be contributing to chronic oral (and other) disease in postindustrial lifestyles.","DOI":"10.1038/ng.2536","ISSN":"1546-1718","language":"en","author":[{"family":"Adler","given":"Christina J."},{"family":"Dobney","given":"Keith"},{"family":"Weyrich","given":"Laura S."},{"family":"Kaidonis","given":"John"},{"family":"Walker","given":"Alan W."},{"family":"Haak","given":"Wolfgang"},{"family":"Bradshaw","given":"Corey J. A."},{"family":"Townsend","given":"Grant"},{"family":"Sołtysiak","given":"Arkadiusz"},{"family":"Alt","given":"Kurt W."},{"family":"Parkhill","given":"Julian"},{"family":"Cooper","given":"Alan"}],"issued":{"date-parts":[["2013",4]]}}}],"schema":"https://github.com/citation-style-language/schema/raw/master/csl-citation.json"} </w:instrText>
      </w:r>
      <w:r w:rsidR="00CC67D9" w:rsidRPr="0016617B">
        <w:rPr>
          <w:sz w:val="24"/>
          <w:szCs w:val="24"/>
        </w:rPr>
        <w:fldChar w:fldCharType="separate"/>
      </w:r>
      <w:r w:rsidR="00CC67D9" w:rsidRPr="00EC0669">
        <w:rPr>
          <w:sz w:val="24"/>
        </w:rPr>
        <w:t>(Adler et al., 2013)</w:t>
      </w:r>
      <w:r w:rsidR="00CC67D9" w:rsidRPr="0016617B">
        <w:rPr>
          <w:sz w:val="24"/>
          <w:szCs w:val="24"/>
        </w:rPr>
        <w:fldChar w:fldCharType="end"/>
      </w:r>
      <w:r w:rsidR="00CC67D9" w:rsidRPr="0016617B">
        <w:rPr>
          <w:sz w:val="24"/>
          <w:szCs w:val="24"/>
        </w:rPr>
        <w:t xml:space="preserve">. </w:t>
      </w:r>
      <w:r w:rsidR="001730E6">
        <w:rPr>
          <w:sz w:val="24"/>
          <w:szCs w:val="24"/>
        </w:rPr>
        <w:t xml:space="preserve">At the time, </w:t>
      </w:r>
      <w:r w:rsidR="001962A0">
        <w:rPr>
          <w:sz w:val="24"/>
          <w:szCs w:val="24"/>
        </w:rPr>
        <w:t xml:space="preserve">a finding in this study </w:t>
      </w:r>
      <w:r w:rsidR="001730E6">
        <w:rPr>
          <w:sz w:val="24"/>
          <w:szCs w:val="24"/>
        </w:rPr>
        <w:t xml:space="preserve">proposed </w:t>
      </w:r>
      <w:r w:rsidR="00CC67D9">
        <w:rPr>
          <w:sz w:val="24"/>
          <w:szCs w:val="24"/>
        </w:rPr>
        <w:t xml:space="preserve">that </w:t>
      </w:r>
      <w:r>
        <w:rPr>
          <w:sz w:val="24"/>
          <w:szCs w:val="24"/>
        </w:rPr>
        <w:t xml:space="preserve">changes in the microbial diversity of dental calculus </w:t>
      </w:r>
      <w:r w:rsidR="001730E6">
        <w:rPr>
          <w:sz w:val="24"/>
          <w:szCs w:val="24"/>
        </w:rPr>
        <w:t>reflected</w:t>
      </w:r>
      <w:r>
        <w:rPr>
          <w:sz w:val="24"/>
          <w:szCs w:val="24"/>
        </w:rPr>
        <w:t xml:space="preserve"> the development of </w:t>
      </w:r>
      <w:r w:rsidR="001730E6">
        <w:rPr>
          <w:sz w:val="24"/>
          <w:szCs w:val="24"/>
        </w:rPr>
        <w:t xml:space="preserve">subsistence strategies, namely </w:t>
      </w:r>
      <w:r>
        <w:rPr>
          <w:sz w:val="24"/>
          <w:szCs w:val="24"/>
        </w:rPr>
        <w:t xml:space="preserve">agriculture and industrialization. </w:t>
      </w:r>
      <w:r w:rsidR="00CC67D9">
        <w:rPr>
          <w:sz w:val="24"/>
          <w:szCs w:val="24"/>
        </w:rPr>
        <w:t xml:space="preserve">However, </w:t>
      </w:r>
      <w:r w:rsidR="001730E6">
        <w:rPr>
          <w:sz w:val="24"/>
          <w:szCs w:val="24"/>
        </w:rPr>
        <w:t xml:space="preserve">these </w:t>
      </w:r>
      <w:r>
        <w:rPr>
          <w:sz w:val="24"/>
          <w:szCs w:val="24"/>
        </w:rPr>
        <w:t>inferences have been questioned due to</w:t>
      </w:r>
      <w:r w:rsidR="00CC67D9">
        <w:rPr>
          <w:sz w:val="24"/>
          <w:szCs w:val="24"/>
        </w:rPr>
        <w:t xml:space="preserve"> amplification bias</w:t>
      </w:r>
      <w:r>
        <w:rPr>
          <w:sz w:val="24"/>
          <w:szCs w:val="24"/>
        </w:rPr>
        <w:t xml:space="preserve">es in 16S rRNA amplicon sequencing </w:t>
      </w:r>
      <w:r w:rsidR="001730E6">
        <w:rPr>
          <w:sz w:val="24"/>
          <w:szCs w:val="24"/>
        </w:rPr>
        <w:t xml:space="preserve">and </w:t>
      </w:r>
      <w:r w:rsidR="001962A0">
        <w:rPr>
          <w:sz w:val="24"/>
          <w:szCs w:val="24"/>
        </w:rPr>
        <w:t xml:space="preserve">due to </w:t>
      </w:r>
      <w:r w:rsidR="001730E6">
        <w:rPr>
          <w:sz w:val="24"/>
          <w:szCs w:val="24"/>
        </w:rPr>
        <w:t xml:space="preserve">preservation bias in dental calculus </w:t>
      </w:r>
      <w:r w:rsidR="00CC67D9" w:rsidRPr="0016617B">
        <w:rPr>
          <w:sz w:val="24"/>
          <w:szCs w:val="24"/>
        </w:rPr>
        <w:fldChar w:fldCharType="begin"/>
      </w:r>
      <w:r w:rsidR="00CC67D9">
        <w:rPr>
          <w:sz w:val="24"/>
          <w:szCs w:val="24"/>
        </w:rPr>
        <w:instrText xml:space="preserve"> ADDIN ZOTERO_ITEM CSL_CITATION {"citationID":"M9WdxrHD","properties":{"formattedCitation":"(Ziesemer et al., 2015)","plainCitation":"(Ziesemer et al., 2015)","noteIndex":0},"citationItems":[{"id":598,"uris":["http://zotero.org/users/4461938/items/NYCUCJKJ"],"uri":["http://zotero.org/users/4461938/items/NYCUCJKJ"],"itemData":{"id":598,"type":"article-journal","title":"Intrinsic challenges in ancient microbiome reconstruction using 16S rRNA gene amplification","container-title":"Scientific Reports","page":"16498","volume":"5","author":[{"family":"Ziesemer","given":"Kirsten A."},{"family":"Mann","given":"Allison E."},{"family":"Sankaranarayanan","given":"Krithivasan"},{"family":"Schroeder","given":"Hannes"},{"family":"Ozga","given":"Andrew T."},{"family":"Brandt","given":"Bernd W."},{"family":"Zaura","given":"Egija"},{"family":"Waters-Rist","given":"Andrea"},{"family":"Hoogland","given":"Menno"},{"family":"Salazar-García","given":"Domingo C."}],"issued":{"date-parts":[["2015"]]}}}],"schema":"https://github.com/citation-style-language/schema/raw/master/csl-citation.json"} </w:instrText>
      </w:r>
      <w:r w:rsidR="00CC67D9" w:rsidRPr="0016617B">
        <w:rPr>
          <w:sz w:val="24"/>
          <w:szCs w:val="24"/>
        </w:rPr>
        <w:fldChar w:fldCharType="separate"/>
      </w:r>
      <w:r w:rsidR="00CC67D9" w:rsidRPr="00EC0669">
        <w:rPr>
          <w:sz w:val="24"/>
        </w:rPr>
        <w:t>(Ziesemer et al., 2015)</w:t>
      </w:r>
      <w:r w:rsidR="00CC67D9" w:rsidRPr="0016617B">
        <w:rPr>
          <w:sz w:val="24"/>
          <w:szCs w:val="24"/>
        </w:rPr>
        <w:fldChar w:fldCharType="end"/>
      </w:r>
      <w:r w:rsidR="00CC67D9" w:rsidRPr="0016617B">
        <w:rPr>
          <w:sz w:val="24"/>
          <w:szCs w:val="24"/>
        </w:rPr>
        <w:t xml:space="preserve">. </w:t>
      </w:r>
    </w:p>
    <w:p w14:paraId="6C633FDF" w14:textId="282AD43E" w:rsidR="001730E6" w:rsidRPr="00A95999" w:rsidRDefault="001730E6" w:rsidP="001730E6">
      <w:pPr>
        <w:spacing w:line="480" w:lineRule="auto"/>
        <w:ind w:firstLine="720"/>
        <w:rPr>
          <w:sz w:val="24"/>
          <w:szCs w:val="24"/>
          <w:lang w:val="fr-FR"/>
        </w:rPr>
      </w:pPr>
      <w:r>
        <w:rPr>
          <w:sz w:val="24"/>
          <w:szCs w:val="24"/>
        </w:rPr>
        <w:t xml:space="preserve">Following Adler et al., </w:t>
      </w:r>
      <w:r w:rsidRPr="0016617B">
        <w:rPr>
          <w:sz w:val="24"/>
          <w:szCs w:val="24"/>
        </w:rPr>
        <w:fldChar w:fldCharType="begin"/>
      </w:r>
      <w:r>
        <w:rPr>
          <w:sz w:val="24"/>
          <w:szCs w:val="24"/>
        </w:rPr>
        <w:instrText xml:space="preserve"> ADDIN ZOTERO_ITEM CSL_CITATION {"citationID":"VKK9S5ZL","properties":{"formattedCitation":"(Warinner et al. 2014)","plainCitation":"(Warinner et al. 2014)","dontUpdate":true,"noteIndex":0},"citationItems":[{"id":624,"uris":["http://zotero.org/users/4461938/items/PZMVCPAA"],"uri":["http://zotero.org/users/4461938/items/PZMVCPAA"],"itemData":{"id":624,"type":"article-journal","title":"Pathogens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Y."},{"family":"Fiddyment","given":"Sarah"}],"issued":{"date-parts":[["2014"]]}}}],"schema":"https://github.com/citation-style-language/schema/raw/master/csl-citation.json"} </w:instrText>
      </w:r>
      <w:r w:rsidRPr="0016617B">
        <w:rPr>
          <w:sz w:val="24"/>
          <w:szCs w:val="24"/>
        </w:rPr>
        <w:fldChar w:fldCharType="separate"/>
      </w:r>
      <w:r w:rsidRPr="0016617B">
        <w:rPr>
          <w:sz w:val="24"/>
          <w:szCs w:val="24"/>
        </w:rPr>
        <w:t>Warinner et al. (2014)</w:t>
      </w:r>
      <w:r w:rsidRPr="0016617B">
        <w:rPr>
          <w:sz w:val="24"/>
          <w:szCs w:val="24"/>
        </w:rPr>
        <w:fldChar w:fldCharType="end"/>
      </w:r>
      <w:r w:rsidRPr="0016617B">
        <w:rPr>
          <w:sz w:val="24"/>
          <w:szCs w:val="24"/>
        </w:rPr>
        <w:t xml:space="preserve"> employed </w:t>
      </w:r>
      <w:r>
        <w:rPr>
          <w:sz w:val="24"/>
          <w:szCs w:val="24"/>
        </w:rPr>
        <w:t xml:space="preserve">an even higher resolution microbial community survey by using shotgun metagenomics, another HTS application, and metaproteomics on </w:t>
      </w:r>
      <w:r w:rsidRPr="0016617B">
        <w:rPr>
          <w:sz w:val="24"/>
          <w:szCs w:val="24"/>
        </w:rPr>
        <w:t>four Medieval dental calculus samples from Germany</w:t>
      </w:r>
      <w:r>
        <w:rPr>
          <w:sz w:val="24"/>
          <w:szCs w:val="24"/>
        </w:rPr>
        <w:t>. They demonstrated that applying a shotgun-based approach allowed characterization of an ancient oral microbiome in a diseased state, recovered opportunistic pathogens as well as human-associated putative antibiotic resistance genes, and facilitated reconstruction of a pathogen genome associated with periodontal disease. Moreover, t</w:t>
      </w:r>
      <w:r w:rsidRPr="0016617B">
        <w:rPr>
          <w:sz w:val="24"/>
          <w:szCs w:val="24"/>
        </w:rPr>
        <w:t>h</w:t>
      </w:r>
      <w:r>
        <w:rPr>
          <w:sz w:val="24"/>
          <w:szCs w:val="24"/>
        </w:rPr>
        <w:t xml:space="preserve">ey </w:t>
      </w:r>
      <w:r w:rsidRPr="0016617B">
        <w:rPr>
          <w:sz w:val="24"/>
          <w:szCs w:val="24"/>
        </w:rPr>
        <w:t xml:space="preserve">demonstrated that dental calculus may </w:t>
      </w:r>
      <w:r>
        <w:rPr>
          <w:sz w:val="24"/>
          <w:szCs w:val="24"/>
        </w:rPr>
        <w:t>retain</w:t>
      </w:r>
      <w:r w:rsidRPr="0016617B">
        <w:rPr>
          <w:sz w:val="24"/>
          <w:szCs w:val="24"/>
        </w:rPr>
        <w:t xml:space="preserve"> up to a thousandfold more DNA than bone</w:t>
      </w:r>
      <w:r>
        <w:rPr>
          <w:sz w:val="24"/>
          <w:szCs w:val="24"/>
        </w:rPr>
        <w:t xml:space="preserve"> with most of it being microbial</w:t>
      </w:r>
      <w:r w:rsidRPr="0016617B">
        <w:rPr>
          <w:sz w:val="24"/>
          <w:szCs w:val="24"/>
        </w:rPr>
        <w:t xml:space="preserve">. </w:t>
      </w:r>
      <w:r>
        <w:rPr>
          <w:sz w:val="24"/>
          <w:szCs w:val="24"/>
        </w:rPr>
        <w:t xml:space="preserve">Since then, several other dental calculus studies have been published using HTS technology and have been verified with </w:t>
      </w:r>
      <w:r w:rsidR="00BF112F">
        <w:rPr>
          <w:sz w:val="24"/>
          <w:szCs w:val="24"/>
        </w:rPr>
        <w:lastRenderedPageBreak/>
        <w:t xml:space="preserve">several </w:t>
      </w:r>
      <w:r>
        <w:rPr>
          <w:sz w:val="24"/>
          <w:szCs w:val="24"/>
        </w:rPr>
        <w:t xml:space="preserve">authentication methods </w:t>
      </w:r>
      <w:r>
        <w:rPr>
          <w:sz w:val="24"/>
          <w:szCs w:val="24"/>
        </w:rPr>
        <w:fldChar w:fldCharType="begin"/>
      </w:r>
      <w:r>
        <w:rPr>
          <w:sz w:val="24"/>
          <w:szCs w:val="24"/>
        </w:rPr>
        <w:instrText xml:space="preserve"> ADDIN ZOTERO_ITEM CSL_CITATION {"citationID":"7Tp2rfFs","properties":{"formattedCitation":"(Mann et al., 2018; Moorhouse et al., 2015; Ozga et al., 2016; Sawafuji et al., 2018; Weyrich et al., 2017)","plainCitation":"(Mann et al., 2018; Moorhouse et al., 2015; Ozga et al., 2016; Sawafuji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976,"uris":["http://zotero.org/users/4461938/items/6UFZQTN7"],"uri":["http://zotero.org/users/4461938/items/6UFZQTN7"],"itemData":{"id":976,"type":"article-journal","title":"Identification of Candida spp from ancient DNA extracted from fossilised dental calculus","source":"abdn.pure.elsevier.com","URL":"https://abdn.pure.elsevier.com/en/publications/identification-of-candida-spp-from-ancient-dna-extracted-from-fos","language":"English","author":[{"family":"Moorhouse","given":"Alex"},{"family":"Weyrich","given":"Laura S."},{"family":"Cooper","given":"A."},{"family":"Gow","given":"Neil Andrew Robert"},{"family":"Dobney","given":"Keith"}],"issued":{"date-parts":[["2015",5]]},"accessed":{"date-parts":[["2019",3,28]]}}},{"id":983,"uris":["http://zotero.org/users/4461938/items/2KFMDZL5"],"uri":["http://zotero.org/users/4461938/items/2KFMDZL5"],"itemData":{"id":983,"type":"article-journal","title":"Successful enrichment and recovery of whole mitochondrial genomes from ancient human dental calculus","container-title":"American Journal of Physical Anthropology","page":"220-228","volume":"160","issue":"2","source":"Wiley Online Library","abstract":"Objectives Archaeological dental calculus is a rich source of host-associated biomolecules. Importantly, however, dental calculus is more accurately described as a calcified microbial biofilm than a host tissue. As such, concerns regarding destructive analysis of human remains may not apply as strongly to dental calculus, opening the possibility of obtaining human health and ancestry information from dental calculus in cases where destructive analysis of conventional skeletal remains is not permitted. Here we investigate the preservation of human mitochondrial DNA (mtDNA) in archaeological dental calculus and its potential for full mitochondrial genome (mitogenome) reconstruction in maternal lineage ancestry analysis. Materials and Methods Extracted DNA from six individuals at the 700-year-old Norris Farms #36 cemetery in Illinois was enriched for mtDNA using in-solution capture techniques, followed by Illumina high-throughput sequencing. Results Full mitogenomes (7–34×) were successfully reconstructed from dental calculus for all six individuals, including three individuals who had previously tested negative for DNA preservation in bone using conventional PCR techniques. Mitochondrial haplogroup assignments were consistent with previously published findings, and additional comparative analysis of paired dental calculus and dentine from two individuals yielded equivalent haplotype results. All dental calculus samples exhibited damage patterns consistent with ancient DNA, and mitochondrial sequences were estimated to be 92–100% endogenous. DNA polymerase choice was found to impact error rates in downstream sequence analysis, but these effects can be mitigated by greater sequencing depth. Discussion Dental calculus is a viable alternative source of human DNA that can be used to reconstruct full mitogenomes from archaeological remains. Am J Phys Anthropol 160:220–228, 2016. © 2016 The Authors American Journal of Physical Anthropology Published by Wiley Periodicals, Inc.","DOI":"10.1002/ajpa.22960","ISSN":"1096-8644","language":"en","author":[{"family":"Ozga","given":"Andrew T."},{"family":"Nieves‐Colón","given":"Maria A."},{"family":"Honap","given":"Tanvi P."},{"family":"Sankaranarayanan","given":"Krithivasan"},{"family":"Hofman","given":"Courtney A."},{"family":"Milner","given":"George R."},{"family":"Lewis","given":"Cecil M."},{"family":"Stone","given":"Anne C."},{"family":"Warinner","given":"Christina"}],"issued":{"date-parts":[["2016"]]}}},{"id":978,"uris":["http://zotero.org/users/4461938/items/M7F5SH9M"],"uri":["http://zotero.org/users/4461938/items/M7F5SH9M"],"itemData":{"id":978,"type":"article-journal","title":"Ancient DNA analysis of food remains in human dental calculus from the Edo period, Japan","container-title":"bioRxiv","page":"246868","source":"www.biorxiv.org","abstract":"&lt;p&gt;Objectives: Although there are many methods for reconstructing diets of the past, detailed taxon identification is still challenging, and most plants hardly remain at a site. In this study, we applied DNA metabarcoding to dental calculus of Edo people for the taxonomic identification of food species. Materials and Methods: DNA was extracted from 13 human dental calculi from the Unko-in site (18th-19th century) of the Edo period, Japan. Polymerase chain reaction (PCR) and sequencing were performed using a primer set specific to the genus Oryza, because rice (Oryza sativa) was a staple food and this was the only member of this genus present in Japan at that time. DNA metabarcoding targeting plants, animals (meat and fish), and fungi was also carried out to investigate dietary diversity. Results: We detected amplified products of the genus Oryza from more than half of the samples using PCR and Sanger sequencing. DNA metabarcoding enabled us to identify taxa of plants and fungi, although taxa of animals were not detected, except human. Discussion: Most of the plant taxonomic groups are present in Japan and include species consumed as food at that time, as confirmed by historical literature. The other groups featured in the lifestyle of Edo people, such as for medicinal purposes and tobacco. The results indicate that plant DNA analysis from calculus provides information about food diversity and lifestyle habits from the past and can complement other analytical methods such as starch analysis and stable isotope analysis.&lt;/p&gt;","DOI":"10.1101/246868","language":"en","author":[{"family":"Sawafuji","given":"Rikai"},{"family":"Saso","given":"Aiko"},{"family":"Suda","given":"Wataru"},{"family":"Hattori","given":"Masahira"},{"family":"Ueda","given":"Shintaroh"}],"issued":{"date-parts":[["2018",3,13]]}}},{"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w:instrText>
      </w:r>
      <w:r w:rsidRPr="00454CCC">
        <w:rPr>
          <w:sz w:val="24"/>
          <w:szCs w:val="24"/>
          <w:lang w:val="fr-FR"/>
        </w:rPr>
        <w:instrText>s well as a unique system that is useful for the study of long-term microbial evolution.","DOI":"10.</w:instrText>
      </w:r>
      <w:r w:rsidRPr="0061557D">
        <w:rPr>
          <w:sz w:val="24"/>
          <w:szCs w:val="24"/>
          <w:lang w:val="fr-FR"/>
        </w:rPr>
        <w:instrText xml:space="preserve">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Pr>
          <w:sz w:val="24"/>
          <w:szCs w:val="24"/>
        </w:rPr>
        <w:fldChar w:fldCharType="separate"/>
      </w:r>
      <w:r w:rsidRPr="0061557D">
        <w:rPr>
          <w:sz w:val="24"/>
          <w:lang w:val="fr-FR"/>
        </w:rPr>
        <w:t>(Mann et al., 2018; Moorhouse et al., 2015; Ozga et al., 2016; Sawafuji et al., 2018; Weyrich et al., 2017)</w:t>
      </w:r>
      <w:r>
        <w:rPr>
          <w:sz w:val="24"/>
          <w:szCs w:val="24"/>
        </w:rPr>
        <w:fldChar w:fldCharType="end"/>
      </w:r>
      <w:r w:rsidRPr="0061557D">
        <w:rPr>
          <w:sz w:val="24"/>
          <w:szCs w:val="24"/>
          <w:lang w:val="fr-FR"/>
        </w:rPr>
        <w:t>.</w:t>
      </w:r>
      <w:r>
        <w:rPr>
          <w:sz w:val="24"/>
          <w:szCs w:val="24"/>
          <w:lang w:val="fr-FR"/>
        </w:rPr>
        <w:t xml:space="preserve"> </w:t>
      </w:r>
      <w:r w:rsidRPr="00A95999">
        <w:rPr>
          <w:sz w:val="24"/>
          <w:szCs w:val="24"/>
          <w:lang w:val="fr-FR"/>
        </w:rPr>
        <w:t xml:space="preserve">  </w:t>
      </w:r>
    </w:p>
    <w:p w14:paraId="515FBB7E" w14:textId="77777777" w:rsidR="00EC0669" w:rsidRPr="00C21A2F" w:rsidRDefault="00EC0669" w:rsidP="00C21A2F">
      <w:pPr>
        <w:pStyle w:val="Heading2"/>
        <w:rPr>
          <w:rFonts w:ascii="Times New Roman" w:hAnsi="Times New Roman" w:cs="Times New Roman"/>
          <w:i/>
          <w:color w:val="auto"/>
          <w:sz w:val="24"/>
          <w:szCs w:val="24"/>
        </w:rPr>
      </w:pPr>
      <w:bookmarkStart w:id="11" w:name="_Toc8404623"/>
      <w:r w:rsidRPr="00C21A2F">
        <w:rPr>
          <w:rFonts w:ascii="Times New Roman" w:hAnsi="Times New Roman" w:cs="Times New Roman"/>
          <w:i/>
          <w:color w:val="auto"/>
          <w:sz w:val="24"/>
          <w:szCs w:val="24"/>
        </w:rPr>
        <w:t>History of authenticating ancient DNA</w:t>
      </w:r>
      <w:bookmarkEnd w:id="11"/>
      <w:r w:rsidRPr="00C21A2F">
        <w:rPr>
          <w:rFonts w:ascii="Times New Roman" w:hAnsi="Times New Roman" w:cs="Times New Roman"/>
          <w:i/>
          <w:color w:val="auto"/>
          <w:sz w:val="24"/>
          <w:szCs w:val="24"/>
        </w:rPr>
        <w:t xml:space="preserve"> </w:t>
      </w:r>
    </w:p>
    <w:p w14:paraId="41B19A31" w14:textId="3484EF6E" w:rsidR="00EC0669" w:rsidRDefault="00EC0669" w:rsidP="0084135B">
      <w:pPr>
        <w:spacing w:line="480" w:lineRule="auto"/>
        <w:ind w:firstLine="720"/>
        <w:rPr>
          <w:sz w:val="24"/>
          <w:szCs w:val="24"/>
        </w:rPr>
      </w:pPr>
      <w:r w:rsidRPr="0016617B">
        <w:rPr>
          <w:sz w:val="24"/>
          <w:szCs w:val="24"/>
        </w:rPr>
        <w:t xml:space="preserve">Authenticating aDNA has remained a persistent challenge in the field since its </w:t>
      </w:r>
      <w:r w:rsidR="002C7AF3">
        <w:rPr>
          <w:sz w:val="24"/>
          <w:szCs w:val="24"/>
        </w:rPr>
        <w:t>inception i</w:t>
      </w:r>
      <w:r w:rsidRPr="0016617B">
        <w:rPr>
          <w:sz w:val="24"/>
          <w:szCs w:val="24"/>
        </w:rPr>
        <w:t>n</w:t>
      </w:r>
      <w:r w:rsidR="002C7AF3">
        <w:rPr>
          <w:sz w:val="24"/>
          <w:szCs w:val="24"/>
        </w:rPr>
        <w:t xml:space="preserve"> the 1980s </w:t>
      </w:r>
      <w:r w:rsidR="002C7AF3">
        <w:rPr>
          <w:sz w:val="24"/>
          <w:szCs w:val="24"/>
        </w:rPr>
        <w:fldChar w:fldCharType="begin"/>
      </w:r>
      <w:r w:rsidR="002C7AF3">
        <w:rPr>
          <w:sz w:val="24"/>
          <w:szCs w:val="24"/>
        </w:rPr>
        <w:instrText xml:space="preserve"> ADDIN ZOTERO_ITEM CSL_CITATION {"citationID":"2RL3ZgAk","properties":{"formattedCitation":"(P\\uc0\\u228{}\\uc0\\u228{}bo, 1985; P\\uc0\\u228{}\\uc0\\u228{}bo et al., 2004)","plainCitation":"(Pääbo, 1985; Pääbo et al., 2004)","noteIndex":0},"citationItems":[{"id":723,"uris":["http://zotero.org/users/4461938/items/LNE5LTW4"],"uri":["http://zotero.org/users/4461938/items/LNE5LTW4"],"itemData":{"id":723,"type":"article-journal","title":"Preservation of DNA in ancient Egyptian mummies","container-title":"Journal of Archaeological Science","page":"411-417","volume":"12","issue":"6","author":[{"family":"Pääbo","given":"Svante"}],"issued":{"date-parts":[["1985"]]}}},{"id":821,"uris":["http://zotero.org/users/4461938/items/2DPFPL63"],"uri":["http://zotero.org/users/4461938/items/2DPFPL63"],"itemData":{"id":821,"type":"article-journal","title":"Genetic Analyses from Ancient DNA","container-title":"Annual Review of Genetics","page":"645-679","volume":"38","issue":"1","source":"Annual Reviews","abstract":"About 20 years ago, DNA sequences were separately described from the quagga (a type of zebra) and an ancient Egyptian individual. What made these DNA sequences exceptional was that they were derived from 140- and 2400-year-old specimens. However, ancient DNA research, defined broadly as the retrieval of DNA sequences from museum specimens, archaeological finds, fossil remains, and other unusual sources of DNA, only really became feasible with the advent of techniques for the enzymatic amplification of specific DNA sequences. Today, reports of analyses of specimens hundreds, thousands, and even millions of years old are almost commonplace. But can all these results be believed? In this paper, we critically assess the state of ancient DNA research. In particular, we discuss the precautions and criteria necessary to ascertain to the greatest extent possible that results represent authentic ancient DNA sequences. We also highlight some significant results and areas of promising future research.","DOI":"10.1146/annurev.genet.37.110801.143214","note":"PMID: 15568989","author":[{"family":"Pääbo","given":"Svante"},{"family":"Poinar","given":"Hendrik"},{"family":"Serre","given":"David"},{"family":"Jaenicke-Després","given":"Viviane"},{"family":"Hebler","given":"Juliane"},{"family":"Rohland","given":"Nadin"},{"family":"Kuch","given":"Melanie"},{"family":"Krause","given":"Johannes"},{"family":"Vigilant","given":"Linda"},{"family":"Hofreiter","given":"Michael"}],"issued":{"date-parts":[["2004"]]}}}],"schema":"https://github.com/citation-style-language/schema/raw/master/csl-citation.json"} </w:instrText>
      </w:r>
      <w:r w:rsidR="002C7AF3">
        <w:rPr>
          <w:sz w:val="24"/>
          <w:szCs w:val="24"/>
        </w:rPr>
        <w:fldChar w:fldCharType="separate"/>
      </w:r>
      <w:r w:rsidR="002C7AF3" w:rsidRPr="002C7AF3">
        <w:rPr>
          <w:sz w:val="24"/>
          <w:szCs w:val="24"/>
        </w:rPr>
        <w:t>(Pääbo, 1985; Pääbo et al., 2004)</w:t>
      </w:r>
      <w:r w:rsidR="002C7AF3">
        <w:rPr>
          <w:sz w:val="24"/>
          <w:szCs w:val="24"/>
        </w:rPr>
        <w:fldChar w:fldCharType="end"/>
      </w:r>
      <w:r w:rsidRPr="0016617B">
        <w:rPr>
          <w:sz w:val="24"/>
          <w:szCs w:val="24"/>
        </w:rPr>
        <w:t xml:space="preserve">. For example, </w:t>
      </w:r>
      <w:r w:rsidRPr="0016617B">
        <w:rPr>
          <w:sz w:val="24"/>
          <w:szCs w:val="24"/>
        </w:rPr>
        <w:fldChar w:fldCharType="begin"/>
      </w:r>
      <w:r>
        <w:rPr>
          <w:sz w:val="24"/>
          <w:szCs w:val="24"/>
        </w:rPr>
        <w:instrText xml:space="preserve"> ADDIN ZOTERO_ITEM CSL_CITATION {"citationID":"kHi5Tdy7","properties":{"formattedCitation":"(Austin et al. 1997)","plainCitation":"(Austin et al. 1997)","dontUpdate":true,"noteIndex":0},"citationItems":[{"id":820,"uris":["http://zotero.org/users/4461938/items/P38HXADW"],"uri":["http://zotero.org/users/4461938/items/P38HXADW"],"itemData":{"id":820,"type":"article-journal","title":"Problems of reproducibility–does geologically ancient DNA survive in amber–preserved insects?","container-title":"Proceedings of the Royal Society of London. Series B: Biological Sciences","page":"467-474","volume":"264","issue":"1381","author":[{"family":"Austin","given":"Jeremy J."},{"family":"Ross","given":"Andrew J."},{"family":"Smith","given":"Andrew B."},{"family":"Fortey","given":"Richard A."},{"family":"Thomas","given":"Richard H."}],"issued":{"date-parts":[["1997"]]}}}],"schema":"https://github.com/citation-style-language/schema/raw/master/csl-citation.json"} </w:instrText>
      </w:r>
      <w:r w:rsidRPr="0016617B">
        <w:rPr>
          <w:sz w:val="24"/>
          <w:szCs w:val="24"/>
        </w:rPr>
        <w:fldChar w:fldCharType="separate"/>
      </w:r>
      <w:r w:rsidRPr="0016617B">
        <w:rPr>
          <w:sz w:val="24"/>
          <w:szCs w:val="24"/>
        </w:rPr>
        <w:t>Austin et al. (1997)</w:t>
      </w:r>
      <w:r w:rsidRPr="0016617B">
        <w:rPr>
          <w:sz w:val="24"/>
          <w:szCs w:val="24"/>
        </w:rPr>
        <w:fldChar w:fldCharType="end"/>
      </w:r>
      <w:r w:rsidRPr="0016617B">
        <w:rPr>
          <w:sz w:val="24"/>
          <w:szCs w:val="24"/>
        </w:rPr>
        <w:t xml:space="preserve"> reported how aDNA scholars </w:t>
      </w:r>
      <w:r>
        <w:rPr>
          <w:sz w:val="24"/>
          <w:szCs w:val="24"/>
        </w:rPr>
        <w:t xml:space="preserve">studying dinosaur remains </w:t>
      </w:r>
      <w:r w:rsidRPr="0016617B">
        <w:rPr>
          <w:sz w:val="24"/>
          <w:szCs w:val="24"/>
        </w:rPr>
        <w:t xml:space="preserve">were unable to </w:t>
      </w:r>
      <w:r w:rsidR="0084135B">
        <w:rPr>
          <w:sz w:val="24"/>
          <w:szCs w:val="24"/>
        </w:rPr>
        <w:t>replicate</w:t>
      </w:r>
      <w:r w:rsidRPr="0016617B">
        <w:rPr>
          <w:sz w:val="24"/>
          <w:szCs w:val="24"/>
        </w:rPr>
        <w:t xml:space="preserve"> results </w:t>
      </w:r>
      <w:r w:rsidRPr="0016617B">
        <w:rPr>
          <w:sz w:val="24"/>
          <w:szCs w:val="24"/>
        </w:rPr>
        <w:fldChar w:fldCharType="begin"/>
      </w:r>
      <w:r>
        <w:rPr>
          <w:sz w:val="24"/>
          <w:szCs w:val="24"/>
        </w:rPr>
        <w:instrText xml:space="preserve"> ADDIN ZOTERO_ITEM CSL_CITATION {"citationID":"ReKSJndz","properties":{"formattedCitation":"(Golenberg et al., 1990; Soltis et al., 1992; Woodward et al., 1994)","plainCitation":"(Golenberg et al., 1990; Soltis et al., 1992; Woodward et al., 1994)","noteIndex":0},"citationItems":[{"id":823,"uris":["http://zotero.org/users/4461938/items/FVIU8VFU"],"uri":["http://zotero.org/users/4461938/items/FVIU8VFU"],"itemData":{"id":823,"type":"article-journal","title":"DNA sequence from Cretaceous period bone fragments","container-title":"Science","page":"1229-1232","volume":"266","issue":"5188","source":"science.sciencemag.org","abstract":"DNA was extracted from 80-million-year-old bone fragments found in strata of the Upper Cretaceous Blackhawk Formation in the roof of an underground coal mine in eastern Utah. This DNA was used as the template in a polymerase chain reaction that amplified and sequenced a portion of the gene encoding mitochondrial cytochrome b. These sequences differ from all other cytochrome b sequences investigated, including those in the GenBank and European Molecular Biology Laboratory databases. DNA isolated from these bone fragments and the resulting gene sequences demonstrate that small fragments of DNA may survive in bone for millions of years.","DOI":"10.1126/science.7973705","ISSN":"0036-8075, 1095-9203","note":"PMID: 7973705","language":"en","author":[{"family":"Woodward","given":""},{"family":"Weyand","given":"N. J."},{"family":"Bunnell","given":"M."}],"issued":{"date-parts":[["1994",11,18]]}}},{"id":830,"uris":["http://zotero.org/users/4461938/items/9SRA5ZSW"],"uri":["http://zotero.org/users/4461938/items/9SRA5ZSW"],"itemData":{"id":830,"type":"article-journal","title":"Chloroplast DNA sequence from a Miocene Magnolia species","container-title":"Nature","page":"656","volume":"344","issue":"6267","source":"www.nature.com","abstract":"DNA has been successfully extracted from several samples of preserved tissue, the oldest so far reported originating from a 13,000-year-old ground sloth1.But severe damage to the preserved DNA, primarily due to oxidation of the pyrimidines1, has prevented the acquisition of sequence data from ancient samples except in a few cases2–4. We report here the extraction of DNA from fossil leaf samples from the Miocene Clarkia deposit (17-20 My r old), the amplification of an 820-base pair (bp) DNA fragment from the chloroplast gene rbcL from a fossil of the genus Magnolia, and its subsequent sequencing. The sequence was verified by comparison with published and unpublished rbcL sequences. These results extend our ability to analyse ancient DNA and may open new avenues into problems in palaeobotany, biogeography, and in the calibration of mutation rates.","DOI":"10.1038/344656a0","ISSN":"1476-4687","language":"En","author":[{"family":"Golenberg","given":"Edward M."},{"family":"Giannasi","given":"David E."},{"family":"Clegg","given":"Michael T."},{"family":"Smiley","given":"Charles J."},{"family":"Durbin","given":"Mary"},{"family":"Henderson","given":"David"},{"family":"Zurawski","given":"Gerard"}],"issued":{"date-parts":[["1990",4]]}}},{"id":833,"uris":["http://zotero.org/users/4461938/items/AKK3SSTG"],"uri":["http://zotero.org/users/4461938/items/AKK3SSTG"],"itemData":{"id":833,"type":"article-journal","title":"An rbcL sequence from a Miocene Taxodium (bald cypress)","container-title":"Proceedings of the National Academy of Sciences","page":"449-451","volume":"89","issue":"1","author":[{"family":"Soltis","given":"Pamela S."},{"family":"Soltis","given":"Douglas E."},{"family":"Smiley","given":"Charles J."}],"issued":{"date-parts":[["1992"]]}}}],"schema":"https://github.com/citation-style-language/schema/raw/master/csl-citation.json"} </w:instrText>
      </w:r>
      <w:r w:rsidRPr="0016617B">
        <w:rPr>
          <w:sz w:val="24"/>
          <w:szCs w:val="24"/>
        </w:rPr>
        <w:fldChar w:fldCharType="separate"/>
      </w:r>
      <w:r w:rsidRPr="00EC0669">
        <w:rPr>
          <w:sz w:val="24"/>
        </w:rPr>
        <w:t>(Golenberg et al., 1990; Soltis et al., 1992; Woodward et al., 1994)</w:t>
      </w:r>
      <w:r w:rsidRPr="0016617B">
        <w:rPr>
          <w:sz w:val="24"/>
          <w:szCs w:val="24"/>
        </w:rPr>
        <w:fldChar w:fldCharType="end"/>
      </w:r>
      <w:r w:rsidRPr="0016617B">
        <w:rPr>
          <w:sz w:val="24"/>
          <w:szCs w:val="24"/>
        </w:rPr>
        <w:t xml:space="preserve">. </w:t>
      </w:r>
      <w:r>
        <w:rPr>
          <w:sz w:val="24"/>
          <w:szCs w:val="24"/>
        </w:rPr>
        <w:t>A similar issue would arise as scholars began to analyze</w:t>
      </w:r>
      <w:r w:rsidRPr="0016617B">
        <w:rPr>
          <w:sz w:val="24"/>
          <w:szCs w:val="24"/>
        </w:rPr>
        <w:t xml:space="preserve"> </w:t>
      </w:r>
      <w:r w:rsidR="005C27DB">
        <w:rPr>
          <w:sz w:val="24"/>
          <w:szCs w:val="24"/>
        </w:rPr>
        <w:t xml:space="preserve">human </w:t>
      </w:r>
      <w:r w:rsidRPr="0016617B">
        <w:rPr>
          <w:sz w:val="24"/>
          <w:szCs w:val="24"/>
        </w:rPr>
        <w:t xml:space="preserve">aDNA </w:t>
      </w:r>
      <w:r>
        <w:rPr>
          <w:sz w:val="24"/>
          <w:szCs w:val="24"/>
        </w:rPr>
        <w:t xml:space="preserve">because </w:t>
      </w:r>
      <w:r w:rsidR="00A26A1A">
        <w:rPr>
          <w:sz w:val="24"/>
          <w:szCs w:val="24"/>
        </w:rPr>
        <w:t xml:space="preserve">it was difficult </w:t>
      </w:r>
      <w:r w:rsidR="0084135B">
        <w:rPr>
          <w:sz w:val="24"/>
          <w:szCs w:val="24"/>
        </w:rPr>
        <w:t>to</w:t>
      </w:r>
      <w:r>
        <w:rPr>
          <w:sz w:val="24"/>
          <w:szCs w:val="24"/>
        </w:rPr>
        <w:t xml:space="preserve"> differentiate endogenous and exogenous </w:t>
      </w:r>
      <w:r w:rsidR="00331D9D">
        <w:rPr>
          <w:sz w:val="24"/>
          <w:szCs w:val="24"/>
        </w:rPr>
        <w:t>content</w:t>
      </w:r>
      <w:r>
        <w:rPr>
          <w:sz w:val="24"/>
          <w:szCs w:val="24"/>
        </w:rPr>
        <w:t xml:space="preserve"> </w:t>
      </w:r>
      <w:r>
        <w:rPr>
          <w:sz w:val="24"/>
          <w:szCs w:val="24"/>
        </w:rPr>
        <w:fldChar w:fldCharType="begin"/>
      </w:r>
      <w:r>
        <w:rPr>
          <w:sz w:val="24"/>
          <w:szCs w:val="24"/>
        </w:rPr>
        <w:instrText xml:space="preserve"> ADDIN ZOTERO_ITEM CSL_CITATION {"citationID":"qcdAMcwC","properties":{"formattedCitation":"(Stoneking, 1995)","plainCitation":"(Stoneking, 1995)","noteIndex":0},"citationItems":[{"id":834,"uris":["http://zotero.org/users/4461938/items/LHHKIE22"],"uri":["http://zotero.org/users/4461938/items/LHHKIE22"],"itemData":{"id":834,"type":"article-journal","title":"Ancient DNA: how do you know when you have it and what can you do with it?","container-title":"American Journal of Human Genetics","page":"1259","volume":"57","issue":"6","author":[{"family":"Stoneking","given":"Mark"}],"issued":{"date-parts":[["1995"]]}}}],"schema":"https://github.com/citation-style-language/schema/raw/master/csl-citation.json"} </w:instrText>
      </w:r>
      <w:r>
        <w:rPr>
          <w:sz w:val="24"/>
          <w:szCs w:val="24"/>
        </w:rPr>
        <w:fldChar w:fldCharType="separate"/>
      </w:r>
      <w:r w:rsidRPr="00EC0669">
        <w:rPr>
          <w:sz w:val="24"/>
        </w:rPr>
        <w:t>(Stoneking, 1995)</w:t>
      </w:r>
      <w:r>
        <w:rPr>
          <w:sz w:val="24"/>
          <w:szCs w:val="24"/>
        </w:rPr>
        <w:fldChar w:fldCharType="end"/>
      </w:r>
      <w:r>
        <w:rPr>
          <w:sz w:val="24"/>
          <w:szCs w:val="24"/>
        </w:rPr>
        <w:t>.</w:t>
      </w:r>
      <w:r w:rsidR="0084135B">
        <w:rPr>
          <w:sz w:val="24"/>
          <w:szCs w:val="24"/>
        </w:rPr>
        <w:t xml:space="preserve"> </w:t>
      </w:r>
      <w:r w:rsidR="0084135B" w:rsidRPr="0016617B">
        <w:rPr>
          <w:sz w:val="24"/>
          <w:szCs w:val="24"/>
        </w:rPr>
        <w:t xml:space="preserve">The reoccurrence of this issue in the 1990s led </w:t>
      </w:r>
      <w:r w:rsidR="0084135B" w:rsidRPr="0016617B">
        <w:rPr>
          <w:sz w:val="24"/>
          <w:szCs w:val="24"/>
        </w:rPr>
        <w:fldChar w:fldCharType="begin"/>
      </w:r>
      <w:r w:rsidR="0084135B">
        <w:rPr>
          <w:sz w:val="24"/>
          <w:szCs w:val="24"/>
        </w:rPr>
        <w:instrText xml:space="preserve"> ADDIN ZOTERO_ITEM CSL_CITATION {"citationID":"lFmr00l3","properties":{"formattedCitation":"(Poinar and Cooper 2000)","plainCitation":"(Poinar and Cooper 2000)","dontUpdate":true,"noteIndex":0},"citationItems":[{"id":91,"uris":["http://zotero.org/users/4461938/items/CTEWXUWH"],"uri":["http://zotero.org/users/4461938/items/CTEWXUWH"],"itemData":{"id":91,"type":"article-journal","title":"Ancient DNA: do it right or not at all","container-title":"Science","page":"416","volume":"5482","issue":"1139","journalAbbreviation":"Science","author":[{"family":"Poinar","given":"Hendrik N"},{"family":"Cooper","given":"A"}],"issued":{"date-parts":[["2000"]]}}}],"schema":"https://github.com/citation-style-language/schema/raw/master/csl-citation.json"} </w:instrText>
      </w:r>
      <w:r w:rsidR="0084135B" w:rsidRPr="0016617B">
        <w:rPr>
          <w:sz w:val="24"/>
          <w:szCs w:val="24"/>
        </w:rPr>
        <w:fldChar w:fldCharType="separate"/>
      </w:r>
      <w:r w:rsidR="0084135B" w:rsidRPr="0016617B">
        <w:rPr>
          <w:sz w:val="24"/>
          <w:szCs w:val="24"/>
        </w:rPr>
        <w:t>Poinar and Cooper (2000)</w:t>
      </w:r>
      <w:r w:rsidR="0084135B" w:rsidRPr="0016617B">
        <w:rPr>
          <w:sz w:val="24"/>
          <w:szCs w:val="24"/>
        </w:rPr>
        <w:fldChar w:fldCharType="end"/>
      </w:r>
      <w:r w:rsidR="0084135B" w:rsidRPr="0016617B">
        <w:rPr>
          <w:sz w:val="24"/>
          <w:szCs w:val="24"/>
        </w:rPr>
        <w:t xml:space="preserve"> to publish an outline of nine key standards </w:t>
      </w:r>
      <w:r w:rsidR="0084135B">
        <w:rPr>
          <w:sz w:val="24"/>
          <w:szCs w:val="24"/>
        </w:rPr>
        <w:t>that minimized contamination</w:t>
      </w:r>
      <w:r w:rsidR="0084135B" w:rsidRPr="0016617B">
        <w:rPr>
          <w:sz w:val="24"/>
          <w:szCs w:val="24"/>
        </w:rPr>
        <w:t>. Despite the</w:t>
      </w:r>
      <w:r w:rsidR="0084135B">
        <w:rPr>
          <w:sz w:val="24"/>
          <w:szCs w:val="24"/>
        </w:rPr>
        <w:t>ir efforts</w:t>
      </w:r>
      <w:r w:rsidR="0084135B" w:rsidRPr="0016617B">
        <w:rPr>
          <w:sz w:val="24"/>
          <w:szCs w:val="24"/>
        </w:rPr>
        <w:t xml:space="preserve">, few studies applied all nine standards </w:t>
      </w:r>
      <w:r w:rsidR="0084135B" w:rsidRPr="0016617B">
        <w:rPr>
          <w:sz w:val="24"/>
          <w:szCs w:val="24"/>
        </w:rPr>
        <w:fldChar w:fldCharType="begin"/>
      </w:r>
      <w:r w:rsidR="0084135B">
        <w:rPr>
          <w:sz w:val="24"/>
          <w:szCs w:val="24"/>
        </w:rPr>
        <w:instrText xml:space="preserve"> ADDIN ZOTERO_ITEM CSL_CITATION {"citationID":"74v78wuC","properties":{"formattedCitation":"(Gilbert et al., 2005)","plainCitation":"(Gilbert et al., 2005)","noteIndex":0},"citationItems":[{"id":280,"uris":["http://zotero.org/users/4461938/items/39MDM5JU"],"uri":["http://zotero.org/users/4461938/items/39MDM5JU"],"itemData":{"id":280,"type":"article-journal","title":"Assessing ancient DNA studies","container-title":"Trends in ecology &amp; evolution","page":"541-544","volume":"20","issue":"10","ISSN":"0169-5347","journalAbbreviation":"Trends in ecology &amp; evolution","author":[{"family":"Gilbert","given":"M Thomas P"},{"family":"Bandelt","given":"Hans-Jürgen"},{"family":"Hofreiter","given":"Michael"},{"family":"Barnes","given":"Ian"}],"issued":{"date-parts":[["2005"]]}}}],"schema":"https://github.com/citation-style-language/schema/raw/master/csl-citation.json"} </w:instrText>
      </w:r>
      <w:r w:rsidR="0084135B" w:rsidRPr="0016617B">
        <w:rPr>
          <w:sz w:val="24"/>
          <w:szCs w:val="24"/>
        </w:rPr>
        <w:fldChar w:fldCharType="separate"/>
      </w:r>
      <w:r w:rsidR="0084135B" w:rsidRPr="00EC0669">
        <w:rPr>
          <w:sz w:val="24"/>
        </w:rPr>
        <w:t>(Gilbert et al., 2005)</w:t>
      </w:r>
      <w:r w:rsidR="0084135B" w:rsidRPr="0016617B">
        <w:rPr>
          <w:sz w:val="24"/>
          <w:szCs w:val="24"/>
        </w:rPr>
        <w:fldChar w:fldCharType="end"/>
      </w:r>
      <w:r w:rsidR="0084135B" w:rsidRPr="0016617B">
        <w:rPr>
          <w:sz w:val="24"/>
          <w:szCs w:val="24"/>
        </w:rPr>
        <w:t>.</w:t>
      </w:r>
      <w:r w:rsidR="0084135B">
        <w:rPr>
          <w:sz w:val="24"/>
          <w:szCs w:val="24"/>
        </w:rPr>
        <w:t xml:space="preserve"> </w:t>
      </w:r>
      <w:r w:rsidRPr="0016617B">
        <w:rPr>
          <w:sz w:val="24"/>
          <w:szCs w:val="24"/>
        </w:rPr>
        <w:t xml:space="preserve">However, technological advancements in </w:t>
      </w:r>
      <w:r w:rsidR="0084135B">
        <w:rPr>
          <w:sz w:val="24"/>
          <w:szCs w:val="24"/>
        </w:rPr>
        <w:t xml:space="preserve">HTS </w:t>
      </w:r>
      <w:r w:rsidRPr="0016617B">
        <w:rPr>
          <w:sz w:val="24"/>
          <w:szCs w:val="24"/>
        </w:rPr>
        <w:t xml:space="preserve">sequencing, </w:t>
      </w:r>
      <w:r w:rsidRPr="0016617B">
        <w:rPr>
          <w:sz w:val="24"/>
          <w:szCs w:val="24"/>
        </w:rPr>
        <w:fldChar w:fldCharType="begin"/>
      </w:r>
      <w:r>
        <w:rPr>
          <w:sz w:val="24"/>
          <w:szCs w:val="24"/>
        </w:rPr>
        <w:instrText xml:space="preserve"> ADDIN ZOTERO_ITEM CSL_CITATION {"citationID":"wHp9jZ4a","properties":{"formattedCitation":"(Schuster, 2007)","plainCitation":"(Schuster, 2007)","noteIndex":0},"citationItems":[{"id":840,"uris":["http://zotero.org/users/4461938/items/4CLW3MTY"],"uri":["http://zotero.org/users/4461938/items/4CLW3MTY"],"itemData":{"id":840,"type":"article-journal","title":"Next-generation sequencing transforms today's biology","container-title":"Nature methods","page":"16","volume":"5","issue":"1","author":[{"family":"Schuster","given":"Stephan C."}],"issued":{"date-parts":[["2007"]]}}}],"schema":"https://github.com/citation-style-language/schema/raw/master/csl-citation.json"} </w:instrText>
      </w:r>
      <w:r w:rsidRPr="0016617B">
        <w:rPr>
          <w:sz w:val="24"/>
          <w:szCs w:val="24"/>
        </w:rPr>
        <w:fldChar w:fldCharType="separate"/>
      </w:r>
      <w:r w:rsidRPr="00EC0669">
        <w:rPr>
          <w:sz w:val="24"/>
        </w:rPr>
        <w:t>(Schuster, 2007)</w:t>
      </w:r>
      <w:r w:rsidRPr="0016617B">
        <w:rPr>
          <w:sz w:val="24"/>
          <w:szCs w:val="24"/>
        </w:rPr>
        <w:fldChar w:fldCharType="end"/>
      </w:r>
      <w:r w:rsidRPr="0016617B">
        <w:rPr>
          <w:sz w:val="24"/>
          <w:szCs w:val="24"/>
        </w:rPr>
        <w:t xml:space="preserve">, contamination control </w:t>
      </w:r>
      <w:r w:rsidRPr="0016617B">
        <w:rPr>
          <w:sz w:val="24"/>
          <w:szCs w:val="24"/>
        </w:rPr>
        <w:fldChar w:fldCharType="begin"/>
      </w:r>
      <w:r>
        <w:rPr>
          <w:sz w:val="24"/>
          <w:szCs w:val="24"/>
        </w:rPr>
        <w:instrText xml:space="preserve"> ADDIN ZOTERO_ITEM CSL_CITATION {"citationID":"nCOhYUNE","properties":{"formattedCitation":"(Champlot et al., 2010)","plainCitation":"(Champlot et al., 2010)","noteIndex":0},"citationItems":[{"id":817,"uris":["http://zotero.org/users/4461938/items/DBWGLBGR"],"uri":["http://zotero.org/users/4461938/items/DBWGLBGR"],"itemData":{"id":817,"type":"article-journal","title":"An Efficient Multistrategy DNA Decontamination Procedure of PCR Reagents for Hypersensitive PCR Applications","container-title":"PLOS ONE","page":"e13042","volume":"5","issue":"9","source":"PLoS Journals","abstract":"Background PCR amplification of minute quantities of degraded DNA for ancient DNA research, forensic analyses, wildlife studies and ultrasensitive diagnostics is often hampered by contamination problems. The extent of these problems is inversely related to DNA concentration and target fragment size and concern (i) sample contamination, (ii) laboratory surface contamination, (iii) carry-over contamination, and (iv) contamination of reagents. Methodology/Principal Findings Here we performed a quantitative evaluation of current decontamination methods for these last three sources of contamination, and developed a new procedure to eliminate contaminating DNA contained in PCR reagents. We observed that most current decontamination methods are either not efficient enough to degrade short contaminating DNA molecules, rendered inefficient by the reagents themselves, or interfere with the PCR when used at doses high enough to eliminate these molecules. We also show that efficient reagent decontamination can be achieved by using a combination of treatments adapted to different reagent categories. Our procedure involves γ- and UV-irradiation and treatment with a mutant recombinant heat-labile double-strand specific DNase from the Antarctic shrimp Pandalus borealis. Optimal performance of these treatments is achieved in narrow experimental conditions that have been precisely analyzed and defined herein. Conclusions/Significance There is not a single decontamination method valid for all possible contamination sources occurring in PCR reagents and in the molecular biology laboratory and most common decontamination methods are not efficient enough to decontaminate short DNA fragments of low concentration. We developed a versatile multistrategy decontamination procedure for PCR reagents. We demonstrate that this procedure allows efficient reagent decontamination while preserving the efficiency of PCR amplification of minute quantities of DNA.","DOI":"10.1371/journal.pone.0013042","ISSN":"1932-6203","journalAbbreviation":"PLOS ONE","language":"en","author":[{"family":"Champlot","given":"Sophie"},{"family":"Berthelot","given":"Camille"},{"family":"Pruvost","given":"Mélanie"},{"family":"Bennett","given":"E. Andrew"},{"family":"Grange","given":"Thierry"},{"family":"Geigl","given":"Eva-Maria"}],"issued":{"date-parts":[["2010",9,28]]}}}],"schema":"https://github.com/citation-style-language/schema/raw/master/csl-citation.json"} </w:instrText>
      </w:r>
      <w:r w:rsidRPr="0016617B">
        <w:rPr>
          <w:sz w:val="24"/>
          <w:szCs w:val="24"/>
        </w:rPr>
        <w:fldChar w:fldCharType="separate"/>
      </w:r>
      <w:r w:rsidRPr="00EC0669">
        <w:rPr>
          <w:sz w:val="24"/>
        </w:rPr>
        <w:t>(Champlot et al., 2010)</w:t>
      </w:r>
      <w:r w:rsidRPr="0016617B">
        <w:rPr>
          <w:sz w:val="24"/>
          <w:szCs w:val="24"/>
        </w:rPr>
        <w:fldChar w:fldCharType="end"/>
      </w:r>
      <w:r w:rsidRPr="0016617B">
        <w:rPr>
          <w:sz w:val="24"/>
          <w:szCs w:val="24"/>
        </w:rPr>
        <w:t xml:space="preserve">, laboratory setup </w:t>
      </w:r>
      <w:r w:rsidRPr="0016617B">
        <w:rPr>
          <w:sz w:val="24"/>
          <w:szCs w:val="24"/>
        </w:rPr>
        <w:fldChar w:fldCharType="begin"/>
      </w:r>
      <w:r w:rsidR="00351B7B">
        <w:rPr>
          <w:sz w:val="24"/>
          <w:szCs w:val="24"/>
        </w:rPr>
        <w:instrText xml:space="preserve"> ADDIN ZOTERO_ITEM CSL_CITATION {"citationID":"polONe7B","properties":{"formattedCitation":"(Gilbert et al., 2005; Knapp et al., 2012)","plainCitation":"(Gilbert et al., 2005; Knapp et al., 2012)","noteIndex":0},"citationItems":[{"id":280,"uris":["http://zotero.org/users/4461938/items/39MDM5JU"],"uri":["http://zotero.org/users/4461938/items/39MDM5JU"],"itemData":{"id":280,"type":"article-journal","title":"Assessing ancient DNA studies","container-title":"Trends in ecology &amp; evolution","page":"541-544","volume":"20","issue":"10","ISSN":"0169-5347","journalAbbreviation":"Trends in ecology &amp; evolution","author":[{"family":"Gilbert","given":"M Thomas P"},{"family":"Bandelt","given":"Hans-Jürgen"},{"family":"Hofreiter","given":"Michael"},{"family":"Barnes","given":"Ian"}],"issued":{"date-parts":[["2005"]]}}},{"id":813,"uris":["http://zotero.org/users/4461938/items/AVGBB3CE"],"uri":["http://zotero.org/users/4461938/items/AVGBB3CE"],"itemData":{"id":813,"type":"article-journal","title":"Setting the stage – Building and working in an ancient DNA laboratory","container-title":"Annals of Anatomy - Anatomischer Anzeiger","collection-title":"Special Issue: Ancient DNA","page":"3-6","volume":"194","issue":"1","source":"ScienceDirect","abstract":"Summary\nWith the introduction of next generation high throughput sequencing in 2005 and the resulting revolution in genetics, ancient DNA research has rapidly developed from an interesting but marginal field within evolutionary biology into one that can contribute significantly to our understanding of evolution in general and the development of our own species in particular. While the amount of sequence data available from ancient human, other animal and plant remains has increased dramatically over the past five years, some key limitations of ancient DNA research remain. Most notably, reduction of contamination and the authentication of results are of utmost importance. A number of studies have addressed different aspects of sampling, DNA extraction and DNA manipulation in order to establish protocols that most efficiently generate reproducible and authentic results. As increasing numbers of researchers from different backgrounds become interested in using ancient DNA technology to address key questions, the need for practical guidelines on how to construct and use an ancient DNA facility arises. The aim of this article is therefore to provide practical tips for building a state-of-the-art ancient DNA facility. It is intended to help researchers new to the field of ancient DNA research generally, and those considering the application of next generation sequencing, in their planning process.","DOI":"10.1016/j.aanat.2011.03.008","ISSN":"0940-9602","journalAbbreviation":"Annals of Anatomy - Anatomischer Anzeiger","author":[{"family":"Knapp","given":"Michael"},{"family":"Clarke","given":"Andrew C."},{"family":"Horsburgh","given":"K. Ann"},{"family":"Matisoo-Smith","given":"Elizabeth A."}],"issued":{"date-parts":[["2012",1,20]]}}}],"schema":"https://github.com/citation-style-language/schema/raw/master/csl-citation.json"} </w:instrText>
      </w:r>
      <w:r w:rsidRPr="0016617B">
        <w:rPr>
          <w:sz w:val="24"/>
          <w:szCs w:val="24"/>
        </w:rPr>
        <w:fldChar w:fldCharType="separate"/>
      </w:r>
      <w:r w:rsidR="00351B7B" w:rsidRPr="00351B7B">
        <w:rPr>
          <w:sz w:val="24"/>
        </w:rPr>
        <w:t>(Gilbert et al., 2005; Knapp et al., 2012)</w:t>
      </w:r>
      <w:r w:rsidRPr="0016617B">
        <w:rPr>
          <w:sz w:val="24"/>
          <w:szCs w:val="24"/>
        </w:rPr>
        <w:fldChar w:fldCharType="end"/>
      </w:r>
      <w:r w:rsidRPr="0016617B">
        <w:rPr>
          <w:sz w:val="24"/>
          <w:szCs w:val="24"/>
        </w:rPr>
        <w:t xml:space="preserve">, and </w:t>
      </w:r>
      <w:r>
        <w:rPr>
          <w:sz w:val="24"/>
          <w:szCs w:val="24"/>
        </w:rPr>
        <w:t xml:space="preserve">the </w:t>
      </w:r>
      <w:r w:rsidRPr="0016617B">
        <w:rPr>
          <w:sz w:val="24"/>
          <w:szCs w:val="24"/>
        </w:rPr>
        <w:t xml:space="preserve">furtherance of bioinformatic </w:t>
      </w:r>
      <w:r>
        <w:rPr>
          <w:sz w:val="24"/>
          <w:szCs w:val="24"/>
        </w:rPr>
        <w:t>applications tailored for aDNA research</w:t>
      </w:r>
      <w:r w:rsidRPr="0016617B">
        <w:rPr>
          <w:sz w:val="24"/>
          <w:szCs w:val="24"/>
        </w:rPr>
        <w:t xml:space="preserve"> have enabled researchers to empirically test DNA preservation and levels of contamination of ancient samples</w:t>
      </w:r>
      <w:r w:rsidR="0084135B">
        <w:rPr>
          <w:sz w:val="24"/>
          <w:szCs w:val="24"/>
        </w:rPr>
        <w:t>, including archaeological dental calculus</w:t>
      </w:r>
      <w:r w:rsidRPr="0016617B">
        <w:rPr>
          <w:sz w:val="24"/>
          <w:szCs w:val="24"/>
        </w:rPr>
        <w:t xml:space="preserve">. For instance, HTS (untargeted) approaches </w:t>
      </w:r>
      <w:r>
        <w:rPr>
          <w:sz w:val="24"/>
          <w:szCs w:val="24"/>
        </w:rPr>
        <w:t xml:space="preserve">have enabled the </w:t>
      </w:r>
      <w:r w:rsidRPr="0016617B">
        <w:rPr>
          <w:sz w:val="24"/>
          <w:szCs w:val="24"/>
        </w:rPr>
        <w:t>recover</w:t>
      </w:r>
      <w:r>
        <w:rPr>
          <w:sz w:val="24"/>
          <w:szCs w:val="24"/>
        </w:rPr>
        <w:t>y</w:t>
      </w:r>
      <w:r w:rsidRPr="0016617B">
        <w:rPr>
          <w:sz w:val="24"/>
          <w:szCs w:val="24"/>
        </w:rPr>
        <w:t xml:space="preserve"> </w:t>
      </w:r>
      <w:r w:rsidR="005B754B">
        <w:rPr>
          <w:sz w:val="24"/>
          <w:szCs w:val="24"/>
        </w:rPr>
        <w:t>of short</w:t>
      </w:r>
      <w:r w:rsidRPr="0016617B">
        <w:rPr>
          <w:sz w:val="24"/>
          <w:szCs w:val="24"/>
        </w:rPr>
        <w:t xml:space="preserve"> DNA fragments </w:t>
      </w:r>
      <w:r w:rsidR="005B754B">
        <w:rPr>
          <w:sz w:val="24"/>
          <w:szCs w:val="24"/>
        </w:rPr>
        <w:t xml:space="preserve">(&lt;100 bps) </w:t>
      </w:r>
      <w:r w:rsidRPr="0016617B">
        <w:rPr>
          <w:sz w:val="24"/>
          <w:szCs w:val="24"/>
        </w:rPr>
        <w:t xml:space="preserve">within a sample. </w:t>
      </w:r>
      <w:r w:rsidR="0084135B">
        <w:rPr>
          <w:sz w:val="24"/>
          <w:szCs w:val="24"/>
        </w:rPr>
        <w:t>Novel strategies</w:t>
      </w:r>
      <w:r>
        <w:rPr>
          <w:sz w:val="24"/>
          <w:szCs w:val="24"/>
        </w:rPr>
        <w:t xml:space="preserve"> </w:t>
      </w:r>
      <w:r w:rsidR="0084135B">
        <w:rPr>
          <w:sz w:val="24"/>
          <w:szCs w:val="24"/>
        </w:rPr>
        <w:t>to recover endogenous content ha</w:t>
      </w:r>
      <w:r>
        <w:rPr>
          <w:sz w:val="24"/>
          <w:szCs w:val="24"/>
        </w:rPr>
        <w:t xml:space="preserve">ve also increased the chances of </w:t>
      </w:r>
      <w:r w:rsidR="0084135B">
        <w:rPr>
          <w:sz w:val="24"/>
          <w:szCs w:val="24"/>
        </w:rPr>
        <w:t>success</w:t>
      </w:r>
      <w:r>
        <w:rPr>
          <w:sz w:val="24"/>
          <w:szCs w:val="24"/>
        </w:rPr>
        <w:t xml:space="preserve"> </w:t>
      </w:r>
      <w:r>
        <w:rPr>
          <w:sz w:val="24"/>
          <w:szCs w:val="24"/>
        </w:rPr>
        <w:fldChar w:fldCharType="begin"/>
      </w:r>
      <w:r w:rsidR="00A26A1A">
        <w:rPr>
          <w:sz w:val="24"/>
          <w:szCs w:val="24"/>
        </w:rPr>
        <w:instrText xml:space="preserve"> ADDIN ZOTERO_ITEM CSL_CITATION {"citationID":"1KxEObb0","properties":{"formattedCitation":"(Dabney et al., 2013; Morales\\uc0\\u8208{}Arce et al., 2017)","plainCitation":"(Dabney et al., 2013; Morales‐Arce et al., 2017)","dontUpdate":true,"noteIndex":0},"citationItems":[{"id":447,"uris":["http://zotero.org/users/4461938/items/DD5DDPXA"],"uri":["http://zotero.org/users/4461938/items/DD5DDPXA"],"itemData":{"id":447,"type":"article-journal","title":"Complete mitochondrial genome sequence of a Middle Pleistocene cave bear reconstructed from ultrashort DNA fragments","container-title":"Proceedings of the National Academy of Sciences","page":"201314445","source":"www.pnas.org","abstract":"Although an inverse relationship is expected in ancient DNA samples between the number of surviving DNA fragments and their length, ancient DNA sequencing libraries are strikingly deficient in molecules shorter than 40 bp. We find that a loss of short molecules can occur during DNA extraction and present an improved silica-based extraction protocol that enables their efficient retrieval. In combination with single-stranded DNA library preparation, this method enabled us to reconstruct the mitochondrial genome sequence from a Middle Pleistocene cave bear (Ursus deningeri) bone excavated at Sima de los Huesos in the Sierra de Atapuerca, Spain. Phylogenetic reconstructions indicate that the U. deningeri sequence forms an early diverging sister lineage to all Western European Late Pleistocene cave bears. Our results prove that authentic ancient DNA can be preserved for hundreds of thousand years outside of permafrost. Moreover, the techniques presented enable the retrieval of phylogenetically informative sequences from samples in which virtually all DNA is diminished to fragments shorter than 50 bp.","DOI":"10.1073/pnas.1314445110","ISSN":"0027-8424, 1091-6490","note":"PMID: 24019490","journalAbbreviation":"PNAS","language":"en","author":[{"family":"Dabney","given":"Jesse"},{"family":"Knapp","given":"Michael"},{"family":"Glocke","given":"Isabelle"},{"family":"Gansauge","given":"Marie-Theres"},{"family":"Weihmann","given":"Antje"},{"family":"Nickel","given":"Birgit"},{"family":"Valdiosera","given":"Cristina"},{"family":"García","given":"Nuria"},{"family":"Pääbo","given":"Svante"},{"family":"Arsuaga","given":"Juan-Luis"},{"family":"Meyer","given":"Matthias"}],"issued":{"date-parts":[["2013",9,4]]}}},{"id":248,"uris":["http://zotero.org/users/4461938/items/UUR3DP6F"],"uri":["http://zotero.org/users/4461938/items/UUR3DP6F"],"itemData":{"id":248,"type":"article-journal","title":"Ancient mitochondrial DNA and ancestry of Paquimé inhabitants, Casas Grandes (AD 1200–1450)","container-title":"American Journal of Physical Anthropology","ISSN":"1096-8644","journalAbbreviation":"American Journal of Physical Anthropology","author":[{"family":"Morales‐Arce","given":"Ana Y"},{"family":"Snow","given":"Meradeth H"},{"family":"Kelley","given":"Jane H"},{"family":"Anne Katzenberg","given":"M"}],"issued":{"date-parts":[["2017"]]}}}],"schema":"https://github.com/citation-style-language/schema/raw/master/csl-citation.json"} </w:instrText>
      </w:r>
      <w:r>
        <w:rPr>
          <w:sz w:val="24"/>
          <w:szCs w:val="24"/>
        </w:rPr>
        <w:fldChar w:fldCharType="separate"/>
      </w:r>
      <w:r w:rsidRPr="00EC0669">
        <w:rPr>
          <w:sz w:val="24"/>
          <w:szCs w:val="24"/>
        </w:rPr>
        <w:t>(Dabney et al., 2013)</w:t>
      </w:r>
      <w:r>
        <w:rPr>
          <w:sz w:val="24"/>
          <w:szCs w:val="24"/>
        </w:rPr>
        <w:fldChar w:fldCharType="end"/>
      </w:r>
      <w:r>
        <w:rPr>
          <w:sz w:val="24"/>
          <w:szCs w:val="24"/>
        </w:rPr>
        <w:t xml:space="preserve">. </w:t>
      </w:r>
      <w:r w:rsidRPr="0016617B">
        <w:rPr>
          <w:sz w:val="24"/>
          <w:szCs w:val="24"/>
        </w:rPr>
        <w:t xml:space="preserve">Bioinformatic tools, such as MapDamage and SourceTracker, </w:t>
      </w:r>
      <w:r w:rsidR="005C27DB">
        <w:rPr>
          <w:sz w:val="24"/>
          <w:szCs w:val="24"/>
        </w:rPr>
        <w:t xml:space="preserve">have </w:t>
      </w:r>
      <w:r w:rsidR="0084135B">
        <w:rPr>
          <w:sz w:val="24"/>
          <w:szCs w:val="24"/>
        </w:rPr>
        <w:t xml:space="preserve">also </w:t>
      </w:r>
      <w:r w:rsidRPr="0016617B">
        <w:rPr>
          <w:sz w:val="24"/>
          <w:szCs w:val="24"/>
        </w:rPr>
        <w:t>provided additional strategies to authenticate aDNA</w:t>
      </w:r>
      <w:r w:rsidR="0084135B">
        <w:rPr>
          <w:sz w:val="24"/>
          <w:szCs w:val="24"/>
        </w:rPr>
        <w:t xml:space="preserve"> </w:t>
      </w:r>
      <w:r w:rsidR="0084135B">
        <w:rPr>
          <w:sz w:val="24"/>
          <w:szCs w:val="24"/>
        </w:rPr>
        <w:fldChar w:fldCharType="begin"/>
      </w:r>
      <w:r w:rsidR="0084135B">
        <w:rPr>
          <w:sz w:val="24"/>
          <w:szCs w:val="24"/>
        </w:rPr>
        <w:instrText xml:space="preserve"> ADDIN ZOTERO_ITEM CSL_CITATION {"citationID":"mjWi4DbD","properties":{"formattedCitation":"(Ginolhac et al., 2011; J\\uc0\\u243{}nsson et al., 2013; Knights et al., 2011)","plainCitation":"(Ginolhac et al., 2011; Jónsson et al., 2013; Knights et al., 2011)","noteIndex":0},"citationItems":[{"id":438,"uris":["http://zotero.org/users/4461938/items/XIWB6AKM"],"uri":["http://zotero.org/users/4461938/items/XIWB6AKM"],"itemData":{"id":438,"type":"article-journal","title":"mapDamage: testing for damage patterns in ancient DNA sequences","container-title":"Bioinformatics","page":"2153-2155","volume":"27","issue":"15","source":"academic-oup-com.ezproxy.lib.ou.edu","abstract":"Abstract.  Summary: Ancient DNA extracts consist of a mixture of contaminant DNA molecules, most often originating from environmental microbes, and endogenous f","DOI":"10.1093/bioinformatics/btr347","ISSN":"1367-4803","title-short":"mapDamage","journalAbbreviation":"Bioinformatics","language":"en","author":[{"family":"Ginolhac","given":"Aurelien"},{"family":"Rasmussen","given":"Morten"},{"family":"Gilbert","given":"M. Thomas P."},{"family":"Willerslev","given":"Eske"},{"family":"Orlando","given":"Ludovic"}],"issued":{"date-parts":[["2011",8,1]]}}},{"id":556,"uris":["http://zotero.org/users/4461938/items/EMFQQJSM"],"uri":["http://zotero.org/users/4461938/items/EMFQQJSM"],"itemData":{"id":556,"type":"article-journal","title":"mapDamage2.0: fast approximate Bayesian estimates of ancient DNA damage parameters","container-title":"Bioinformatics","page":"1682-1684","volume":"29","issue":"13","source":"academic.oup.com","abstract":"Abstract.  Motivation: Ancient DNA (aDNA) molecules in fossilized bones and teeth, coprolites, sediments, mummified specimens and museum collections represent f","DOI":"10.1093/bioinformatics/btt193","ISSN":"1367-4803","title-short":"mapDamage2.0","journalAbbreviation":"Bioinformatics","language":"en","author":[{"family":"Jónsson","given":"Hákon"},{"family":"Ginolhac","given":"Aurélien"},{"family":"Schubert","given":"Mikkel"},{"family":"Johnson","given":"Philip L. F."},{"family":"Orlando","given":"Ludovic"}],"issued":{"date-parts":[["2013",7,1]]}}},{"id":435,"uris":["http://zotero.org/users/4461938/items/GQGR4S7D"],"uri":["http://zotero.org/users/4461938/items/GQGR4S7D"],"itemData":{"id":435,"type":"article-journal","title":"Bayesian community-wide culture-independent microbial source tracking","container-title":"Nature Methods","page":"761-763","volume":"8","issue":"9","source":"www-nature-com.ezproxy.lib.ou.edu","abstract":"Contamination is a critical issue in high-throughput metagenomic studies, yet progress toward a comprehensive solution has been limited. We present SourceTracker, a Bayesian approach to estimate the proportion of contaminants in a given community that come from possible source environments. We applied SourceTracker to microbial surveys from neonatal intensive care units (NICUs), offices and molecular biology laboratories, and provide a database of known contaminants for future testing.","DOI":"10.1038/nmeth.1650","ISSN":"1548-7105","language":"en","author":[{"family":"Knights","given":"Dan"},{"family":"Kuczynski","given":"Justin"},{"family":"Charlson","given":"Emily S."},{"family":"Zaneveld","given":"Jesse"},{"family":"Mozer","given":"Michael C."},{"family":"Collman","given":"Ronald G."},{"family":"Bushman","given":"Frederic D."},{"family":"Knight","given":"Rob"},{"family":"Kelley","given":"Scott T."}],"issued":{"date-parts":[["2011",9]]}}}],"schema":"https://github.com/citation-style-language/schema/raw/master/csl-citation.json"} </w:instrText>
      </w:r>
      <w:r w:rsidR="0084135B">
        <w:rPr>
          <w:sz w:val="24"/>
          <w:szCs w:val="24"/>
        </w:rPr>
        <w:fldChar w:fldCharType="separate"/>
      </w:r>
      <w:r w:rsidR="0084135B" w:rsidRPr="0084135B">
        <w:rPr>
          <w:sz w:val="24"/>
          <w:szCs w:val="24"/>
        </w:rPr>
        <w:t>(Ginolhac et al., 2011; Jónsson et al., 2013; Knights et al., 2011)</w:t>
      </w:r>
      <w:r w:rsidR="0084135B">
        <w:rPr>
          <w:sz w:val="24"/>
          <w:szCs w:val="24"/>
        </w:rPr>
        <w:fldChar w:fldCharType="end"/>
      </w:r>
      <w:r w:rsidRPr="0016617B">
        <w:rPr>
          <w:sz w:val="24"/>
          <w:szCs w:val="24"/>
        </w:rPr>
        <w:t xml:space="preserve">. </w:t>
      </w:r>
    </w:p>
    <w:p w14:paraId="557512B4" w14:textId="302005DE" w:rsidR="00EC0669" w:rsidRDefault="00331D9D" w:rsidP="00EC0669">
      <w:pPr>
        <w:spacing w:line="480" w:lineRule="auto"/>
        <w:ind w:firstLine="720"/>
        <w:rPr>
          <w:sz w:val="24"/>
          <w:szCs w:val="24"/>
        </w:rPr>
      </w:pPr>
      <w:r>
        <w:rPr>
          <w:sz w:val="24"/>
          <w:szCs w:val="24"/>
        </w:rPr>
        <w:t xml:space="preserve">Many aDNA studies employ MapDamage as a tool to quantify DNA </w:t>
      </w:r>
      <w:r w:rsidR="00A95999">
        <w:rPr>
          <w:sz w:val="24"/>
          <w:szCs w:val="24"/>
        </w:rPr>
        <w:t xml:space="preserve">preservation </w:t>
      </w:r>
      <w:r>
        <w:rPr>
          <w:sz w:val="24"/>
          <w:szCs w:val="24"/>
        </w:rPr>
        <w:t xml:space="preserve">in their samples </w:t>
      </w:r>
      <w:r>
        <w:rPr>
          <w:sz w:val="24"/>
          <w:szCs w:val="24"/>
        </w:rPr>
        <w:fldChar w:fldCharType="begin"/>
      </w:r>
      <w:r>
        <w:rPr>
          <w:sz w:val="24"/>
          <w:szCs w:val="24"/>
        </w:rPr>
        <w:instrText xml:space="preserve"> ADDIN ZOTERO_ITEM CSL_CITATION {"citationID":"7fzlDmEi","properties":{"formattedCitation":"(Allentoft et al., 2015; Hofreiter et al., 2015; Rasmussen et al., 2015; Seguin-Orlando et al., 2014)","plainCitation":"(Allentoft et al., 2015; Hofreiter et al., 2015; Rasmussen et al., 2015; Seguin-Orlando et al., 2014)","noteIndex":0},"citationItems":[{"id":925,"uris":["http://zotero.org/users/4461938/items/V54CCR2H"],"uri":["http://zotero.org/users/4461938/items/V54CCR2H"],"itemData":{"id":925,"type":"article-journal","title":"Population genomics of bronze age Eurasia","container-title":"Nature","page":"167","volume":"522","issue":"7555","author":[{"family":"Allentoft","given":"Morten E."},{"family":"Sikora","given":"Martin"},{"family":"Sjögren","given":"Karl-Göran"},{"family":"Rasmussen","given":"Simon"},{"family":"Rasmussen","given":"Morten"},{"family":"Stenderup","given":"Jesper"},{"family":"Damgaard","given":"Peter B."},{"family":"Schroeder","given":"Hannes"},{"family":"Ahlström","given":"Torbjörn"},{"family":"Vinner","given":"Lasse"}],"issued":{"date-parts":[["2015"]]}}},{"id":409,"uris":["http://zotero.org/users/4461938/items/25QZAZW2"],"uri":["http://zotero.org/users/4461938/items/25QZAZW2"],"itemData":{"id":409,"type":"article-journal","title":"Early divergent strains of Yersinia pestis in Eurasia 5,000 years ago","container-title":"Cell","page":"571-582","volume":"163","issue":"3","author":[{"family":"Rasmussen","given":"Simon"},{"family":"Allentoft","given":"MortenáErik"},{"family":"Nielsen","given":"Kasper"},{"family":"Orlando","given":"Ludovic"},{"family":"Sikora","given":"Martin"},{"family":"Pedersen","given":"AndersáGorm"},{"family":"Schubert","given":"Mikkel"},{"family":"VanáDam","given":"Alex"},{"family":"Kapel","given":"ChristianáMoliináOutzen"},{"family":"Avetisyan","given":"Pavel"}],"issued":{"date-parts":[["2015"]]}}},{"id":927,"uris":["http://zotero.org/users/4461938/items/WBT5I37P"],"uri":["http://zotero.org/users/4461938/items/WBT5I37P"],"itemData":{"id":927,"type":"article-journal","title":"Genomic structure in Europeans dating back at least 36,200 years","container-title":"Science","page":"1113-1118","volume":"346","issue":"6213","author":[{"family":"Seguin-Orlando","given":"Andaine"},{"family":"Korneliussen","given":"Thorfinn S."},{"family":"Sikora","given":"Martin"},{"family":"Malaspinas","given":"Anna-Sapfo"},{"family":"Manica","given":"Andrea"},{"family":"Moltke","given":"Ida"},{"family":"Albrechtsen","given":"Anders"},{"family":"Ko","given":"Amy"},{"family":"Margaryan","given":"Ashot"},{"family":"Moiseyev","given":"Vyacheslav"}],"issued":{"date-parts":[["2014"]]}}},{"id":792,"uris":["http://zotero.org/users/4461938/items/MSILJYHZ"],"uri":["http://zotero.org/users/4461938/items/MSILJYHZ"],"itemData":{"id":792,"type":"article-journal","title":"The future of ancient DNA: Technical advances and conceptual shifts","container-title":"BioEssays","page":"284-293","volume":"37","issue":"3","source":"Wiley Online Library","abstract":"Technological innovations such as next generation sequencing and DNA hybridisation enrichment have resulted in multi-fold increases in both the quantity of ancient DNA sequence data and the time depth for DNA retrieval. To date, over 30 ancient genomes have been sequenced, moving from 0.7× coverage (mammoth) in 2008 to more than 50× coverage (Neanderthal) in 2014. Studies of rapid evolutionary changes, such as the evolution and spread of pathogens and the genetic responses of hosts, or the genetics of domestication and climatic adaptation, are developing swiftly and the importance of palaeogenomics for investigating evolutionary processes during the last million years is likely to increase considerably. However, these new datasets require new methods of data processing and analysis, as well as conceptual changes in interpreting the results. In this review we highlight important areas of future technical and conceptual progress and discuss research topics in the rapidly growing field of palaeogenomics.","DOI":"10.1002/bies.201400160","ISSN":"1521-1878","title-short":"The future of ancient DNA","language":"en","author":[{"family":"Hofreiter","given":"Michael"},{"family":"Paijmans","given":"Johanna L. A."},{"family":"Goodchild","given":"Helen"},{"family":"Speller","given":"Camilla F."},{"family":"Barlow","given":"Axel"},{"family":"Fortes","given":"Gloria G."},{"family":"Thomas","given":"Jessica A."},{"family":"Ludwig","given":"Arne"},{"family":"Collins","given":"Matthew J."}],"issued":{"date-parts":[["2015"]]}}}],"schema":"https://github.com/citation-style-language/schema/raw/master/csl-citation.json"} </w:instrText>
      </w:r>
      <w:r>
        <w:rPr>
          <w:sz w:val="24"/>
          <w:szCs w:val="24"/>
        </w:rPr>
        <w:fldChar w:fldCharType="separate"/>
      </w:r>
      <w:r w:rsidRPr="00EC0669">
        <w:rPr>
          <w:sz w:val="24"/>
        </w:rPr>
        <w:t>(Allentoft et al., 2015; Hofreiter et al., 2015; Rasmussen et al., 2015; Seguin-Orlando et al., 2014)</w:t>
      </w:r>
      <w:r>
        <w:rPr>
          <w:sz w:val="24"/>
          <w:szCs w:val="24"/>
        </w:rPr>
        <w:fldChar w:fldCharType="end"/>
      </w:r>
      <w:r>
        <w:rPr>
          <w:sz w:val="24"/>
          <w:szCs w:val="24"/>
        </w:rPr>
        <w:t xml:space="preserve">. </w:t>
      </w:r>
      <w:r w:rsidRPr="0016617B">
        <w:rPr>
          <w:sz w:val="24"/>
          <w:szCs w:val="24"/>
        </w:rPr>
        <w:t xml:space="preserve">MapDamage </w:t>
      </w:r>
      <w:r w:rsidR="00990591">
        <w:rPr>
          <w:sz w:val="24"/>
          <w:szCs w:val="24"/>
        </w:rPr>
        <w:t>utilizes a B</w:t>
      </w:r>
      <w:r w:rsidRPr="0016617B">
        <w:rPr>
          <w:sz w:val="24"/>
          <w:szCs w:val="24"/>
        </w:rPr>
        <w:t xml:space="preserve">ayesian framework that </w:t>
      </w:r>
      <w:r w:rsidR="00990591">
        <w:rPr>
          <w:sz w:val="24"/>
          <w:szCs w:val="24"/>
        </w:rPr>
        <w:t xml:space="preserve">models </w:t>
      </w:r>
      <w:r>
        <w:rPr>
          <w:i/>
          <w:sz w:val="24"/>
          <w:szCs w:val="24"/>
        </w:rPr>
        <w:t>postmortem</w:t>
      </w:r>
      <w:r w:rsidR="00990591">
        <w:rPr>
          <w:i/>
          <w:sz w:val="24"/>
          <w:szCs w:val="24"/>
        </w:rPr>
        <w:t xml:space="preserve"> </w:t>
      </w:r>
      <w:r w:rsidR="00990591">
        <w:rPr>
          <w:sz w:val="24"/>
          <w:szCs w:val="24"/>
        </w:rPr>
        <w:t xml:space="preserve">damage in DNA </w:t>
      </w:r>
      <w:r w:rsidR="00990591">
        <w:rPr>
          <w:sz w:val="24"/>
          <w:szCs w:val="24"/>
        </w:rPr>
        <w:lastRenderedPageBreak/>
        <w:t>molecules</w:t>
      </w:r>
      <w:r w:rsidRPr="0016617B">
        <w:rPr>
          <w:sz w:val="24"/>
          <w:szCs w:val="24"/>
        </w:rPr>
        <w:t xml:space="preserve">. </w:t>
      </w:r>
      <w:r>
        <w:rPr>
          <w:sz w:val="24"/>
          <w:szCs w:val="24"/>
        </w:rPr>
        <w:t xml:space="preserve">In theory, </w:t>
      </w:r>
      <w:r w:rsidR="00EC0669">
        <w:rPr>
          <w:sz w:val="24"/>
          <w:szCs w:val="24"/>
        </w:rPr>
        <w:t xml:space="preserve">DNA strands </w:t>
      </w:r>
      <w:r w:rsidR="00990591">
        <w:rPr>
          <w:sz w:val="24"/>
          <w:szCs w:val="24"/>
        </w:rPr>
        <w:t xml:space="preserve">accumulate breaks </w:t>
      </w:r>
      <w:r w:rsidR="00EC0669">
        <w:rPr>
          <w:sz w:val="24"/>
          <w:szCs w:val="24"/>
        </w:rPr>
        <w:t>because the e</w:t>
      </w:r>
      <w:r w:rsidR="00FD00F2">
        <w:rPr>
          <w:sz w:val="24"/>
          <w:szCs w:val="24"/>
        </w:rPr>
        <w:t xml:space="preserve">nzymes </w:t>
      </w:r>
      <w:r w:rsidR="00990591">
        <w:rPr>
          <w:sz w:val="24"/>
          <w:szCs w:val="24"/>
        </w:rPr>
        <w:t xml:space="preserve">involved in DNA repair </w:t>
      </w:r>
      <w:r w:rsidR="00EC0669">
        <w:rPr>
          <w:i/>
          <w:sz w:val="24"/>
          <w:szCs w:val="24"/>
        </w:rPr>
        <w:t xml:space="preserve">in vivo </w:t>
      </w:r>
      <w:r w:rsidR="00EC0669">
        <w:rPr>
          <w:sz w:val="24"/>
          <w:szCs w:val="24"/>
        </w:rPr>
        <w:t>no longer function once an organism dies</w:t>
      </w:r>
      <w:r w:rsidR="00A26A1A">
        <w:rPr>
          <w:sz w:val="24"/>
          <w:szCs w:val="24"/>
        </w:rPr>
        <w:t xml:space="preserve"> </w:t>
      </w:r>
      <w:r w:rsidR="00A26A1A">
        <w:rPr>
          <w:sz w:val="24"/>
          <w:szCs w:val="24"/>
        </w:rPr>
        <w:fldChar w:fldCharType="begin"/>
      </w:r>
      <w:r w:rsidR="002814EE">
        <w:rPr>
          <w:sz w:val="24"/>
          <w:szCs w:val="24"/>
        </w:rPr>
        <w:instrText xml:space="preserve"> ADDIN ZOTERO_ITEM CSL_CITATION {"citationID":"EU7dMOJD","properties":{"formattedCitation":"(Briggs et al., 2007; Dabney et al., 2013b; Green et al., 2009)","plainCitation":"(Briggs et al., 2007; Dabney et al., 2013b; Green et al., 2009)","noteIndex":0},"citationItems":[{"id":839,"uris":["http://zotero.org/users/4461938/items/IT67VPHC"],"uri":["http://zotero.org/users/4461938/items/IT67VPHC"],"itemData":{"id":839,"type":"article-journal","title":"Patterns of damage in genomic DNA sequences from a Neandertal","container-title":"Proceedings of the National Academy of Sciences","page":"14616-14621","volume":"104","issue":"37","author":[{"family":"Briggs","given":"Adrian W."},{"family":"Stenzel","given":"Udo"},{"family":"Johnson","given":"Philip LF"},{"family":"Green","given":"Richard E."},{"family":"Kelso","given":"Janet"},{"family":"Prüfer","given":"Kay"},{"family":</w:instrText>
      </w:r>
      <w:r w:rsidR="002814EE" w:rsidRPr="00BC4418">
        <w:rPr>
          <w:sz w:val="24"/>
          <w:szCs w:val="24"/>
          <w:lang w:val="fr-FR"/>
        </w:rPr>
        <w:instrText>"Meyer","given":"Matthias"},{"family":"Krause","given":"Johannes"},{"family":"Ronan","given":"Michael T."},{"family":"Lachmann","given":"Michael"}],"issued":{"date-parts":[["2007"]]}}},{"id":252,"uris":["http://zotero.org/users/4461938/items/UPNQAA45"],"uri":["http://zotero.org/users/4461938/items/UPNQAA45"],"itemData":{"id":252,"type":"article-journal","title":"Ancient DNA damage","container-title":"Cold Spring Harbor perspectives in biology","page":"a012567","volume":"5","issue":"7",</w:instrText>
      </w:r>
      <w:r w:rsidR="002814EE" w:rsidRPr="002814EE">
        <w:rPr>
          <w:sz w:val="24"/>
          <w:szCs w:val="24"/>
          <w:lang w:val="fr-FR"/>
        </w:rPr>
        <w:instrText xml:space="preserve">"ISSN":"1943-0264","journalAbbreviation":"Cold Spring Harbor perspectives in biology","author":[{"family":"Dabney","given":"Jesse"},{"family":"Meyer","given":"Matthias"},{"family":"Pääbo","given":"Svante"}],"issued":{"date-parts":[["2013"]]}}},{"id":731,"uris":["http://zotero.org/users/4461938/items/WGZKZKNE"],"uri":["http://zotero.org/users/4461938/items/WGZKZKNE"],"itemData":{"id":731,"type":"article-journal","title":"The Neandertal genome and ancient DNA authenticity","container-title":"The EMBO journal","page":"2494-2502","volume":"28","issue":"17","author":[{"family":"Green","given":"Richard E."},{"family":"Briggs","given":"Adrian W."},{"family":"Krause","given":"Johannes"},{"family":"Prüfer","given":"Kay"},{"family":"Burbano","given":"Hernán A."},{"family":"Siebauer","given":"Michael"},{"family":"Lachmann","given":"Michael"},{"family":"Pääbo","given":"Svante"}],"issued":{"date-parts":[["2009"]]}}}],"schema":"https://github.com/citation-style-language/schema/raw/master/csl-citation.json"} </w:instrText>
      </w:r>
      <w:r w:rsidR="00A26A1A">
        <w:rPr>
          <w:sz w:val="24"/>
          <w:szCs w:val="24"/>
        </w:rPr>
        <w:fldChar w:fldCharType="separate"/>
      </w:r>
      <w:r w:rsidR="002814EE" w:rsidRPr="002814EE">
        <w:rPr>
          <w:sz w:val="24"/>
          <w:lang w:val="fr-FR"/>
        </w:rPr>
        <w:t>(Briggs et al., 2007; Dabney et al., 2013b; Green et al., 2009)</w:t>
      </w:r>
      <w:r w:rsidR="00A26A1A">
        <w:rPr>
          <w:sz w:val="24"/>
          <w:szCs w:val="24"/>
        </w:rPr>
        <w:fldChar w:fldCharType="end"/>
      </w:r>
      <w:r w:rsidR="00EC0669" w:rsidRPr="002814EE">
        <w:rPr>
          <w:sz w:val="24"/>
          <w:szCs w:val="24"/>
          <w:lang w:val="fr-FR"/>
        </w:rPr>
        <w:t xml:space="preserve">. </w:t>
      </w:r>
      <w:r>
        <w:rPr>
          <w:sz w:val="24"/>
          <w:szCs w:val="24"/>
        </w:rPr>
        <w:t xml:space="preserve">The </w:t>
      </w:r>
      <w:r w:rsidR="00990591">
        <w:rPr>
          <w:sz w:val="24"/>
          <w:szCs w:val="24"/>
        </w:rPr>
        <w:t xml:space="preserve">degree of damage is </w:t>
      </w:r>
      <w:r>
        <w:rPr>
          <w:sz w:val="24"/>
          <w:szCs w:val="24"/>
        </w:rPr>
        <w:t xml:space="preserve">also impacted by </w:t>
      </w:r>
      <w:r w:rsidR="00EC0669">
        <w:rPr>
          <w:sz w:val="24"/>
          <w:szCs w:val="24"/>
        </w:rPr>
        <w:t xml:space="preserve">environmental factors. Research </w:t>
      </w:r>
      <w:r w:rsidR="00FD00F2">
        <w:rPr>
          <w:sz w:val="24"/>
          <w:szCs w:val="24"/>
        </w:rPr>
        <w:t xml:space="preserve">has </w:t>
      </w:r>
      <w:r w:rsidR="00EC0669">
        <w:rPr>
          <w:sz w:val="24"/>
          <w:szCs w:val="24"/>
        </w:rPr>
        <w:t>show</w:t>
      </w:r>
      <w:r w:rsidR="00FD00F2">
        <w:rPr>
          <w:sz w:val="24"/>
          <w:szCs w:val="24"/>
        </w:rPr>
        <w:t xml:space="preserve">n </w:t>
      </w:r>
      <w:r w:rsidR="00EC0669">
        <w:rPr>
          <w:sz w:val="24"/>
          <w:szCs w:val="24"/>
        </w:rPr>
        <w:t xml:space="preserve">that the </w:t>
      </w:r>
      <w:r w:rsidR="00EA35C9">
        <w:rPr>
          <w:sz w:val="24"/>
          <w:szCs w:val="24"/>
        </w:rPr>
        <w:t xml:space="preserve">thermal age, the </w:t>
      </w:r>
      <w:r w:rsidR="00EC0669">
        <w:rPr>
          <w:sz w:val="24"/>
          <w:szCs w:val="24"/>
        </w:rPr>
        <w:t>pH level and temperature of the soil</w:t>
      </w:r>
      <w:r w:rsidR="00EA35C9">
        <w:rPr>
          <w:sz w:val="24"/>
          <w:szCs w:val="24"/>
        </w:rPr>
        <w:t>, sample excavation and storage</w:t>
      </w:r>
      <w:r w:rsidR="00F5453C">
        <w:rPr>
          <w:sz w:val="24"/>
          <w:szCs w:val="24"/>
        </w:rPr>
        <w:t xml:space="preserve"> practices</w:t>
      </w:r>
      <w:r w:rsidR="00EA35C9">
        <w:rPr>
          <w:sz w:val="24"/>
          <w:szCs w:val="24"/>
        </w:rPr>
        <w:t xml:space="preserve">, and species and tissue types can also potentially the </w:t>
      </w:r>
      <w:r w:rsidR="00EC0669">
        <w:rPr>
          <w:sz w:val="24"/>
          <w:szCs w:val="24"/>
        </w:rPr>
        <w:t xml:space="preserve">impact the fragmentation </w:t>
      </w:r>
      <w:r w:rsidR="00EA35C9">
        <w:rPr>
          <w:sz w:val="24"/>
          <w:szCs w:val="24"/>
        </w:rPr>
        <w:t xml:space="preserve">and decay </w:t>
      </w:r>
      <w:r w:rsidR="00EC0669">
        <w:rPr>
          <w:sz w:val="24"/>
          <w:szCs w:val="24"/>
        </w:rPr>
        <w:t>rates of DNA</w:t>
      </w:r>
      <w:r w:rsidR="00EA35C9">
        <w:rPr>
          <w:sz w:val="24"/>
          <w:szCs w:val="24"/>
        </w:rPr>
        <w:t xml:space="preserve"> </w:t>
      </w:r>
      <w:r w:rsidR="00EA35C9">
        <w:rPr>
          <w:sz w:val="24"/>
          <w:szCs w:val="24"/>
        </w:rPr>
        <w:fldChar w:fldCharType="begin"/>
      </w:r>
      <w:r w:rsidR="00EA35C9">
        <w:rPr>
          <w:sz w:val="24"/>
          <w:szCs w:val="24"/>
        </w:rPr>
        <w:instrText xml:space="preserve"> ADDIN ZOTERO_ITEM CSL_CITATION {"citationID":"20Hs3lXx","properties":{"formattedCitation":"(Kistler et al., 2017; Mitchell et al., 2005)","plainCitation":"(Kistler et al., 2017; Mitchell et al., 2005)","noteIndex":0},"citationItems":[{"id":797,"uris":["http://zotero.org/users/4461938/items/Z9U2BBRA"],"uri":["http://zotero.org/users/4461938/items/Z9U2BBRA"],"itemData":{"id":797,"type":"article-journal","title":"A new model for ancient DNA decay based on paleogenomic meta-analysis","container-title":"Nucleic Acids Research","page":"6310-6320","volume":"45","issue":"11","source":"academic-oup-com.ezproxy.lib.ou.edu","abstract":"Abstract.  The persistence of DNA over archaeological and paleontological timescales in diverse environments has led to a revolutionary body of paleogenomic res","DOI":"10.1093/nar/gkx361","ISSN":"0305-1048","journalAbbreviation":"Nucleic Acids Res","language":"en","author":[{"family":"Kistler","given":"Logan"},{"family":"Ware","given":"Roselyn"},{"family":"Smith","given":"Oliver"},{"family":"Collins","given":"Matthew"},{"family":"Allaby","given":"Robin G."}],"issued":{"date-parts":[["2017",6,20]]}}},{"id":930,"uris":["http://zotero.org/users/4461938/items/KWTNJ8ED"],"uri":["http://zotero.org/users/4461938/items/KWTNJ8ED"],"itemData":{"id":930,"type":"article-journal","title":"Damage and repair of ancient DNA","container-title":"Mutation Research/Fundamental and Molecular Mechanisms of Mutagenesis","page":"265-276","volume":"571","issue":"1-2","author":[{"family":"Mitchell","given":"David"},{"family":"Willerslev","given":"Eske"},{"family":"Hansen","given":"Anders"}],"issued":{"date-parts":[["2005"]]}}}],"schema":"https://github.com/citation-style-language/schema/raw/master/csl-citation.json"} </w:instrText>
      </w:r>
      <w:r w:rsidR="00EA35C9">
        <w:rPr>
          <w:sz w:val="24"/>
          <w:szCs w:val="24"/>
        </w:rPr>
        <w:fldChar w:fldCharType="separate"/>
      </w:r>
      <w:r w:rsidR="00EA35C9" w:rsidRPr="00EA35C9">
        <w:rPr>
          <w:sz w:val="24"/>
        </w:rPr>
        <w:t>(Kistler et al., 2017; Mitchell et al., 2005)</w:t>
      </w:r>
      <w:r w:rsidR="00EA35C9">
        <w:rPr>
          <w:sz w:val="24"/>
          <w:szCs w:val="24"/>
        </w:rPr>
        <w:fldChar w:fldCharType="end"/>
      </w:r>
      <w:r w:rsidR="00EC0669">
        <w:rPr>
          <w:sz w:val="24"/>
          <w:szCs w:val="24"/>
        </w:rPr>
        <w:t>. However, t</w:t>
      </w:r>
      <w:r w:rsidR="00EC0669" w:rsidRPr="0016617B">
        <w:rPr>
          <w:sz w:val="24"/>
          <w:szCs w:val="24"/>
        </w:rPr>
        <w:t>he fragment</w:t>
      </w:r>
      <w:r w:rsidR="00EC0669">
        <w:rPr>
          <w:sz w:val="24"/>
          <w:szCs w:val="24"/>
        </w:rPr>
        <w:t>ation of DNA is not stochastic</w:t>
      </w:r>
      <w:r w:rsidR="00990591">
        <w:rPr>
          <w:sz w:val="24"/>
          <w:szCs w:val="24"/>
        </w:rPr>
        <w:t>. E</w:t>
      </w:r>
      <w:r w:rsidR="00EC0669">
        <w:rPr>
          <w:sz w:val="24"/>
          <w:szCs w:val="24"/>
        </w:rPr>
        <w:t xml:space="preserve">mpirical research </w:t>
      </w:r>
      <w:r w:rsidR="00990591">
        <w:rPr>
          <w:sz w:val="24"/>
          <w:szCs w:val="24"/>
        </w:rPr>
        <w:t xml:space="preserve">shows that </w:t>
      </w:r>
      <w:r w:rsidR="00EC0669">
        <w:rPr>
          <w:sz w:val="24"/>
          <w:szCs w:val="24"/>
        </w:rPr>
        <w:t xml:space="preserve">aDNA </w:t>
      </w:r>
      <w:r w:rsidR="00990591">
        <w:rPr>
          <w:sz w:val="24"/>
          <w:szCs w:val="24"/>
        </w:rPr>
        <w:t>has increased cytosine d</w:t>
      </w:r>
      <w:r w:rsidR="00EC0669" w:rsidRPr="0016617B">
        <w:rPr>
          <w:sz w:val="24"/>
          <w:szCs w:val="24"/>
        </w:rPr>
        <w:t>eamination rates at 5’—overhangs, resulting in an increase in C</w:t>
      </w:r>
      <w:r w:rsidR="00EC0669" w:rsidRPr="0016617B">
        <w:rPr>
          <w:sz w:val="24"/>
          <w:szCs w:val="24"/>
        </w:rPr>
        <w:sym w:font="Wingdings" w:char="F0E0"/>
      </w:r>
      <w:r w:rsidR="00EC0669" w:rsidRPr="0016617B">
        <w:rPr>
          <w:sz w:val="24"/>
          <w:szCs w:val="24"/>
        </w:rPr>
        <w:t xml:space="preserve">T substitution rates toward </w:t>
      </w:r>
      <w:r w:rsidR="00990591">
        <w:rPr>
          <w:sz w:val="24"/>
          <w:szCs w:val="24"/>
        </w:rPr>
        <w:t xml:space="preserve">the 5’ end of the molecule </w:t>
      </w:r>
      <w:r w:rsidR="00EC0669" w:rsidRPr="0016617B">
        <w:rPr>
          <w:sz w:val="24"/>
          <w:szCs w:val="24"/>
        </w:rPr>
        <w:t>and consequently have an increased rate of G</w:t>
      </w:r>
      <w:r w:rsidR="00EC0669" w:rsidRPr="0016617B">
        <w:rPr>
          <w:sz w:val="24"/>
          <w:szCs w:val="24"/>
        </w:rPr>
        <w:sym w:font="Wingdings" w:char="F0E0"/>
      </w:r>
      <w:r w:rsidR="00EC0669" w:rsidRPr="0016617B">
        <w:rPr>
          <w:sz w:val="24"/>
          <w:szCs w:val="24"/>
        </w:rPr>
        <w:t xml:space="preserve">A substitutions toward </w:t>
      </w:r>
      <w:r w:rsidR="00EA35C9">
        <w:rPr>
          <w:sz w:val="24"/>
          <w:szCs w:val="24"/>
        </w:rPr>
        <w:t>the 3’</w:t>
      </w:r>
      <w:r w:rsidR="00EC0669" w:rsidRPr="0016617B">
        <w:rPr>
          <w:sz w:val="24"/>
          <w:szCs w:val="24"/>
        </w:rPr>
        <w:t xml:space="preserve"> end</w:t>
      </w:r>
      <w:r w:rsidR="00990591">
        <w:rPr>
          <w:sz w:val="24"/>
          <w:szCs w:val="24"/>
        </w:rPr>
        <w:t xml:space="preserve"> of the molecule</w:t>
      </w:r>
      <w:r w:rsidR="00EC0669">
        <w:rPr>
          <w:sz w:val="24"/>
          <w:szCs w:val="24"/>
        </w:rPr>
        <w:t xml:space="preserve"> </w:t>
      </w:r>
      <w:r w:rsidR="00EC0669">
        <w:rPr>
          <w:sz w:val="24"/>
          <w:szCs w:val="24"/>
        </w:rPr>
        <w:fldChar w:fldCharType="begin"/>
      </w:r>
      <w:r w:rsidR="00EC0669">
        <w:rPr>
          <w:sz w:val="24"/>
          <w:szCs w:val="24"/>
        </w:rPr>
        <w:instrText xml:space="preserve"> ADDIN ZOTERO_ITEM CSL_CITATION {"citationID":"fbhHMGUh","properties":{"formattedCitation":"(Briggs et al., 2007)","plainCitation":"(Briggs et al., 2007)","noteIndex":0},"citationItems":[{"id":839,"uris":["http://zotero.org/users/4461938/items/IT67VPHC"],"uri":["http://zotero.org/users/4461938/items/IT67VPHC"],"itemData":{"id":839,"type":"article-journal","title":"Patterns of damage in genomic DNA sequences from a Neandertal","container-title":"Proceedings of the National Academy of Sciences","page":"14616-14621","volume":"104","issue":"37","author":[{"family":"Briggs","given":"Adrian W."},{"family":"Stenzel","given":"Udo"},{"family":"Johnson","given":"Philip LF"},{"family":"Green","given":"Richard E."},{"family":"Kelso","given":"Janet"},{"family":"Prüfer","given":"Kay"},{"family":"Meyer","given":"Matthias"},{"family":"Krause","given":"Johannes"},{"family":"Ronan","given":"Michael T."},{"family":"Lachmann","given":"Michael"}],"issued":{"date-parts":[["2007"]]}}}],"schema":"https://github.com/citation-style-language/schema/raw/master/csl-citation.json"} </w:instrText>
      </w:r>
      <w:r w:rsidR="00EC0669">
        <w:rPr>
          <w:sz w:val="24"/>
          <w:szCs w:val="24"/>
        </w:rPr>
        <w:fldChar w:fldCharType="separate"/>
      </w:r>
      <w:r w:rsidR="00EC0669" w:rsidRPr="00EC0669">
        <w:rPr>
          <w:sz w:val="24"/>
        </w:rPr>
        <w:t>(Briggs et al., 2007)</w:t>
      </w:r>
      <w:r w:rsidR="00EC0669">
        <w:rPr>
          <w:sz w:val="24"/>
          <w:szCs w:val="24"/>
        </w:rPr>
        <w:fldChar w:fldCharType="end"/>
      </w:r>
      <w:r w:rsidR="00EC0669" w:rsidRPr="0016617B">
        <w:rPr>
          <w:sz w:val="24"/>
          <w:szCs w:val="24"/>
        </w:rPr>
        <w:t xml:space="preserve">. This model </w:t>
      </w:r>
      <w:r>
        <w:rPr>
          <w:sz w:val="24"/>
          <w:szCs w:val="24"/>
        </w:rPr>
        <w:t xml:space="preserve">is applied in MapDamage </w:t>
      </w:r>
      <w:r w:rsidR="00F5453C">
        <w:rPr>
          <w:sz w:val="24"/>
          <w:szCs w:val="24"/>
        </w:rPr>
        <w:t xml:space="preserve">and </w:t>
      </w:r>
      <w:r>
        <w:rPr>
          <w:sz w:val="24"/>
          <w:szCs w:val="24"/>
        </w:rPr>
        <w:t xml:space="preserve">has enabled the comparison of </w:t>
      </w:r>
      <w:r w:rsidR="00EC0669" w:rsidRPr="0016617B">
        <w:rPr>
          <w:sz w:val="24"/>
          <w:szCs w:val="24"/>
        </w:rPr>
        <w:t xml:space="preserve">DNA damage patterns of </w:t>
      </w:r>
      <w:r>
        <w:rPr>
          <w:sz w:val="24"/>
          <w:szCs w:val="24"/>
        </w:rPr>
        <w:t xml:space="preserve">ancient </w:t>
      </w:r>
      <w:r w:rsidR="00EC0669" w:rsidRPr="0016617B">
        <w:rPr>
          <w:sz w:val="24"/>
          <w:szCs w:val="24"/>
        </w:rPr>
        <w:t xml:space="preserve">datasets </w:t>
      </w:r>
      <w:r w:rsidR="00990591">
        <w:rPr>
          <w:sz w:val="24"/>
          <w:szCs w:val="24"/>
        </w:rPr>
        <w:t xml:space="preserve">derived </w:t>
      </w:r>
      <w:r>
        <w:rPr>
          <w:sz w:val="24"/>
          <w:szCs w:val="24"/>
        </w:rPr>
        <w:t xml:space="preserve">from </w:t>
      </w:r>
      <w:r w:rsidR="00EC0669" w:rsidRPr="0016617B">
        <w:rPr>
          <w:sz w:val="24"/>
          <w:szCs w:val="24"/>
        </w:rPr>
        <w:t xml:space="preserve">various temporal and spatial contexts. </w:t>
      </w:r>
    </w:p>
    <w:p w14:paraId="075B797B" w14:textId="2957FB07" w:rsidR="00EC0669" w:rsidRPr="0016617B" w:rsidRDefault="00EC0669" w:rsidP="00EC0669">
      <w:pPr>
        <w:spacing w:line="480" w:lineRule="auto"/>
        <w:ind w:firstLine="720"/>
        <w:rPr>
          <w:sz w:val="24"/>
          <w:szCs w:val="24"/>
        </w:rPr>
      </w:pPr>
      <w:r>
        <w:rPr>
          <w:sz w:val="24"/>
          <w:szCs w:val="24"/>
        </w:rPr>
        <w:t xml:space="preserve">Another authentication method is </w:t>
      </w:r>
      <w:r w:rsidRPr="0016617B">
        <w:rPr>
          <w:sz w:val="24"/>
          <w:szCs w:val="24"/>
        </w:rPr>
        <w:t>SourceTracker</w:t>
      </w:r>
      <w:r>
        <w:rPr>
          <w:sz w:val="24"/>
          <w:szCs w:val="24"/>
        </w:rPr>
        <w:t>, which</w:t>
      </w:r>
      <w:r w:rsidRPr="0016617B">
        <w:rPr>
          <w:sz w:val="24"/>
          <w:szCs w:val="24"/>
        </w:rPr>
        <w:t xml:space="preserve"> </w:t>
      </w:r>
      <w:r>
        <w:rPr>
          <w:sz w:val="24"/>
          <w:szCs w:val="24"/>
        </w:rPr>
        <w:t xml:space="preserve">also </w:t>
      </w:r>
      <w:r w:rsidRPr="0016617B">
        <w:rPr>
          <w:sz w:val="24"/>
          <w:szCs w:val="24"/>
        </w:rPr>
        <w:t>applies Bayesian</w:t>
      </w:r>
      <w:r>
        <w:rPr>
          <w:sz w:val="24"/>
          <w:szCs w:val="24"/>
        </w:rPr>
        <w:t xml:space="preserve">-based statistics </w:t>
      </w:r>
      <w:r>
        <w:rPr>
          <w:sz w:val="24"/>
          <w:szCs w:val="24"/>
        </w:rPr>
        <w:fldChar w:fldCharType="begin"/>
      </w:r>
      <w:r w:rsidR="00990591">
        <w:rPr>
          <w:sz w:val="24"/>
          <w:szCs w:val="24"/>
        </w:rPr>
        <w:instrText xml:space="preserve"> ADDIN ZOTERO_ITEM CSL_CITATION {"citationID":"uv5E3Vb3","properties":{"formattedCitation":"(Knights et al., 2011; Tito et al., 2012)","plainCitation":"(Knights et al., 2011; Tito et al., 2012)","noteIndex":0},"citationItems":[{"id":435,"uris":["http://zotero.org/users/4461938/items/GQGR4S7D"],"uri":["http://zotero.org/users/4461938/items/GQGR4S7D"],"itemData":{"id":435,"type":"article-journal","title":"Bayesian community-wide culture-independent microbial source tracking","container-title":"Nature Methods","page":"761-763","volume":"8","issue":"9","source":"www-nature-com.ezproxy.lib.ou.edu","abstract":"Contamination is a critical issue in high-throughput metagenomic studies, yet progress toward a comprehensive solution has been limited. We present SourceTracker, a Bayesian approach to estimate the proportion of contaminants in a given community that come from possible source environments. We applied SourceTracker to microbial surveys from neonatal intensive care units (NICUs), offices and molecular biology laboratories, and provide a database of known contaminants for future testing.","DOI":"10.1038/nmeth.1650","ISSN":"1548-7105","language":"en","author":[{"family":"Knights","given":"Dan"},{"family":"Kuczynski","given":"Justin"},{"family":"Charlson","given":"Emily S."},{"family":"Zaneveld","given":"Jesse"},{"family":"Mozer","given":"Michael C."},{"family":"Collman","given":"Ronald G."},{"family":"Bushman","given":"Frederic D."},{"family":"Knight","given":"Rob"},{"family":"Kelley","given":"Scott T."}],"issued":{"date-parts":[["2011",9]]}}},{"id":929,"uris":["http://zotero.org/users/4461938/items/CW6FPQIC"],"uri":["http://zotero.org/users/4461938/items/CW6FPQIC"],"itemData":{"id":929,"type":"article-journal","title":"Insights from characterizing extinct human gut microbiomes","container-title":"PloS one","page":"e51146","volume":"7","issue":"12","author":[{"family":"Tito","given":"Raul Y."},{"family":"Knights","given":"Dan"},{"family":"Metcalf","given":"Jessica"},{"family":"Obregon-Tito","given":"Alexandra J."},{"family":"Cleeland","given":"Lauren"},{"family":"Najar","given":"Fares"},{"family":"Roe","given":"Bruce"},{"family":"Reinhard","given":"Karl"},{"family":"Sobolik","given":"Kristin"},{"family":"Belknap","given":"Samuel"}],"issued":{"date-parts":[["2012"]]}}}],"schema":"https://github.com/citation-style-language/schema/raw/master/csl-citation.json"} </w:instrText>
      </w:r>
      <w:r>
        <w:rPr>
          <w:sz w:val="24"/>
          <w:szCs w:val="24"/>
        </w:rPr>
        <w:fldChar w:fldCharType="separate"/>
      </w:r>
      <w:r w:rsidR="00990591" w:rsidRPr="00990591">
        <w:rPr>
          <w:sz w:val="24"/>
        </w:rPr>
        <w:t>(Knights et al., 2011; Tito et al., 2012)</w:t>
      </w:r>
      <w:r>
        <w:rPr>
          <w:sz w:val="24"/>
          <w:szCs w:val="24"/>
        </w:rPr>
        <w:fldChar w:fldCharType="end"/>
      </w:r>
      <w:r>
        <w:rPr>
          <w:sz w:val="24"/>
          <w:szCs w:val="24"/>
        </w:rPr>
        <w:t xml:space="preserve">. The tool utilizes </w:t>
      </w:r>
      <w:r w:rsidR="00990591">
        <w:rPr>
          <w:sz w:val="24"/>
          <w:szCs w:val="24"/>
        </w:rPr>
        <w:t xml:space="preserve">taxonomic inventories generated from </w:t>
      </w:r>
      <w:r>
        <w:rPr>
          <w:sz w:val="24"/>
          <w:szCs w:val="24"/>
        </w:rPr>
        <w:t>HTS data</w:t>
      </w:r>
      <w:r w:rsidR="00990591">
        <w:rPr>
          <w:sz w:val="24"/>
          <w:szCs w:val="24"/>
        </w:rPr>
        <w:t>, and</w:t>
      </w:r>
      <w:r>
        <w:rPr>
          <w:sz w:val="24"/>
          <w:szCs w:val="24"/>
        </w:rPr>
        <w:t xml:space="preserve"> model</w:t>
      </w:r>
      <w:r w:rsidR="00990591">
        <w:rPr>
          <w:sz w:val="24"/>
          <w:szCs w:val="24"/>
        </w:rPr>
        <w:t>s</w:t>
      </w:r>
      <w:r>
        <w:rPr>
          <w:sz w:val="24"/>
          <w:szCs w:val="24"/>
        </w:rPr>
        <w:t xml:space="preserve"> the proportion of well-characterized environments or “source communities” (</w:t>
      </w:r>
      <w:r w:rsidR="00331D9D">
        <w:rPr>
          <w:sz w:val="24"/>
          <w:szCs w:val="24"/>
        </w:rPr>
        <w:t>e.g</w:t>
      </w:r>
      <w:r>
        <w:rPr>
          <w:sz w:val="24"/>
          <w:szCs w:val="24"/>
        </w:rPr>
        <w:t xml:space="preserve">. skin, gut, oral, laboratory, and soil) in an ancient substrate or “sink” such as </w:t>
      </w:r>
      <w:r w:rsidR="00331D9D">
        <w:rPr>
          <w:sz w:val="24"/>
          <w:szCs w:val="24"/>
        </w:rPr>
        <w:t xml:space="preserve">a </w:t>
      </w:r>
      <w:r>
        <w:rPr>
          <w:sz w:val="24"/>
          <w:szCs w:val="24"/>
        </w:rPr>
        <w:t>dental calculus</w:t>
      </w:r>
      <w:r w:rsidR="00331D9D">
        <w:rPr>
          <w:sz w:val="24"/>
          <w:szCs w:val="24"/>
        </w:rPr>
        <w:t xml:space="preserve"> sample</w:t>
      </w:r>
      <w:r>
        <w:rPr>
          <w:sz w:val="24"/>
          <w:szCs w:val="24"/>
        </w:rPr>
        <w:t>. In addition to known sources, sinks can also have high “unknown” proportions</w:t>
      </w:r>
      <w:r w:rsidR="00F5453C">
        <w:rPr>
          <w:sz w:val="24"/>
          <w:szCs w:val="24"/>
        </w:rPr>
        <w:t>,</w:t>
      </w:r>
      <w:r>
        <w:rPr>
          <w:sz w:val="24"/>
          <w:szCs w:val="24"/>
        </w:rPr>
        <w:t xml:space="preserve"> which is common since many of the microbes within an ancient sample </w:t>
      </w:r>
      <w:r w:rsidR="007368B0">
        <w:rPr>
          <w:sz w:val="24"/>
          <w:szCs w:val="24"/>
        </w:rPr>
        <w:t>may</w:t>
      </w:r>
      <w:r>
        <w:rPr>
          <w:sz w:val="24"/>
          <w:szCs w:val="24"/>
        </w:rPr>
        <w:t xml:space="preserve"> be uncharacterized</w:t>
      </w:r>
      <w:r w:rsidR="00990591">
        <w:rPr>
          <w:sz w:val="24"/>
          <w:szCs w:val="24"/>
        </w:rPr>
        <w:t xml:space="preserve"> or </w:t>
      </w:r>
      <w:r w:rsidR="00A26A1A">
        <w:rPr>
          <w:sz w:val="24"/>
          <w:szCs w:val="24"/>
        </w:rPr>
        <w:t>m</w:t>
      </w:r>
      <w:r w:rsidR="007368B0">
        <w:rPr>
          <w:sz w:val="24"/>
          <w:szCs w:val="24"/>
        </w:rPr>
        <w:t>ay</w:t>
      </w:r>
      <w:r w:rsidR="00A26A1A">
        <w:rPr>
          <w:sz w:val="24"/>
          <w:szCs w:val="24"/>
        </w:rPr>
        <w:t xml:space="preserve"> </w:t>
      </w:r>
      <w:r w:rsidR="00990591">
        <w:rPr>
          <w:sz w:val="24"/>
          <w:szCs w:val="24"/>
        </w:rPr>
        <w:t xml:space="preserve">occur in more than one environment </w:t>
      </w:r>
      <w:r w:rsidR="00990591">
        <w:rPr>
          <w:sz w:val="24"/>
          <w:szCs w:val="24"/>
        </w:rPr>
        <w:fldChar w:fldCharType="begin"/>
      </w:r>
      <w:r w:rsidR="00990591">
        <w:rPr>
          <w:sz w:val="24"/>
          <w:szCs w:val="24"/>
        </w:rPr>
        <w:instrText xml:space="preserve"> ADDIN ZOTERO_ITEM CSL_CITATION {"citationID":"s524y4hL","properties":{"formattedCitation":"(Tito et al., 2012)","plainCitation":"(Tito et al., 2012)","noteIndex":0},"citationItems":[{"id":929,"uris":["http://zotero.org/users/4461938/items/CW6FPQIC"],"uri":["http://zotero.org/users/4461938/items/CW6FPQIC"],"itemData":{"id":929,"type":"article-journal","title":"Insights from characterizing extinct human gut microbiomes","container-title":"PloS one","page":"e51146","volume":"7","issue":"12","author":[{"family":"Tito","given":"Raul Y."},{"family":"Knights","given":"Dan"},{"family":"Metcalf","given":"Jessica"},{"family":"Obregon-Tito","given":"Alexandra J."},{"family":"Cleeland","given":"Lauren"},{"family":"Najar","given":"Fares"},{"family":"Roe","given":"Bruce"},{"family":"Reinhard","given":"Karl"},{"family":"Sobolik","given":"Kristin"},{"family":"Belknap","given":"Samuel"}],"issued":{"date-parts":[["2012"]]}}}],"schema":"https://github.com/citation-style-language/schema/raw/master/csl-citation.json"} </w:instrText>
      </w:r>
      <w:r w:rsidR="00990591">
        <w:rPr>
          <w:sz w:val="24"/>
          <w:szCs w:val="24"/>
        </w:rPr>
        <w:fldChar w:fldCharType="separate"/>
      </w:r>
      <w:r w:rsidR="00990591" w:rsidRPr="00990591">
        <w:rPr>
          <w:sz w:val="24"/>
        </w:rPr>
        <w:t>(Tito et al., 2012)</w:t>
      </w:r>
      <w:r w:rsidR="00990591">
        <w:rPr>
          <w:sz w:val="24"/>
          <w:szCs w:val="24"/>
        </w:rPr>
        <w:fldChar w:fldCharType="end"/>
      </w:r>
      <w:r>
        <w:rPr>
          <w:sz w:val="24"/>
          <w:szCs w:val="24"/>
        </w:rPr>
        <w:t xml:space="preserve">. </w:t>
      </w:r>
      <w:r w:rsidR="00EA35C9">
        <w:rPr>
          <w:sz w:val="24"/>
          <w:szCs w:val="24"/>
        </w:rPr>
        <w:t xml:space="preserve">The efficacy of this </w:t>
      </w:r>
      <w:r>
        <w:rPr>
          <w:sz w:val="24"/>
          <w:szCs w:val="24"/>
        </w:rPr>
        <w:t xml:space="preserve">bioinformatic tool to </w:t>
      </w:r>
      <w:r w:rsidR="00EA35C9">
        <w:rPr>
          <w:sz w:val="24"/>
          <w:szCs w:val="24"/>
        </w:rPr>
        <w:t>predict</w:t>
      </w:r>
      <w:r>
        <w:rPr>
          <w:sz w:val="24"/>
          <w:szCs w:val="24"/>
        </w:rPr>
        <w:t xml:space="preserve"> contamination </w:t>
      </w:r>
      <w:r w:rsidR="00EA35C9">
        <w:rPr>
          <w:sz w:val="24"/>
          <w:szCs w:val="24"/>
        </w:rPr>
        <w:t xml:space="preserve">has been well-demonstrated </w:t>
      </w:r>
      <w:r>
        <w:rPr>
          <w:sz w:val="24"/>
          <w:szCs w:val="24"/>
        </w:rPr>
        <w:t xml:space="preserve">within ancient microbiome samples </w:t>
      </w:r>
      <w:r>
        <w:rPr>
          <w:sz w:val="24"/>
          <w:szCs w:val="24"/>
        </w:rPr>
        <w:fldChar w:fldCharType="begin"/>
      </w:r>
      <w:r w:rsidR="00B7212A">
        <w:rPr>
          <w:sz w:val="24"/>
          <w:szCs w:val="24"/>
        </w:rPr>
        <w:instrText xml:space="preserve"> ADDIN ZOTERO_ITEM CSL_CITATION {"citationID":"fNKOaWo6","properties":{"formattedCitation":"(Mann et al., 2018; Warinner et al., 2014)","plainCitation":"(Mann et al., 2018; Warinner et al., 2014)","noteIndex":0},"citationItems":[{"id":428,"uris":["http://zotero.org/users/4461938/items/WVIA9HQ4"],"uri":["http://zotero.org/users/4461938/items/WVIA9HQ4"],"itemData":{"id":428,"type":"article-journal","title":"Differential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Y."},{"family":"Fiddyment","given":"Sarah"}],"issued":{"date-parts":[["2014"]]}}}],"schema":"https://github.com/citation-style-language/schema/raw/master/csl-citation.json"} </w:instrText>
      </w:r>
      <w:r>
        <w:rPr>
          <w:sz w:val="24"/>
          <w:szCs w:val="24"/>
        </w:rPr>
        <w:fldChar w:fldCharType="separate"/>
      </w:r>
      <w:r w:rsidR="00B7212A" w:rsidRPr="00B7212A">
        <w:rPr>
          <w:sz w:val="24"/>
        </w:rPr>
        <w:t>(Mann et al., 2018; Warinner et al., 2014)</w:t>
      </w:r>
      <w:r>
        <w:rPr>
          <w:sz w:val="24"/>
          <w:szCs w:val="24"/>
        </w:rPr>
        <w:fldChar w:fldCharType="end"/>
      </w:r>
      <w:r>
        <w:rPr>
          <w:sz w:val="24"/>
          <w:szCs w:val="24"/>
        </w:rPr>
        <w:t xml:space="preserve">. </w:t>
      </w:r>
    </w:p>
    <w:p w14:paraId="5B502159" w14:textId="1C6313AF" w:rsidR="00EC0669" w:rsidRPr="0016617B" w:rsidRDefault="00EC0669" w:rsidP="00EC0669">
      <w:pPr>
        <w:spacing w:line="480" w:lineRule="auto"/>
        <w:ind w:firstLine="720"/>
        <w:rPr>
          <w:sz w:val="24"/>
          <w:szCs w:val="24"/>
        </w:rPr>
      </w:pPr>
      <w:r w:rsidRPr="0016617B">
        <w:rPr>
          <w:sz w:val="24"/>
          <w:szCs w:val="24"/>
        </w:rPr>
        <w:t xml:space="preserve"> These technological developments </w:t>
      </w:r>
      <w:r w:rsidR="002C7AF3">
        <w:rPr>
          <w:sz w:val="24"/>
          <w:szCs w:val="24"/>
        </w:rPr>
        <w:t xml:space="preserve">as well as the increased number of aDNA studies </w:t>
      </w:r>
      <w:r w:rsidRPr="0016617B">
        <w:rPr>
          <w:sz w:val="24"/>
          <w:szCs w:val="24"/>
        </w:rPr>
        <w:t xml:space="preserve">have led some scholars to agree that the field has entered into its “golden age” </w:t>
      </w:r>
      <w:r w:rsidRPr="0016617B">
        <w:rPr>
          <w:sz w:val="24"/>
          <w:szCs w:val="24"/>
        </w:rPr>
        <w:fldChar w:fldCharType="begin"/>
      </w:r>
      <w:r w:rsidRPr="0016617B">
        <w:rPr>
          <w:sz w:val="24"/>
          <w:szCs w:val="24"/>
        </w:rPr>
        <w:instrText xml:space="preserve"> ADDIN ZOTERO_ITEM CSL_CITATION {"citationID":"8eXBnXwf","properties":{"formattedCitation":"(Culotta 2015)","plainCitation":"(Culotta 2015)","dontUpdate":true,"noteIndex":0},"citationItems":[{"id":733,"uris":["http://zotero.org/users/4461938/items/57ZSKH8U"],"uri":["http://zotero.org/users/4461938/items/57ZSKH8U"],"itemData":{"id":733,"type":"article-journal","title":"New life for old bones","container-title":"Science","page":"358-361","volume":"349","issue":"6246","source":"science.sciencemag.org.ezproxy.lib.ou.edu","abstract":"After a stormy adolescence, the field of ancient DNA enters its golden era.\nAfter a stormy adolescence, the field of ancient DNA enters its golden era.","DOI":"10.1126/science.349.6246.358","ISSN":"0036-8075, 1095-9203","note":"PMID: 26206909","language":"en","author":[{"family":"Culotta","given":"Elizabeth"}],"issued":{"date-parts":[["2015",7,24]]}}}],"schema":"https://github.com/citation-style-language/schema/raw/master/csl-citation.json"} </w:instrText>
      </w:r>
      <w:r w:rsidRPr="0016617B">
        <w:rPr>
          <w:sz w:val="24"/>
          <w:szCs w:val="24"/>
        </w:rPr>
        <w:fldChar w:fldCharType="separate"/>
      </w:r>
      <w:r w:rsidRPr="0016617B">
        <w:rPr>
          <w:sz w:val="24"/>
          <w:szCs w:val="24"/>
        </w:rPr>
        <w:t xml:space="preserve">(Poinar in Culotta </w:t>
      </w:r>
      <w:r w:rsidRPr="0016617B">
        <w:rPr>
          <w:sz w:val="24"/>
          <w:szCs w:val="24"/>
        </w:rPr>
        <w:lastRenderedPageBreak/>
        <w:t>2015)</w:t>
      </w:r>
      <w:r w:rsidRPr="0016617B">
        <w:rPr>
          <w:sz w:val="24"/>
          <w:szCs w:val="24"/>
        </w:rPr>
        <w:fldChar w:fldCharType="end"/>
      </w:r>
      <w:r w:rsidRPr="0016617B">
        <w:rPr>
          <w:sz w:val="24"/>
          <w:szCs w:val="24"/>
        </w:rPr>
        <w:t>.</w:t>
      </w:r>
      <w:r w:rsidR="002C7AF3">
        <w:rPr>
          <w:sz w:val="24"/>
          <w:szCs w:val="24"/>
        </w:rPr>
        <w:t xml:space="preserve"> </w:t>
      </w:r>
      <w:r w:rsidR="00B33157">
        <w:rPr>
          <w:sz w:val="24"/>
          <w:szCs w:val="24"/>
        </w:rPr>
        <w:t>However,</w:t>
      </w:r>
      <w:r w:rsidRPr="0016617B">
        <w:rPr>
          <w:sz w:val="24"/>
          <w:szCs w:val="24"/>
        </w:rPr>
        <w:t xml:space="preserve"> the lack of </w:t>
      </w:r>
      <w:r w:rsidR="00F5453C">
        <w:rPr>
          <w:sz w:val="24"/>
          <w:szCs w:val="24"/>
        </w:rPr>
        <w:t xml:space="preserve">protocol </w:t>
      </w:r>
      <w:r w:rsidRPr="0016617B">
        <w:rPr>
          <w:sz w:val="24"/>
          <w:szCs w:val="24"/>
        </w:rPr>
        <w:t xml:space="preserve">standardization within </w:t>
      </w:r>
      <w:r w:rsidR="00C66C43">
        <w:rPr>
          <w:sz w:val="24"/>
          <w:szCs w:val="24"/>
        </w:rPr>
        <w:t>the study of dental calculus and coprolites</w:t>
      </w:r>
      <w:r w:rsidRPr="0016617B">
        <w:rPr>
          <w:sz w:val="24"/>
          <w:szCs w:val="24"/>
        </w:rPr>
        <w:t xml:space="preserve"> has </w:t>
      </w:r>
      <w:r w:rsidR="00F5453C">
        <w:rPr>
          <w:sz w:val="24"/>
          <w:szCs w:val="24"/>
        </w:rPr>
        <w:t>some</w:t>
      </w:r>
      <w:r w:rsidRPr="0016617B">
        <w:rPr>
          <w:sz w:val="24"/>
          <w:szCs w:val="24"/>
        </w:rPr>
        <w:t xml:space="preserve"> scholars uncertain about which ones are the most robust </w:t>
      </w:r>
      <w:r w:rsidR="00B33157">
        <w:rPr>
          <w:sz w:val="24"/>
          <w:szCs w:val="24"/>
        </w:rPr>
        <w:t xml:space="preserve">as well as the authenticity of the studies </w:t>
      </w:r>
      <w:r w:rsidRPr="0016617B">
        <w:rPr>
          <w:sz w:val="24"/>
          <w:szCs w:val="24"/>
        </w:rPr>
        <w:fldChar w:fldCharType="begin"/>
      </w:r>
      <w:r>
        <w:rPr>
          <w:sz w:val="24"/>
          <w:szCs w:val="24"/>
        </w:rPr>
        <w:instrText xml:space="preserve"> ADDIN ZOTERO_ITEM CSL_CITATION {"citationID":"in4EDYyO","properties":{"formattedCitation":"(Warinner et al., 2017)","plainCitation":"(Warinner et al., 2017)","noteIndex":0},"citationItems":[{"id":724,"uris":["http://zotero.org/users/4461938/items/DFYXE2DF"],"uri":["http://zotero.org/users/4461938/items/DFYXE2DF"],"itemData":{"id":724,"type":"article-journal","title":"A robust framework for microbial archaeology","container-title":"Annual review of genomics and human genetics","page":"321-356","volume":"18","author":[{"family":"Warinner","given":"Christina"},{"family":"Herbig","given":"Alexander"},{"family":"Mann","given":"Allison"},{"family":"Fellows Yates","given":"James A."},{"family":"Weiß","given":"Clemens L."},{"family":"Burbano","given":"Hernán A."},{"family":"Orlando","given":"Ludovic"},{"family":"Krause","given":"Johannes"}],"issued":{"date-parts":[["2017"]]}}}],"schema":"https://github.com/citation-style-language/schema/raw/master/csl-citation.json"} </w:instrText>
      </w:r>
      <w:r w:rsidRPr="0016617B">
        <w:rPr>
          <w:sz w:val="24"/>
          <w:szCs w:val="24"/>
        </w:rPr>
        <w:fldChar w:fldCharType="separate"/>
      </w:r>
      <w:r w:rsidRPr="00EC0669">
        <w:rPr>
          <w:sz w:val="24"/>
        </w:rPr>
        <w:t>(Warinner et al., 2017)</w:t>
      </w:r>
      <w:r w:rsidRPr="0016617B">
        <w:rPr>
          <w:sz w:val="24"/>
          <w:szCs w:val="24"/>
        </w:rPr>
        <w:fldChar w:fldCharType="end"/>
      </w:r>
      <w:r w:rsidRPr="0016617B">
        <w:rPr>
          <w:sz w:val="24"/>
          <w:szCs w:val="24"/>
        </w:rPr>
        <w:t xml:space="preserve">. For instance, </w:t>
      </w:r>
      <w:r w:rsidRPr="0016617B">
        <w:rPr>
          <w:sz w:val="24"/>
          <w:szCs w:val="24"/>
        </w:rPr>
        <w:fldChar w:fldCharType="begin"/>
      </w:r>
      <w:r>
        <w:rPr>
          <w:sz w:val="24"/>
          <w:szCs w:val="24"/>
        </w:rPr>
        <w:instrText xml:space="preserve"> ADDIN ZOTERO_ITEM CSL_CITATION {"citationID":"a5DxcIOV","properties":{"formattedCitation":"(Santiago-Rodriguez et al. 2016)","plainCitation":"(Santiago-Rodriguez et al. 2016)","dontUpdate":true,"noteIndex":0},"citationItems":[{"id":845,"uris":["http://zotero.org/users/4461938/items/K4DHDHVD"],"uri":["http://zotero.org/users/4461938/items/K4DHDHVD"],"itemData":{"id":845,"type":"article-journal","title":"Taxonomic and predicted metabolic profiles of the human gut microbiome in pre-Columbian mummies","container-title":"FEMS microbiology ecology","page":"fiw182","volume":"92","issue":"11","author":[{"family":"Santiago-Rodriguez","given":"Tasha M."},{"family":"Fornaciari","given":"Gino"},{"family":"Luciani","given":"Stefania"},{"family":"Dowd","given":"Scot E."},{"family":"Toranzos","given":"Gary A."},{"family":"Marota","given":"Isolina"},{"family":"Cano","given":"Raul J."}],"issued":{"date-parts":[["2016"]]}}}],"schema":"https://github.com/citation-style-language/schema/raw/master/csl-citation.json"} </w:instrText>
      </w:r>
      <w:r w:rsidRPr="0016617B">
        <w:rPr>
          <w:sz w:val="24"/>
          <w:szCs w:val="24"/>
        </w:rPr>
        <w:fldChar w:fldCharType="separate"/>
      </w:r>
      <w:r w:rsidRPr="0016617B">
        <w:rPr>
          <w:sz w:val="24"/>
          <w:szCs w:val="24"/>
        </w:rPr>
        <w:t>Santiago-Rodriguez et al. (2016)</w:t>
      </w:r>
      <w:r w:rsidRPr="0016617B">
        <w:rPr>
          <w:sz w:val="24"/>
          <w:szCs w:val="24"/>
        </w:rPr>
        <w:fldChar w:fldCharType="end"/>
      </w:r>
      <w:r w:rsidRPr="0016617B">
        <w:rPr>
          <w:sz w:val="24"/>
          <w:szCs w:val="24"/>
        </w:rPr>
        <w:t xml:space="preserve"> characterize</w:t>
      </w:r>
      <w:r>
        <w:rPr>
          <w:sz w:val="24"/>
          <w:szCs w:val="24"/>
        </w:rPr>
        <w:t>d</w:t>
      </w:r>
      <w:r w:rsidRPr="0016617B">
        <w:rPr>
          <w:sz w:val="24"/>
          <w:szCs w:val="24"/>
        </w:rPr>
        <w:t xml:space="preserve"> the gut microbiome of Andean mummies dating to the 10</w:t>
      </w:r>
      <w:r w:rsidRPr="0016617B">
        <w:rPr>
          <w:sz w:val="24"/>
          <w:szCs w:val="24"/>
          <w:vertAlign w:val="superscript"/>
        </w:rPr>
        <w:t>th</w:t>
      </w:r>
      <w:r w:rsidRPr="0016617B">
        <w:rPr>
          <w:sz w:val="24"/>
          <w:szCs w:val="24"/>
        </w:rPr>
        <w:t>-15</w:t>
      </w:r>
      <w:r w:rsidRPr="0016617B">
        <w:rPr>
          <w:sz w:val="24"/>
          <w:szCs w:val="24"/>
          <w:vertAlign w:val="superscript"/>
        </w:rPr>
        <w:t>th</w:t>
      </w:r>
      <w:r w:rsidRPr="0016617B">
        <w:rPr>
          <w:sz w:val="24"/>
          <w:szCs w:val="24"/>
        </w:rPr>
        <w:t xml:space="preserve"> centuries using 16S rRNA gene sequencing strategies. A reply to the editor noted that Santiago-Rodriguez and colleagues neglected to properly authenticate their ancient bacterial DNA</w:t>
      </w:r>
      <w:r w:rsidR="00B7212A">
        <w:rPr>
          <w:sz w:val="24"/>
          <w:szCs w:val="24"/>
        </w:rPr>
        <w:t xml:space="preserve"> </w:t>
      </w:r>
      <w:r w:rsidR="00B7212A">
        <w:rPr>
          <w:sz w:val="24"/>
          <w:szCs w:val="24"/>
        </w:rPr>
        <w:fldChar w:fldCharType="begin"/>
      </w:r>
      <w:r w:rsidR="00B7212A">
        <w:rPr>
          <w:sz w:val="24"/>
          <w:szCs w:val="24"/>
        </w:rPr>
        <w:instrText xml:space="preserve"> ADDIN ZOTERO_ITEM CSL_CITATION {"citationID":"C9ccAu0U","properties":{"formattedCitation":"(Eisenhofer et al., 2017)","plainCitation":"(Eisenhofer et al., 2017)","noteIndex":0},"citationItems":[{"id":846,"uris":["http://zotero.org/users/4461938/items/LETA3BFH"],"uri":["http://zotero.org/users/4461938/items/LETA3BFH"],"itemData":{"id":846,"type":"article-journal","title":"Reply to Santiago-Rodriguez et al.: proper authentication of ancient DNA is essential","container-title":"FEMS Microbiology Ecology","volume":"93","issue":"5","source":"academic.oup.com","abstract":"Santiago-Rodriguez et al. (2016) failed to properly control and authenticate their ancient DNA study of South American mummies.","URL":"https://academic.oup.com/femsec/article/93/5/fix042/3089752","DOI":"10.1093/femsec/fix042","ISSN":"0168-6496","title-short":"Reply to Santiago-Rodriguez et al.","journalAbbreviation":"FEMS Microbiol Ecol","language":"en","author":[{"family":"Eisenhofer","given":"Raphael"},{"family":"Cooper","given":"Alan"},{"family":"Weyrich","given":"Laura S."}],"issued":{"date-parts":[["2017",5,1]]},"accessed":{"date-parts":[["2019",2,26]]}}}],"schema":"https://github.com/citation-style-language/schema/raw/master/csl-citation.json"} </w:instrText>
      </w:r>
      <w:r w:rsidR="00B7212A">
        <w:rPr>
          <w:sz w:val="24"/>
          <w:szCs w:val="24"/>
        </w:rPr>
        <w:fldChar w:fldCharType="separate"/>
      </w:r>
      <w:r w:rsidR="00B7212A" w:rsidRPr="00B7212A">
        <w:rPr>
          <w:sz w:val="24"/>
        </w:rPr>
        <w:t>(Eisenhofer et al., 2017)</w:t>
      </w:r>
      <w:r w:rsidR="00B7212A">
        <w:rPr>
          <w:sz w:val="24"/>
          <w:szCs w:val="24"/>
        </w:rPr>
        <w:fldChar w:fldCharType="end"/>
      </w:r>
      <w:r w:rsidRPr="0016617B">
        <w:rPr>
          <w:sz w:val="24"/>
          <w:szCs w:val="24"/>
        </w:rPr>
        <w:t xml:space="preserve">. Eisenhofer et al. </w:t>
      </w:r>
      <w:r w:rsidR="00B33157">
        <w:rPr>
          <w:sz w:val="24"/>
          <w:szCs w:val="24"/>
        </w:rPr>
        <w:t>questioned the</w:t>
      </w:r>
      <w:r w:rsidRPr="0016617B">
        <w:rPr>
          <w:sz w:val="24"/>
          <w:szCs w:val="24"/>
        </w:rPr>
        <w:t xml:space="preserve"> use of agarose gels and the lack of including sequence data from extraction blank controls during the library amplification process. They state that agarose gels lack the sensitivity to detect bacterial contaminants present in extraction controls</w:t>
      </w:r>
      <w:r w:rsidR="000E042E">
        <w:rPr>
          <w:sz w:val="24"/>
          <w:szCs w:val="24"/>
        </w:rPr>
        <w:t xml:space="preserve"> and the</w:t>
      </w:r>
      <w:r w:rsidRPr="0016617B">
        <w:rPr>
          <w:sz w:val="24"/>
          <w:szCs w:val="24"/>
        </w:rPr>
        <w:t xml:space="preserve"> samples. Furthermore, they </w:t>
      </w:r>
      <w:r>
        <w:rPr>
          <w:sz w:val="24"/>
          <w:szCs w:val="24"/>
        </w:rPr>
        <w:t>explain that</w:t>
      </w:r>
      <w:r w:rsidRPr="0016617B">
        <w:rPr>
          <w:sz w:val="24"/>
          <w:szCs w:val="24"/>
        </w:rPr>
        <w:t xml:space="preserve"> Santiago-Rodriguez et al.</w:t>
      </w:r>
      <w:r>
        <w:rPr>
          <w:sz w:val="24"/>
          <w:szCs w:val="24"/>
        </w:rPr>
        <w:t xml:space="preserve"> did</w:t>
      </w:r>
      <w:r w:rsidRPr="0016617B">
        <w:rPr>
          <w:sz w:val="24"/>
          <w:szCs w:val="24"/>
        </w:rPr>
        <w:t xml:space="preserve"> not repor</w:t>
      </w:r>
      <w:r>
        <w:rPr>
          <w:sz w:val="24"/>
          <w:szCs w:val="24"/>
        </w:rPr>
        <w:t>t</w:t>
      </w:r>
      <w:r w:rsidRPr="0016617B">
        <w:rPr>
          <w:sz w:val="24"/>
          <w:szCs w:val="24"/>
        </w:rPr>
        <w:t xml:space="preserve"> the reference sequence used for their MapDamage results</w:t>
      </w:r>
      <w:r w:rsidR="00C66C43">
        <w:rPr>
          <w:sz w:val="24"/>
          <w:szCs w:val="24"/>
        </w:rPr>
        <w:t xml:space="preserve">. In theory, since the samples utilized in the study were coprolites, </w:t>
      </w:r>
      <w:r w:rsidR="00A26A1A">
        <w:rPr>
          <w:sz w:val="24"/>
          <w:szCs w:val="24"/>
        </w:rPr>
        <w:t xml:space="preserve">Santiago-Rodriguez et al. should have </w:t>
      </w:r>
      <w:r w:rsidR="00C66C43">
        <w:rPr>
          <w:sz w:val="24"/>
          <w:szCs w:val="24"/>
        </w:rPr>
        <w:t xml:space="preserve">used a well-characterized gut microbe to authenticate their DNA. If they were to use a skin or oral microbe, the deamination rates would likely be different.  </w:t>
      </w:r>
    </w:p>
    <w:p w14:paraId="2C1C3FFB" w14:textId="31E4F587" w:rsidR="00EC0669" w:rsidRDefault="00EC0669" w:rsidP="00EC0669">
      <w:pPr>
        <w:spacing w:line="480" w:lineRule="auto"/>
        <w:rPr>
          <w:sz w:val="24"/>
          <w:szCs w:val="24"/>
        </w:rPr>
      </w:pPr>
      <w:r w:rsidRPr="0016617B">
        <w:rPr>
          <w:sz w:val="24"/>
          <w:szCs w:val="24"/>
        </w:rPr>
        <w:tab/>
      </w:r>
      <w:r w:rsidRPr="003E10B5">
        <w:rPr>
          <w:sz w:val="24"/>
          <w:szCs w:val="24"/>
        </w:rPr>
        <w:t>Toranzos</w:t>
      </w:r>
      <w:r w:rsidR="00B7212A">
        <w:rPr>
          <w:sz w:val="24"/>
          <w:szCs w:val="24"/>
        </w:rPr>
        <w:t>, a co-author in the original study, and colleagues</w:t>
      </w:r>
      <w:r w:rsidRPr="003E10B5">
        <w:rPr>
          <w:sz w:val="24"/>
          <w:szCs w:val="24"/>
        </w:rPr>
        <w:t xml:space="preserve"> </w:t>
      </w:r>
      <w:r w:rsidRPr="0016617B">
        <w:rPr>
          <w:sz w:val="24"/>
          <w:szCs w:val="24"/>
        </w:rPr>
        <w:t xml:space="preserve">(2017) responded to Eisenhofer et al. by contending </w:t>
      </w:r>
      <w:r w:rsidR="000E042E">
        <w:rPr>
          <w:sz w:val="24"/>
          <w:szCs w:val="24"/>
        </w:rPr>
        <w:t>t</w:t>
      </w:r>
      <w:r w:rsidRPr="0016617B">
        <w:rPr>
          <w:sz w:val="24"/>
          <w:szCs w:val="24"/>
        </w:rPr>
        <w:t xml:space="preserve">hat there was no possibility of their reagents having contamination </w:t>
      </w:r>
      <w:r>
        <w:rPr>
          <w:sz w:val="24"/>
          <w:szCs w:val="24"/>
        </w:rPr>
        <w:t>because they were kept in sterile environments. T</w:t>
      </w:r>
      <w:r w:rsidRPr="0016617B">
        <w:rPr>
          <w:sz w:val="24"/>
          <w:szCs w:val="24"/>
        </w:rPr>
        <w:t xml:space="preserve">hey </w:t>
      </w:r>
      <w:r>
        <w:rPr>
          <w:sz w:val="24"/>
          <w:szCs w:val="24"/>
        </w:rPr>
        <w:t>also</w:t>
      </w:r>
      <w:r w:rsidRPr="0016617B">
        <w:rPr>
          <w:sz w:val="24"/>
          <w:szCs w:val="24"/>
        </w:rPr>
        <w:t xml:space="preserve"> justified </w:t>
      </w:r>
      <w:r>
        <w:rPr>
          <w:sz w:val="24"/>
          <w:szCs w:val="24"/>
        </w:rPr>
        <w:t>their use of</w:t>
      </w:r>
      <w:r w:rsidRPr="0016617B">
        <w:rPr>
          <w:sz w:val="24"/>
          <w:szCs w:val="24"/>
        </w:rPr>
        <w:t xml:space="preserve"> agarose gels as a method for detecting contamination. Toranzos et al. also note that their genomes </w:t>
      </w:r>
      <w:r w:rsidR="00F5453C">
        <w:rPr>
          <w:sz w:val="24"/>
          <w:szCs w:val="24"/>
        </w:rPr>
        <w:t>may</w:t>
      </w:r>
      <w:r w:rsidRPr="0016617B">
        <w:rPr>
          <w:sz w:val="24"/>
          <w:szCs w:val="24"/>
        </w:rPr>
        <w:t xml:space="preserve"> “remain undegraded over millennia, if these ancient microorganisms were rapidly dehydrated, as is the case of the process of natural mummification.” However, the authors fail to cite any sources to support th</w:t>
      </w:r>
      <w:r w:rsidR="000E042E">
        <w:rPr>
          <w:sz w:val="24"/>
          <w:szCs w:val="24"/>
        </w:rPr>
        <w:t>e</w:t>
      </w:r>
      <w:r w:rsidRPr="0016617B">
        <w:rPr>
          <w:sz w:val="24"/>
          <w:szCs w:val="24"/>
        </w:rPr>
        <w:t>s</w:t>
      </w:r>
      <w:r w:rsidR="000E042E">
        <w:rPr>
          <w:sz w:val="24"/>
          <w:szCs w:val="24"/>
        </w:rPr>
        <w:t>e</w:t>
      </w:r>
      <w:r w:rsidRPr="0016617B">
        <w:rPr>
          <w:sz w:val="24"/>
          <w:szCs w:val="24"/>
        </w:rPr>
        <w:t xml:space="preserve"> argument</w:t>
      </w:r>
      <w:r w:rsidR="000E042E">
        <w:rPr>
          <w:sz w:val="24"/>
          <w:szCs w:val="24"/>
        </w:rPr>
        <w:t>s</w:t>
      </w:r>
      <w:r w:rsidR="00C66C43">
        <w:rPr>
          <w:sz w:val="24"/>
          <w:szCs w:val="24"/>
        </w:rPr>
        <w:t>. P</w:t>
      </w:r>
      <w:r w:rsidRPr="0016617B">
        <w:rPr>
          <w:sz w:val="24"/>
          <w:szCs w:val="24"/>
        </w:rPr>
        <w:t>revious research would strongly suggest th</w:t>
      </w:r>
      <w:r w:rsidR="000E042E">
        <w:rPr>
          <w:sz w:val="24"/>
          <w:szCs w:val="24"/>
        </w:rPr>
        <w:t>at reagent and laboratory contamination is always a risk</w:t>
      </w:r>
      <w:r w:rsidR="00C66C43">
        <w:rPr>
          <w:sz w:val="24"/>
          <w:szCs w:val="24"/>
        </w:rPr>
        <w:t xml:space="preserve"> and that </w:t>
      </w:r>
      <w:r w:rsidR="000E042E">
        <w:rPr>
          <w:sz w:val="24"/>
          <w:szCs w:val="24"/>
        </w:rPr>
        <w:t xml:space="preserve">the </w:t>
      </w:r>
      <w:r>
        <w:rPr>
          <w:sz w:val="24"/>
          <w:szCs w:val="24"/>
        </w:rPr>
        <w:t>degradation of</w:t>
      </w:r>
      <w:r w:rsidRPr="0016617B">
        <w:rPr>
          <w:sz w:val="24"/>
          <w:szCs w:val="24"/>
        </w:rPr>
        <w:t xml:space="preserve"> DNA occurs </w:t>
      </w:r>
      <w:r w:rsidRPr="0016617B">
        <w:rPr>
          <w:sz w:val="24"/>
          <w:szCs w:val="24"/>
        </w:rPr>
        <w:lastRenderedPageBreak/>
        <w:t xml:space="preserve">regardless of </w:t>
      </w:r>
      <w:r w:rsidR="00C66C43">
        <w:rPr>
          <w:sz w:val="24"/>
          <w:szCs w:val="24"/>
        </w:rPr>
        <w:t xml:space="preserve">environment, thermal </w:t>
      </w:r>
      <w:r w:rsidRPr="0016617B">
        <w:rPr>
          <w:sz w:val="24"/>
          <w:szCs w:val="24"/>
        </w:rPr>
        <w:t xml:space="preserve">age and geographic origin </w:t>
      </w:r>
      <w:r w:rsidRPr="0016617B">
        <w:rPr>
          <w:sz w:val="24"/>
          <w:szCs w:val="24"/>
        </w:rPr>
        <w:fldChar w:fldCharType="begin"/>
      </w:r>
      <w:r w:rsidR="00C66C43">
        <w:rPr>
          <w:sz w:val="24"/>
          <w:szCs w:val="24"/>
        </w:rPr>
        <w:instrText xml:space="preserve"> ADDIN ZOTERO_ITEM CSL_CITATION {"citationID":"4Yzoz4gp","properties":{"formattedCitation":"(Hofreiter et al., 2015; Salter et al., 2014)","plainCitation":"(Hofreiter et al., 2015; Salter et al., 2014)","noteIndex":0},"citationItems":[{"id":792,"uris":["http://zotero.org/users/4461938/items/MSILJYHZ"],"uri":["http://zotero.org/users/4461938/items/MSILJYHZ"],"itemData":{"id":792,"type":"article-journal","title":"The future of ancient DNA: Technical advances and conceptual shifts","container-title":"BioEssays","page":"284-293","volume":"37","issue":"3","source":"Wiley Online Library","abstract":"Technological innovations such as next generation sequencing and DNA hybridisation enrichment have resulted in multi-fold increases in both the quantity of ancient DNA sequence data and the time depth for DNA retrieval. To date, over 30 ancient genomes have been sequenced, moving from 0.7× coverage (mammoth) in 2008 to more than 50× coverage (Neanderthal) in 2014. Studies of rapid evolutionary changes, such as the evolution and spread of pathogens and the genetic responses of hosts, or the genetics of domestication and climatic adaptation, are developing swiftly and the importance of palaeogenomics for investigating evolutionary processes during the last million years is likely to increase considerably. However, these new datasets require new methods of data processing and analysis, as well as conceptual changes in interpreting the results. In this review we highlight important areas of future technical and conceptual progress and discuss research topics in the rapidly growing field of palaeogenomics.","DOI":"10.1002/bies.201400160","ISSN":"1521-1878","title-short":"The future of ancient DNA","language":"en","author":[{"family":"Hofreiter","given":"Michael"},{"family":"Paijmans","given":"Johanna L. A."},{"family":"Goodchild","given":"Helen"},{"family":"Speller","given":"Camilla F."},{"family":"Barlow","given":"Axel"},{"family":"Fortes","given":"Gloria G."},{"family":"Thomas","given":"Jessica A."},{"family":"Ludwig","given":"Arne"},{"family":"Collins","given":"Matthew J."}],"issued":{"date-parts":[["2015"]]}}},{"id":712,"uris":["http://zotero.org/users/4461938/items/LRHFIWJS"],"uri":["http://zotero.org/users/4461938/items/LRHFIWJS"],"itemData":{"id":712,"type":"article-journal","title":"Reagent and laboratory contamination can critically impact sequence-based microbiome analyses","container-title":"BMC Biology","page":"87","volume":"12","issue":"1","source":"BioMed Central","abstract":"The study of microbial communities has been revolutionised in recent years by the widespread adoption of culture independent analytical techniques such as 16S rRNA gene sequencing and metagenomics. One potential confounder of these sequence-based approaches is the presence of contamination in DNA extraction kits and other laboratory reagents.","DOI":"10.1186/s12915-014-0087-z","ISSN":"1741-7007","journalAbbreviation":"BMC Biology","author":[{"family":"Salter","given":"Susannah J."},{"family":"Cox","given":"Michael J."},{"family":"Turek","given":"Elena M."},{"family":"Calus","given":"Szymon T."},{"family":"Cookson","given":"William O."},{"family":"Moffatt","given":"Miriam F."},{"family":"Turner","given":"Paul"},{"family":"Parkhill","given":"Julian"},{"family":"Loman","given":"Nicholas J."},{"family":"Walker","given":"Alan W."}],"issued":{"date-parts":[["2014",11,12]]}}}],"schema":"https://github.com/citation-style-language/schema/raw/master/csl-citation.json"} </w:instrText>
      </w:r>
      <w:r w:rsidRPr="0016617B">
        <w:rPr>
          <w:sz w:val="24"/>
          <w:szCs w:val="24"/>
        </w:rPr>
        <w:fldChar w:fldCharType="separate"/>
      </w:r>
      <w:r w:rsidR="00C66C43" w:rsidRPr="00C66C43">
        <w:rPr>
          <w:sz w:val="24"/>
        </w:rPr>
        <w:t>(Hofreiter et al., 2015; Salter et al., 2014)</w:t>
      </w:r>
      <w:r w:rsidRPr="0016617B">
        <w:rPr>
          <w:sz w:val="24"/>
          <w:szCs w:val="24"/>
        </w:rPr>
        <w:fldChar w:fldCharType="end"/>
      </w:r>
      <w:r>
        <w:rPr>
          <w:sz w:val="24"/>
          <w:szCs w:val="24"/>
        </w:rPr>
        <w:t xml:space="preserve">. </w:t>
      </w:r>
    </w:p>
    <w:p w14:paraId="3B6B02B4" w14:textId="5E0A1B49" w:rsidR="00EC0669" w:rsidRPr="004941B0" w:rsidRDefault="00C66C43" w:rsidP="00AC0BB6">
      <w:pPr>
        <w:spacing w:line="480" w:lineRule="auto"/>
        <w:rPr>
          <w:sz w:val="24"/>
          <w:szCs w:val="24"/>
        </w:rPr>
      </w:pPr>
      <w:r>
        <w:rPr>
          <w:sz w:val="24"/>
          <w:szCs w:val="24"/>
        </w:rPr>
        <w:tab/>
      </w:r>
      <w:r w:rsidR="00B7212A">
        <w:rPr>
          <w:sz w:val="24"/>
          <w:szCs w:val="24"/>
        </w:rPr>
        <w:t xml:space="preserve">In order to </w:t>
      </w:r>
      <w:r w:rsidR="00EC0669" w:rsidRPr="0016617B">
        <w:rPr>
          <w:sz w:val="24"/>
          <w:szCs w:val="24"/>
        </w:rPr>
        <w:t>resolve th</w:t>
      </w:r>
      <w:r w:rsidR="00AC0BB6">
        <w:rPr>
          <w:sz w:val="24"/>
          <w:szCs w:val="24"/>
        </w:rPr>
        <w:t>e</w:t>
      </w:r>
      <w:r w:rsidR="00EC0669" w:rsidRPr="0016617B">
        <w:rPr>
          <w:sz w:val="24"/>
          <w:szCs w:val="24"/>
        </w:rPr>
        <w:t xml:space="preserve"> lack of standardization in the </w:t>
      </w:r>
      <w:r w:rsidR="00AC0BB6">
        <w:rPr>
          <w:sz w:val="24"/>
          <w:szCs w:val="24"/>
        </w:rPr>
        <w:t>study of ancient microbiomes</w:t>
      </w:r>
      <w:r w:rsidR="00B7212A">
        <w:rPr>
          <w:sz w:val="24"/>
          <w:szCs w:val="24"/>
        </w:rPr>
        <w:t>,</w:t>
      </w:r>
      <w:r w:rsidR="00EC0669" w:rsidRPr="0016617B">
        <w:rPr>
          <w:sz w:val="24"/>
          <w:szCs w:val="24"/>
        </w:rPr>
        <w:t xml:space="preserve"> Warinner et al. (2017) provided </w:t>
      </w:r>
      <w:r w:rsidR="00AC0BB6">
        <w:rPr>
          <w:sz w:val="24"/>
          <w:szCs w:val="24"/>
        </w:rPr>
        <w:t>a framework</w:t>
      </w:r>
      <w:r w:rsidR="00A26A1A">
        <w:rPr>
          <w:sz w:val="24"/>
          <w:szCs w:val="24"/>
        </w:rPr>
        <w:t xml:space="preserve"> for ancient microbial research</w:t>
      </w:r>
      <w:r w:rsidR="00AC0BB6">
        <w:rPr>
          <w:sz w:val="24"/>
          <w:szCs w:val="24"/>
        </w:rPr>
        <w:t xml:space="preserve">. </w:t>
      </w:r>
      <w:r w:rsidR="00EC0669" w:rsidRPr="0016617B">
        <w:rPr>
          <w:sz w:val="24"/>
          <w:szCs w:val="24"/>
        </w:rPr>
        <w:t>Th</w:t>
      </w:r>
      <w:r w:rsidR="00AC0BB6">
        <w:rPr>
          <w:sz w:val="24"/>
          <w:szCs w:val="24"/>
        </w:rPr>
        <w:t>is</w:t>
      </w:r>
      <w:r w:rsidR="00EC0669" w:rsidRPr="0016617B">
        <w:rPr>
          <w:sz w:val="24"/>
          <w:szCs w:val="24"/>
        </w:rPr>
        <w:t xml:space="preserve"> </w:t>
      </w:r>
      <w:r w:rsidR="00AC0BB6">
        <w:rPr>
          <w:sz w:val="24"/>
          <w:szCs w:val="24"/>
        </w:rPr>
        <w:t xml:space="preserve">framework provided specific </w:t>
      </w:r>
      <w:r w:rsidR="009B693E">
        <w:rPr>
          <w:sz w:val="24"/>
          <w:szCs w:val="24"/>
        </w:rPr>
        <w:t xml:space="preserve">standards and </w:t>
      </w:r>
      <w:r w:rsidR="00AC0BB6">
        <w:rPr>
          <w:sz w:val="24"/>
          <w:szCs w:val="24"/>
        </w:rPr>
        <w:t>guidelines that ranged from the equipment necessary to minimize contamination to the bioinformatic applications for assessing contamination and preservation.</w:t>
      </w:r>
      <w:r w:rsidR="009B693E">
        <w:rPr>
          <w:sz w:val="24"/>
          <w:szCs w:val="24"/>
        </w:rPr>
        <w:t xml:space="preserve"> While these guidelines are informative and provide a roadmap for research on ancient substrates, there still needs empirical work </w:t>
      </w:r>
      <w:r w:rsidR="00A26A1A">
        <w:rPr>
          <w:sz w:val="24"/>
          <w:szCs w:val="24"/>
        </w:rPr>
        <w:t xml:space="preserve">to </w:t>
      </w:r>
      <w:r w:rsidR="009B693E">
        <w:rPr>
          <w:sz w:val="24"/>
          <w:szCs w:val="24"/>
        </w:rPr>
        <w:t>identify baseline patterns for dental calculus. Some of this effort has already started—M</w:t>
      </w:r>
      <w:r w:rsidR="00EC0669" w:rsidRPr="004941B0">
        <w:rPr>
          <w:sz w:val="24"/>
          <w:szCs w:val="24"/>
        </w:rPr>
        <w:t>ann</w:t>
      </w:r>
      <w:r w:rsidR="009B693E">
        <w:rPr>
          <w:sz w:val="24"/>
          <w:szCs w:val="24"/>
        </w:rPr>
        <w:t xml:space="preserve"> </w:t>
      </w:r>
      <w:r w:rsidR="00EC0669" w:rsidRPr="004941B0">
        <w:rPr>
          <w:sz w:val="24"/>
          <w:szCs w:val="24"/>
        </w:rPr>
        <w:t xml:space="preserve">et al. (2018) </w:t>
      </w:r>
      <w:r w:rsidR="009B693E">
        <w:rPr>
          <w:sz w:val="24"/>
          <w:szCs w:val="24"/>
        </w:rPr>
        <w:t xml:space="preserve">employed HTS to </w:t>
      </w:r>
      <w:r w:rsidR="00EC0669" w:rsidRPr="004941B0">
        <w:rPr>
          <w:sz w:val="24"/>
          <w:szCs w:val="24"/>
        </w:rPr>
        <w:t xml:space="preserve">paired dental calculus and dentin samples from 48 individuals </w:t>
      </w:r>
      <w:r w:rsidR="00CE4C84">
        <w:rPr>
          <w:sz w:val="24"/>
          <w:szCs w:val="24"/>
        </w:rPr>
        <w:t>spanning</w:t>
      </w:r>
      <w:r w:rsidR="00EC0669" w:rsidRPr="004941B0">
        <w:rPr>
          <w:sz w:val="24"/>
          <w:szCs w:val="24"/>
        </w:rPr>
        <w:t xml:space="preserve"> </w:t>
      </w:r>
      <w:r w:rsidR="00CE4C84">
        <w:rPr>
          <w:sz w:val="24"/>
          <w:szCs w:val="24"/>
        </w:rPr>
        <w:t>a number of</w:t>
      </w:r>
      <w:r w:rsidR="00EC0669" w:rsidRPr="004941B0">
        <w:rPr>
          <w:sz w:val="24"/>
          <w:szCs w:val="24"/>
        </w:rPr>
        <w:t xml:space="preserve"> regions</w:t>
      </w:r>
      <w:r w:rsidR="009B693E">
        <w:rPr>
          <w:sz w:val="24"/>
          <w:szCs w:val="24"/>
        </w:rPr>
        <w:t xml:space="preserve"> and time periods</w:t>
      </w:r>
      <w:r w:rsidR="00EC0669" w:rsidRPr="004941B0">
        <w:rPr>
          <w:sz w:val="24"/>
          <w:szCs w:val="24"/>
        </w:rPr>
        <w:t xml:space="preserve"> across </w:t>
      </w:r>
      <w:r w:rsidR="00CE4C84">
        <w:rPr>
          <w:sz w:val="24"/>
          <w:szCs w:val="24"/>
        </w:rPr>
        <w:t>Europe, North America, and Asia</w:t>
      </w:r>
      <w:r w:rsidR="00EC0669" w:rsidRPr="004941B0">
        <w:rPr>
          <w:sz w:val="24"/>
          <w:szCs w:val="24"/>
        </w:rPr>
        <w:t xml:space="preserve">. Their results suggested that the DNA </w:t>
      </w:r>
      <w:r w:rsidR="001C33B6">
        <w:rPr>
          <w:sz w:val="24"/>
          <w:szCs w:val="24"/>
        </w:rPr>
        <w:t xml:space="preserve">in </w:t>
      </w:r>
      <w:r w:rsidR="00EC0669" w:rsidRPr="004941B0">
        <w:rPr>
          <w:sz w:val="24"/>
          <w:szCs w:val="24"/>
        </w:rPr>
        <w:t xml:space="preserve">dental calculus is more abundant and less prone to contamination than the DNA </w:t>
      </w:r>
      <w:r w:rsidR="001C33B6">
        <w:rPr>
          <w:sz w:val="24"/>
          <w:szCs w:val="24"/>
        </w:rPr>
        <w:t>in</w:t>
      </w:r>
      <w:r w:rsidR="00EC0669" w:rsidRPr="004941B0">
        <w:rPr>
          <w:sz w:val="24"/>
          <w:szCs w:val="24"/>
        </w:rPr>
        <w:t xml:space="preserve"> dentin. </w:t>
      </w:r>
      <w:r w:rsidR="00CE4C84">
        <w:rPr>
          <w:sz w:val="24"/>
          <w:szCs w:val="24"/>
        </w:rPr>
        <w:t>This global dataset</w:t>
      </w:r>
      <w:r w:rsidR="00EC0669" w:rsidRPr="004941B0">
        <w:rPr>
          <w:sz w:val="24"/>
          <w:szCs w:val="24"/>
        </w:rPr>
        <w:t xml:space="preserve"> along with ones from previous studies show that human-associated oral taxa </w:t>
      </w:r>
      <w:r w:rsidR="00EC0669">
        <w:rPr>
          <w:sz w:val="24"/>
          <w:szCs w:val="24"/>
        </w:rPr>
        <w:t>dominate</w:t>
      </w:r>
      <w:r w:rsidR="00EC0669" w:rsidRPr="004941B0">
        <w:rPr>
          <w:sz w:val="24"/>
          <w:szCs w:val="24"/>
        </w:rPr>
        <w:t xml:space="preserve"> the microbial communities of dental calculus, whereas environmental sources </w:t>
      </w:r>
      <w:r w:rsidR="00EC0669">
        <w:rPr>
          <w:sz w:val="24"/>
          <w:szCs w:val="24"/>
        </w:rPr>
        <w:t>dominate</w:t>
      </w:r>
      <w:r w:rsidR="00EC0669" w:rsidRPr="004941B0">
        <w:rPr>
          <w:sz w:val="24"/>
          <w:szCs w:val="24"/>
        </w:rPr>
        <w:t xml:space="preserve"> dentin</w:t>
      </w:r>
      <w:r w:rsidR="00CF54B0">
        <w:rPr>
          <w:sz w:val="24"/>
          <w:szCs w:val="24"/>
        </w:rPr>
        <w:t xml:space="preserve"> </w:t>
      </w:r>
      <w:r w:rsidR="00CF54B0">
        <w:rPr>
          <w:sz w:val="24"/>
          <w:szCs w:val="24"/>
        </w:rPr>
        <w:fldChar w:fldCharType="begin"/>
      </w:r>
      <w:r w:rsidR="00CF54B0">
        <w:rPr>
          <w:sz w:val="24"/>
          <w:szCs w:val="24"/>
        </w:rPr>
        <w:instrText xml:space="preserve"> ADDIN ZOTERO_ITEM CSL_CITATION {"citationID":"AE2RZ0XB","properties":{"formattedCitation":"(Warinner et al., 2014; Weyrich et al., 2017)","plainCitation":"(Warinner et al., 2014; Weyrich et al., 2017)","noteIndex":0},"citationItems":[{"id":624,"uris":["http://zotero.org/users/4461938/items/PZMVCPAA"],"uri":["http://zotero.org/users/4461938/items/PZMVCPAA"],"itemData":{"id":624,"type":"article-journal","title":"Pathogens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w:instrText>
      </w:r>
      <w:r w:rsidR="00CF54B0" w:rsidRPr="00DD37EB">
        <w:rPr>
          <w:sz w:val="24"/>
          <w:szCs w:val="24"/>
          <w:lang w:val="de-DE"/>
        </w:rPr>
        <w:instrText xml:space="preserve">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CF54B0">
        <w:rPr>
          <w:sz w:val="24"/>
          <w:szCs w:val="24"/>
        </w:rPr>
        <w:fldChar w:fldCharType="separate"/>
      </w:r>
      <w:r w:rsidR="00CF54B0" w:rsidRPr="00DD37EB">
        <w:rPr>
          <w:sz w:val="24"/>
          <w:lang w:val="de-DE"/>
        </w:rPr>
        <w:t>(Warinner et al., 2014; Weyrich et al., 2017)</w:t>
      </w:r>
      <w:r w:rsidR="00CF54B0">
        <w:rPr>
          <w:sz w:val="24"/>
          <w:szCs w:val="24"/>
        </w:rPr>
        <w:fldChar w:fldCharType="end"/>
      </w:r>
      <w:r w:rsidR="00EC0669" w:rsidRPr="00DD37EB">
        <w:rPr>
          <w:sz w:val="24"/>
          <w:szCs w:val="24"/>
          <w:lang w:val="de-DE"/>
        </w:rPr>
        <w:t xml:space="preserve">. In addition, Mann et al. </w:t>
      </w:r>
      <w:r w:rsidR="00EC0669">
        <w:rPr>
          <w:sz w:val="24"/>
          <w:szCs w:val="24"/>
        </w:rPr>
        <w:t>(201</w:t>
      </w:r>
      <w:r w:rsidR="0047251A">
        <w:rPr>
          <w:sz w:val="24"/>
          <w:szCs w:val="24"/>
        </w:rPr>
        <w:t>8</w:t>
      </w:r>
      <w:r w:rsidR="00EC0669">
        <w:rPr>
          <w:sz w:val="24"/>
          <w:szCs w:val="24"/>
        </w:rPr>
        <w:t xml:space="preserve">) </w:t>
      </w:r>
      <w:r w:rsidR="00EC0669" w:rsidRPr="004941B0">
        <w:rPr>
          <w:sz w:val="24"/>
          <w:szCs w:val="24"/>
        </w:rPr>
        <w:t xml:space="preserve">found that the human DNA fragments obtained from dental calculus are on average shorter than the </w:t>
      </w:r>
      <w:r w:rsidR="00CE14A4">
        <w:rPr>
          <w:sz w:val="24"/>
          <w:szCs w:val="24"/>
        </w:rPr>
        <w:t>microbial</w:t>
      </w:r>
      <w:r w:rsidR="00EC0669" w:rsidRPr="004941B0">
        <w:rPr>
          <w:sz w:val="24"/>
          <w:szCs w:val="24"/>
        </w:rPr>
        <w:t xml:space="preserve"> DNA fragments </w:t>
      </w:r>
      <w:r w:rsidR="00FF6424">
        <w:rPr>
          <w:sz w:val="24"/>
          <w:szCs w:val="24"/>
        </w:rPr>
        <w:t xml:space="preserve">in a paired </w:t>
      </w:r>
      <w:r w:rsidR="00EC0669" w:rsidRPr="004941B0">
        <w:rPr>
          <w:sz w:val="24"/>
          <w:szCs w:val="24"/>
        </w:rPr>
        <w:t>dentin</w:t>
      </w:r>
      <w:r w:rsidR="00FF6424">
        <w:rPr>
          <w:sz w:val="24"/>
          <w:szCs w:val="24"/>
        </w:rPr>
        <w:t xml:space="preserve"> sample</w:t>
      </w:r>
      <w:r w:rsidR="00EC0669" w:rsidRPr="004941B0">
        <w:rPr>
          <w:sz w:val="24"/>
          <w:szCs w:val="24"/>
        </w:rPr>
        <w:t>.</w:t>
      </w:r>
      <w:r w:rsidR="001C33B6">
        <w:rPr>
          <w:sz w:val="24"/>
          <w:szCs w:val="24"/>
        </w:rPr>
        <w:t xml:space="preserve"> T</w:t>
      </w:r>
      <w:r w:rsidR="00EC0669" w:rsidRPr="004941B0">
        <w:rPr>
          <w:sz w:val="24"/>
          <w:szCs w:val="24"/>
        </w:rPr>
        <w:t>h</w:t>
      </w:r>
      <w:r w:rsidR="001C33B6">
        <w:rPr>
          <w:sz w:val="24"/>
          <w:szCs w:val="24"/>
        </w:rPr>
        <w:t>us, Mann et al. found broadly consistent patterns across multiple archaeological contexts. However, their</w:t>
      </w:r>
      <w:r w:rsidR="00EC0669" w:rsidRPr="004941B0">
        <w:rPr>
          <w:sz w:val="24"/>
          <w:szCs w:val="24"/>
        </w:rPr>
        <w:t xml:space="preserve"> findings may not be </w:t>
      </w:r>
      <w:r w:rsidR="00FE6356">
        <w:rPr>
          <w:sz w:val="24"/>
          <w:szCs w:val="24"/>
        </w:rPr>
        <w:t xml:space="preserve">found in other contexts where there is a history of </w:t>
      </w:r>
      <w:r w:rsidR="00EC0669">
        <w:rPr>
          <w:sz w:val="24"/>
          <w:szCs w:val="24"/>
        </w:rPr>
        <w:t xml:space="preserve">taphonomic and post-depositional processes </w:t>
      </w:r>
      <w:r w:rsidR="00FE6356">
        <w:rPr>
          <w:sz w:val="24"/>
          <w:szCs w:val="24"/>
        </w:rPr>
        <w:t xml:space="preserve">inhibiting aDNA research. </w:t>
      </w:r>
    </w:p>
    <w:p w14:paraId="135384D7" w14:textId="104B92A8" w:rsidR="00EC0669" w:rsidRPr="00C21A2F" w:rsidRDefault="00A47F40" w:rsidP="00C21A2F">
      <w:pPr>
        <w:pStyle w:val="Heading2"/>
        <w:rPr>
          <w:rFonts w:ascii="Times New Roman" w:hAnsi="Times New Roman" w:cs="Times New Roman"/>
          <w:i/>
          <w:color w:val="auto"/>
          <w:sz w:val="24"/>
          <w:szCs w:val="24"/>
        </w:rPr>
      </w:pPr>
      <w:bookmarkStart w:id="12" w:name="_Toc8404624"/>
      <w:r>
        <w:rPr>
          <w:rFonts w:ascii="Times New Roman" w:hAnsi="Times New Roman" w:cs="Times New Roman"/>
          <w:i/>
          <w:color w:val="auto"/>
          <w:sz w:val="24"/>
          <w:szCs w:val="24"/>
        </w:rPr>
        <w:t>Ancient DNA research</w:t>
      </w:r>
      <w:r w:rsidR="00EC0669" w:rsidRPr="00C21A2F">
        <w:rPr>
          <w:rFonts w:ascii="Times New Roman" w:hAnsi="Times New Roman" w:cs="Times New Roman"/>
          <w:i/>
          <w:color w:val="auto"/>
          <w:sz w:val="24"/>
          <w:szCs w:val="24"/>
        </w:rPr>
        <w:t xml:space="preserve"> in Mesoamerica</w:t>
      </w:r>
      <w:bookmarkEnd w:id="12"/>
      <w:r w:rsidR="00EC0669" w:rsidRPr="00C21A2F">
        <w:rPr>
          <w:rFonts w:ascii="Times New Roman" w:hAnsi="Times New Roman" w:cs="Times New Roman"/>
          <w:i/>
          <w:color w:val="auto"/>
          <w:sz w:val="24"/>
          <w:szCs w:val="24"/>
        </w:rPr>
        <w:t xml:space="preserve"> </w:t>
      </w:r>
    </w:p>
    <w:p w14:paraId="196B0AEF" w14:textId="3821E26E" w:rsidR="00C279AB" w:rsidRDefault="00420A2A" w:rsidP="00E80F2E">
      <w:pPr>
        <w:spacing w:line="480" w:lineRule="auto"/>
        <w:ind w:firstLine="720"/>
        <w:rPr>
          <w:sz w:val="24"/>
          <w:szCs w:val="24"/>
        </w:rPr>
      </w:pPr>
      <w:r>
        <w:rPr>
          <w:sz w:val="24"/>
          <w:szCs w:val="24"/>
        </w:rPr>
        <w:t xml:space="preserve">Mesoamerica refers to </w:t>
      </w:r>
      <w:r w:rsidR="0041408D">
        <w:rPr>
          <w:sz w:val="24"/>
          <w:szCs w:val="24"/>
        </w:rPr>
        <w:t xml:space="preserve">a group of </w:t>
      </w:r>
      <w:r>
        <w:rPr>
          <w:sz w:val="24"/>
          <w:szCs w:val="24"/>
        </w:rPr>
        <w:t xml:space="preserve">cultures that shared a suite of characteristics, including intensive agriculture, stone pyramids, ball courts, hieroglyphic writing, a calendrical system, and </w:t>
      </w:r>
      <w:r>
        <w:rPr>
          <w:sz w:val="24"/>
          <w:szCs w:val="24"/>
        </w:rPr>
        <w:lastRenderedPageBreak/>
        <w:t xml:space="preserve">the practice of human sacrifice </w:t>
      </w:r>
      <w:r>
        <w:rPr>
          <w:sz w:val="24"/>
          <w:szCs w:val="24"/>
        </w:rPr>
        <w:fldChar w:fldCharType="begin"/>
      </w:r>
      <w:r>
        <w:rPr>
          <w:sz w:val="24"/>
          <w:szCs w:val="24"/>
        </w:rPr>
        <w:instrText xml:space="preserve"> ADDIN ZOTERO_ITEM CSL_CITATION {"citationID":"Am0tU1As","properties":{"formattedCitation":"(Kirchhoff, 1952)","plainCitation":"(Kirchhoff, 1952)","noteIndex":0},"citationItems":[{"id":1295,"uris":["http://zotero.org/users/4461938/items/GQFKTYRK"],"uri":["http://zotero.org/users/4461938/items/GQFKTYRK"],"itemData":{"id":1295,"type":"article-journal","title":"Mesoamerica: its geographic limits, ethnic composition and cultural characteristics","container-title":"Heritage of conquest","page":"17-30","journalAbbreviation":"Heritage of conquest","author":[{"family":"Kirchhoff","given":"Paul"}],"issued":{"date-parts":[["1952"]]}}}],"schema":"https://github.com/citation-style-language/schema/raw/master/csl-citation.json"} </w:instrText>
      </w:r>
      <w:r>
        <w:rPr>
          <w:sz w:val="24"/>
          <w:szCs w:val="24"/>
        </w:rPr>
        <w:fldChar w:fldCharType="separate"/>
      </w:r>
      <w:r w:rsidRPr="00420A2A">
        <w:rPr>
          <w:sz w:val="24"/>
        </w:rPr>
        <w:t>(Kirchhoff, 1952)</w:t>
      </w:r>
      <w:r>
        <w:rPr>
          <w:sz w:val="24"/>
          <w:szCs w:val="24"/>
        </w:rPr>
        <w:fldChar w:fldCharType="end"/>
      </w:r>
      <w:r>
        <w:rPr>
          <w:sz w:val="24"/>
          <w:szCs w:val="24"/>
        </w:rPr>
        <w:t xml:space="preserve">. </w:t>
      </w:r>
      <w:r w:rsidR="00A47F40">
        <w:rPr>
          <w:sz w:val="24"/>
          <w:szCs w:val="24"/>
        </w:rPr>
        <w:t xml:space="preserve">Genetics research </w:t>
      </w:r>
      <w:r>
        <w:rPr>
          <w:sz w:val="24"/>
          <w:szCs w:val="24"/>
        </w:rPr>
        <w:t>on</w:t>
      </w:r>
      <w:r w:rsidR="00A47F40">
        <w:rPr>
          <w:sz w:val="24"/>
          <w:szCs w:val="24"/>
        </w:rPr>
        <w:t xml:space="preserve"> Mesoamerica</w:t>
      </w:r>
      <w:r>
        <w:rPr>
          <w:sz w:val="24"/>
          <w:szCs w:val="24"/>
        </w:rPr>
        <w:t>n</w:t>
      </w:r>
      <w:r w:rsidR="00A47F40">
        <w:rPr>
          <w:sz w:val="24"/>
          <w:szCs w:val="24"/>
        </w:rPr>
        <w:t xml:space="preserve"> </w:t>
      </w:r>
      <w:r>
        <w:rPr>
          <w:sz w:val="24"/>
          <w:szCs w:val="24"/>
        </w:rPr>
        <w:t>cultures</w:t>
      </w:r>
      <w:r w:rsidR="00A47F40">
        <w:rPr>
          <w:sz w:val="24"/>
          <w:szCs w:val="24"/>
        </w:rPr>
        <w:t xml:space="preserve"> have been stymied due to the unfavorable </w:t>
      </w:r>
      <w:r>
        <w:rPr>
          <w:sz w:val="24"/>
          <w:szCs w:val="24"/>
        </w:rPr>
        <w:t>envi</w:t>
      </w:r>
      <w:r w:rsidR="0041408D">
        <w:rPr>
          <w:sz w:val="24"/>
          <w:szCs w:val="24"/>
        </w:rPr>
        <w:t>ronmental</w:t>
      </w:r>
      <w:r>
        <w:rPr>
          <w:sz w:val="24"/>
          <w:szCs w:val="24"/>
        </w:rPr>
        <w:t xml:space="preserve"> </w:t>
      </w:r>
      <w:r w:rsidR="00A47F40">
        <w:rPr>
          <w:sz w:val="24"/>
          <w:szCs w:val="24"/>
        </w:rPr>
        <w:t>conditions for DNA preservation</w:t>
      </w:r>
      <w:r>
        <w:rPr>
          <w:sz w:val="24"/>
          <w:szCs w:val="24"/>
        </w:rPr>
        <w:t xml:space="preserve"> </w:t>
      </w:r>
      <w:r>
        <w:rPr>
          <w:sz w:val="24"/>
          <w:szCs w:val="24"/>
        </w:rPr>
        <w:fldChar w:fldCharType="begin"/>
      </w:r>
      <w:r>
        <w:rPr>
          <w:sz w:val="24"/>
          <w:szCs w:val="24"/>
        </w:rPr>
        <w:instrText xml:space="preserve"> ADDIN ZOTERO_ITEM CSL_CITATION {"citationID":"DPSTJr3C","properties":{"formattedCitation":"(Chatters et al., 2014; Mendisco et al., 2015; Schroeder et al., 2015)","plainCitation":"(Chatters et al., 2014; Mendisco et al., 2015; Schroeder et al., 2015)","noteIndex":0},"citationItems":[{"id":595,"uris":["http://zotero.org/users/4461938/items/WNNADDNV"],"uri":["http://zotero.org/users/4461938/items/WNNADDNV"],"itemData":{"id":595,"type":"article-journal","title":"Late Pleistocene human skeleton and mtDNA link Paleoamericans and modern Native Americans","container-title":"science","page":"750-754","volume":"344","issue":"6185","author":[{"family":"Chatters","given":"James C."},{"family":"Kennett","given":"Douglas J."},{"family":"Asmerom","given":"Yemane"},{"family":"Kemp","given":"Brian M."},{"family":"Polyak","given":"Victor"},{"family":"Blank","given":"Alberto Nava"},{"family":"Beddows","given":"Patricia A."},{"family":"Reinhardt","given":"Eduard"},{"family":"Arroyo-Cabrales","given":"Joaquin"},{"family":"Bolnick","given":"Deborah A."}],"issued":{"date-parts":[["2014"]]}}},{"id":596,"uris":["http://zotero.org/users/4461938/items/MEJ9A8IU"],"uri":["http://zotero.org/users/4461938/items/MEJ9A8IU"],"itemData":{"id":596,"type":"article-journal","title":"Where are the Caribs? Ancient DNA from ceramic period human remains in the Lesser Antilles","container-title":"Phil. Trans. R. Soc. B","page":"20130388","volume":"370","issue":"1660","author":[{"family":"Mendisco","given":"F."},{"family":"Pemonge","given":"M. H."},{"family":"Leblay","given":"E."},{"family":"Romon","given":"T."},{"family":"Richard","given":"G."},{"family":"Courtaud","given":"P."},{"family":"Deguilloux","given":"M. F."}],"issued":{"date-parts":[["2015"]]}}},{"id":597,"uris":["http://zotero.org/users/4461938/items/YDTKMP3T"],"uri":["http://zotero.org/users/4461938/items/YDTKMP3T"],"itemData":{"id":597,"type":"article-journal","title":"Genome-wide ancestry of 17th-century enslaved Africans from the Caribbean","container-title":"Proceedings of the National Academy of Sciences","page":"201421784","author":[{"family":"Schroeder","given":"Hannes"},{"family":"Ávila-Arcos","given":"María C."},{"family":"Malaspinas","given":"Anna-Sapfo"},{"family":"Poznik","given":"G. David"},{"family":"Sandoval-Velasco","given":"Marcela"},{"family":"Carpenter","given":"Meredith L."},{"family":"Moreno-Mayar","given":"José Víctor"},{"family":"Sikora","given":"Martin"},{"family":"Johnson","given":"Philip LF"},{"family":"Allentoft","given":"Morten Erik"}],"issued":{"date-parts":[["2015"]]}}}],"schema":"https://github.com/citation-style-language/schema/raw/master/csl-citation.json"} </w:instrText>
      </w:r>
      <w:r>
        <w:rPr>
          <w:sz w:val="24"/>
          <w:szCs w:val="24"/>
        </w:rPr>
        <w:fldChar w:fldCharType="separate"/>
      </w:r>
      <w:r w:rsidRPr="00420A2A">
        <w:rPr>
          <w:sz w:val="24"/>
        </w:rPr>
        <w:t>(Chatters et al., 2014; Mendisco et al., 2015; Schroeder et al., 2015)</w:t>
      </w:r>
      <w:r>
        <w:rPr>
          <w:sz w:val="24"/>
          <w:szCs w:val="24"/>
        </w:rPr>
        <w:fldChar w:fldCharType="end"/>
      </w:r>
      <w:r>
        <w:rPr>
          <w:sz w:val="24"/>
          <w:szCs w:val="24"/>
        </w:rPr>
        <w:t>. Nevertheless, s</w:t>
      </w:r>
      <w:r w:rsidR="00CD1DE2">
        <w:rPr>
          <w:sz w:val="24"/>
          <w:szCs w:val="24"/>
        </w:rPr>
        <w:t xml:space="preserve">uccessful aDNA studies have provided a glimpse </w:t>
      </w:r>
      <w:r w:rsidR="00D100AC">
        <w:rPr>
          <w:sz w:val="24"/>
          <w:szCs w:val="24"/>
        </w:rPr>
        <w:t>of</w:t>
      </w:r>
      <w:r w:rsidR="00CD1DE2">
        <w:rPr>
          <w:sz w:val="24"/>
          <w:szCs w:val="24"/>
        </w:rPr>
        <w:t xml:space="preserve"> the population history </w:t>
      </w:r>
      <w:r w:rsidR="00D100AC">
        <w:rPr>
          <w:sz w:val="24"/>
          <w:szCs w:val="24"/>
        </w:rPr>
        <w:t>of</w:t>
      </w:r>
      <w:r w:rsidR="00CD1DE2">
        <w:rPr>
          <w:sz w:val="24"/>
          <w:szCs w:val="24"/>
        </w:rPr>
        <w:t xml:space="preserve"> </w:t>
      </w:r>
      <w:r w:rsidR="00E80F2E">
        <w:rPr>
          <w:sz w:val="24"/>
          <w:szCs w:val="24"/>
        </w:rPr>
        <w:t>Mesoamerica</w:t>
      </w:r>
      <w:r w:rsidR="00CD1DE2">
        <w:rPr>
          <w:sz w:val="24"/>
          <w:szCs w:val="24"/>
        </w:rPr>
        <w:t xml:space="preserve"> prior to European contact</w:t>
      </w:r>
      <w:r w:rsidR="00CD1DE2" w:rsidRPr="00C279AB">
        <w:rPr>
          <w:sz w:val="24"/>
          <w:szCs w:val="24"/>
        </w:rPr>
        <w:t xml:space="preserve">. </w:t>
      </w:r>
      <w:r w:rsidR="00CD1DE2">
        <w:rPr>
          <w:sz w:val="24"/>
          <w:szCs w:val="24"/>
        </w:rPr>
        <w:t xml:space="preserve">For instance, </w:t>
      </w:r>
      <w:r w:rsidR="000F080D">
        <w:rPr>
          <w:sz w:val="24"/>
          <w:szCs w:val="24"/>
        </w:rPr>
        <w:t xml:space="preserve">aDNA studies </w:t>
      </w:r>
      <w:r w:rsidR="000A2E83">
        <w:rPr>
          <w:sz w:val="24"/>
          <w:szCs w:val="24"/>
        </w:rPr>
        <w:t>support</w:t>
      </w:r>
      <w:r w:rsidR="000F080D">
        <w:rPr>
          <w:sz w:val="24"/>
          <w:szCs w:val="24"/>
        </w:rPr>
        <w:t xml:space="preserve"> that </w:t>
      </w:r>
      <w:r w:rsidR="00291CBD">
        <w:rPr>
          <w:sz w:val="24"/>
          <w:szCs w:val="24"/>
        </w:rPr>
        <w:t>Mesoamerican</w:t>
      </w:r>
      <w:r w:rsidR="00F018A4">
        <w:rPr>
          <w:sz w:val="24"/>
          <w:szCs w:val="24"/>
        </w:rPr>
        <w:t xml:space="preserve"> populations had high frequencies of haplogroup A and moderate to low frequencies of haplogroup B </w:t>
      </w:r>
      <w:r w:rsidR="000F080D">
        <w:rPr>
          <w:sz w:val="24"/>
          <w:szCs w:val="24"/>
        </w:rPr>
        <w:fldChar w:fldCharType="begin"/>
      </w:r>
      <w:r w:rsidR="00F018A4">
        <w:rPr>
          <w:sz w:val="24"/>
          <w:szCs w:val="24"/>
        </w:rPr>
        <w:instrText xml:space="preserve"> ADDIN ZOTERO_ITEM CSL_CITATION {"citationID":"3x0VM7Ap","properties":{"formattedCitation":"(\\uc0\\u193{}lvarez-Sandoval et al., 2015; Gonz\\uc0\\u225{}lez\\uc0\\u8208{}Oliver et al., 2001; Kemp et al., 2010; Merriwether et al., 1997)","plainCitation":"(Álvarez-Sandoval et al., 2015; González‐Oliver et al., 2001; Kemp et al., 2010; Merriwether et al., 1997)","noteIndex":0},"citationItems":[{"id":255,"uris":["http://zotero.org/users/4461938/items/75ZII7V5"],"uri":["http://zotero.org/users/4461938/items/75ZII7V5"],"itemData":{"id":255,"type":"article-journal","title":"Genetic evidence supports the multiethnic character of Teopancazco, a neighborhood center of Teotihuacan, Mexico (AD 200-600)","container-title":"PloS one","page":"e0132371","volume":"10","issue":"7","ISSN":"1932-6203","journalAbbreviation":"PloS one","author":[{"family":"Álvarez-Sandoval","given":"Brenda A"},{"family":"Manzanilla","given":"Linda R"},{"family":"González-Ruiz","given":"Mercedes"},{"family":"Malgosa","given":"Assumpció"},{"family":"Montiel","given":"Rafael"}],"issued":{"date-parts":[["2015"]]}}},{"id":1215,"uris":["http://zotero.org/users/4461938/items/UYHSYQ38"],"uri":["http://zotero.org/users/4461938/items/UYHSYQ38"],"itemData":{"id":1215,"type":"article-journal","title":"Founding amerindian mitochondrial DNA lineages in ancient Maya from Xcaret, Quintana Roo","container-title":"American Journal of Physical Anthropology: The Official Publication of the American Association of Physical Anthropologists","page":"230-235","volume":"116","issue":"3","ISSN":"0002-9483","journalAbbreviation":"American Journal of Physical Anthropology: The Official Publication of the American Association of Physical Anthropologists","author":[{"family":"González‐Oliver","given":"Angélica"},{"family":"Márquez‐Morfín","given":"Lourdes"},{"family":"Jiménez","given":"Jóse C"},{"family":"Torre‐Blanco","given":"Alfonso"}],"issued":{"date-parts":[["2001"]]}}},{"id":1297,"uris":["http://zotero.org/users/4461938/items/IFENKPPI"],"uri":["http://zotero.org/users/4461938/items/IFENKPPI"],"itemData":{"id":1297</w:instrText>
      </w:r>
      <w:r w:rsidR="00F018A4" w:rsidRPr="00F018A4">
        <w:rPr>
          <w:sz w:val="24"/>
          <w:szCs w:val="24"/>
          <w:lang w:val="fr-FR"/>
        </w:rPr>
        <w:instrText xml:space="preserve">,"type":"article-journal","title":"Evaluating the farming/language dispersal hypothesis with genetic variation exhibited by populations in the Southwest and Mesoamerica","container-title":"Proceedings of the National Academy of Sciences","page":"6759-6764","volume":"107","issue":"15","ISSN":"0027-8424","journalAbbreviation":"Proceedings of the National Academy of Sciences","author":[{"family":"Kemp","given":"Brian M"},{"family":"González-Oliver","given":"Angélica"},{"family":"Malhi","given":"Ripan S"},{"family":"Monroe","given":"Cara"},{"family":"Schroeder","given":"Kari Britt"},{"family":"McDonough","given":"John"},{"family":"Rhett","given":"Gillian"},{"family":"Resendéz","given":"Andres"},{"family":"Peñaloza-Espinosa","given":"Rosenda I"},{"family":"Buentello-Malo","given":"Leonor"}],"issued":{"date-parts":[["2010"]]}}},{"id":1216,"uris":["http://zotero.org/users/4461938/items/MEBDYJFN"],"uri":["http://zotero.org/users/4461938/items/MEBDYJFN"],"itemData":{"id":1216,"type":"article-journal","title":"Ancient and contemporary mitochondrial DNA variation in the Maya","container-title":"Bones of the Maya: Studies of ancient skeletons","page":"208-217","journalAbbreviation":"Bones of the Maya: Studies of ancient skeletons","author":[{"family":"Merriwether","given":"D Andrew"},{"family":"Reed","given":"David M"},{"family":"Ferrell","given":"Robert E"}],"issued":{"date-parts":[["1997"]]}}}],"schema":"https://github.com/citation-style-language/schema/raw/master/csl-citation.json"} </w:instrText>
      </w:r>
      <w:r w:rsidR="000F080D">
        <w:rPr>
          <w:sz w:val="24"/>
          <w:szCs w:val="24"/>
        </w:rPr>
        <w:fldChar w:fldCharType="separate"/>
      </w:r>
      <w:r w:rsidR="00F018A4" w:rsidRPr="00F018A4">
        <w:rPr>
          <w:sz w:val="24"/>
          <w:szCs w:val="24"/>
          <w:lang w:val="fr-FR"/>
        </w:rPr>
        <w:t>(Álvarez-Sandoval et al., 2015; González‐Oliver et al., 2001; Kemp et al., 2010; Merriwether et al., 1997)</w:t>
      </w:r>
      <w:r w:rsidR="000F080D">
        <w:rPr>
          <w:sz w:val="24"/>
          <w:szCs w:val="24"/>
        </w:rPr>
        <w:fldChar w:fldCharType="end"/>
      </w:r>
      <w:r w:rsidR="000F080D" w:rsidRPr="00F018A4">
        <w:rPr>
          <w:sz w:val="24"/>
          <w:szCs w:val="24"/>
          <w:lang w:val="fr-FR"/>
        </w:rPr>
        <w:t xml:space="preserve">. </w:t>
      </w:r>
      <w:r w:rsidR="0002246F">
        <w:rPr>
          <w:sz w:val="24"/>
          <w:szCs w:val="24"/>
        </w:rPr>
        <w:t xml:space="preserve">However, </w:t>
      </w:r>
      <w:r w:rsidR="00C279AB">
        <w:rPr>
          <w:sz w:val="24"/>
          <w:szCs w:val="24"/>
        </w:rPr>
        <w:t xml:space="preserve">most studies have only been able to </w:t>
      </w:r>
      <w:r w:rsidR="000B20BA">
        <w:rPr>
          <w:sz w:val="24"/>
          <w:szCs w:val="24"/>
        </w:rPr>
        <w:t xml:space="preserve">partially </w:t>
      </w:r>
      <w:r w:rsidR="00C279AB">
        <w:rPr>
          <w:sz w:val="24"/>
          <w:szCs w:val="24"/>
        </w:rPr>
        <w:t>reconstruct mitochondrial genome</w:t>
      </w:r>
      <w:r w:rsidR="008F49A9">
        <w:rPr>
          <w:sz w:val="24"/>
          <w:szCs w:val="24"/>
        </w:rPr>
        <w:t>s (mitogenomes) in Mesoamerica</w:t>
      </w:r>
      <w:r w:rsidR="00C279AB">
        <w:rPr>
          <w:sz w:val="24"/>
          <w:szCs w:val="24"/>
        </w:rPr>
        <w:t xml:space="preserve"> </w:t>
      </w:r>
      <w:r w:rsidR="00C279AB">
        <w:rPr>
          <w:sz w:val="24"/>
          <w:szCs w:val="24"/>
        </w:rPr>
        <w:fldChar w:fldCharType="begin"/>
      </w:r>
      <w:r w:rsidR="00C279AB">
        <w:rPr>
          <w:sz w:val="24"/>
          <w:szCs w:val="24"/>
        </w:rPr>
        <w:instrText xml:space="preserve"> ADDIN ZOTERO_ITEM CSL_CITATION {"citationID":"YlM31uN8","properties":{"formattedCitation":"(Raff et al., 2011)","plainCitation":"(Raff et al., 2011)","noteIndex":0},"citationItems":[{"id":1211,"uris":["http://zotero.org/users/4461938/items/4RS2T55M"],"uri":["http://zotero.org/users/4461938/items/4RS2T55M"],"itemData":{"id":1211,"type":"article-journal","title":"Ancient DNA perspectives on American colonization and population history","container-title":"American journal of physical anthropology","page":"503-514","volume":"146","issue":"4","ISSN":"0002-9483","journalAbbreviation":"American journal of physical anthropology","author":[{"family":"Raff","given":"Jennifer A"},{"family":"Bolnick","given":"Deborah A"},{"family":"Tackney","given":"Justin"},{"family":"O'Rourke","given":"Dennis H"}],"issued":{"date-parts":[["2011"]]}}}],"schema":"https://github.com/citation-style-language/schema/raw/master/csl-citation.json"} </w:instrText>
      </w:r>
      <w:r w:rsidR="00C279AB">
        <w:rPr>
          <w:sz w:val="24"/>
          <w:szCs w:val="24"/>
        </w:rPr>
        <w:fldChar w:fldCharType="separate"/>
      </w:r>
      <w:r w:rsidR="00C279AB" w:rsidRPr="00C279AB">
        <w:rPr>
          <w:sz w:val="24"/>
        </w:rPr>
        <w:t>(Raff et al., 2011)</w:t>
      </w:r>
      <w:r w:rsidR="00C279AB">
        <w:rPr>
          <w:sz w:val="24"/>
          <w:szCs w:val="24"/>
        </w:rPr>
        <w:fldChar w:fldCharType="end"/>
      </w:r>
      <w:r w:rsidR="00C279AB">
        <w:rPr>
          <w:sz w:val="24"/>
          <w:szCs w:val="24"/>
        </w:rPr>
        <w:t xml:space="preserve">. </w:t>
      </w:r>
      <w:r w:rsidR="00F018A4">
        <w:rPr>
          <w:sz w:val="24"/>
          <w:szCs w:val="24"/>
        </w:rPr>
        <w:t>HTS strategies have changed this narrative by reconstructing mitogenome</w:t>
      </w:r>
      <w:r w:rsidR="0041408D">
        <w:rPr>
          <w:sz w:val="24"/>
          <w:szCs w:val="24"/>
        </w:rPr>
        <w:t>s</w:t>
      </w:r>
      <w:r w:rsidR="00F018A4">
        <w:rPr>
          <w:sz w:val="24"/>
          <w:szCs w:val="24"/>
        </w:rPr>
        <w:t xml:space="preserve"> and whole genome</w:t>
      </w:r>
      <w:r w:rsidR="0041408D">
        <w:rPr>
          <w:sz w:val="24"/>
          <w:szCs w:val="24"/>
        </w:rPr>
        <w:t>s</w:t>
      </w:r>
      <w:r w:rsidR="00F018A4">
        <w:rPr>
          <w:sz w:val="24"/>
          <w:szCs w:val="24"/>
        </w:rPr>
        <w:t xml:space="preserve"> of Mesoamerican individuals </w:t>
      </w:r>
      <w:r w:rsidR="000B20BA">
        <w:rPr>
          <w:sz w:val="24"/>
          <w:szCs w:val="24"/>
        </w:rPr>
        <w:fldChar w:fldCharType="begin"/>
      </w:r>
      <w:r w:rsidR="00F018A4">
        <w:rPr>
          <w:sz w:val="24"/>
          <w:szCs w:val="24"/>
        </w:rPr>
        <w:instrText xml:space="preserve"> ADDIN ZOTERO_ITEM CSL_CITATION {"citationID":"65BkHuis","properties":{"formattedCitation":"(\\uc0\\u193{}lvarez-Sandoval et al., 2015; Morales-Arce et al., 2019; Morales\\uc0\\u8208{}Arce et al., 2017)","plainCitation":"(Álvarez-Sandoval et al., 2015; Morales-Arce et al., 2019; Morales‐Arce et al., 2017)","noteIndex":0},"citationItems":[{"id":255,"uris":["http://zotero.org/users/4461938/items/75ZII7V5"],"uri":["http://zotero.org/users/4461938/items/75ZII7V5"],"itemData":{"id":255,"type":"article-journal","title":"Genetic evidence supports the multiethnic character of Teopancazco, a neighborhood center of Teotihuacan, Mexico (AD 200-600)","container-title":"PloS one","page":"e0132371","volume":"10","issue":"7","ISSN":"1932-6203","journalAbbreviation":"PloS one","author":[{"family":"Álvarez-Sandoval","given":"Brenda A"},{"family":"Manzanilla","given":"Linda R"},{"family":"González-Ruiz","given":"Mercedes"},{"family":"Malgosa","given":"Assumpció"},{"family":"Montiel","given":"Rafael"}],"issued":{"date-parts":[["2015"]]}}},{"id":697,"uris":["http://zotero.org/users/4461938/items/YPW2ZV7H"],"uri":["http://zotero.org/users/4461938/items/YPW2ZV7H"],"itemData":{"id":697,"type":"article-journal","title":"Ancient mitochondrial DNA and population dynamics in postclassic Central Mexico: Tlatelolco (ad 1325–1520) and Cholula (ad 900–1350)","container-title":"Archaeological and Anthropological Sciences","source":"Springer Link","abstract":"The past composition and genetic diversity of populations from Central Mexico during the Postclassic period (ad 900–1520) are still little understood. Two of the largest centres of ancient groups, Tlatelolco and Cholula, declined after European conquest and questions about their relationships with other Central Mexican cities and ritual activities have been debated. Tlatelolco was a Mexica group that practiced the Quetzalcoatl cult and human sacrifice, including the sacrifice of children, while Cholula was considered the main pilgrimage centre and multiethnic city during the Postclassic. This study analysed the mitochondrial DNA control region of 28 human skeletal samples to estimate the genetic affinities of individuals buried at Tlatelolco and Cholula. Amelogenin analysis and whole genome sequencing (WGS) were also applied to determine the sex of the 15 Tlatelolco subadults from sacrificial contexts. Networks, PCoA and Nei genetic distances were calculated to compare Tlatelolco and Cholula haplotypes with available ancient haplotype data from Mesoamerican groups and the two borderland areas, Paquimé and Greater Nicoya. Mitochondrial haplogroups were characterized for 11 of the 15 samples from Tlatelolco (73%) and 12 samples out of 13 from Cholula (92%), revealing the presence of four distinct Amerindian mitochondrial lineages at Tlateloloco, A (n = 6; 55%), B (n = 2; 18%), C (n = 1; 9%) and D (n = 2; 10%); and three lineages in Cholula, A (n = 5; 42%), B (n = 5; 42%) and C (n = 2; 16%). Statistical analysis of the haplotypes, haplogroup frequencies and Nei genetic distances showed close affinity of Tlatelolco’s subadults with ancient Mexica (Aztecs) and closer affinities between Cholula and the Xaltocan of the Basin of Mexico. Sex determination of Tlatelolco subadult sacrifice victims revealed that 83% were females, in contrast to pr</w:instrText>
      </w:r>
      <w:r w:rsidR="00F018A4" w:rsidRPr="00DD37EB">
        <w:rPr>
          <w:sz w:val="24"/>
          <w:szCs w:val="24"/>
          <w:lang w:val="fr-FR"/>
        </w:rPr>
        <w:instrText xml:space="preserve">evious studies of subadult sacrificial patterns at the site. Together, these results demonstrate the multi-ethnic nature of religious and economic centres in Postclassic Central Mexico.","URL":"https://doi.org/10.1007/s12520-018-00771-7","DOI":"10.1007/s12520-018-00771-7","ISSN":"1866-9565","title-short":"Ancient mitochondrial DNA and population dynamics in postclassic Central Mexico","journalAbbreviation":"Archaeol Anthropol Sci","language":"en","author":[{"family":"Morales-Arce","given":"Ana Y."},{"family":"McCafferty","given":"Geoffrey"},{"family":"Hand","given":"Jessica"},{"family":"Schmill","given":"Norma"},{"family":"McGrath","given":"Krista"},{"family":"Speller","given":"Camilla"}],"issued":{"date-parts":[["2019",1,8]]},"accessed":{"date-parts":[["2019",2,3]]}}},{"id":248,"uris":["http://zotero.org/users/4461938/items/UUR3DP6F"],"uri":["http://zotero.org/users/4461938/items/UUR3DP6F"],"itemData":{"id":248,"type":"article-journal","title":"Ancient mitochondrial DNA and ancestry of Paquimé inhabitants, Casas Grandes (AD 1200–1450)","container-title":"American Journal of Physical Anthropology","ISSN":"1096-8644","journalAbbreviation":"American Journal of Physical Anthropology","author":[{"family":"Morales‐Arce","given":"Ana Y"},{"family":"Snow","given":"Meradeth H"},{"family":"Kelley","given":"Jane H"},{"family":"Anne Katzenberg","given":"M"}],"issued":{"date-parts":[["2017"]]}}}],"schema":"https://github.com/citation-style-language/schema/raw/master/csl-citation.json"} </w:instrText>
      </w:r>
      <w:r w:rsidR="000B20BA">
        <w:rPr>
          <w:sz w:val="24"/>
          <w:szCs w:val="24"/>
        </w:rPr>
        <w:fldChar w:fldCharType="separate"/>
      </w:r>
      <w:r w:rsidR="00F018A4" w:rsidRPr="00DD37EB">
        <w:rPr>
          <w:sz w:val="24"/>
          <w:szCs w:val="24"/>
          <w:lang w:val="fr-FR"/>
        </w:rPr>
        <w:t>(Álvarez-Sandoval et al., 2015; Morales-Arce et al., 2019; Morales‐Arce et al., 2017)</w:t>
      </w:r>
      <w:r w:rsidR="000B20BA">
        <w:rPr>
          <w:sz w:val="24"/>
          <w:szCs w:val="24"/>
        </w:rPr>
        <w:fldChar w:fldCharType="end"/>
      </w:r>
      <w:r w:rsidR="00F018A4" w:rsidRPr="00DD37EB">
        <w:rPr>
          <w:sz w:val="24"/>
          <w:szCs w:val="24"/>
          <w:lang w:val="fr-FR"/>
        </w:rPr>
        <w:t xml:space="preserve">. </w:t>
      </w:r>
      <w:r w:rsidR="00F018A4">
        <w:rPr>
          <w:sz w:val="24"/>
          <w:szCs w:val="24"/>
        </w:rPr>
        <w:t>However,</w:t>
      </w:r>
      <w:r w:rsidR="00343432">
        <w:rPr>
          <w:sz w:val="24"/>
          <w:szCs w:val="24"/>
        </w:rPr>
        <w:t xml:space="preserve"> </w:t>
      </w:r>
      <w:r w:rsidR="00F018A4">
        <w:rPr>
          <w:sz w:val="24"/>
          <w:szCs w:val="24"/>
        </w:rPr>
        <w:t xml:space="preserve">several </w:t>
      </w:r>
      <w:r w:rsidR="00343432">
        <w:rPr>
          <w:sz w:val="24"/>
          <w:szCs w:val="24"/>
        </w:rPr>
        <w:t xml:space="preserve">Mesoamerican populations still remain unstudied. </w:t>
      </w:r>
    </w:p>
    <w:p w14:paraId="761810AA" w14:textId="5A23759E" w:rsidR="00213CB4" w:rsidRDefault="007E1B4C" w:rsidP="00FC0F4C">
      <w:pPr>
        <w:spacing w:line="480" w:lineRule="auto"/>
        <w:ind w:firstLine="720"/>
        <w:rPr>
          <w:sz w:val="24"/>
          <w:szCs w:val="24"/>
        </w:rPr>
      </w:pPr>
      <w:r w:rsidRPr="007E1B4C">
        <w:rPr>
          <w:sz w:val="24"/>
          <w:szCs w:val="24"/>
        </w:rPr>
        <w:t>Situated in the Central Mexican highlands</w:t>
      </w:r>
      <w:r w:rsidR="00B81FE7">
        <w:rPr>
          <w:sz w:val="24"/>
          <w:szCs w:val="24"/>
        </w:rPr>
        <w:t xml:space="preserve"> (Figure 1)</w:t>
      </w:r>
      <w:r w:rsidRPr="007E1B4C">
        <w:rPr>
          <w:sz w:val="24"/>
          <w:szCs w:val="24"/>
        </w:rPr>
        <w:t>, the Teotihuacan</w:t>
      </w:r>
      <w:r w:rsidR="00D100AC">
        <w:rPr>
          <w:sz w:val="24"/>
          <w:szCs w:val="24"/>
        </w:rPr>
        <w:t>o</w:t>
      </w:r>
      <w:r w:rsidRPr="007E1B4C">
        <w:rPr>
          <w:sz w:val="24"/>
          <w:szCs w:val="24"/>
        </w:rPr>
        <w:t xml:space="preserve"> culture </w:t>
      </w:r>
      <w:r>
        <w:rPr>
          <w:sz w:val="24"/>
          <w:szCs w:val="24"/>
        </w:rPr>
        <w:t xml:space="preserve">had considerable influence throughout </w:t>
      </w:r>
      <w:r w:rsidRPr="007E1B4C">
        <w:rPr>
          <w:sz w:val="24"/>
          <w:szCs w:val="24"/>
        </w:rPr>
        <w:t>Mesoamerica</w:t>
      </w:r>
      <w:r w:rsidR="00F018A4">
        <w:rPr>
          <w:sz w:val="24"/>
          <w:szCs w:val="24"/>
        </w:rPr>
        <w:t xml:space="preserve"> </w:t>
      </w:r>
      <w:r w:rsidRPr="007E1B4C">
        <w:rPr>
          <w:sz w:val="24"/>
          <w:szCs w:val="24"/>
        </w:rPr>
        <w:t xml:space="preserve">during the Classic period (150-650 CE) </w:t>
      </w:r>
      <w:r w:rsidRPr="007E1B4C">
        <w:rPr>
          <w:sz w:val="24"/>
          <w:szCs w:val="24"/>
        </w:rPr>
        <w:fldChar w:fldCharType="begin"/>
      </w:r>
      <w:r w:rsidRPr="007E1B4C">
        <w:rPr>
          <w:sz w:val="24"/>
          <w:szCs w:val="24"/>
        </w:rPr>
        <w:instrText xml:space="preserve"> ADDIN ZOTERO_ITEM CSL_CITATION {"citationID":"nz9ogqId","properties":{"formattedCitation":"(Robb, 2017)","plainCitation":"(Robb, 2017)","noteIndex":0},"citationItems":[{"id":256,"uris":["http://zotero.org/users/4461938/items/UBPEADSW"],"uri":["http://zotero.org/users/4461938/items/UBPEADSW"],"itemData":{"id":256,"type":"book","title":"Teotihuacan: City of Water, City of Fire","publisher":"Univ of California Press","ISBN":"0-520-29655-9","author":[{"family":"Robb","given":"Matthew"}],"issued":{"date-parts":[["2017"]]}}}],"schema":"https://github.com/citation-style-language/schema/raw/master/csl-citation.json"} </w:instrText>
      </w:r>
      <w:r w:rsidRPr="007E1B4C">
        <w:rPr>
          <w:sz w:val="24"/>
          <w:szCs w:val="24"/>
        </w:rPr>
        <w:fldChar w:fldCharType="separate"/>
      </w:r>
      <w:r w:rsidRPr="007E1B4C">
        <w:rPr>
          <w:sz w:val="24"/>
          <w:szCs w:val="24"/>
        </w:rPr>
        <w:t>(Robb, 2017)</w:t>
      </w:r>
      <w:r w:rsidRPr="007E1B4C">
        <w:rPr>
          <w:sz w:val="24"/>
          <w:szCs w:val="24"/>
        </w:rPr>
        <w:fldChar w:fldCharType="end"/>
      </w:r>
      <w:r w:rsidRPr="007E1B4C">
        <w:rPr>
          <w:sz w:val="24"/>
          <w:szCs w:val="24"/>
        </w:rPr>
        <w:t>.</w:t>
      </w:r>
      <w:r>
        <w:rPr>
          <w:sz w:val="24"/>
          <w:szCs w:val="24"/>
        </w:rPr>
        <w:t xml:space="preserve"> In this period, the population of Teotihuacan supported more than 100,000 inhabitants</w:t>
      </w:r>
      <w:r w:rsidR="001C33B6">
        <w:rPr>
          <w:sz w:val="24"/>
          <w:szCs w:val="24"/>
        </w:rPr>
        <w:t xml:space="preserve"> who lived i</w:t>
      </w:r>
      <w:r>
        <w:rPr>
          <w:sz w:val="24"/>
          <w:szCs w:val="24"/>
        </w:rPr>
        <w:t xml:space="preserve">n different social and spatial units </w:t>
      </w:r>
      <w:r>
        <w:rPr>
          <w:sz w:val="24"/>
          <w:szCs w:val="24"/>
        </w:rPr>
        <w:fldChar w:fldCharType="begin"/>
      </w:r>
      <w:r>
        <w:rPr>
          <w:sz w:val="24"/>
          <w:szCs w:val="24"/>
        </w:rPr>
        <w:instrText xml:space="preserve"> ADDIN ZOTERO_ITEM CSL_CITATION {"citationID":"qJ8biRTt","properties":{"formattedCitation":"(Manzanilla, 2015)","plainCitation":"(Manzanilla, 2015)","noteIndex":0},"citationItems":[{"id":384,"uris":["http://zotero.org/users/4461938/items/FERGK6SC"],"uri":["http://zotero.org/users/4461938/items/FERGK6SC"],"itemData":{"id":384,"type":"article-journal","title":"Cooperation and tensions in multiethnic corporate societies using Teotihuacan, Central Mexico, as a case study","container-title":"Proceedings of the National Academy of Sciences","page":"9210-9215","volume":"112","issue":"30","author":[{"family":"Manzanilla","given":"Linda R."}],"issued":{"date-parts":[["2015"]]}}}],"schema":"https://github.com/citation-style-language/schema/raw/master/csl-citation.json"} </w:instrText>
      </w:r>
      <w:r>
        <w:rPr>
          <w:sz w:val="24"/>
          <w:szCs w:val="24"/>
        </w:rPr>
        <w:fldChar w:fldCharType="separate"/>
      </w:r>
      <w:r w:rsidRPr="007E1B4C">
        <w:rPr>
          <w:sz w:val="24"/>
        </w:rPr>
        <w:t>(Manzanilla, 2015)</w:t>
      </w:r>
      <w:r>
        <w:rPr>
          <w:sz w:val="24"/>
          <w:szCs w:val="24"/>
        </w:rPr>
        <w:fldChar w:fldCharType="end"/>
      </w:r>
      <w:r>
        <w:rPr>
          <w:sz w:val="24"/>
          <w:szCs w:val="24"/>
        </w:rPr>
        <w:t xml:space="preserve">. </w:t>
      </w:r>
      <w:r w:rsidR="00D100AC">
        <w:rPr>
          <w:sz w:val="24"/>
          <w:szCs w:val="24"/>
        </w:rPr>
        <w:t xml:space="preserve">Current </w:t>
      </w:r>
      <w:r w:rsidR="00FC0F4C">
        <w:rPr>
          <w:sz w:val="24"/>
          <w:szCs w:val="24"/>
        </w:rPr>
        <w:t>genetic evidence supports the notion that Teotihuacan was a multiethnic cent</w:t>
      </w:r>
      <w:r w:rsidR="0089760F">
        <w:rPr>
          <w:sz w:val="24"/>
          <w:szCs w:val="24"/>
        </w:rPr>
        <w:t>er</w:t>
      </w:r>
      <w:r w:rsidR="00FC0F4C">
        <w:rPr>
          <w:sz w:val="24"/>
          <w:szCs w:val="24"/>
        </w:rPr>
        <w:t xml:space="preserve"> </w:t>
      </w:r>
      <w:r w:rsidR="00FC0F4C">
        <w:rPr>
          <w:sz w:val="24"/>
          <w:szCs w:val="24"/>
        </w:rPr>
        <w:fldChar w:fldCharType="begin"/>
      </w:r>
      <w:r w:rsidR="00FC0F4C">
        <w:rPr>
          <w:sz w:val="24"/>
          <w:szCs w:val="24"/>
        </w:rPr>
        <w:instrText xml:space="preserve"> ADDIN ZOTERO_ITEM CSL_CITATION {"citationID":"75HQhnY7","properties":{"formattedCitation":"(\\uc0\\u193{}lvarez-Sandoval et al., 2015)","plainCitation":"(Álvarez-Sandoval et al., 2015)","noteIndex":0},"citationItems":[{"id":255,"uris":["http://zotero.org/users/4461938/items/75ZII7V5"],"uri":["http://zotero.org/users/4461938/items/75ZII7V5"],"itemData":{"id":255,"type":"article-journal","title":"Genetic evidence supports the multiethnic character of Teopancazco, a neighborhood center of Teotihuacan, Mexico (AD 200-600)","container-title":"PloS one","page":"e0132371","volume":"10","issue":"7","ISSN":"1932-6203","journalAbbreviation":"PloS one","author":[{"family":"Álvarez-Sandoval","given":"Brenda A"},{"family":"Manzanilla","given":"Linda R"},{"family":"González-Ruiz","given":"Mercedes"},{"family":"Malgosa","given":"Assumpció"},{"family":"Montiel","given":"Rafael"}],"issued":{"date-parts":[["2015"]]}}}],"schema":"https://github.com/citation-style-language/schema/raw/master/csl-citation.json"} </w:instrText>
      </w:r>
      <w:r w:rsidR="00FC0F4C">
        <w:rPr>
          <w:sz w:val="24"/>
          <w:szCs w:val="24"/>
        </w:rPr>
        <w:fldChar w:fldCharType="separate"/>
      </w:r>
      <w:r w:rsidR="00FC0F4C" w:rsidRPr="007A3588">
        <w:rPr>
          <w:sz w:val="24"/>
          <w:szCs w:val="24"/>
        </w:rPr>
        <w:t>(Álvarez-Sandoval et al., 2015)</w:t>
      </w:r>
      <w:r w:rsidR="00FC0F4C">
        <w:rPr>
          <w:sz w:val="24"/>
          <w:szCs w:val="24"/>
        </w:rPr>
        <w:fldChar w:fldCharType="end"/>
      </w:r>
      <w:r w:rsidR="00D100AC">
        <w:rPr>
          <w:sz w:val="24"/>
          <w:szCs w:val="24"/>
        </w:rPr>
        <w:t xml:space="preserve">. One such extra-local group are inferred to be Maya from lowland Mesoamerica to the south of Teotihuacan. </w:t>
      </w:r>
      <w:r w:rsidR="0089760F">
        <w:rPr>
          <w:sz w:val="24"/>
          <w:szCs w:val="24"/>
        </w:rPr>
        <w:t xml:space="preserve">Even though these two cultures dominated the Mesoamerican landscape during the Classic period, the socio-political relationships between them </w:t>
      </w:r>
      <w:r w:rsidR="000C79FF">
        <w:rPr>
          <w:sz w:val="24"/>
          <w:szCs w:val="24"/>
        </w:rPr>
        <w:t xml:space="preserve">remain </w:t>
      </w:r>
      <w:r w:rsidR="00FC0F4C">
        <w:rPr>
          <w:sz w:val="24"/>
          <w:szCs w:val="24"/>
        </w:rPr>
        <w:t>in question</w:t>
      </w:r>
      <w:r w:rsidR="0089760F">
        <w:rPr>
          <w:sz w:val="24"/>
          <w:szCs w:val="24"/>
        </w:rPr>
        <w:t xml:space="preserve"> </w:t>
      </w:r>
      <w:r w:rsidR="0089760F">
        <w:rPr>
          <w:sz w:val="24"/>
          <w:szCs w:val="24"/>
        </w:rPr>
        <w:fldChar w:fldCharType="begin"/>
      </w:r>
      <w:r w:rsidR="0089760F">
        <w:rPr>
          <w:sz w:val="24"/>
          <w:szCs w:val="24"/>
        </w:rPr>
        <w:instrText xml:space="preserve"> ADDIN ZOTERO_ITEM CSL_CITATION {"citationID":"upl4yREj","properties":{"formattedCitation":"(Robb, 2017)","plainCitation":"(Robb, 2017)","noteIndex":0},"citationItems":[{"id":256,"uris":["http://zotero.org/users/4461938/items/UBPEADSW"],"uri":["http://zotero.org/users/4461938/items/UBPEADSW"],"itemData":{"id":256,"type":"book","title":"Teotihuacan: City of Water, City of Fire","publisher":"Univ of California Press","ISBN":"0-520-29655-9","author":[{"family":"Robb","given":"Matthew"}],"issued":{"date-parts":[["2017"]]}}}],"schema":"https://github.com/citation-style-language/schema/raw/master/csl-citation.json"} </w:instrText>
      </w:r>
      <w:r w:rsidR="0089760F">
        <w:rPr>
          <w:sz w:val="24"/>
          <w:szCs w:val="24"/>
        </w:rPr>
        <w:fldChar w:fldCharType="separate"/>
      </w:r>
      <w:r w:rsidR="0089760F" w:rsidRPr="0089760F">
        <w:rPr>
          <w:sz w:val="24"/>
        </w:rPr>
        <w:t>(Robb, 2017)</w:t>
      </w:r>
      <w:r w:rsidR="0089760F">
        <w:rPr>
          <w:sz w:val="24"/>
          <w:szCs w:val="24"/>
        </w:rPr>
        <w:fldChar w:fldCharType="end"/>
      </w:r>
      <w:r w:rsidR="00FC0F4C">
        <w:rPr>
          <w:sz w:val="24"/>
          <w:szCs w:val="24"/>
        </w:rPr>
        <w:t xml:space="preserve">. </w:t>
      </w:r>
      <w:r w:rsidR="0089760F">
        <w:rPr>
          <w:sz w:val="24"/>
          <w:szCs w:val="24"/>
        </w:rPr>
        <w:t>For instance, scholars</w:t>
      </w:r>
      <w:r w:rsidR="00FC0F4C">
        <w:rPr>
          <w:sz w:val="24"/>
          <w:szCs w:val="24"/>
        </w:rPr>
        <w:t xml:space="preserve"> are </w:t>
      </w:r>
      <w:r w:rsidR="0089760F">
        <w:rPr>
          <w:sz w:val="24"/>
          <w:szCs w:val="24"/>
        </w:rPr>
        <w:t xml:space="preserve">still </w:t>
      </w:r>
      <w:r w:rsidR="00FC0F4C">
        <w:rPr>
          <w:sz w:val="24"/>
          <w:szCs w:val="24"/>
        </w:rPr>
        <w:t xml:space="preserve">not certain about the relationships between </w:t>
      </w:r>
      <w:r w:rsidR="0089760F">
        <w:rPr>
          <w:sz w:val="24"/>
          <w:szCs w:val="24"/>
        </w:rPr>
        <w:t xml:space="preserve">Maya elites </w:t>
      </w:r>
      <w:r w:rsidR="00FC0F4C">
        <w:rPr>
          <w:sz w:val="24"/>
          <w:szCs w:val="24"/>
        </w:rPr>
        <w:t xml:space="preserve">and Teotihuacanos </w:t>
      </w:r>
      <w:r w:rsidR="00FC0F4C">
        <w:rPr>
          <w:sz w:val="24"/>
          <w:szCs w:val="24"/>
        </w:rPr>
        <w:fldChar w:fldCharType="begin"/>
      </w:r>
      <w:r w:rsidR="00FC0F4C">
        <w:rPr>
          <w:sz w:val="24"/>
          <w:szCs w:val="24"/>
        </w:rPr>
        <w:instrText xml:space="preserve"> ADDIN ZOTERO_ITEM CSL_CITATION {"citationID":"QylVgYsI","properties":{"formattedCitation":"(Carballo et al., 2018; Robb, 2017; Sugiyama et al., 2016)","plainCitation":"(Carballo et al., 2018; Robb, 2017; Sugiyama et al., 2016)","noteIndex":0},"citationItems":[{"id":874,"uris":["http://zotero.org/users/4461938/items/MX2A8IRL"],"uri":["http://zotero.org/users/4461938/items/MX2A8IRL"],"itemData":{"id":874,"type":"paper-conference","title":"Activity Areas and Political Economy at Teotihuacan's Plaza of the Columns: Investigations in Front E","publisher-place":"Washington D.C.","event":"82nd Annual Meeting of the Society for American Archaeology 2018 Conference","event-place":"Washington D.C.","note":"tDAR id: 444883","author":[{"family":"Carballo","given":"David"},{"family":"Sarinana","given":"Daniela Hernandez"},{"family":"Codlin","given":"Maria"},{"family":"Buckley","given":"Gina"},{"family":"Hernandez","given":"Jorge Ortiz"}],"issued":{"date-parts":[["2018"]]}}},{"id":256,"uris":["http://zotero.org/users/4461938/items/UBPEADSW"],"uri":["http://zotero.org/users/4461938/items/UBPEADSW"],"itemData":{"id":256,"type":"book","title":"Teotihuacan: City of Water, City of Fire","publisher":"Univ of California Press","ISBN":"0-520-29655-9","author":[{"family":"Robb","given":"Matthew"}],"issued":{"date-parts":[["2017"]]}}},{"id":873,"uris":["http://zotero.org/users/4461938/items/AVFW7JLT"],"uri":["http://zotero.org/users/4461938/items/AVFW7JLT"],"itemData":{"id":873,"type":"paper-conference","title":"Plaza of the Columns at Teotihuacan: Scope, Goals and Expectations of a New International Project","publisher-place":"Orlando, Florida","event":"Society for American Archaeology 81st Annual Meeting","event-place":"Orlando, Florida","note":"tDAR id: 403539","author":[{"family":"Sugiyama","given":"Nawa"},{"family":"Sugiyama","given":"Saburo"},{"family":"Ortega","given":"Veronica"},{"family":"Fash","given":"William"}],"issued":{"date-parts":[["2016"]]}}}],"schema":"https://github.com/citation-style-language/schema/raw/master/csl-citation.json"} </w:instrText>
      </w:r>
      <w:r w:rsidR="00FC0F4C">
        <w:rPr>
          <w:sz w:val="24"/>
          <w:szCs w:val="24"/>
        </w:rPr>
        <w:fldChar w:fldCharType="separate"/>
      </w:r>
      <w:r w:rsidR="00FC0F4C" w:rsidRPr="007A3588">
        <w:rPr>
          <w:sz w:val="24"/>
        </w:rPr>
        <w:t>(Carballo et al., 2018; Robb, 2017; Sugiyama et al., 2016)</w:t>
      </w:r>
      <w:r w:rsidR="00FC0F4C">
        <w:rPr>
          <w:sz w:val="24"/>
          <w:szCs w:val="24"/>
        </w:rPr>
        <w:fldChar w:fldCharType="end"/>
      </w:r>
      <w:r w:rsidR="00FC0F4C">
        <w:rPr>
          <w:sz w:val="24"/>
          <w:szCs w:val="24"/>
        </w:rPr>
        <w:t xml:space="preserve">. </w:t>
      </w:r>
      <w:r w:rsidR="008A0C4F">
        <w:rPr>
          <w:sz w:val="24"/>
          <w:szCs w:val="24"/>
        </w:rPr>
        <w:t xml:space="preserve">Genetic studies could potentially elucidate these relationships but </w:t>
      </w:r>
      <w:r w:rsidR="003B2C7A" w:rsidRPr="007E1B4C">
        <w:rPr>
          <w:sz w:val="24"/>
          <w:szCs w:val="24"/>
        </w:rPr>
        <w:t xml:space="preserve">destructive analyses of skeletal remains </w:t>
      </w:r>
      <w:r w:rsidR="00FC0F4C" w:rsidRPr="007E1B4C">
        <w:rPr>
          <w:sz w:val="24"/>
          <w:szCs w:val="24"/>
        </w:rPr>
        <w:t>are</w:t>
      </w:r>
      <w:r w:rsidR="003B2C7A" w:rsidRPr="007E1B4C">
        <w:rPr>
          <w:sz w:val="24"/>
          <w:szCs w:val="24"/>
        </w:rPr>
        <w:t xml:space="preserve"> not </w:t>
      </w:r>
      <w:r w:rsidR="003B2C7A" w:rsidRPr="007E1B4C">
        <w:rPr>
          <w:sz w:val="24"/>
          <w:szCs w:val="24"/>
        </w:rPr>
        <w:lastRenderedPageBreak/>
        <w:t xml:space="preserve">always a viable option </w:t>
      </w:r>
      <w:r w:rsidR="00211325" w:rsidRPr="007E1B4C">
        <w:rPr>
          <w:sz w:val="24"/>
          <w:szCs w:val="24"/>
        </w:rPr>
        <w:t xml:space="preserve">for aDNA research. </w:t>
      </w:r>
      <w:r w:rsidR="00213CB4">
        <w:rPr>
          <w:sz w:val="24"/>
          <w:szCs w:val="24"/>
        </w:rPr>
        <w:t xml:space="preserve">Dental calculus from Mesoamerican contexts may serve as an alternative source for host DNA. Recent studies have shown that it is possible to </w:t>
      </w:r>
      <w:r w:rsidR="008A0C4F">
        <w:rPr>
          <w:sz w:val="24"/>
          <w:szCs w:val="24"/>
        </w:rPr>
        <w:t xml:space="preserve">obtain </w:t>
      </w:r>
      <w:r w:rsidR="007A3588">
        <w:rPr>
          <w:sz w:val="24"/>
          <w:szCs w:val="24"/>
        </w:rPr>
        <w:t>genomic-scale information</w:t>
      </w:r>
      <w:r w:rsidR="00213CB4">
        <w:rPr>
          <w:sz w:val="24"/>
          <w:szCs w:val="24"/>
        </w:rPr>
        <w:t xml:space="preserve"> from host DNA within dental calculus </w:t>
      </w:r>
      <w:r w:rsidR="007A3588">
        <w:rPr>
          <w:sz w:val="24"/>
          <w:szCs w:val="24"/>
        </w:rPr>
        <w:t xml:space="preserve">despite low abundance </w:t>
      </w:r>
      <w:r w:rsidR="00213CB4">
        <w:rPr>
          <w:sz w:val="24"/>
          <w:szCs w:val="24"/>
        </w:rPr>
        <w:fldChar w:fldCharType="begin"/>
      </w:r>
      <w:r w:rsidR="00213CB4">
        <w:rPr>
          <w:sz w:val="24"/>
          <w:szCs w:val="24"/>
        </w:rPr>
        <w:instrText xml:space="preserve"> ADDIN ZOTERO_ITEM CSL_CITATION {"citationID":"Bw59sNeC","properties":{"formattedCitation":"(Ozga et al., 2016; Ziesemer et al., 2019)","plainCitation":"(Ozga et al., 2016; Ziesemer et al., 2019)","noteIndex":0},"citationItems":[{"id":983,"uris":["http://zotero.org/users/4461938/items/2KFMDZL5"],"uri":["http://zotero.org/users/4461938/items/2KFMDZL5"],"itemData":{"id":983,"type":"article-journal","title":"Successful enrichment and recovery of whole mitochondrial genomes from ancient human dental calculus","container-title":"American Journal of Physical Anthropology","page":"220-228","volume":"160","issue":"2","source":"Wiley Online Library","abstract":"Objectives Archaeological dental calculus is a rich source of host-associated biomolecules. Importantly, however, dental calculus is more accurately described as a calcified microbial biofilm than a host tissue. As such, concerns regarding destructive analysis of human remains may not apply as strongly to dental calculus, opening the possibility of obtaining human health and ancestry information from dental calculus in cases where destructive analysis of conventional skeletal remains is not permitted. Here we investigate the preservation of human mitochondrial DNA (mtDNA) in archaeological dental calculus and its potential for full mitochondrial genome (mitogenome) reconstruction in maternal lineage ancestry analysis. Materials and Methods Extracted DNA from six individuals at the 700-year-old Norris Farms #36 cemetery in Illinois was enriched for mtDNA using in-solution capture techniques, followed by Illumina high-throughput sequencing. Results Full mitogenomes (7–34×) were successfully reconstructed from dental calculus for all six individuals, including three individuals who had previously tested negative for DNA preservation in bone using conventional PCR techniques. Mitochondrial haplogroup assignments were consistent with previously published findings, and additional comparative analysis of paired dental calculus and dentine from two individuals yielded equivalent haplotype results. All dental calculus samples exhibited damage patterns consistent with ancient DNA, and mitochondrial sequences were estimated to be 92–100% endogenous. DNA polymerase choice was found to impact error rates in downstream sequence analysis, but these effects can be mitigated by greater sequencing depth. Discussion Dental calculus is a viable alternative source of human DNA that can be used to reconstruct full mitogenomes from archaeological remains. Am J Phys Anthropol 160:220–228, 2016. © 2016 The Authors American Journal of Physical Anthropology Published by Wiley Periodicals, Inc.","DOI":"10.1002/ajpa.22960","ISSN":"1096-8644","language":"en","author":[{"family":"Ozga","given":"Andrew T."},{"family":"Nieves‐Colón","given":"Maria A."},{"family":"Honap","given":"Tanvi P."},{"family":"Sankaranarayanan","given":"Krithivasan"},{"family":"Hofman","given":"Courtney A."},{"family":"Milner","given":"George R."},{"family":"Lewis","given":"Cecil M."},{"family":"Stone","given":"Anne C."},{"family":"Warinner","given":"Christina"}],"issued":{"date-parts":[["2016"]]}}},{"id":1135,"uris":["http://zotero.org/users/4461938/items/Y36ZZQDX"],"uri":["http://zotero.org/users/4461938/items/Y36ZZQDX"],"itemData":{"id":1135,"type":"article-journal","title":"The efficacy of whole human genome capture on ancient dental calculus and dentin","container-title":"American Journal of Physical Anthropology","page":"496-509","volume":"168","issue":"3","source":"Wiley Online Library","abstract":"Objectives Dental calculus is among the richest known sources of ancient DNA in the archaeological record. Although most DNA within calculus is microbial, it has been shown to contain sufficient human DNA for the targeted retrieval of whole mitochondrial genomes. Here, we explore whether calculus is also a viable substrate for whole human genome recovery using targeted enrichment techniques. Materials and methods Total DNA extracted from 24 paired archaeological human dentin and calculus samples was subjected to whole human genome enrichment using in-solution hybridization capture and high-throughput sequencing. Results Total DNA from calculus exceeded that of dentin in all cases, and although the proportion of human DNA was generally lower in calculus, the absolute human DNA content of calculus and dentin was not significantly different. Whole genome enrichment resulted in up to four-fold enrichment of the human endogenous DNA content for both dentin and dental calculus libraries, albeit with some loss in complexity. Recovering more on-target reads for the same sequencing effort generally improved the quality of downstream analyses, such as sex and ancestry estimation. For nonhuman DNA, comparison of phylum-level microbial community structure revealed few differences between precapture and postcapture libraries, indicating that off-target sequences in human genome-enriched calculus libraries may still be useful for oral microbiome reconstruction. Discussion While ancient human dental calculus does contain endogenous human DNA sequences, their relative proportion is low when compared with other skeletal tissues. Whole genome enrichment can help increase the proportion of recovered human reads, but in this instance enrichment efficiency was relatively low when compared with other forms of capture. We conclude that further optimization is necessary before the method can be routinely applied to archaeological samples.","DOI":"10.1002/ajpa.23763","ISSN":"1096-8644","language":"en","author":[{"family":"Ziesemer","given":"Kirsten A."},{"family":"Ramos‐Madrigal","given":"Jazmín"},{"family":"Mann","given":"Allison E."},{"family":"Brandt","given":"Bernd W."},{"family":"Sankaranarayanan","given":"Krithivasan"},{"family":"Ozga","given":"Andrew T."},{"family":"Hoogland","given":"Menno"},{"family":"Hofman","given":"Courtney A."},{"family":"Salazar‐García","given":"Domingo C."},{"family":"Frohlich","given":"Bruno"},{"family":"Milner","given":"George R."},{"family":"Stone","given":"Anne C."},{"family":"Aldenderfer","given":"Mark"},{"family":"Lewis","given":"Cecil M."},{"family":"Hofman","given":"Corinne L."},{"family":"Warinner","given":"Christina"},{"family":"Schroeder","given":"Hannes"}],"issued":{"date-parts":[["2019"]]}}}],"schema":"https://github.com/citation-style-language/schema/raw/master/csl-citation.json"} </w:instrText>
      </w:r>
      <w:r w:rsidR="00213CB4">
        <w:rPr>
          <w:sz w:val="24"/>
          <w:szCs w:val="24"/>
        </w:rPr>
        <w:fldChar w:fldCharType="separate"/>
      </w:r>
      <w:r w:rsidR="00213CB4" w:rsidRPr="00213CB4">
        <w:rPr>
          <w:sz w:val="24"/>
        </w:rPr>
        <w:t>(Ozga et al., 2016; Ziesemer et al., 2019)</w:t>
      </w:r>
      <w:r w:rsidR="00213CB4">
        <w:rPr>
          <w:sz w:val="24"/>
          <w:szCs w:val="24"/>
        </w:rPr>
        <w:fldChar w:fldCharType="end"/>
      </w:r>
      <w:r w:rsidR="00213CB4">
        <w:rPr>
          <w:sz w:val="24"/>
          <w:szCs w:val="24"/>
        </w:rPr>
        <w:t xml:space="preserve">. </w:t>
      </w:r>
    </w:p>
    <w:p w14:paraId="2D8517DD" w14:textId="54587637" w:rsidR="00211325" w:rsidRPr="00211325" w:rsidRDefault="00211325" w:rsidP="00211325">
      <w:pPr>
        <w:spacing w:line="480" w:lineRule="auto"/>
        <w:rPr>
          <w:i/>
          <w:sz w:val="24"/>
          <w:szCs w:val="24"/>
        </w:rPr>
      </w:pPr>
      <w:r>
        <w:rPr>
          <w:i/>
          <w:sz w:val="24"/>
          <w:szCs w:val="24"/>
        </w:rPr>
        <w:t xml:space="preserve">Research Objectives </w:t>
      </w:r>
    </w:p>
    <w:p w14:paraId="12692F2D" w14:textId="77777777" w:rsidR="00F21EA4" w:rsidRDefault="003A4D48" w:rsidP="00EC0669">
      <w:pPr>
        <w:spacing w:line="480" w:lineRule="auto"/>
        <w:ind w:firstLine="720"/>
        <w:rPr>
          <w:sz w:val="24"/>
          <w:szCs w:val="24"/>
        </w:rPr>
      </w:pPr>
      <w:r>
        <w:rPr>
          <w:sz w:val="24"/>
          <w:szCs w:val="24"/>
        </w:rPr>
        <w:t xml:space="preserve">In the present study, </w:t>
      </w:r>
      <w:r w:rsidR="001C33B6">
        <w:rPr>
          <w:sz w:val="24"/>
          <w:szCs w:val="24"/>
        </w:rPr>
        <w:t xml:space="preserve">shotgun metagenome sequencing is utilized to characterize host and microbial DNA preserved in dental calculus from Teotihuacan. </w:t>
      </w:r>
      <w:r w:rsidR="0047513B">
        <w:rPr>
          <w:sz w:val="24"/>
          <w:szCs w:val="24"/>
        </w:rPr>
        <w:t xml:space="preserve">The host DNA was of special interest due to the unique burial context for each Teotihuacan sample. </w:t>
      </w:r>
      <w:r w:rsidR="001C33B6">
        <w:rPr>
          <w:sz w:val="24"/>
          <w:szCs w:val="24"/>
        </w:rPr>
        <w:t xml:space="preserve">Preservation of host and microbial DNA in these samples is compared to patterns reported from previously published studies of dental calculus obtained from other </w:t>
      </w:r>
      <w:r w:rsidR="00B81FE7">
        <w:rPr>
          <w:sz w:val="24"/>
          <w:szCs w:val="24"/>
        </w:rPr>
        <w:t xml:space="preserve">spatial and temporal contexts </w:t>
      </w:r>
      <w:r w:rsidR="00B81FE7">
        <w:rPr>
          <w:sz w:val="24"/>
          <w:szCs w:val="24"/>
        </w:rPr>
        <w:fldChar w:fldCharType="begin"/>
      </w:r>
      <w:r w:rsidR="00B81FE7">
        <w:rPr>
          <w:sz w:val="24"/>
          <w:szCs w:val="24"/>
        </w:rPr>
        <w:instrText xml:space="preserve"> ADDIN ZOTERO_ITEM CSL_CITATION {"citationID":"4M5xIyFV","properties":{"formattedCitation":"(Mann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B81FE7">
        <w:rPr>
          <w:sz w:val="24"/>
          <w:szCs w:val="24"/>
        </w:rPr>
        <w:fldChar w:fldCharType="separate"/>
      </w:r>
      <w:r w:rsidR="00B81FE7" w:rsidRPr="00B81FE7">
        <w:rPr>
          <w:sz w:val="24"/>
        </w:rPr>
        <w:t>(Mann et al., 2018; Weyrich et al., 2017)</w:t>
      </w:r>
      <w:r w:rsidR="00B81FE7">
        <w:rPr>
          <w:sz w:val="24"/>
          <w:szCs w:val="24"/>
        </w:rPr>
        <w:fldChar w:fldCharType="end"/>
      </w:r>
      <w:r w:rsidR="00B81FE7">
        <w:rPr>
          <w:sz w:val="24"/>
          <w:szCs w:val="24"/>
        </w:rPr>
        <w:t>.</w:t>
      </w:r>
      <w:r w:rsidR="004A0A8F">
        <w:rPr>
          <w:sz w:val="24"/>
          <w:szCs w:val="24"/>
        </w:rPr>
        <w:t xml:space="preserve"> </w:t>
      </w:r>
      <w:r w:rsidR="007C6819">
        <w:rPr>
          <w:sz w:val="24"/>
          <w:szCs w:val="24"/>
        </w:rPr>
        <w:t xml:space="preserve">In addition, this study aimed to see whether there </w:t>
      </w:r>
      <w:r w:rsidR="0041408D">
        <w:rPr>
          <w:sz w:val="24"/>
          <w:szCs w:val="24"/>
        </w:rPr>
        <w:t>were</w:t>
      </w:r>
      <w:r w:rsidR="007C6819">
        <w:rPr>
          <w:sz w:val="24"/>
          <w:szCs w:val="24"/>
        </w:rPr>
        <w:t xml:space="preserve"> sufficient host DNA within the four dental calculus samples to </w:t>
      </w:r>
      <w:r w:rsidR="0041408D">
        <w:rPr>
          <w:sz w:val="24"/>
          <w:szCs w:val="24"/>
        </w:rPr>
        <w:t xml:space="preserve">determine ancestry. </w:t>
      </w:r>
      <w:r w:rsidR="00B81FE7">
        <w:rPr>
          <w:sz w:val="24"/>
          <w:szCs w:val="24"/>
        </w:rPr>
        <w:t>The four individuals within this current study represent two Classic period sites</w:t>
      </w:r>
      <w:r w:rsidR="00EC0669">
        <w:rPr>
          <w:sz w:val="24"/>
          <w:szCs w:val="24"/>
        </w:rPr>
        <w:t xml:space="preserve">—three </w:t>
      </w:r>
      <w:r w:rsidR="00211325">
        <w:rPr>
          <w:sz w:val="24"/>
          <w:szCs w:val="24"/>
        </w:rPr>
        <w:t xml:space="preserve">individuals from </w:t>
      </w:r>
      <w:r w:rsidR="00EC0669">
        <w:rPr>
          <w:sz w:val="24"/>
          <w:szCs w:val="24"/>
        </w:rPr>
        <w:t xml:space="preserve">burial 5 </w:t>
      </w:r>
      <w:r w:rsidR="00211325">
        <w:rPr>
          <w:sz w:val="24"/>
          <w:szCs w:val="24"/>
        </w:rPr>
        <w:t xml:space="preserve">of the Moon Pyramid </w:t>
      </w:r>
      <w:r w:rsidR="00DA6B5B">
        <w:rPr>
          <w:sz w:val="24"/>
          <w:szCs w:val="24"/>
        </w:rPr>
        <w:t xml:space="preserve">(PPL) </w:t>
      </w:r>
      <w:r w:rsidR="00211325">
        <w:rPr>
          <w:sz w:val="24"/>
          <w:szCs w:val="24"/>
        </w:rPr>
        <w:t>and</w:t>
      </w:r>
      <w:r w:rsidR="00EC0669">
        <w:rPr>
          <w:sz w:val="24"/>
          <w:szCs w:val="24"/>
        </w:rPr>
        <w:t xml:space="preserve"> one individual from </w:t>
      </w:r>
      <w:r w:rsidR="00DA6B5B">
        <w:rPr>
          <w:sz w:val="24"/>
          <w:szCs w:val="24"/>
        </w:rPr>
        <w:t xml:space="preserve">Front </w:t>
      </w:r>
      <w:r w:rsidR="0089760F">
        <w:rPr>
          <w:sz w:val="24"/>
          <w:szCs w:val="24"/>
        </w:rPr>
        <w:t>A</w:t>
      </w:r>
      <w:r w:rsidR="00DA6B5B">
        <w:rPr>
          <w:sz w:val="24"/>
          <w:szCs w:val="24"/>
        </w:rPr>
        <w:t xml:space="preserve"> of </w:t>
      </w:r>
      <w:r w:rsidR="00EC0669">
        <w:rPr>
          <w:sz w:val="24"/>
          <w:szCs w:val="24"/>
        </w:rPr>
        <w:t>the P</w:t>
      </w:r>
      <w:r w:rsidR="00211325">
        <w:rPr>
          <w:sz w:val="24"/>
          <w:szCs w:val="24"/>
        </w:rPr>
        <w:t xml:space="preserve">roject </w:t>
      </w:r>
      <w:r w:rsidR="00EC0669">
        <w:rPr>
          <w:sz w:val="24"/>
          <w:szCs w:val="24"/>
        </w:rPr>
        <w:t>P</w:t>
      </w:r>
      <w:r w:rsidR="00211325">
        <w:rPr>
          <w:sz w:val="24"/>
          <w:szCs w:val="24"/>
        </w:rPr>
        <w:t xml:space="preserve">laza of the </w:t>
      </w:r>
      <w:r w:rsidR="00EC0669">
        <w:rPr>
          <w:sz w:val="24"/>
          <w:szCs w:val="24"/>
        </w:rPr>
        <w:t>C</w:t>
      </w:r>
      <w:r w:rsidR="00211325">
        <w:rPr>
          <w:sz w:val="24"/>
          <w:szCs w:val="24"/>
        </w:rPr>
        <w:t xml:space="preserve">olumns </w:t>
      </w:r>
      <w:r w:rsidR="00EC0669">
        <w:rPr>
          <w:sz w:val="24"/>
          <w:szCs w:val="24"/>
        </w:rPr>
        <w:t>C</w:t>
      </w:r>
      <w:r w:rsidR="00211325">
        <w:rPr>
          <w:sz w:val="24"/>
          <w:szCs w:val="24"/>
        </w:rPr>
        <w:t>omplex (PPCC</w:t>
      </w:r>
      <w:r w:rsidR="00B81FE7">
        <w:rPr>
          <w:sz w:val="24"/>
          <w:szCs w:val="24"/>
        </w:rPr>
        <w:t>).</w:t>
      </w:r>
      <w:r w:rsidR="002C0FEB">
        <w:rPr>
          <w:sz w:val="24"/>
          <w:szCs w:val="24"/>
        </w:rPr>
        <w:t xml:space="preserve"> </w:t>
      </w:r>
      <w:r w:rsidR="00F21EA4">
        <w:rPr>
          <w:sz w:val="24"/>
          <w:szCs w:val="24"/>
        </w:rPr>
        <w:t xml:space="preserve">The contexts of these four samples suggest connections with Maya populations. This led the archaeologists at the site to become interested in evaluating the possibility of reconstructing their ancestry. However, first the DNA preservation was evaluated to assess the viability of further work. </w:t>
      </w:r>
      <w:r w:rsidR="00B525C5">
        <w:rPr>
          <w:sz w:val="24"/>
          <w:szCs w:val="24"/>
        </w:rPr>
        <w:t xml:space="preserve">The DNA preservation of the Teotihuacan samples was </w:t>
      </w:r>
      <w:r w:rsidR="00727FC8">
        <w:rPr>
          <w:sz w:val="24"/>
          <w:szCs w:val="24"/>
        </w:rPr>
        <w:t>determined</w:t>
      </w:r>
      <w:r w:rsidR="00B525C5">
        <w:rPr>
          <w:sz w:val="24"/>
          <w:szCs w:val="24"/>
        </w:rPr>
        <w:t xml:space="preserve"> using </w:t>
      </w:r>
      <w:r w:rsidR="00746AFD">
        <w:rPr>
          <w:sz w:val="24"/>
          <w:szCs w:val="24"/>
        </w:rPr>
        <w:t>four</w:t>
      </w:r>
      <w:r w:rsidR="00B525C5">
        <w:rPr>
          <w:sz w:val="24"/>
          <w:szCs w:val="24"/>
        </w:rPr>
        <w:t xml:space="preserve"> main measures: (1) microbial composition and abundance, (2)</w:t>
      </w:r>
      <w:r w:rsidR="0041408D">
        <w:rPr>
          <w:sz w:val="24"/>
          <w:szCs w:val="24"/>
        </w:rPr>
        <w:t xml:space="preserve"> microbial</w:t>
      </w:r>
      <w:r w:rsidR="00B525C5">
        <w:rPr>
          <w:sz w:val="24"/>
          <w:szCs w:val="24"/>
        </w:rPr>
        <w:t xml:space="preserve"> DNA damage </w:t>
      </w:r>
      <w:r w:rsidR="00727FC8">
        <w:rPr>
          <w:sz w:val="24"/>
          <w:szCs w:val="24"/>
        </w:rPr>
        <w:t xml:space="preserve">and fragmentation </w:t>
      </w:r>
      <w:r w:rsidR="00B525C5">
        <w:rPr>
          <w:sz w:val="24"/>
          <w:szCs w:val="24"/>
        </w:rPr>
        <w:t>patterns</w:t>
      </w:r>
      <w:r w:rsidR="0041408D">
        <w:rPr>
          <w:sz w:val="24"/>
          <w:szCs w:val="24"/>
        </w:rPr>
        <w:t>, (3) human DNA content, and (4) human DNA damage and fragmentation patterns</w:t>
      </w:r>
      <w:r w:rsidR="00B525C5">
        <w:rPr>
          <w:sz w:val="24"/>
          <w:szCs w:val="24"/>
        </w:rPr>
        <w:t>. The results indicate that the microbial profiles of the PPCC sample retained a robust signal of the human oral microbiome, whereas the PPL samples yielded soil and skin signatur</w:t>
      </w:r>
      <w:r w:rsidR="00727FC8">
        <w:rPr>
          <w:sz w:val="24"/>
          <w:szCs w:val="24"/>
        </w:rPr>
        <w:t>es</w:t>
      </w:r>
      <w:r w:rsidR="00B525C5">
        <w:rPr>
          <w:sz w:val="24"/>
          <w:szCs w:val="24"/>
        </w:rPr>
        <w:t xml:space="preserve">. </w:t>
      </w:r>
      <w:r w:rsidR="00935AA6">
        <w:rPr>
          <w:sz w:val="24"/>
          <w:szCs w:val="24"/>
        </w:rPr>
        <w:t xml:space="preserve">Although a considerable amount of human DNA was found in the PPL samples, </w:t>
      </w:r>
      <w:r w:rsidR="00935AA6">
        <w:rPr>
          <w:sz w:val="24"/>
          <w:szCs w:val="24"/>
        </w:rPr>
        <w:lastRenderedPageBreak/>
        <w:t xml:space="preserve">findings from MapDamage and fragmentation analyses indicate that they are modern contaminants. </w:t>
      </w:r>
      <w:r w:rsidR="00DC255B">
        <w:rPr>
          <w:sz w:val="24"/>
          <w:szCs w:val="24"/>
        </w:rPr>
        <w:t>Thus, the results of this study strongly indicate that the microbial and human DNA in the PPCC sample preserved better than the PPL samples.</w:t>
      </w:r>
    </w:p>
    <w:p w14:paraId="03DAC6D8" w14:textId="77777777" w:rsidR="00F21EA4" w:rsidRDefault="00F21EA4">
      <w:pPr>
        <w:rPr>
          <w:sz w:val="24"/>
          <w:szCs w:val="24"/>
        </w:rPr>
      </w:pPr>
      <w:r>
        <w:rPr>
          <w:sz w:val="24"/>
          <w:szCs w:val="24"/>
        </w:rPr>
        <w:br w:type="page"/>
      </w:r>
    </w:p>
    <w:p w14:paraId="3762FF0B" w14:textId="6CF22920" w:rsidR="00EC0669" w:rsidRDefault="00EC0669" w:rsidP="00EC0669">
      <w:pPr>
        <w:rPr>
          <w:sz w:val="24"/>
          <w:szCs w:val="24"/>
        </w:rPr>
      </w:pPr>
      <w:r>
        <w:rPr>
          <w:noProof/>
        </w:rPr>
        <w:lastRenderedPageBreak/>
        <w:drawing>
          <wp:inline distT="0" distB="0" distL="0" distR="0" wp14:anchorId="058EE053" wp14:editId="55408128">
            <wp:extent cx="5337214" cy="3216210"/>
            <wp:effectExtent l="0" t="0" r="0" b="381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96DAC541-7B7A-43D3-8B79-37D633B846F1}">
                          <asvg:svgBlip xmlns:asvg="http://schemas.microsoft.com/office/drawing/2016/SVG/main" r:embed="rId13"/>
                        </a:ext>
                      </a:extLst>
                    </a:blip>
                    <a:srcRect l="7261" t="15560" r="11098" b="10645"/>
                    <a:stretch/>
                  </pic:blipFill>
                  <pic:spPr bwMode="auto">
                    <a:xfrm>
                      <a:off x="0" y="0"/>
                      <a:ext cx="5360618" cy="3230313"/>
                    </a:xfrm>
                    <a:prstGeom prst="rect">
                      <a:avLst/>
                    </a:prstGeom>
                    <a:ln>
                      <a:noFill/>
                    </a:ln>
                    <a:extLst>
                      <a:ext uri="{53640926-AAD7-44D8-BBD7-CCE9431645EC}">
                        <a14:shadowObscured xmlns:a14="http://schemas.microsoft.com/office/drawing/2010/main"/>
                      </a:ext>
                    </a:extLst>
                  </pic:spPr>
                </pic:pic>
              </a:graphicData>
            </a:graphic>
          </wp:inline>
        </w:drawing>
      </w:r>
    </w:p>
    <w:p w14:paraId="15F124AF" w14:textId="442325DC" w:rsidR="00951A4F" w:rsidRDefault="00EC0669" w:rsidP="00211325">
      <w:pPr>
        <w:pStyle w:val="Caption"/>
        <w:rPr>
          <w:i w:val="0"/>
          <w:color w:val="auto"/>
          <w:sz w:val="24"/>
          <w:szCs w:val="24"/>
        </w:rPr>
      </w:pPr>
      <w:r w:rsidRPr="000016AD">
        <w:rPr>
          <w:b/>
          <w:i w:val="0"/>
          <w:color w:val="auto"/>
          <w:sz w:val="24"/>
          <w:szCs w:val="24"/>
        </w:rPr>
        <w:t xml:space="preserve">Figure </w:t>
      </w:r>
      <w:r w:rsidRPr="000016AD">
        <w:rPr>
          <w:b/>
          <w:i w:val="0"/>
          <w:color w:val="auto"/>
          <w:sz w:val="24"/>
          <w:szCs w:val="24"/>
        </w:rPr>
        <w:fldChar w:fldCharType="begin"/>
      </w:r>
      <w:r w:rsidRPr="000016AD">
        <w:rPr>
          <w:b/>
          <w:i w:val="0"/>
          <w:color w:val="auto"/>
          <w:sz w:val="24"/>
          <w:szCs w:val="24"/>
        </w:rPr>
        <w:instrText xml:space="preserve"> SEQ Figure \* ARABIC </w:instrText>
      </w:r>
      <w:r w:rsidRPr="000016AD">
        <w:rPr>
          <w:b/>
          <w:i w:val="0"/>
          <w:color w:val="auto"/>
          <w:sz w:val="24"/>
          <w:szCs w:val="24"/>
        </w:rPr>
        <w:fldChar w:fldCharType="separate"/>
      </w:r>
      <w:r w:rsidR="00961531">
        <w:rPr>
          <w:b/>
          <w:i w:val="0"/>
          <w:noProof/>
          <w:color w:val="auto"/>
          <w:sz w:val="24"/>
          <w:szCs w:val="24"/>
        </w:rPr>
        <w:t>1</w:t>
      </w:r>
      <w:r w:rsidRPr="000016AD">
        <w:rPr>
          <w:b/>
          <w:i w:val="0"/>
          <w:color w:val="auto"/>
          <w:sz w:val="24"/>
          <w:szCs w:val="24"/>
        </w:rPr>
        <w:fldChar w:fldCharType="end"/>
      </w:r>
      <w:r w:rsidRPr="000016AD">
        <w:rPr>
          <w:b/>
          <w:i w:val="0"/>
          <w:color w:val="auto"/>
          <w:sz w:val="24"/>
          <w:szCs w:val="24"/>
        </w:rPr>
        <w:t>. Satellite image of Central America</w:t>
      </w:r>
      <w:r>
        <w:rPr>
          <w:i w:val="0"/>
          <w:color w:val="auto"/>
          <w:sz w:val="24"/>
          <w:szCs w:val="24"/>
        </w:rPr>
        <w:t>. Site locations discussed in the text. The figure was generated with ArcGIS 10.4 software (</w:t>
      </w:r>
      <w:hyperlink r:id="rId14" w:history="1">
        <w:r w:rsidRPr="009E53EC">
          <w:rPr>
            <w:rStyle w:val="Hyperlink"/>
            <w:i w:val="0"/>
            <w:sz w:val="24"/>
            <w:szCs w:val="24"/>
          </w:rPr>
          <w:t>http://www.esri.com/software/arcgis</w:t>
        </w:r>
      </w:hyperlink>
      <w:r>
        <w:rPr>
          <w:i w:val="0"/>
          <w:color w:val="auto"/>
          <w:sz w:val="24"/>
          <w:szCs w:val="24"/>
        </w:rPr>
        <w:t xml:space="preserve">). Service layer credits Imagery. I acknowledge the use of satellite and aerial imagery from the USGS. </w:t>
      </w:r>
    </w:p>
    <w:p w14:paraId="0467773F" w14:textId="77777777" w:rsidR="00951A4F" w:rsidRDefault="00951A4F" w:rsidP="00951A4F">
      <w:pPr>
        <w:rPr>
          <w:i/>
          <w:sz w:val="24"/>
          <w:szCs w:val="24"/>
        </w:rPr>
      </w:pPr>
    </w:p>
    <w:p w14:paraId="5D307D79" w14:textId="77777777" w:rsidR="00951A4F" w:rsidRDefault="00951A4F" w:rsidP="00951A4F">
      <w:pPr>
        <w:rPr>
          <w:i/>
          <w:sz w:val="24"/>
          <w:szCs w:val="24"/>
        </w:rPr>
      </w:pPr>
    </w:p>
    <w:p w14:paraId="4A1DAB5E" w14:textId="77777777" w:rsidR="00951A4F" w:rsidRDefault="00951A4F" w:rsidP="00951A4F">
      <w:pPr>
        <w:rPr>
          <w:i/>
          <w:sz w:val="24"/>
          <w:szCs w:val="24"/>
        </w:rPr>
      </w:pPr>
    </w:p>
    <w:p w14:paraId="72CDAC23" w14:textId="284A6BFE" w:rsidR="00A55000" w:rsidRPr="00951A4F" w:rsidRDefault="00951A4F" w:rsidP="00951A4F">
      <w:pPr>
        <w:rPr>
          <w:iCs/>
          <w:sz w:val="24"/>
          <w:szCs w:val="24"/>
        </w:rPr>
      </w:pPr>
      <w:r>
        <w:rPr>
          <w:i/>
          <w:sz w:val="24"/>
          <w:szCs w:val="24"/>
        </w:rPr>
        <w:br w:type="page"/>
      </w:r>
    </w:p>
    <w:p w14:paraId="69C9C31A" w14:textId="59E3DF0F" w:rsidR="00EC0669" w:rsidRPr="00C21A2F" w:rsidRDefault="00EC0669" w:rsidP="00C21A2F">
      <w:pPr>
        <w:pStyle w:val="Heading1"/>
        <w:rPr>
          <w:rFonts w:ascii="Times New Roman" w:hAnsi="Times New Roman" w:cs="Times New Roman"/>
          <w:b/>
          <w:color w:val="auto"/>
          <w:sz w:val="28"/>
          <w:szCs w:val="28"/>
        </w:rPr>
      </w:pPr>
      <w:bookmarkStart w:id="13" w:name="_Toc8404625"/>
      <w:r w:rsidRPr="00C21A2F">
        <w:rPr>
          <w:rFonts w:ascii="Times New Roman" w:hAnsi="Times New Roman" w:cs="Times New Roman"/>
          <w:b/>
          <w:color w:val="auto"/>
          <w:sz w:val="28"/>
          <w:szCs w:val="28"/>
        </w:rPr>
        <w:lastRenderedPageBreak/>
        <w:t>Materials</w:t>
      </w:r>
      <w:r w:rsidR="00F659E7" w:rsidRPr="00C21A2F">
        <w:rPr>
          <w:rFonts w:ascii="Times New Roman" w:hAnsi="Times New Roman" w:cs="Times New Roman"/>
          <w:b/>
          <w:color w:val="auto"/>
          <w:sz w:val="28"/>
          <w:szCs w:val="28"/>
        </w:rPr>
        <w:t xml:space="preserve"> and Methods</w:t>
      </w:r>
      <w:bookmarkEnd w:id="13"/>
      <w:r w:rsidRPr="00C21A2F">
        <w:rPr>
          <w:rFonts w:ascii="Times New Roman" w:hAnsi="Times New Roman" w:cs="Times New Roman"/>
          <w:b/>
          <w:color w:val="auto"/>
          <w:sz w:val="28"/>
          <w:szCs w:val="28"/>
        </w:rPr>
        <w:t xml:space="preserve"> </w:t>
      </w:r>
    </w:p>
    <w:p w14:paraId="7C4EB1DB" w14:textId="50D4C184" w:rsidR="00EC0669" w:rsidRPr="00C21A2F" w:rsidRDefault="00F659E7" w:rsidP="00C21A2F">
      <w:pPr>
        <w:pStyle w:val="Heading2"/>
        <w:rPr>
          <w:rFonts w:ascii="Times New Roman" w:hAnsi="Times New Roman" w:cs="Times New Roman"/>
          <w:i/>
          <w:color w:val="auto"/>
          <w:sz w:val="24"/>
          <w:szCs w:val="24"/>
        </w:rPr>
      </w:pPr>
      <w:bookmarkStart w:id="14" w:name="_Toc8404626"/>
      <w:r w:rsidRPr="00C21A2F">
        <w:rPr>
          <w:rFonts w:ascii="Times New Roman" w:hAnsi="Times New Roman" w:cs="Times New Roman"/>
          <w:i/>
          <w:color w:val="auto"/>
          <w:sz w:val="24"/>
          <w:szCs w:val="24"/>
        </w:rPr>
        <w:t>Archaeological site and samples</w:t>
      </w:r>
      <w:bookmarkEnd w:id="14"/>
      <w:r w:rsidR="004A0A8F">
        <w:rPr>
          <w:rFonts w:ascii="Times New Roman" w:hAnsi="Times New Roman" w:cs="Times New Roman"/>
          <w:i/>
          <w:color w:val="auto"/>
          <w:sz w:val="24"/>
          <w:szCs w:val="24"/>
        </w:rPr>
        <w:t xml:space="preserve"> </w:t>
      </w:r>
      <w:r w:rsidR="00EC0669" w:rsidRPr="00C21A2F">
        <w:rPr>
          <w:rFonts w:ascii="Times New Roman" w:hAnsi="Times New Roman" w:cs="Times New Roman"/>
          <w:i/>
          <w:color w:val="auto"/>
          <w:sz w:val="24"/>
          <w:szCs w:val="24"/>
        </w:rPr>
        <w:t xml:space="preserve"> </w:t>
      </w:r>
    </w:p>
    <w:p w14:paraId="31033D76" w14:textId="375EC2C4" w:rsidR="00EC0669" w:rsidRPr="00F21EA4" w:rsidRDefault="00EC0669" w:rsidP="00F21EA4">
      <w:pPr>
        <w:pStyle w:val="NormalWeb"/>
        <w:spacing w:before="0" w:beforeAutospacing="0" w:after="0" w:afterAutospacing="0" w:line="480" w:lineRule="auto"/>
        <w:ind w:firstLine="720"/>
      </w:pPr>
      <w:r w:rsidRPr="0016617B">
        <w:t xml:space="preserve">Between 1 CE and 650 CE the people of </w:t>
      </w:r>
      <w:r w:rsidR="007E1B4C">
        <w:t>Teotihuacan</w:t>
      </w:r>
      <w:r w:rsidRPr="0016617B">
        <w:t xml:space="preserve"> built ceremonial precincts, monumental pyramids, ornate temples, communal areas, exchange sectors, </w:t>
      </w:r>
      <w:r w:rsidR="004102F2">
        <w:t xml:space="preserve">and </w:t>
      </w:r>
      <w:r w:rsidRPr="0016617B">
        <w:t xml:space="preserve">residential compounds </w:t>
      </w:r>
      <w:r w:rsidRPr="0016617B">
        <w:fldChar w:fldCharType="begin"/>
      </w:r>
      <w:r w:rsidRPr="0016617B">
        <w:instrText xml:space="preserve"> ADDIN ZOTERO_ITEM CSL_CITATION {"citationID":"Mlxvg4QD","properties":{"formattedCitation":"(Price, Manzanilla, and Middleton 2000)","plainCitation":"(Price, Manzanilla, and Middleton 2000)","dontUpdate":true,"noteIndex":0},"citationItems":[{"id":376,"uris":["http://zotero.org/users/4461938/items/KKJP9HUF"],"uri":["http://zotero.org/users/4461938/items/KKJP9HUF"],"itemData":{"id":376,"type":"article-journal","title":"Immigration and the ancient city of Teotihuacan in Mexico: a study using strontium isotope ratios in human bone and teeth","container-title":"Journal of Archaeological Science","page":"903-913","volume":"27","issue":"10","author":[{"family":"Price","given":"T. Douglas"},{"family":"Manzanilla","given":"Linda"},{"family":"Middleton","given":"William D."}],"issued":{"date-parts":[["2000"]]}}}],"schema":"https://github.com/citation-style-language/schema/raw/master/csl-citation.json"} </w:instrText>
      </w:r>
      <w:r w:rsidRPr="0016617B">
        <w:fldChar w:fldCharType="separate"/>
      </w:r>
      <w:r w:rsidRPr="0016617B">
        <w:t>(Price et al. 2000)</w:t>
      </w:r>
      <w:r w:rsidRPr="0016617B">
        <w:fldChar w:fldCharType="end"/>
      </w:r>
      <w:r w:rsidRPr="0016617B">
        <w:t>. Among these structures were the Moon Pyramid and the Plaza of the Columns Complex</w:t>
      </w:r>
      <w:r w:rsidR="00C96938">
        <w:t>, both of which date to the Classic period</w:t>
      </w:r>
      <w:r>
        <w:t xml:space="preserve"> (Figure 2)</w:t>
      </w:r>
      <w:r w:rsidRPr="0016617B">
        <w:t xml:space="preserve">. </w:t>
      </w:r>
      <w:r w:rsidR="00C96938">
        <w:t xml:space="preserve">Dental calculus from several individuals in these two contexts were subsampled </w:t>
      </w:r>
      <w:r w:rsidR="00DA6B5B">
        <w:t>in</w:t>
      </w:r>
      <w:r w:rsidR="00C96938">
        <w:t xml:space="preserve"> July 2017 by Dr. Courtney Hofman. </w:t>
      </w:r>
      <w:r w:rsidR="00F659E7">
        <w:t xml:space="preserve">The Moon Pyramid samples (n=3) were excavated during the 1998-2004 field seasons </w:t>
      </w:r>
      <w:r w:rsidR="00F659E7">
        <w:fldChar w:fldCharType="begin"/>
      </w:r>
      <w:r w:rsidR="00F659E7">
        <w:instrText xml:space="preserve"> ADDIN ZOTERO_ITEM CSL_CITATION {"citationID":"Txz0mKG9","properties":{"formattedCitation":"(Sugiyama and Castro, 2007)","plainCitation":"(Sugiyama and Castro, 2007)","noteIndex":0},"citationItems":[{"id":393,"uris":["http://zotero.org/users/4461938/items/I7RZIJXK"],"uri":["http://zotero.org/users/4461938/items/I7RZIJXK"],"itemData":{"id":393,"type":"article-journal","title":"The Moon Pyramid project and the Teotihuacan state polity: A brief summary of the 1998–2004 excavations","container-title":"Ancient Mesoamerica","page":"109-125","volume":"18","issue":"1","author":[{"family":"Sugiyama","given":"Saburo"},{"family":"Castro","given":"Rubén Cabrera"}],"issued":{"date-parts":[["2007"]]}}}],"schema":"https://github.com/citation-style-language/schema/raw/master/csl-citation.json"} </w:instrText>
      </w:r>
      <w:r w:rsidR="00F659E7">
        <w:fldChar w:fldCharType="separate"/>
      </w:r>
      <w:r w:rsidR="00F659E7" w:rsidRPr="00EC0669">
        <w:t>(Sugiyama and Castro, 2007)</w:t>
      </w:r>
      <w:r w:rsidR="00F659E7">
        <w:fldChar w:fldCharType="end"/>
      </w:r>
      <w:r w:rsidR="00F659E7">
        <w:t xml:space="preserve"> while the Plaza of the Columns sample (n=1) was excavated during the 2017 season </w:t>
      </w:r>
      <w:r w:rsidR="00F659E7">
        <w:fldChar w:fldCharType="begin"/>
      </w:r>
      <w:r w:rsidR="00F659E7">
        <w:instrText xml:space="preserve"> ADDIN ZOTERO_ITEM CSL_CITATION {"citationID":"VNT9awTr","properties":{"formattedCitation":"(Carballo et al., 2018)","plainCitation":"(Carballo et al., 2018)","noteIndex":0},"citationItems":[{"id":874,"uris":["http://zotero.org/users/4461938/items/MX2A8IRL"],"uri":["http://zotero.org/users/4461938/items/MX2A8IRL"],"itemData":{"id":874,"type":"paper-conference","title":"Activity Areas and Political Economy at Teotihuacan's Plaza of the Columns: Investigations in Front E","publisher-place":"Washington D.C.","event":"82nd Annual Meeting of the Society for American Archaeology 2018 Conference","event-place":"Washington D.C.","note":"tDAR id: 444883","author":[{"family":"Carballo","given":"David"},{"family":"Sarinana","given":"Daniela Hernandez"},{"family":"Codlin","given":"Maria"},{"family":"Buckley","given":"Gina"},{"family":"Hernandez","given":"Jorge Ortiz"}],"issued":{"date-parts":[["2018"]]}}}],"schema":"https://github.com/citation-style-language/schema/raw/master/csl-citation.json"} </w:instrText>
      </w:r>
      <w:r w:rsidR="00F659E7">
        <w:fldChar w:fldCharType="separate"/>
      </w:r>
      <w:r w:rsidR="00F659E7" w:rsidRPr="00F659E7">
        <w:t>(Carballo et al., 2018)</w:t>
      </w:r>
      <w:r w:rsidR="00F659E7">
        <w:fldChar w:fldCharType="end"/>
      </w:r>
      <w:r w:rsidR="00F659E7">
        <w:t>. Both structures served as ceremonial precinct</w:t>
      </w:r>
      <w:r w:rsidR="0047251A">
        <w:t>s—the Moon Pyramid was a venue for religious events while the Plaza of the Columns was a</w:t>
      </w:r>
      <w:r w:rsidR="007F1002">
        <w:t>n administrative structure</w:t>
      </w:r>
      <w:r w:rsidR="004102F2">
        <w:t xml:space="preserve"> </w:t>
      </w:r>
      <w:r w:rsidR="004102F2">
        <w:fldChar w:fldCharType="begin"/>
      </w:r>
      <w:r w:rsidR="004102F2">
        <w:instrText xml:space="preserve"> ADDIN ZOTERO_ITEM CSL_CITATION {"citationID":"ck81cLWV","properties":{"formattedCitation":"(Carballo et al., 2018; Sugiyama and Castro, 2007)","plainCitation":"(Carballo et al., 2018; Sugiyama and Castro, 2007)","noteIndex":0},"citationItems":[{"id":874,"uris":["http://zotero.org/users/4461938/items/MX2A8IRL"],"uri":["http://zotero.org/users/4461938/items/MX2A8IRL"],"itemData":{"id":874,"type":"paper-conference","title":"Activity Areas and Political Economy at Teotihuacan's Plaza of the Columns: Investigations in Front E","publisher-place":"Washington D.C.","event":"82nd Annual Meeting of the Society for American Archaeology 2018 Conference","event-place":"Washington D.C.","note":"tDAR id: 444883","author":[{"family":"Carballo","given":"David"},{"family":"Sarinana","given":"Daniela Hernandez"},{"family":"Codlin","given":"Maria"},{"family":"Buckley","given":"Gina"},{"family":"Hernandez","given":"Jorge Ortiz"}],"issued":{"date-parts":[["2018"]]}}},{"id":393,"uris":["http://zotero.org/users/4461938/items/I7RZIJXK"],"uri":["http://zotero.org/users/4461938/items/I7RZIJXK"],"itemData":{"id":393,"type":"article-journal","title":"The Moon Pyramid project and the Teotihuacan state polity: A brief summary of the 1998–2004 excavations","container-title":"Ancient Mesoamerica","page":"109-125","volume":"18","issue":"1","author":[{"family":"Sugiyama","given":"Saburo"},{"family":"Castro","given":"Rubén Cabrera"}],"issued":{"date-parts":[["2007"]]}}}],"schema":"https://github.com/citation-style-language/schema/raw/master/csl-citation.json"} </w:instrText>
      </w:r>
      <w:r w:rsidR="004102F2">
        <w:fldChar w:fldCharType="separate"/>
      </w:r>
      <w:r w:rsidR="004102F2" w:rsidRPr="004102F2">
        <w:t>(Carballo et al., 2018; Sugiyama and Castro, 2007)</w:t>
      </w:r>
      <w:r w:rsidR="004102F2">
        <w:fldChar w:fldCharType="end"/>
      </w:r>
      <w:r w:rsidR="0047251A">
        <w:t>.</w:t>
      </w:r>
      <w:r w:rsidR="004A0A8F">
        <w:t xml:space="preserve"> </w:t>
      </w:r>
      <w:r w:rsidR="00F659E7">
        <w:t xml:space="preserve"> </w:t>
      </w:r>
      <w:r w:rsidR="007C7D40">
        <w:rPr>
          <w:noProof/>
        </w:rPr>
        <mc:AlternateContent>
          <mc:Choice Requires="wps">
            <w:drawing>
              <wp:anchor distT="0" distB="0" distL="114300" distR="114300" simplePos="0" relativeHeight="251665408" behindDoc="0" locked="0" layoutInCell="1" allowOverlap="1" wp14:anchorId="4288FC51" wp14:editId="5AFB5A33">
                <wp:simplePos x="0" y="0"/>
                <wp:positionH relativeFrom="column">
                  <wp:posOffset>2971800</wp:posOffset>
                </wp:positionH>
                <wp:positionV relativeFrom="paragraph">
                  <wp:posOffset>1272540</wp:posOffset>
                </wp:positionV>
                <wp:extent cx="1348740" cy="5715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348740" cy="571500"/>
                        </a:xfrm>
                        <a:prstGeom prst="rect">
                          <a:avLst/>
                        </a:prstGeom>
                        <a:noFill/>
                        <a:ln w="6350">
                          <a:noFill/>
                        </a:ln>
                      </wps:spPr>
                      <wps:txbx>
                        <w:txbxContent>
                          <w:p w14:paraId="00CD11EB" w14:textId="04DEDBFE" w:rsidR="00DE6C97" w:rsidRPr="007C7D40" w:rsidRDefault="00DE6C97" w:rsidP="007C7D40">
                            <w:pPr>
                              <w:rPr>
                                <w:b/>
                                <w:color w:val="FFFFFF" w:themeColor="background1"/>
                                <w:sz w:val="24"/>
                                <w:szCs w:val="24"/>
                              </w:rPr>
                            </w:pPr>
                            <w:r>
                              <w:rPr>
                                <w:b/>
                                <w:color w:val="FFFFFF" w:themeColor="background1"/>
                                <w:sz w:val="24"/>
                                <w:szCs w:val="24"/>
                              </w:rPr>
                              <w:t>AVENUE OF THE DEAD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8FC51" id="_x0000_t202" coordsize="21600,21600" o:spt="202" path="m,l,21600r21600,l21600,xe">
                <v:stroke joinstyle="miter"/>
                <v:path gradientshapeok="t" o:connecttype="rect"/>
              </v:shapetype>
              <v:shape id="Text Box 17" o:spid="_x0000_s1026" type="#_x0000_t202" style="position:absolute;left:0;text-align:left;margin-left:234pt;margin-top:100.2pt;width:10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" filled="f" stroked="f" strokeweight=".5pt">
                <v:textbox>
                  <w:txbxContent>
                    <w:p w14:paraId="00CD11EB" w14:textId="04DEDBFE" w:rsidR="00DE6C97" w:rsidRPr="007C7D40" w:rsidRDefault="00DE6C97" w:rsidP="007C7D40">
                      <w:pPr>
                        <w:rPr>
                          <w:b/>
                          <w:color w:val="FFFFFF" w:themeColor="background1"/>
                          <w:sz w:val="24"/>
                          <w:szCs w:val="24"/>
                        </w:rPr>
                      </w:pPr>
                      <w:r>
                        <w:rPr>
                          <w:b/>
                          <w:color w:val="FFFFFF" w:themeColor="background1"/>
                          <w:sz w:val="24"/>
                          <w:szCs w:val="24"/>
                        </w:rPr>
                        <w:t>AVENUE OF THE DEAD</w:t>
                      </w:r>
                    </w:p>
                  </w:txbxContent>
                </v:textbox>
              </v:shape>
            </w:pict>
          </mc:Fallback>
        </mc:AlternateContent>
      </w:r>
      <w:r w:rsidR="007C7D40">
        <w:rPr>
          <w:noProof/>
        </w:rPr>
        <mc:AlternateContent>
          <mc:Choice Requires="wps">
            <w:drawing>
              <wp:anchor distT="0" distB="0" distL="114300" distR="114300" simplePos="0" relativeHeight="251663360" behindDoc="0" locked="0" layoutInCell="1" allowOverlap="1" wp14:anchorId="6E3DF162" wp14:editId="4C269867">
                <wp:simplePos x="0" y="0"/>
                <wp:positionH relativeFrom="column">
                  <wp:posOffset>3352800</wp:posOffset>
                </wp:positionH>
                <wp:positionV relativeFrom="paragraph">
                  <wp:posOffset>2613660</wp:posOffset>
                </wp:positionV>
                <wp:extent cx="1348740" cy="2667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348740" cy="266700"/>
                        </a:xfrm>
                        <a:prstGeom prst="rect">
                          <a:avLst/>
                        </a:prstGeom>
                        <a:noFill/>
                        <a:ln w="6350">
                          <a:noFill/>
                        </a:ln>
                      </wps:spPr>
                      <wps:txbx>
                        <w:txbxContent>
                          <w:p w14:paraId="0AD3D8A7" w14:textId="63414B64" w:rsidR="00DE6C97" w:rsidRPr="007C7D40" w:rsidRDefault="00DE6C97" w:rsidP="007C7D40">
                            <w:pPr>
                              <w:rPr>
                                <w:b/>
                                <w:color w:val="FFFFFF" w:themeColor="background1"/>
                                <w:sz w:val="24"/>
                                <w:szCs w:val="24"/>
                              </w:rPr>
                            </w:pPr>
                            <w:r>
                              <w:rPr>
                                <w:b/>
                                <w:color w:val="FFFFFF" w:themeColor="background1"/>
                                <w:sz w:val="24"/>
                                <w:szCs w:val="24"/>
                              </w:rPr>
                              <w:t>SUN PYRAMID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DF162" id="Text Box 15" o:spid="_x0000_s1027" type="#_x0000_t202" style="position:absolute;left:0;text-align:left;margin-left:264pt;margin-top:205.8pt;width:106.2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" filled="f" stroked="f" strokeweight=".5pt">
                <v:textbox>
                  <w:txbxContent>
                    <w:p w14:paraId="0AD3D8A7" w14:textId="63414B64" w:rsidR="00DE6C97" w:rsidRPr="007C7D40" w:rsidRDefault="00DE6C97" w:rsidP="007C7D40">
                      <w:pPr>
                        <w:rPr>
                          <w:b/>
                          <w:color w:val="FFFFFF" w:themeColor="background1"/>
                          <w:sz w:val="24"/>
                          <w:szCs w:val="24"/>
                        </w:rPr>
                      </w:pPr>
                      <w:r>
                        <w:rPr>
                          <w:b/>
                          <w:color w:val="FFFFFF" w:themeColor="background1"/>
                          <w:sz w:val="24"/>
                          <w:szCs w:val="24"/>
                        </w:rPr>
                        <w:t>SUN PYRAMID</w:t>
                      </w:r>
                    </w:p>
                  </w:txbxContent>
                </v:textbox>
              </v:shape>
            </w:pict>
          </mc:Fallback>
        </mc:AlternateContent>
      </w:r>
      <w:r w:rsidR="007C7D40">
        <w:rPr>
          <w:noProof/>
        </w:rPr>
        <mc:AlternateContent>
          <mc:Choice Requires="wps">
            <w:drawing>
              <wp:anchor distT="0" distB="0" distL="114300" distR="114300" simplePos="0" relativeHeight="251661312" behindDoc="0" locked="0" layoutInCell="1" allowOverlap="1" wp14:anchorId="101A1BD8" wp14:editId="29F8F0DE">
                <wp:simplePos x="0" y="0"/>
                <wp:positionH relativeFrom="column">
                  <wp:posOffset>1501140</wp:posOffset>
                </wp:positionH>
                <wp:positionV relativeFrom="paragraph">
                  <wp:posOffset>1866900</wp:posOffset>
                </wp:positionV>
                <wp:extent cx="1348740" cy="5638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1348740" cy="563880"/>
                        </a:xfrm>
                        <a:prstGeom prst="rect">
                          <a:avLst/>
                        </a:prstGeom>
                        <a:noFill/>
                        <a:ln w="6350">
                          <a:noFill/>
                        </a:ln>
                      </wps:spPr>
                      <wps:txbx>
                        <w:txbxContent>
                          <w:p w14:paraId="4AE01D49" w14:textId="006E4302" w:rsidR="00DE6C97" w:rsidRPr="007C7D40" w:rsidRDefault="00DE6C97" w:rsidP="007C7D40">
                            <w:pPr>
                              <w:rPr>
                                <w:b/>
                                <w:color w:val="FFFFFF" w:themeColor="background1"/>
                                <w:sz w:val="24"/>
                                <w:szCs w:val="24"/>
                              </w:rPr>
                            </w:pPr>
                            <w:r>
                              <w:rPr>
                                <w:b/>
                                <w:color w:val="FFFFFF" w:themeColor="background1"/>
                                <w:sz w:val="24"/>
                                <w:szCs w:val="24"/>
                              </w:rPr>
                              <w:t>PLAZA OF THE COLUMNS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A1BD8" id="Text Box 14" o:spid="_x0000_s1028" type="#_x0000_t202" style="position:absolute;left:0;text-align:left;margin-left:118.2pt;margin-top:147pt;width:106.2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" filled="f" stroked="f" strokeweight=".5pt">
                <v:textbox>
                  <w:txbxContent>
                    <w:p w14:paraId="4AE01D49" w14:textId="006E4302" w:rsidR="00DE6C97" w:rsidRPr="007C7D40" w:rsidRDefault="00DE6C97" w:rsidP="007C7D40">
                      <w:pPr>
                        <w:rPr>
                          <w:b/>
                          <w:color w:val="FFFFFF" w:themeColor="background1"/>
                          <w:sz w:val="24"/>
                          <w:szCs w:val="24"/>
                        </w:rPr>
                      </w:pPr>
                      <w:r>
                        <w:rPr>
                          <w:b/>
                          <w:color w:val="FFFFFF" w:themeColor="background1"/>
                          <w:sz w:val="24"/>
                          <w:szCs w:val="24"/>
                        </w:rPr>
                        <w:t>PLAZA OF THE COLUMNS</w:t>
                      </w:r>
                    </w:p>
                  </w:txbxContent>
                </v:textbox>
              </v:shape>
            </w:pict>
          </mc:Fallback>
        </mc:AlternateContent>
      </w:r>
      <w:r w:rsidR="007C7D40">
        <w:rPr>
          <w:noProof/>
        </w:rPr>
        <mc:AlternateContent>
          <mc:Choice Requires="wps">
            <w:drawing>
              <wp:anchor distT="0" distB="0" distL="114300" distR="114300" simplePos="0" relativeHeight="251659264" behindDoc="0" locked="0" layoutInCell="1" allowOverlap="1" wp14:anchorId="195E774C" wp14:editId="2BA27B42">
                <wp:simplePos x="0" y="0"/>
                <wp:positionH relativeFrom="column">
                  <wp:posOffset>3299460</wp:posOffset>
                </wp:positionH>
                <wp:positionV relativeFrom="paragraph">
                  <wp:posOffset>281940</wp:posOffset>
                </wp:positionV>
                <wp:extent cx="914400" cy="2362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14400" cy="236220"/>
                        </a:xfrm>
                        <a:prstGeom prst="rect">
                          <a:avLst/>
                        </a:prstGeom>
                        <a:noFill/>
                        <a:ln w="6350">
                          <a:noFill/>
                        </a:ln>
                      </wps:spPr>
                      <wps:txbx>
                        <w:txbxContent>
                          <w:p w14:paraId="781E6936" w14:textId="51663994" w:rsidR="00DE6C97" w:rsidRPr="007C7D40" w:rsidRDefault="00DE6C97">
                            <w:pPr>
                              <w:rPr>
                                <w:b/>
                                <w:color w:val="FFFFFF" w:themeColor="background1"/>
                                <w:sz w:val="24"/>
                                <w:szCs w:val="24"/>
                              </w:rPr>
                            </w:pPr>
                            <w:r w:rsidRPr="007C7D40">
                              <w:rPr>
                                <w:b/>
                                <w:color w:val="FFFFFF" w:themeColor="background1"/>
                                <w:sz w:val="24"/>
                                <w:szCs w:val="24"/>
                              </w:rPr>
                              <w:t>MOON PYRAMID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5E774C" id="Text Box 13" o:spid="_x0000_s1029" type="#_x0000_t202" style="position:absolute;left:0;text-align:left;margin-left:259.8pt;margin-top:22.2pt;width:1in;height:18.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" filled="f" stroked="f" strokeweight=".5pt">
                <v:textbox>
                  <w:txbxContent>
                    <w:p w14:paraId="781E6936" w14:textId="51663994" w:rsidR="00DE6C97" w:rsidRPr="007C7D40" w:rsidRDefault="00DE6C97">
                      <w:pPr>
                        <w:rPr>
                          <w:b/>
                          <w:color w:val="FFFFFF" w:themeColor="background1"/>
                          <w:sz w:val="24"/>
                          <w:szCs w:val="24"/>
                        </w:rPr>
                      </w:pPr>
                      <w:r w:rsidRPr="007C7D40">
                        <w:rPr>
                          <w:b/>
                          <w:color w:val="FFFFFF" w:themeColor="background1"/>
                          <w:sz w:val="24"/>
                          <w:szCs w:val="24"/>
                        </w:rPr>
                        <w:t>MOON PYRAMID</w:t>
                      </w:r>
                    </w:p>
                  </w:txbxContent>
                </v:textbox>
              </v:shape>
            </w:pict>
          </mc:Fallback>
        </mc:AlternateContent>
      </w:r>
      <w:r>
        <w:t xml:space="preserve"> </w:t>
      </w:r>
    </w:p>
    <w:p w14:paraId="6459AABC" w14:textId="13C5C66E" w:rsidR="00EC0669" w:rsidRPr="0016617B" w:rsidRDefault="00B96BC5" w:rsidP="00EC0669">
      <w:pPr>
        <w:spacing w:line="480" w:lineRule="auto"/>
        <w:ind w:firstLine="720"/>
        <w:rPr>
          <w:sz w:val="24"/>
          <w:szCs w:val="24"/>
        </w:rPr>
      </w:pPr>
      <w:r>
        <w:rPr>
          <w:sz w:val="24"/>
          <w:szCs w:val="24"/>
        </w:rPr>
        <w:t xml:space="preserve">Three of the </w:t>
      </w:r>
      <w:r w:rsidR="00CA2562">
        <w:rPr>
          <w:sz w:val="24"/>
          <w:szCs w:val="24"/>
        </w:rPr>
        <w:t xml:space="preserve">four </w:t>
      </w:r>
      <w:r>
        <w:rPr>
          <w:sz w:val="24"/>
          <w:szCs w:val="24"/>
        </w:rPr>
        <w:t xml:space="preserve">dental calculus samples in this study came from burial 5 of the Moon Pyramid. </w:t>
      </w:r>
      <w:r w:rsidR="00EC0669" w:rsidRPr="0016617B">
        <w:rPr>
          <w:sz w:val="24"/>
          <w:szCs w:val="24"/>
        </w:rPr>
        <w:t xml:space="preserve">Archaeologists at the Moon Pyramid unearthed </w:t>
      </w:r>
      <w:r w:rsidR="0047251A">
        <w:rPr>
          <w:sz w:val="24"/>
          <w:szCs w:val="24"/>
        </w:rPr>
        <w:t xml:space="preserve">a </w:t>
      </w:r>
      <w:r w:rsidR="00EC0669" w:rsidRPr="0016617B">
        <w:rPr>
          <w:sz w:val="24"/>
          <w:szCs w:val="24"/>
        </w:rPr>
        <w:t xml:space="preserve">series of earlier versions of the structure, </w:t>
      </w:r>
      <w:r w:rsidR="00F659E7">
        <w:rPr>
          <w:sz w:val="24"/>
          <w:szCs w:val="24"/>
        </w:rPr>
        <w:t>as well as</w:t>
      </w:r>
      <w:r w:rsidR="00EC0669" w:rsidRPr="0016617B">
        <w:rPr>
          <w:sz w:val="24"/>
          <w:szCs w:val="24"/>
        </w:rPr>
        <w:t xml:space="preserve"> burials in the form of ritual offerings </w:t>
      </w:r>
      <w:r w:rsidR="00EC0669" w:rsidRPr="0016617B">
        <w:rPr>
          <w:sz w:val="24"/>
          <w:szCs w:val="24"/>
        </w:rPr>
        <w:fldChar w:fldCharType="begin"/>
      </w:r>
      <w:r w:rsidR="000E3875">
        <w:rPr>
          <w:sz w:val="24"/>
          <w:szCs w:val="24"/>
        </w:rPr>
        <w:instrText xml:space="preserve"> ADDIN ZOTERO_ITEM CSL_CITATION {"citationID":"fwgnt2pl","properties":{"formattedCitation":"(Sugiyama and Luj\\uc0\\u225{}n, 2007)","plainCitation":"(Sugiyama and Luján, 2007)","noteIndex":0},"citationItems":[{"id":787,"uris":["http://zotero.org/users/4461938/items/S9Z8HFJA"],"uri":["http://zotero.org/users/4461938/items/S9Z8HFJA"],"itemData":{"id":787,"type":"article-journal","title":"DEDICATORY BURIAL/OFFERING COMPLEXES AT THE MOON PYRAMID, TEOTIHUACAN: A preliminary report of 1998–2004 explorations","container-title":"Ancient Mesoamerica","page":"127-146","volume":"18","issue":"1","source":"Cambridge Core","abstract":"A series of highly elaborated burial/offering complexes have been discovered recently in association with seven superimposed monumental constructions at the Moon Pyramid. The archaeological contexts excavated during the past seven years indicate that these dedicatory complexes were symbols of a state religious ideology and communicated sociopolitical information on behalf of ruling elites. Rich artifacts made of obsidian, greenstone, shell, pyrite, ceramics, wood, and textile, as well as abundant skeletal remains of sacrificed animals and human beings, stand out in these unusual ritual deposits. Many of the offerings possess strong connotations of warfare and ritual sacrifice. After describing the five burial/offering complexes and discussing their possible function and religious significance, we conclude that, when the expanding Teotihuacan state orchestrated these monumental constructions, the most important ritual paraphernalia was buried in the new enlargement programs to express the ideology of sacred rulership., Las exploraciones del Proyecto Pirámide de la Luna (1998–2004) han permitido comprender cómo fue construido el segundo monumento de mayores dimensiones de la antigua ciudad de Teotihuacan. La excavación sistemática de largos túneles en su interior ha revelado una larga secuencia constructiva, compuesta por siete agrandamientos. Dicha secuencia va desde los modestos inicios de la pirámide, hacia el 100 d.C., hasta el colapso de la ciudad, alrededor del 600 d.C. Las exploraciones también han demostrado que al menos tres de los siete edificios de la pirámide contenían ricos complejos de entierro/ofrenda, los cuales fueron sepultados para consagrar cada nuevo agrandamiento. Hasta la fecha han sido recuperados cinco de estos complejos (entierros 2–6), casi todos integrados por una amplia variedad de artefactos, plantas, animales y seres humanos sacrificados. Los entierros 2, 3, y 4 se encontraron en la base de la pirámide, mientras que los entierros 5 y 6 se detectaron en la cúspide y en el centro de la pirámide, respectivamente. Los análisis antropofísicos practicados hasta ahora a las víctimas sacrificiales señalan una amplísima preferencia por los individuos subadultos o adultos y de origen extranjero. Esto, aunado a las armas, la indumentaria, y los símbolos bélicos que muchas veces estaban asociados a los esqueletos, apunta a que la mayoría de ellos eran militares cautivos. Junto a ellos fueron inhumadas varias decenas de mamíferos carniceros y aves rapaces, animales que suelen estar asociados directamente a la guerra y el sacrificio en la pintura mural, la cerámica y la escultura teotihuacanas. Lo anterior pone de manifiesto la enorme importancia del aparato bélico y de los holocaustos colectivos desde épocas muy tempranas y a todo lo largo de la historia teotihuacana, principalmente en el contexto de una ideología religiosa que sustentaba el poder del estado.","DOI":"10.1017/S0956536107000065","ISSN":"1469-1787, 0956-5361","title-short":"DEDICATORY BURIAL/OFFERING COMPLEXES AT THE MOON PYRAMID, TEOTIHUACAN","language":"en","author":[{"family":"Sugiyama","given":"Saburo"},{"family":"Luján","given":"Leonardo López"}],"issued":{"date-parts":[["2007"]],"season":"ed"}}}],"schema":"https://github.com/citation-style-language/schema/raw/master/csl-citation.json"} </w:instrText>
      </w:r>
      <w:r w:rsidR="00EC0669" w:rsidRPr="0016617B">
        <w:rPr>
          <w:sz w:val="24"/>
          <w:szCs w:val="24"/>
        </w:rPr>
        <w:fldChar w:fldCharType="separate"/>
      </w:r>
      <w:r w:rsidR="00EC0669" w:rsidRPr="00EC0669">
        <w:rPr>
          <w:sz w:val="24"/>
          <w:szCs w:val="24"/>
        </w:rPr>
        <w:t>(Sugiyama and Luján, 2007)</w:t>
      </w:r>
      <w:r w:rsidR="00EC0669" w:rsidRPr="0016617B">
        <w:rPr>
          <w:sz w:val="24"/>
          <w:szCs w:val="24"/>
        </w:rPr>
        <w:fldChar w:fldCharType="end"/>
      </w:r>
      <w:r w:rsidR="00EC0669" w:rsidRPr="0016617B">
        <w:rPr>
          <w:sz w:val="24"/>
          <w:szCs w:val="24"/>
        </w:rPr>
        <w:t xml:space="preserve">. Sugiyama and Luján report six distinct burials, each associated with a different construction phase. </w:t>
      </w:r>
      <w:r w:rsidR="00DA6B5B">
        <w:rPr>
          <w:sz w:val="24"/>
          <w:szCs w:val="24"/>
        </w:rPr>
        <w:t>T</w:t>
      </w:r>
      <w:r w:rsidR="00EC0669" w:rsidRPr="0016617B">
        <w:rPr>
          <w:sz w:val="24"/>
          <w:szCs w:val="24"/>
        </w:rPr>
        <w:t>he archaeological contexts suggest the skeletons in burials 1-4 and 6 were interred as sacrifices, burial 5 remains ambiguous. They report that burial 5 appeared undisturbed from later alteration or looting likely due</w:t>
      </w:r>
      <w:r w:rsidR="00A03991">
        <w:rPr>
          <w:sz w:val="24"/>
          <w:szCs w:val="24"/>
        </w:rPr>
        <w:t xml:space="preserve"> to thick fill</w:t>
      </w:r>
      <w:r w:rsidR="00EC0669" w:rsidRPr="0016617B">
        <w:rPr>
          <w:sz w:val="24"/>
          <w:szCs w:val="24"/>
        </w:rPr>
        <w:t xml:space="preserve">. Burial 5 includes three complete human skeletons </w:t>
      </w:r>
      <w:r w:rsidR="004102F2">
        <w:rPr>
          <w:sz w:val="24"/>
          <w:szCs w:val="24"/>
        </w:rPr>
        <w:t>(</w:t>
      </w:r>
      <w:r w:rsidR="00746AFD">
        <w:rPr>
          <w:sz w:val="24"/>
          <w:szCs w:val="24"/>
        </w:rPr>
        <w:t>PPL 5A</w:t>
      </w:r>
      <w:r w:rsidR="004102F2">
        <w:rPr>
          <w:sz w:val="24"/>
          <w:szCs w:val="24"/>
        </w:rPr>
        <w:t xml:space="preserve">, </w:t>
      </w:r>
      <w:r w:rsidR="00746AFD">
        <w:rPr>
          <w:sz w:val="24"/>
          <w:szCs w:val="24"/>
        </w:rPr>
        <w:t>PPL 5B</w:t>
      </w:r>
      <w:r w:rsidR="004102F2">
        <w:rPr>
          <w:sz w:val="24"/>
          <w:szCs w:val="24"/>
        </w:rPr>
        <w:t xml:space="preserve">, and </w:t>
      </w:r>
      <w:r w:rsidR="00746AFD">
        <w:rPr>
          <w:sz w:val="24"/>
          <w:szCs w:val="24"/>
        </w:rPr>
        <w:t>PPL 5C</w:t>
      </w:r>
      <w:r w:rsidR="004102F2">
        <w:rPr>
          <w:sz w:val="24"/>
          <w:szCs w:val="24"/>
        </w:rPr>
        <w:t xml:space="preserve">) </w:t>
      </w:r>
      <w:r w:rsidR="00EC0669" w:rsidRPr="0016617B">
        <w:rPr>
          <w:sz w:val="24"/>
          <w:szCs w:val="24"/>
        </w:rPr>
        <w:t xml:space="preserve">along with pumas, rattlesnakes, an eagle, and a variety of offerings </w:t>
      </w:r>
      <w:r w:rsidR="00EC0669" w:rsidRPr="0016617B">
        <w:rPr>
          <w:sz w:val="24"/>
          <w:szCs w:val="24"/>
        </w:rPr>
        <w:fldChar w:fldCharType="begin"/>
      </w:r>
      <w:r w:rsidR="000E3875">
        <w:rPr>
          <w:sz w:val="24"/>
          <w:szCs w:val="24"/>
        </w:rPr>
        <w:instrText xml:space="preserve"> ADDIN ZOTERO_ITEM CSL_CITATION {"citationID":"pG9ZJJ8b","properties":{"formattedCitation":"(Sugiyama and Luj\\uc0\\u225{}n, 2007)","plainCitation":"(Sugiyama and Luján, 2007)","noteIndex":0},"citationItems":[{"id":787,"uris":["http://zotero.org/users/4461938/items/S9Z8HFJA"],"uri":["http://zotero.org/users/4461938/items/S9Z8HFJA"],"itemData":{"id":787,"type":"article-journal","title":"DEDICATORY BURIAL/OFFERING COMPLEXES AT THE MOON PYRAMID, TEOTIHUACAN: A preliminary report of 1998–2004 explorations","container-title":"Ancient Mesoamerica","page":"127-146","volume":"18","issue":"1","source":"Cambridge Core","abstract":"A series of highly elaborated burial/offering complexes have been discovered recently in association with seven superimposed monumental constructions at the Moon Pyramid. The archaeological contexts excavated during the past seven years indicate that these dedicatory complexes were symbols of a state religious ideology and communicated sociopolitical information on behalf of ruling elites. Rich artifacts made of obsidian, greenstone, shell, pyrite, ceramics, wood, and textile, as well as abundant skeletal remains of sacrificed animals and human beings, stand out in these unusual ritual deposits. Many of the offerings possess strong connotations of warfare and ritual sacrifice. After describing the five burial/offering complexes and discussing their possible function and religious significance, we conclude that, when the expanding Teotihuacan state orchestrated these monumental constructions, the most important ritual paraphernalia was buried in the new enlargement programs to express the ideology of sacred rulership., Las exploraciones del Proyecto Pirámide de la Luna (1998–2004) han permitido comprender cómo fue construido el segundo monumento de mayores dimensiones de la antigua ciudad de Teotihuacan. La excavación sistemática de largos túneles en su interior ha revelado una larga secuencia constructiva, compuesta por siete agrandamientos. Dicha secuencia va desde los modestos inicios de la pirámide, hacia el 100 d.C., hasta el colapso de la ciudad, alrededor del 600 d.C. Las exploraciones también han demostrado que al menos tres de los siete edificios de la pirámide contenían ricos complejos de entierro/ofrenda, los cuales fueron sepultados para consagrar cada nuevo agrandamiento. Hasta la fecha han sido recuperados cinco de estos complejos (entierros 2–6), casi todos integrados por una amplia variedad de artefactos, plantas, animales y seres humanos sacrificados. Los entierros 2, 3, y 4 se encontraron en la base de la pirámide, mientras que los entierros 5 y 6 se detectaron en la cúspide y en el centro de la pirámide, respectivamente. Los análisis antropofísicos practicados hasta ahora a las víctimas sacrificiales señalan una amplísima preferencia por los individuos subadultos o adultos y de origen extranjero. Esto, aunado a las armas, la indumentaria, y los símbolos bélicos que muchas veces estaban asociados a los esqueletos, apunta a que la mayoría de ellos eran militares cautivos. Junto a ellos fueron inhumadas varias decenas de mamíferos carniceros y aves rapaces, animales que suelen estar asociados directamente a la guerra y el sacrificio en la pintura mural, la cerámica y la escultura teotihuacanas. Lo anterior pone de manifiesto la enorme importancia del aparato bélico y de los holocaustos colectivos desde épocas muy tempranas y a todo lo largo de la historia teotihuacana, principalmente en el contexto de una ideología religiosa que sustentaba el poder del estado.","DOI":"10.1017/S0956536107000065","ISSN":"1469-1787, 0956-5361","title-short":"DEDICATORY BURIAL/OFFERING COMPLEXES AT THE MOON PYRAMID, TEOTIHUACAN","language":"en","author":[{"family":"Sugiyama","given":"Saburo"},{"family":"Luján","given":"Leonardo López"}],"issued":{"date-parts":[["2007"]],"season":"ed"}}}],"schema":"https://github.com/citation-style-language/schema/raw/master/csl-citation.json"} </w:instrText>
      </w:r>
      <w:r w:rsidR="00EC0669" w:rsidRPr="0016617B">
        <w:rPr>
          <w:sz w:val="24"/>
          <w:szCs w:val="24"/>
        </w:rPr>
        <w:fldChar w:fldCharType="separate"/>
      </w:r>
      <w:r w:rsidR="00EC0669" w:rsidRPr="00EC0669">
        <w:rPr>
          <w:sz w:val="24"/>
          <w:szCs w:val="24"/>
        </w:rPr>
        <w:t>(Sugiyama and Luján, 2007)</w:t>
      </w:r>
      <w:r w:rsidR="00EC0669" w:rsidRPr="0016617B">
        <w:rPr>
          <w:sz w:val="24"/>
          <w:szCs w:val="24"/>
        </w:rPr>
        <w:fldChar w:fldCharType="end"/>
      </w:r>
      <w:r w:rsidR="00EC0669" w:rsidRPr="0016617B">
        <w:rPr>
          <w:sz w:val="24"/>
          <w:szCs w:val="24"/>
        </w:rPr>
        <w:t xml:space="preserve">. </w:t>
      </w:r>
    </w:p>
    <w:p w14:paraId="7993458A" w14:textId="49DADB38" w:rsidR="002F0FCF" w:rsidRDefault="00EC0669" w:rsidP="002F0FCF">
      <w:pPr>
        <w:spacing w:line="480" w:lineRule="auto"/>
        <w:ind w:firstLine="720"/>
        <w:rPr>
          <w:sz w:val="24"/>
          <w:szCs w:val="24"/>
        </w:rPr>
      </w:pPr>
      <w:r w:rsidRPr="0016617B">
        <w:rPr>
          <w:sz w:val="24"/>
          <w:szCs w:val="24"/>
        </w:rPr>
        <w:t xml:space="preserve">Each </w:t>
      </w:r>
      <w:r w:rsidR="0041408D">
        <w:rPr>
          <w:sz w:val="24"/>
          <w:szCs w:val="24"/>
        </w:rPr>
        <w:t xml:space="preserve">human remain </w:t>
      </w:r>
      <w:r w:rsidRPr="0016617B">
        <w:rPr>
          <w:sz w:val="24"/>
          <w:szCs w:val="24"/>
        </w:rPr>
        <w:t>was seated facing west and in the lotus position, with their hands together in front and resting above their feet</w:t>
      </w:r>
      <w:r w:rsidR="004A0A8F">
        <w:rPr>
          <w:sz w:val="24"/>
          <w:szCs w:val="24"/>
        </w:rPr>
        <w:t xml:space="preserve"> </w:t>
      </w:r>
      <w:r w:rsidRPr="0016617B">
        <w:rPr>
          <w:sz w:val="24"/>
          <w:szCs w:val="24"/>
        </w:rPr>
        <w:fldChar w:fldCharType="begin"/>
      </w:r>
      <w:r>
        <w:rPr>
          <w:sz w:val="24"/>
          <w:szCs w:val="24"/>
        </w:rPr>
        <w:instrText xml:space="preserve"> ADDIN ZOTERO_ITEM CSL_CITATION {"citationID":"GCZDB8cY","properties":{"formattedCitation":"(Pereira et al., 2003)","plainCitation":"(Pereira et al., 2003)","noteIndex":0},"citationItems":[{"id":601,"uris":["http://zotero.org/users/4461938/items/PYINSN87"],"uri":["http://zotero.org/users/4461938/items/PYINSN87"],"itemData":{"id":601,"type":"paper-conference","title":"Informe sobre la excavación arqueológica de urgencia en el\" solar del ayuntamiento\" de Las Cabezas de San Juan (Sevilla). Campaña de 2000","container-title":"Anuario arqueológico de Andalucía 2000","publisher":"Consejería de Cultura","page":"1309-1316","ISBN":"84-8266-335-6","author":[{"family":"Pereira","given":"Gregory"},{"family":"Montes","given":"Rocío Izquierdo","non-dropping-particle":"de"},{"family":"Carrasco","given":"José Luis Escacena"},{"family":"Parrilla","given":"José María González"}],"issued":{"date-parts":[["2003"]]}}}],"schema":"https://github.com/citation-style-language/schema/raw/master/csl-citation.json"} </w:instrText>
      </w:r>
      <w:r w:rsidRPr="0016617B">
        <w:rPr>
          <w:sz w:val="24"/>
          <w:szCs w:val="24"/>
        </w:rPr>
        <w:fldChar w:fldCharType="separate"/>
      </w:r>
      <w:r w:rsidRPr="00EC0669">
        <w:rPr>
          <w:sz w:val="24"/>
        </w:rPr>
        <w:t>(Pereira et al., 2003)</w:t>
      </w:r>
      <w:r w:rsidRPr="0016617B">
        <w:rPr>
          <w:sz w:val="24"/>
          <w:szCs w:val="24"/>
        </w:rPr>
        <w:fldChar w:fldCharType="end"/>
      </w:r>
      <w:r w:rsidRPr="0016617B">
        <w:rPr>
          <w:sz w:val="24"/>
          <w:szCs w:val="24"/>
        </w:rPr>
        <w:t xml:space="preserve">. </w:t>
      </w:r>
      <w:r w:rsidR="00AE0606" w:rsidRPr="0016617B">
        <w:rPr>
          <w:sz w:val="24"/>
          <w:szCs w:val="24"/>
        </w:rPr>
        <w:t xml:space="preserve">According to Sugiyama and Luján (2007), the individuals </w:t>
      </w:r>
      <w:r w:rsidR="00AE0606">
        <w:rPr>
          <w:sz w:val="24"/>
          <w:szCs w:val="24"/>
        </w:rPr>
        <w:t xml:space="preserve">were </w:t>
      </w:r>
      <w:r w:rsidR="00AE0606" w:rsidRPr="0016617B">
        <w:rPr>
          <w:sz w:val="24"/>
          <w:szCs w:val="24"/>
        </w:rPr>
        <w:t>willingly bound and buried</w:t>
      </w:r>
      <w:r w:rsidR="00AE0606">
        <w:rPr>
          <w:sz w:val="24"/>
          <w:szCs w:val="24"/>
        </w:rPr>
        <w:t xml:space="preserve"> since there were no signs of </w:t>
      </w:r>
      <w:r w:rsidR="00AE0606">
        <w:rPr>
          <w:sz w:val="24"/>
          <w:szCs w:val="24"/>
        </w:rPr>
        <w:lastRenderedPageBreak/>
        <w:t>struggle</w:t>
      </w:r>
      <w:r w:rsidR="00AE0606" w:rsidRPr="0016617B">
        <w:rPr>
          <w:sz w:val="24"/>
          <w:szCs w:val="24"/>
        </w:rPr>
        <w:t>.</w:t>
      </w:r>
      <w:r w:rsidR="00AE0606">
        <w:rPr>
          <w:sz w:val="24"/>
          <w:szCs w:val="24"/>
        </w:rPr>
        <w:t xml:space="preserve"> An analysis of the sacra and ossa coxa</w:t>
      </w:r>
      <w:r w:rsidR="00291CBD">
        <w:rPr>
          <w:sz w:val="24"/>
          <w:szCs w:val="24"/>
        </w:rPr>
        <w:t>e</w:t>
      </w:r>
      <w:r w:rsidR="00AE0606">
        <w:rPr>
          <w:sz w:val="24"/>
          <w:szCs w:val="24"/>
        </w:rPr>
        <w:t xml:space="preserve"> of </w:t>
      </w:r>
      <w:r w:rsidR="00746AFD">
        <w:rPr>
          <w:sz w:val="24"/>
          <w:szCs w:val="24"/>
        </w:rPr>
        <w:t>PPL 5A</w:t>
      </w:r>
      <w:r w:rsidR="00AE0606">
        <w:rPr>
          <w:sz w:val="24"/>
          <w:szCs w:val="24"/>
        </w:rPr>
        <w:t xml:space="preserve">, </w:t>
      </w:r>
      <w:r w:rsidR="00746AFD">
        <w:rPr>
          <w:sz w:val="24"/>
          <w:szCs w:val="24"/>
        </w:rPr>
        <w:t>PPL 5B</w:t>
      </w:r>
      <w:r w:rsidR="00AE0606">
        <w:rPr>
          <w:sz w:val="24"/>
          <w:szCs w:val="24"/>
        </w:rPr>
        <w:t xml:space="preserve">, </w:t>
      </w:r>
      <w:r w:rsidR="00746AFD">
        <w:rPr>
          <w:sz w:val="24"/>
          <w:szCs w:val="24"/>
        </w:rPr>
        <w:t>PPL 5C</w:t>
      </w:r>
      <w:r w:rsidR="00AE0606">
        <w:rPr>
          <w:sz w:val="24"/>
          <w:szCs w:val="24"/>
        </w:rPr>
        <w:t xml:space="preserve"> indicate that the individuals </w:t>
      </w:r>
      <w:r w:rsidR="00AE0606" w:rsidRPr="0016617B">
        <w:rPr>
          <w:sz w:val="24"/>
          <w:szCs w:val="24"/>
        </w:rPr>
        <w:t>were male</w:t>
      </w:r>
      <w:r w:rsidR="00AE0606">
        <w:rPr>
          <w:sz w:val="24"/>
          <w:szCs w:val="24"/>
        </w:rPr>
        <w:t xml:space="preserve"> </w:t>
      </w:r>
      <w:r w:rsidR="00A03991">
        <w:rPr>
          <w:sz w:val="24"/>
          <w:szCs w:val="24"/>
        </w:rPr>
        <w:t>between the ages of</w:t>
      </w:r>
      <w:r w:rsidR="00AE0606">
        <w:rPr>
          <w:sz w:val="24"/>
          <w:szCs w:val="24"/>
        </w:rPr>
        <w:t xml:space="preserve"> </w:t>
      </w:r>
      <w:r w:rsidR="00AE0606" w:rsidRPr="0016617B">
        <w:rPr>
          <w:sz w:val="24"/>
          <w:szCs w:val="24"/>
        </w:rPr>
        <w:t>50-70, 40-50, and 40-45</w:t>
      </w:r>
      <w:r w:rsidR="00AE0606">
        <w:rPr>
          <w:sz w:val="24"/>
          <w:szCs w:val="24"/>
        </w:rPr>
        <w:t xml:space="preserve"> years old</w:t>
      </w:r>
      <w:r w:rsidR="00AE0606" w:rsidRPr="0016617B">
        <w:rPr>
          <w:sz w:val="24"/>
          <w:szCs w:val="24"/>
        </w:rPr>
        <w:t xml:space="preserve"> </w:t>
      </w:r>
      <w:r w:rsidR="00AE0606" w:rsidRPr="0016617B">
        <w:rPr>
          <w:sz w:val="24"/>
          <w:szCs w:val="24"/>
        </w:rPr>
        <w:fldChar w:fldCharType="begin"/>
      </w:r>
      <w:r w:rsidR="00AE0606">
        <w:rPr>
          <w:sz w:val="24"/>
          <w:szCs w:val="24"/>
        </w:rPr>
        <w:instrText xml:space="preserve"> ADDIN ZOTERO_ITEM CSL_CITATION {"citationID":"LXfSG2Jt","properties":{"formattedCitation":"(Spence and Pereira, 2007)","plainCitation":"(Spence and Pereira, 2007)","noteIndex":0},"citationItems":[{"id":600,"uris":["http://zotero.org/users/4461938/items/G8VJDWTK"],"uri":["http://zotero.org/users/4461938/items/G8VJDWTK"],"itemData":{"id":600,"type":"article-journal","title":"The human skeletal remains of the Moon Pyramid, Teotihuacan","container-title":"Ancient Mesoamerica","page":"147-157","volume":"18","issue":"1","author":[{"family":"Spence","given":"Michael W."},{"family":"Pereira","given":"Grégory"}],"issued":{"date-parts":[["2007"]]}}}],"schema":"https://github.com/citation-style-language/schema/raw/master/csl-citation.json"} </w:instrText>
      </w:r>
      <w:r w:rsidR="00AE0606" w:rsidRPr="0016617B">
        <w:rPr>
          <w:sz w:val="24"/>
          <w:szCs w:val="24"/>
        </w:rPr>
        <w:fldChar w:fldCharType="separate"/>
      </w:r>
      <w:r w:rsidR="00AE0606" w:rsidRPr="00EC0669">
        <w:rPr>
          <w:sz w:val="24"/>
        </w:rPr>
        <w:t>(Spence and Pereira, 2007)</w:t>
      </w:r>
      <w:r w:rsidR="00AE0606" w:rsidRPr="0016617B">
        <w:rPr>
          <w:sz w:val="24"/>
          <w:szCs w:val="24"/>
        </w:rPr>
        <w:fldChar w:fldCharType="end"/>
      </w:r>
      <w:r w:rsidR="00AE0606" w:rsidRPr="0016617B">
        <w:rPr>
          <w:sz w:val="24"/>
          <w:szCs w:val="24"/>
        </w:rPr>
        <w:t xml:space="preserve">. </w:t>
      </w:r>
      <w:r w:rsidR="002F0FCF">
        <w:rPr>
          <w:sz w:val="24"/>
          <w:szCs w:val="24"/>
        </w:rPr>
        <w:t>In addition, a</w:t>
      </w:r>
      <w:r w:rsidR="002F0FCF" w:rsidRPr="0016617B">
        <w:rPr>
          <w:sz w:val="24"/>
          <w:szCs w:val="24"/>
        </w:rPr>
        <w:t xml:space="preserve">lmost identical </w:t>
      </w:r>
      <w:r w:rsidR="009B6AA1">
        <w:rPr>
          <w:sz w:val="24"/>
          <w:szCs w:val="24"/>
        </w:rPr>
        <w:t>emerald green jade</w:t>
      </w:r>
      <w:r w:rsidR="00DA6B5B">
        <w:rPr>
          <w:sz w:val="24"/>
          <w:szCs w:val="24"/>
        </w:rPr>
        <w:t xml:space="preserve"> pectoral </w:t>
      </w:r>
      <w:r w:rsidR="00452B26">
        <w:rPr>
          <w:sz w:val="24"/>
          <w:szCs w:val="24"/>
        </w:rPr>
        <w:t>chest ornaments</w:t>
      </w:r>
      <w:r w:rsidR="002F0FCF" w:rsidRPr="0016617B">
        <w:rPr>
          <w:sz w:val="24"/>
          <w:szCs w:val="24"/>
        </w:rPr>
        <w:t xml:space="preserve"> adorned </w:t>
      </w:r>
      <w:r w:rsidR="00746AFD">
        <w:rPr>
          <w:sz w:val="24"/>
          <w:szCs w:val="24"/>
        </w:rPr>
        <w:t>PPL 5A</w:t>
      </w:r>
      <w:r w:rsidR="002F0FCF" w:rsidRPr="0016617B">
        <w:rPr>
          <w:sz w:val="24"/>
          <w:szCs w:val="24"/>
        </w:rPr>
        <w:t xml:space="preserve"> and</w:t>
      </w:r>
      <w:r w:rsidR="002F0FCF">
        <w:rPr>
          <w:sz w:val="24"/>
          <w:szCs w:val="24"/>
        </w:rPr>
        <w:t xml:space="preserve"> _</w:t>
      </w:r>
      <w:r w:rsidR="002F0FCF" w:rsidRPr="0016617B">
        <w:rPr>
          <w:sz w:val="24"/>
          <w:szCs w:val="24"/>
        </w:rPr>
        <w:t>5B</w:t>
      </w:r>
      <w:r w:rsidR="00DC255B">
        <w:rPr>
          <w:sz w:val="24"/>
          <w:szCs w:val="24"/>
        </w:rPr>
        <w:t>, who</w:t>
      </w:r>
      <w:r w:rsidR="002F0FCF" w:rsidRPr="0016617B">
        <w:rPr>
          <w:sz w:val="24"/>
          <w:szCs w:val="24"/>
        </w:rPr>
        <w:t xml:space="preserve"> were seated juxtaposed near the west wall.</w:t>
      </w:r>
      <w:r w:rsidR="009B6AA1">
        <w:rPr>
          <w:sz w:val="24"/>
          <w:szCs w:val="24"/>
        </w:rPr>
        <w:t xml:space="preserve"> From the Early and into the Late Classic, only the upper elite of the Maya society had access to </w:t>
      </w:r>
      <w:r w:rsidR="00DA6B5B">
        <w:rPr>
          <w:sz w:val="24"/>
          <w:szCs w:val="24"/>
        </w:rPr>
        <w:t>these style of glyphs</w:t>
      </w:r>
      <w:r w:rsidR="009B6AA1">
        <w:rPr>
          <w:sz w:val="24"/>
          <w:szCs w:val="24"/>
        </w:rPr>
        <w:t xml:space="preserve"> </w:t>
      </w:r>
      <w:r w:rsidR="009B6AA1">
        <w:rPr>
          <w:sz w:val="24"/>
          <w:szCs w:val="24"/>
        </w:rPr>
        <w:fldChar w:fldCharType="begin"/>
      </w:r>
      <w:r w:rsidR="009B6AA1">
        <w:rPr>
          <w:sz w:val="24"/>
          <w:szCs w:val="24"/>
        </w:rPr>
        <w:instrText xml:space="preserve"> ADDIN ZOTERO_ITEM CSL_CITATION {"citationID":"GhWZCdzr","properties":{"formattedCitation":"(Hammond et al., 1977; Taube, 2005)","plainCitation":"(Hammond et al., 1977; Taube, 2005)","noteIndex":0},"citationItems":[{"id":1220,"uris":["http://zotero.org/users/4461938/items/6I5TJV4Q"],"uri":["http://zotero.org/users/4461938/items/6I5TJV4Q"],"itemData":{"id":1220,"type":"chapter","title":"Maya jade: source location and analysis","container-title":"Exchange systems in prehistory","publisher":"Elsevier","page":"35-67","author":[{"family":"Hammond","given":"Norman"},{"family":"Aspinall","given":"Arnold"},{"family":"Feather","given":"Stuart"},{"family":"Hazelden","given":"John"},{"family":"Gazard","given":"Trevor"},{"family":"Agrell","given":"Stuart"}],"issued":{"date-parts":[["1977"]]}}},{"id":1219,"uris":["http://zotero.org/users/4461938/items/FV75IRL3"],"uri":["http://zotero.org/users/4461938/items/FV75IRL3"],"itemData":{"id":1219,"type":"article-journal","title":"The symbolism of jade in Classic Maya religion","container-title":"Ancient Mesoamerica","page":"23-50","volume":"16","issue":"1","author":[{"family":"Taube","given":"Karl A."}],"issued":{"date-parts":[["2005"]]}}}],"schema":"https://github.com/citation-style-language/schema/raw/master/csl-citation.json"} </w:instrText>
      </w:r>
      <w:r w:rsidR="009B6AA1">
        <w:rPr>
          <w:sz w:val="24"/>
          <w:szCs w:val="24"/>
        </w:rPr>
        <w:fldChar w:fldCharType="separate"/>
      </w:r>
      <w:r w:rsidR="009B6AA1" w:rsidRPr="009B6AA1">
        <w:rPr>
          <w:sz w:val="24"/>
        </w:rPr>
        <w:t>(Hammond et al., 1977; Taube, 2005)</w:t>
      </w:r>
      <w:r w:rsidR="009B6AA1">
        <w:rPr>
          <w:sz w:val="24"/>
          <w:szCs w:val="24"/>
        </w:rPr>
        <w:fldChar w:fldCharType="end"/>
      </w:r>
      <w:r w:rsidR="009B6AA1">
        <w:rPr>
          <w:sz w:val="24"/>
          <w:szCs w:val="24"/>
        </w:rPr>
        <w:t xml:space="preserve">. </w:t>
      </w:r>
      <w:r w:rsidR="002F0FCF">
        <w:rPr>
          <w:sz w:val="24"/>
          <w:szCs w:val="24"/>
        </w:rPr>
        <w:t xml:space="preserve">Since the </w:t>
      </w:r>
      <w:r w:rsidR="00AE0606">
        <w:rPr>
          <w:sz w:val="24"/>
          <w:szCs w:val="24"/>
        </w:rPr>
        <w:t>anatomical position</w:t>
      </w:r>
      <w:r w:rsidR="002F0FCF">
        <w:rPr>
          <w:sz w:val="24"/>
          <w:szCs w:val="24"/>
        </w:rPr>
        <w:t>s</w:t>
      </w:r>
      <w:r w:rsidR="00AE0606">
        <w:rPr>
          <w:sz w:val="24"/>
          <w:szCs w:val="24"/>
        </w:rPr>
        <w:t xml:space="preserve"> and </w:t>
      </w:r>
      <w:r w:rsidR="00AE0606" w:rsidRPr="0016617B">
        <w:rPr>
          <w:sz w:val="24"/>
          <w:szCs w:val="24"/>
        </w:rPr>
        <w:t xml:space="preserve">grave goods </w:t>
      </w:r>
      <w:r w:rsidR="002F0FCF">
        <w:rPr>
          <w:sz w:val="24"/>
          <w:szCs w:val="24"/>
        </w:rPr>
        <w:t>of</w:t>
      </w:r>
      <w:r w:rsidR="00AE0606" w:rsidRPr="0016617B">
        <w:rPr>
          <w:sz w:val="24"/>
          <w:szCs w:val="24"/>
        </w:rPr>
        <w:t xml:space="preserve"> </w:t>
      </w:r>
      <w:r w:rsidR="002F0FCF">
        <w:rPr>
          <w:sz w:val="24"/>
          <w:szCs w:val="24"/>
        </w:rPr>
        <w:t>the individuals in burial 5</w:t>
      </w:r>
      <w:r w:rsidR="00AE0606" w:rsidRPr="0016617B">
        <w:rPr>
          <w:sz w:val="24"/>
          <w:szCs w:val="24"/>
        </w:rPr>
        <w:t xml:space="preserve"> </w:t>
      </w:r>
      <w:r w:rsidR="002F0FCF">
        <w:rPr>
          <w:sz w:val="24"/>
          <w:szCs w:val="24"/>
        </w:rPr>
        <w:t xml:space="preserve">are not observed in other Teotihuacan burial contexts, these individuals likely </w:t>
      </w:r>
      <w:r w:rsidR="00AE0606" w:rsidRPr="0016617B">
        <w:rPr>
          <w:sz w:val="24"/>
          <w:szCs w:val="24"/>
        </w:rPr>
        <w:t>had special status (e.g. rulers, ambassadors, warriors, or merchants) who either had close connections with Maya dynasties or were members of the Maya elite</w:t>
      </w:r>
      <w:r w:rsidR="002F0FCF" w:rsidRPr="0016617B">
        <w:rPr>
          <w:sz w:val="24"/>
          <w:szCs w:val="24"/>
        </w:rPr>
        <w:t xml:space="preserve"> </w:t>
      </w:r>
      <w:r w:rsidR="002F0FCF" w:rsidRPr="0016617B">
        <w:rPr>
          <w:sz w:val="24"/>
          <w:szCs w:val="24"/>
        </w:rPr>
        <w:fldChar w:fldCharType="begin"/>
      </w:r>
      <w:r w:rsidR="002F0FCF">
        <w:rPr>
          <w:sz w:val="24"/>
          <w:szCs w:val="24"/>
        </w:rPr>
        <w:instrText xml:space="preserve"> ADDIN ZOTERO_ITEM CSL_CITATION {"citationID":"mw8kpORd","properties":{"formattedCitation":"(Pereira, Spence, and White 2004)","plainCitation":"(Pereira, Spence, and White 2004)","dontUpdate":true,"noteIndex":0},"citationItems":[{"id":789,"uris":["http://zotero.org/users/4461938/items/IUIWB45Z"],"uri":["http://zotero.org/users/4461938/items/IUIWB45Z"],"itemData":{"id":789,"type":"paper-conference","title":"Análisis preliminar de los restos humanos encontrados en el Entierro 5 de la Pirámide de la Luna, Teotihuacán","container-title":"Society for American Archaeology, 69th Meeting, Montreal","author":[{"family":"Pereira","given":"Gregory"},{"family":"Spence","given":"Michael W."},{"family":"White","given":"Christine D."}],"issued":{"date-parts":[["2004"]]}}}],"schema":"https://github.com/citation-style-language/schema/raw/master/csl-citation.json"} </w:instrText>
      </w:r>
      <w:r w:rsidR="002F0FCF" w:rsidRPr="0016617B">
        <w:rPr>
          <w:sz w:val="24"/>
          <w:szCs w:val="24"/>
        </w:rPr>
        <w:fldChar w:fldCharType="separate"/>
      </w:r>
      <w:r w:rsidR="002F0FCF" w:rsidRPr="0016617B">
        <w:rPr>
          <w:sz w:val="24"/>
          <w:szCs w:val="24"/>
        </w:rPr>
        <w:t>(Pereira et al., 2004)</w:t>
      </w:r>
      <w:r w:rsidR="002F0FCF" w:rsidRPr="0016617B">
        <w:rPr>
          <w:sz w:val="24"/>
          <w:szCs w:val="24"/>
        </w:rPr>
        <w:fldChar w:fldCharType="end"/>
      </w:r>
      <w:r w:rsidR="00AE0606" w:rsidRPr="0016617B">
        <w:rPr>
          <w:sz w:val="24"/>
          <w:szCs w:val="24"/>
        </w:rPr>
        <w:t xml:space="preserve">. </w:t>
      </w:r>
    </w:p>
    <w:p w14:paraId="4BA15C0A" w14:textId="6F857E15" w:rsidR="00EC0669" w:rsidRPr="00F659E7" w:rsidRDefault="00B96BC5" w:rsidP="00F659E7">
      <w:pPr>
        <w:spacing w:line="480" w:lineRule="auto"/>
        <w:ind w:firstLine="720"/>
        <w:rPr>
          <w:sz w:val="24"/>
          <w:szCs w:val="24"/>
        </w:rPr>
      </w:pPr>
      <w:r>
        <w:rPr>
          <w:sz w:val="24"/>
          <w:szCs w:val="24"/>
        </w:rPr>
        <w:t>One dental calculus sample came from</w:t>
      </w:r>
      <w:r w:rsidR="000C79FF">
        <w:rPr>
          <w:sz w:val="24"/>
          <w:szCs w:val="24"/>
        </w:rPr>
        <w:t xml:space="preserve"> non-burial fill within </w:t>
      </w:r>
      <w:r w:rsidR="007C6819">
        <w:rPr>
          <w:sz w:val="24"/>
          <w:szCs w:val="24"/>
        </w:rPr>
        <w:t xml:space="preserve">Front </w:t>
      </w:r>
      <w:r w:rsidR="0041408D">
        <w:rPr>
          <w:sz w:val="24"/>
          <w:szCs w:val="24"/>
        </w:rPr>
        <w:t>A</w:t>
      </w:r>
      <w:r w:rsidR="007C6819">
        <w:rPr>
          <w:sz w:val="24"/>
          <w:szCs w:val="24"/>
        </w:rPr>
        <w:t xml:space="preserve"> of </w:t>
      </w:r>
      <w:r>
        <w:rPr>
          <w:sz w:val="24"/>
          <w:szCs w:val="24"/>
        </w:rPr>
        <w:t>the P</w:t>
      </w:r>
      <w:r w:rsidR="00EC0669" w:rsidRPr="0016617B">
        <w:rPr>
          <w:sz w:val="24"/>
          <w:szCs w:val="24"/>
        </w:rPr>
        <w:t xml:space="preserve">laza of the Columns Complex </w:t>
      </w:r>
      <w:r w:rsidR="00EC0669">
        <w:rPr>
          <w:sz w:val="24"/>
          <w:szCs w:val="24"/>
        </w:rPr>
        <w:t>(PPCC)</w:t>
      </w:r>
      <w:r>
        <w:rPr>
          <w:sz w:val="24"/>
          <w:szCs w:val="24"/>
        </w:rPr>
        <w:t>. The PPCC</w:t>
      </w:r>
      <w:r w:rsidR="00EC0669">
        <w:rPr>
          <w:sz w:val="24"/>
          <w:szCs w:val="24"/>
        </w:rPr>
        <w:t xml:space="preserve"> represents a civic-administrative structure and includes the largest three</w:t>
      </w:r>
      <w:r w:rsidR="009B6AA1">
        <w:rPr>
          <w:sz w:val="24"/>
          <w:szCs w:val="24"/>
        </w:rPr>
        <w:t>-</w:t>
      </w:r>
      <w:r w:rsidR="00EC0669">
        <w:rPr>
          <w:sz w:val="24"/>
          <w:szCs w:val="24"/>
        </w:rPr>
        <w:t>temple complex</w:t>
      </w:r>
      <w:r w:rsidR="00A16C60">
        <w:rPr>
          <w:sz w:val="24"/>
          <w:szCs w:val="24"/>
        </w:rPr>
        <w:t>es</w:t>
      </w:r>
      <w:r w:rsidR="00EC0669">
        <w:rPr>
          <w:sz w:val="24"/>
          <w:szCs w:val="24"/>
        </w:rPr>
        <w:t xml:space="preserve"> with the fourth highest pyramid, a main plaza (11,408 m</w:t>
      </w:r>
      <w:r w:rsidR="00EC0669">
        <w:rPr>
          <w:sz w:val="24"/>
          <w:szCs w:val="24"/>
          <w:vertAlign w:val="superscript"/>
        </w:rPr>
        <w:t>2</w:t>
      </w:r>
      <w:r w:rsidR="00EC0669">
        <w:rPr>
          <w:sz w:val="24"/>
          <w:szCs w:val="24"/>
        </w:rPr>
        <w:t xml:space="preserve">), and occupational layers that may date to the earliest urban foundations at Teotihuacan </w:t>
      </w:r>
      <w:r w:rsidR="00EC0669">
        <w:rPr>
          <w:sz w:val="24"/>
          <w:szCs w:val="24"/>
        </w:rPr>
        <w:fldChar w:fldCharType="begin"/>
      </w:r>
      <w:r w:rsidR="00EC0669">
        <w:rPr>
          <w:sz w:val="24"/>
          <w:szCs w:val="24"/>
        </w:rPr>
        <w:instrText xml:space="preserve"> ADDIN ZOTERO_ITEM CSL_CITATION {"citationID":"sWjq6MRf","properties":{"formattedCitation":"(Sugiyama et al., 2016)","plainCitation":"(Sugiyama et al., 2016)","noteIndex":0},"citationItems":[{"id":873,"uris":["http://zotero.org/users/4461938/items/AVFW7JLT"],"uri":["http://zotero.org/users/4461938/items/AVFW7JLT"],"itemData":{"id":873,"type":"paper-conference","title":"Plaza of the Columns at Teotihuacan: Scope, Goals and Expectations of a New International Project","publisher-place":"Orlando, Florida","event":"Society for American Archaeology 81st Annual Meeting","event-place":"Orlando, Florida","note":"tDAR id: 403539","author":[{"family":"Sugiyama","given":"Nawa"},{"family":"Sugiyama","given":"Saburo"},{"family":"Ortega","given":"Veronica"},{"family":"Fash","given":"William"}],"issued":{"date-parts":[["2016"]]}}}],"schema":"https://github.com/citation-style-language/schema/raw/master/csl-citation.json"} </w:instrText>
      </w:r>
      <w:r w:rsidR="00EC0669">
        <w:rPr>
          <w:sz w:val="24"/>
          <w:szCs w:val="24"/>
        </w:rPr>
        <w:fldChar w:fldCharType="separate"/>
      </w:r>
      <w:r w:rsidR="00EC0669" w:rsidRPr="00EC0669">
        <w:rPr>
          <w:sz w:val="24"/>
        </w:rPr>
        <w:t>(Sugiyama et al., 2016)</w:t>
      </w:r>
      <w:r w:rsidR="00EC0669">
        <w:rPr>
          <w:sz w:val="24"/>
          <w:szCs w:val="24"/>
        </w:rPr>
        <w:fldChar w:fldCharType="end"/>
      </w:r>
      <w:r w:rsidR="00EC0669">
        <w:rPr>
          <w:sz w:val="24"/>
          <w:szCs w:val="24"/>
        </w:rPr>
        <w:t xml:space="preserve">. </w:t>
      </w:r>
      <w:r w:rsidR="004102F2">
        <w:rPr>
          <w:sz w:val="24"/>
          <w:szCs w:val="24"/>
        </w:rPr>
        <w:t>The PPCC is divided into five fronts</w:t>
      </w:r>
      <w:r>
        <w:rPr>
          <w:sz w:val="24"/>
          <w:szCs w:val="24"/>
        </w:rPr>
        <w:t xml:space="preserve"> (A, B, C, D, E, and F)</w:t>
      </w:r>
      <w:r w:rsidR="007C6819">
        <w:rPr>
          <w:sz w:val="24"/>
          <w:szCs w:val="24"/>
        </w:rPr>
        <w:t xml:space="preserve"> with </w:t>
      </w:r>
      <w:r w:rsidR="00EC0669">
        <w:rPr>
          <w:sz w:val="24"/>
          <w:szCs w:val="24"/>
        </w:rPr>
        <w:t xml:space="preserve">Front </w:t>
      </w:r>
      <w:r w:rsidR="00452B26">
        <w:rPr>
          <w:sz w:val="24"/>
          <w:szCs w:val="24"/>
        </w:rPr>
        <w:t>A</w:t>
      </w:r>
      <w:r w:rsidR="003B5606">
        <w:rPr>
          <w:sz w:val="24"/>
          <w:szCs w:val="24"/>
        </w:rPr>
        <w:t>, where the PPCC sample was excavated,</w:t>
      </w:r>
      <w:r w:rsidR="007C6819">
        <w:rPr>
          <w:sz w:val="24"/>
          <w:szCs w:val="24"/>
        </w:rPr>
        <w:t xml:space="preserve"> </w:t>
      </w:r>
      <w:r w:rsidR="00EC0669">
        <w:rPr>
          <w:sz w:val="24"/>
          <w:szCs w:val="24"/>
        </w:rPr>
        <w:t>compris</w:t>
      </w:r>
      <w:r w:rsidR="007C6819">
        <w:rPr>
          <w:sz w:val="24"/>
          <w:szCs w:val="24"/>
        </w:rPr>
        <w:t>ing</w:t>
      </w:r>
      <w:r w:rsidR="00EC0669">
        <w:rPr>
          <w:sz w:val="24"/>
          <w:szCs w:val="24"/>
        </w:rPr>
        <w:t xml:space="preserve"> the southern sector. </w:t>
      </w:r>
      <w:r w:rsidR="00452B26">
        <w:rPr>
          <w:sz w:val="24"/>
          <w:szCs w:val="24"/>
        </w:rPr>
        <w:t>Ongoing e</w:t>
      </w:r>
      <w:r w:rsidR="00EC0669">
        <w:rPr>
          <w:sz w:val="24"/>
          <w:szCs w:val="24"/>
        </w:rPr>
        <w:t xml:space="preserve">xcavations </w:t>
      </w:r>
      <w:r w:rsidR="002F0FCF">
        <w:rPr>
          <w:sz w:val="24"/>
          <w:szCs w:val="24"/>
        </w:rPr>
        <w:t xml:space="preserve">at PPCC </w:t>
      </w:r>
      <w:r w:rsidR="00EC0669">
        <w:rPr>
          <w:sz w:val="24"/>
          <w:szCs w:val="24"/>
        </w:rPr>
        <w:t>have also unearthed sculptural motifs</w:t>
      </w:r>
      <w:r w:rsidR="000C79FF">
        <w:rPr>
          <w:sz w:val="24"/>
          <w:szCs w:val="24"/>
        </w:rPr>
        <w:t xml:space="preserve"> in the Maya style illustrating the strong relationships between Teotihuacan and Maya city-states. </w:t>
      </w:r>
    </w:p>
    <w:p w14:paraId="0854D06A" w14:textId="50787FFB" w:rsidR="00EC0669" w:rsidRPr="00C21A2F" w:rsidRDefault="00EC0669" w:rsidP="00C21A2F">
      <w:pPr>
        <w:pStyle w:val="Heading2"/>
        <w:rPr>
          <w:rFonts w:ascii="Times New Roman" w:hAnsi="Times New Roman" w:cs="Times New Roman"/>
          <w:i/>
          <w:color w:val="auto"/>
          <w:sz w:val="24"/>
          <w:szCs w:val="24"/>
        </w:rPr>
      </w:pPr>
      <w:bookmarkStart w:id="15" w:name="_Toc8404627"/>
      <w:r w:rsidRPr="00C21A2F">
        <w:rPr>
          <w:rFonts w:ascii="Times New Roman" w:hAnsi="Times New Roman" w:cs="Times New Roman"/>
          <w:i/>
          <w:color w:val="auto"/>
          <w:sz w:val="24"/>
          <w:szCs w:val="24"/>
        </w:rPr>
        <w:t>DNA Extraction</w:t>
      </w:r>
      <w:bookmarkEnd w:id="15"/>
      <w:r w:rsidRPr="00C21A2F">
        <w:rPr>
          <w:rFonts w:ascii="Times New Roman" w:hAnsi="Times New Roman" w:cs="Times New Roman"/>
          <w:i/>
          <w:color w:val="auto"/>
          <w:sz w:val="24"/>
          <w:szCs w:val="24"/>
        </w:rPr>
        <w:t xml:space="preserve"> </w:t>
      </w:r>
    </w:p>
    <w:p w14:paraId="0A5C5C92" w14:textId="4AEE2DA8" w:rsidR="00EC0669" w:rsidRPr="00C22614" w:rsidRDefault="004A0A8F" w:rsidP="00EC0669">
      <w:pPr>
        <w:pStyle w:val="NormalWeb"/>
        <w:spacing w:before="0" w:beforeAutospacing="0" w:after="0" w:afterAutospacing="0"/>
      </w:pPr>
      <w:r>
        <w:t xml:space="preserve"> </w:t>
      </w:r>
    </w:p>
    <w:p w14:paraId="106BCA5E" w14:textId="3FC1E277" w:rsidR="00EC0669" w:rsidRPr="00F659E7" w:rsidRDefault="00B26FDF" w:rsidP="00F659E7">
      <w:pPr>
        <w:pStyle w:val="NormalWeb"/>
        <w:spacing w:before="0" w:beforeAutospacing="0" w:after="0" w:afterAutospacing="0" w:line="480" w:lineRule="auto"/>
        <w:ind w:firstLine="720"/>
      </w:pPr>
      <w:r>
        <w:t xml:space="preserve">Four dental calculus samples were collected at Teotihuacan in summer of 2017. These samples </w:t>
      </w:r>
      <w:r w:rsidR="00EC0669" w:rsidRPr="00C22614">
        <w:t xml:space="preserve">were processed in a dedicated ancient DNA laboratory at the Laboratories of Molecular Anthropology and Microbiome Research (LMAMR) in Norman, Oklahoma, USA. </w:t>
      </w:r>
      <w:r w:rsidR="0041408D">
        <w:t>Appropriate</w:t>
      </w:r>
      <w:r w:rsidR="00DC255B">
        <w:t xml:space="preserve"> non-template controls were included during the extraction and shotgun library build process. </w:t>
      </w:r>
      <w:r w:rsidR="00EC0669" w:rsidRPr="00C22614">
        <w:t xml:space="preserve">DNA extraction was performed </w:t>
      </w:r>
      <w:r w:rsidR="00DC255B">
        <w:t xml:space="preserve">following </w:t>
      </w:r>
      <w:r w:rsidR="00EC0669">
        <w:t xml:space="preserve">a modified Dabney et al. 2013 protocol. </w:t>
      </w:r>
      <w:r w:rsidR="001F2DCE">
        <w:t xml:space="preserve">In </w:t>
      </w:r>
      <w:r w:rsidR="007C6819">
        <w:t>brief, ~</w:t>
      </w:r>
      <w:r w:rsidR="001F2DCE">
        <w:t>3.6-</w:t>
      </w:r>
      <w:r w:rsidR="001F2DCE">
        <w:lastRenderedPageBreak/>
        <w:t xml:space="preserve">10.1 mg of calculus </w:t>
      </w:r>
      <w:r w:rsidR="007C6819">
        <w:t>was</w:t>
      </w:r>
      <w:r w:rsidR="001F2DCE">
        <w:t xml:space="preserve"> gently rotated in </w:t>
      </w:r>
      <w:r w:rsidR="00EC0669" w:rsidRPr="00C22614">
        <w:t>1 ml of 0.5</w:t>
      </w:r>
      <w:r w:rsidR="001F2DCE">
        <w:t xml:space="preserve"> </w:t>
      </w:r>
      <w:r w:rsidR="00EC0669">
        <w:t xml:space="preserve">M </w:t>
      </w:r>
      <w:r w:rsidR="00EC0669" w:rsidRPr="00C22614">
        <w:t>EDTA for 15 minutes to remove surface contaminat</w:t>
      </w:r>
      <w:r w:rsidR="001F2DCE">
        <w:t>ion</w:t>
      </w:r>
      <w:r w:rsidR="00EC0669" w:rsidRPr="00C22614">
        <w:t xml:space="preserve">. </w:t>
      </w:r>
      <w:r w:rsidR="00EC0669">
        <w:t>Following pulverization, t</w:t>
      </w:r>
      <w:r w:rsidR="00EC0669" w:rsidRPr="00C22614">
        <w:t>he samples were demineralized in a solution of 0.</w:t>
      </w:r>
      <w:r w:rsidR="00EC0669">
        <w:t>5</w:t>
      </w:r>
      <w:r w:rsidR="00EC0669" w:rsidRPr="00C22614">
        <w:t xml:space="preserve">M EDTA </w:t>
      </w:r>
      <w:r w:rsidR="00EC0669">
        <w:t xml:space="preserve">at room temperature overnight </w:t>
      </w:r>
      <w:r w:rsidR="00EC0669" w:rsidRPr="00C22614">
        <w:t xml:space="preserve">and </w:t>
      </w:r>
      <w:r w:rsidR="00EC0669">
        <w:t>100 µl 20 mg/ml P</w:t>
      </w:r>
      <w:r w:rsidR="00EC0669" w:rsidRPr="00C22614">
        <w:t xml:space="preserve">roteinase K (Qiagen) </w:t>
      </w:r>
      <w:r w:rsidR="00EC0669">
        <w:t>was added the next day. Samples were incubated at room temperature for 4 days</w:t>
      </w:r>
      <w:r w:rsidR="001F2DCE">
        <w:t>—</w:t>
      </w:r>
      <w:r w:rsidR="00EC0669">
        <w:t>until</w:t>
      </w:r>
      <w:r w:rsidR="001F2DCE">
        <w:t xml:space="preserve"> </w:t>
      </w:r>
      <w:r w:rsidR="00EC0669">
        <w:t xml:space="preserve">complete digestion. DNA was isolated using a column-based </w:t>
      </w:r>
      <w:r w:rsidR="00EC0669" w:rsidRPr="00C22614">
        <w:t xml:space="preserve">purification </w:t>
      </w:r>
      <w:r w:rsidR="00EC0669">
        <w:t xml:space="preserve">method eluted in 60 µl of EB buffer (Qiagen) </w:t>
      </w:r>
      <w:r w:rsidR="00EC0669" w:rsidRPr="00C22614">
        <w:t xml:space="preserve">and quantified using a Qubit </w:t>
      </w:r>
      <w:r w:rsidR="00EC0669">
        <w:t xml:space="preserve">3.0 </w:t>
      </w:r>
      <w:r w:rsidR="00EC0669" w:rsidRPr="00C22614">
        <w:t>fluorometer.</w:t>
      </w:r>
      <w:r w:rsidR="004A0A8F">
        <w:t xml:space="preserve"> </w:t>
      </w:r>
      <w:r w:rsidR="00EC0669" w:rsidRPr="00F659E7">
        <w:rPr>
          <w:i/>
        </w:rPr>
        <w:t> </w:t>
      </w:r>
    </w:p>
    <w:p w14:paraId="123F379E" w14:textId="77777777" w:rsidR="00EC0669" w:rsidRPr="00C21A2F" w:rsidRDefault="00EC0669" w:rsidP="00C21A2F">
      <w:pPr>
        <w:pStyle w:val="Heading2"/>
        <w:rPr>
          <w:rFonts w:ascii="Times New Roman" w:hAnsi="Times New Roman" w:cs="Times New Roman"/>
          <w:i/>
          <w:color w:val="auto"/>
          <w:sz w:val="24"/>
          <w:szCs w:val="24"/>
        </w:rPr>
      </w:pPr>
      <w:bookmarkStart w:id="16" w:name="_Toc8404628"/>
      <w:r w:rsidRPr="00C21A2F">
        <w:rPr>
          <w:rFonts w:ascii="Times New Roman" w:hAnsi="Times New Roman" w:cs="Times New Roman"/>
          <w:i/>
          <w:color w:val="auto"/>
          <w:sz w:val="24"/>
          <w:szCs w:val="24"/>
        </w:rPr>
        <w:t>Illumina library preparation and sequencing</w:t>
      </w:r>
      <w:bookmarkEnd w:id="16"/>
      <w:r w:rsidRPr="00C21A2F">
        <w:rPr>
          <w:rFonts w:ascii="Times New Roman" w:hAnsi="Times New Roman" w:cs="Times New Roman"/>
          <w:i/>
          <w:color w:val="auto"/>
          <w:sz w:val="24"/>
          <w:szCs w:val="24"/>
        </w:rPr>
        <w:t xml:space="preserve"> </w:t>
      </w:r>
    </w:p>
    <w:p w14:paraId="1E45561B" w14:textId="77777777" w:rsidR="00EC0669" w:rsidRPr="00C22614" w:rsidRDefault="00EC0669" w:rsidP="00EC0669">
      <w:pPr>
        <w:pStyle w:val="NormalWeb"/>
        <w:spacing w:before="0" w:beforeAutospacing="0" w:after="0" w:afterAutospacing="0"/>
      </w:pPr>
      <w:r w:rsidRPr="00C22614">
        <w:t> </w:t>
      </w:r>
    </w:p>
    <w:p w14:paraId="1010362C" w14:textId="2E1981E8" w:rsidR="00EC0669" w:rsidRDefault="001F2DCE" w:rsidP="00F659E7">
      <w:pPr>
        <w:pStyle w:val="NormalWeb"/>
        <w:spacing w:before="0" w:beforeAutospacing="0" w:after="0" w:afterAutospacing="0" w:line="480" w:lineRule="auto"/>
        <w:ind w:firstLine="720"/>
      </w:pPr>
      <w:r>
        <w:t>A</w:t>
      </w:r>
      <w:r w:rsidR="00EC0669">
        <w:t>pproximately 86.8 ng of DNA from the PPC</w:t>
      </w:r>
      <w:r w:rsidR="002F0FCF">
        <w:t>C</w:t>
      </w:r>
      <w:r w:rsidR="00EC0669">
        <w:t xml:space="preserve"> sample</w:t>
      </w:r>
      <w:r w:rsidR="00186C13">
        <w:t xml:space="preserve"> and </w:t>
      </w:r>
      <w:r w:rsidR="002F0FCF">
        <w:t xml:space="preserve">an unknown quantity of DNA from </w:t>
      </w:r>
      <w:r w:rsidR="00186C13">
        <w:t xml:space="preserve">PPL samples </w:t>
      </w:r>
      <w:r w:rsidR="002F0FCF">
        <w:t xml:space="preserve">(&lt;.01 ng) </w:t>
      </w:r>
      <w:r w:rsidR="00186C13">
        <w:t xml:space="preserve">were used for shotgun </w:t>
      </w:r>
      <w:r w:rsidR="00EC0669" w:rsidRPr="00C22614">
        <w:t xml:space="preserve">Illumina </w:t>
      </w:r>
      <w:r w:rsidR="00186C13">
        <w:t xml:space="preserve">library construction </w:t>
      </w:r>
      <w:r w:rsidR="00EC0669">
        <w:t xml:space="preserve">following </w:t>
      </w:r>
      <w:r w:rsidR="003A4D48" w:rsidRPr="00186C13">
        <w:t>Carøe</w:t>
      </w:r>
      <w:r w:rsidR="00186C13">
        <w:t xml:space="preserve"> et al. 2018 (with minor modifications)</w:t>
      </w:r>
      <w:r w:rsidR="00EC0669">
        <w:t xml:space="preserve">. End repair was performed using 16 </w:t>
      </w:r>
      <w:r w:rsidR="00EC0669" w:rsidRPr="00C22614">
        <w:t>µl reactions</w:t>
      </w:r>
      <w:r w:rsidR="004C6AD3">
        <w:t>—consisting of T4 DNA ligase reaction buffer, dNTPs, T4 PNK, and T4 DNA polymerase—</w:t>
      </w:r>
      <w:r w:rsidR="00EC0669" w:rsidRPr="00C22614">
        <w:t>with</w:t>
      </w:r>
      <w:r w:rsidR="004C6AD3">
        <w:t xml:space="preserve"> </w:t>
      </w:r>
      <w:r w:rsidR="00EC0669">
        <w:t>14</w:t>
      </w:r>
      <w:r w:rsidR="00EC0669" w:rsidRPr="00C22614">
        <w:t xml:space="preserve"> µl of DNA extract </w:t>
      </w:r>
      <w:r w:rsidR="002F0FCF">
        <w:t xml:space="preserve">and was </w:t>
      </w:r>
      <w:r w:rsidR="00EC0669" w:rsidRPr="00C22614">
        <w:t xml:space="preserve">incubated for </w:t>
      </w:r>
      <w:r w:rsidR="00EC0669">
        <w:t>3</w:t>
      </w:r>
      <w:r w:rsidR="00EC0669" w:rsidRPr="00C22614">
        <w:t xml:space="preserve">0 min at </w:t>
      </w:r>
      <w:r w:rsidR="00EC0669">
        <w:t>20</w:t>
      </w:r>
      <w:r w:rsidR="00EC0669" w:rsidRPr="00C22614">
        <w:t xml:space="preserve">° C and </w:t>
      </w:r>
      <w:r w:rsidR="00EC0669">
        <w:t>30</w:t>
      </w:r>
      <w:r w:rsidR="00EC0669" w:rsidRPr="00C22614">
        <w:t xml:space="preserve"> min at </w:t>
      </w:r>
      <w:r w:rsidR="00EC0669">
        <w:t>65</w:t>
      </w:r>
      <w:r w:rsidR="00EC0669" w:rsidRPr="00C22614">
        <w:t>° C</w:t>
      </w:r>
      <w:r w:rsidR="00EC0669">
        <w:t xml:space="preserve">. Following </w:t>
      </w:r>
      <w:r w:rsidR="00EC0669" w:rsidRPr="00C22614">
        <w:t xml:space="preserve">end-repair, Illumina adapters were ligated in </w:t>
      </w:r>
      <w:r w:rsidR="00EC0669">
        <w:t>2</w:t>
      </w:r>
      <w:r w:rsidR="00EC0669" w:rsidRPr="00C22614">
        <w:t>0 µl reactions</w:t>
      </w:r>
      <w:r w:rsidR="00EC0669">
        <w:t xml:space="preserve"> with 1 µl of BEDC3 adapter mix</w:t>
      </w:r>
      <w:r w:rsidR="002F0FCF">
        <w:t xml:space="preserve"> (</w:t>
      </w:r>
      <w:r w:rsidR="009B6AA1">
        <w:t xml:space="preserve">28.14 </w:t>
      </w:r>
      <w:r w:rsidR="009B6AA1" w:rsidRPr="00C22614">
        <w:t>µ</w:t>
      </w:r>
      <w:r w:rsidR="009B6AA1">
        <w:t>M</w:t>
      </w:r>
      <w:r w:rsidR="002F0FCF">
        <w:t>)</w:t>
      </w:r>
      <w:r w:rsidR="00EC0669">
        <w:t xml:space="preserve">. </w:t>
      </w:r>
      <w:r w:rsidR="00EC0669" w:rsidRPr="00C22614">
        <w:t xml:space="preserve">Reactions were incubated for </w:t>
      </w:r>
      <w:r w:rsidR="00EC0669">
        <w:t>30</w:t>
      </w:r>
      <w:r w:rsidR="00EC0669" w:rsidRPr="00C22614">
        <w:t xml:space="preserve"> min at </w:t>
      </w:r>
      <w:r w:rsidR="00EC0669">
        <w:t>20</w:t>
      </w:r>
      <w:r w:rsidR="00EC0669" w:rsidRPr="00C22614">
        <w:t xml:space="preserve">° C and </w:t>
      </w:r>
      <w:r w:rsidR="00EC0669">
        <w:t>for 10 min at 65</w:t>
      </w:r>
      <w:r w:rsidR="00EC0669" w:rsidRPr="00C22614">
        <w:t>° C</w:t>
      </w:r>
      <w:r w:rsidR="00EC0669">
        <w:t xml:space="preserve"> </w:t>
      </w:r>
      <w:r w:rsidR="00EC0669" w:rsidRPr="00C22614">
        <w:t>followed by 20 min at 80° C</w:t>
      </w:r>
      <w:r w:rsidR="003C6B5B">
        <w:t xml:space="preserve">. For </w:t>
      </w:r>
      <w:r w:rsidR="00EC0669" w:rsidRPr="00C22614">
        <w:t>adapter fil</w:t>
      </w:r>
      <w:r w:rsidR="00EC0669">
        <w:t>l</w:t>
      </w:r>
      <w:r w:rsidR="00EC0669" w:rsidRPr="00C22614">
        <w:t>-in</w:t>
      </w:r>
      <w:r w:rsidR="003C6B5B">
        <w:t xml:space="preserve">, </w:t>
      </w:r>
      <w:r w:rsidR="009B6AA1">
        <w:t>Isothermal amplification buffer, dNTPs, water, and Bst 2.0 Warmstart Polymerase</w:t>
      </w:r>
      <w:r w:rsidR="00343432">
        <w:t xml:space="preserve"> </w:t>
      </w:r>
      <w:r w:rsidR="003C6B5B">
        <w:t>were incubated for 20 min at 65</w:t>
      </w:r>
      <w:r w:rsidR="003C6B5B" w:rsidRPr="00C22614">
        <w:t>° C</w:t>
      </w:r>
      <w:r w:rsidR="003C6B5B">
        <w:t xml:space="preserve"> and for 20 min at 80</w:t>
      </w:r>
      <w:r w:rsidR="003C6B5B" w:rsidRPr="00C22614">
        <w:t>° C</w:t>
      </w:r>
      <w:r w:rsidR="003C6B5B">
        <w:t xml:space="preserve"> in a final volume of 30 </w:t>
      </w:r>
      <w:r w:rsidR="003C6B5B" w:rsidRPr="00C22614">
        <w:t>µl</w:t>
      </w:r>
      <w:r w:rsidR="00603C7A">
        <w:t xml:space="preserve"> </w:t>
      </w:r>
      <w:r w:rsidR="00603C7A">
        <w:fldChar w:fldCharType="begin"/>
      </w:r>
      <w:r w:rsidR="00603C7A">
        <w:instrText xml:space="preserve"> ADDIN ZOTERO_ITEM CSL_CITATION {"citationID":"fmqKjtiA","properties":{"formattedCitation":"(Car\\uc0\\u248{}e et al., 2018)","plainCitation":"(Carøe et al., 2018)","noteIndex":0},"citationItems":[{"id":1134,"uris":["http://zotero.org/users/4461938/items/TTE3VGCF"],"uri":["http://zotero.org/users/4461938/items/TTE3VGCF"],"itemData":{"id":1134,"type":"article-journal","title":"Single-tube library preparation for degraded DNA","container-title":"Methods in Ecology and Evolution","page":"410-419","volume":"9","issue":"2","source":"DOI.org (Crossref)","DOI":"10.1111/2041-210X.12871","ISSN":"2041210X","language":"en","author":[{"family":"Carøe","given":"Christian"},{"family":"Gopalakrishnan","given":"Shyam"},{"family":"Vinner","given":"Lasse"},{"family":"Mak","given":"Sarah S. T."},{"family":"Sinding","given":"Mikkel Holger S."},{"family":"Samaniego","given":"José A."},{"family":"Wales","given":"Nathan"},{"family":"Sicheritz-Pontén","given":"Thomas"},{"family":"Gilbert","given":"M. Thomas P."}],"editor":[{"family":"Johnston","given":"Susan"}],"issued":{"date-parts":[["2018",2]]}}}],"schema":"https://github.com/citation-style-language/schema/raw/master/csl-citation.json"} </w:instrText>
      </w:r>
      <w:r w:rsidR="00603C7A">
        <w:fldChar w:fldCharType="separate"/>
      </w:r>
      <w:r w:rsidR="00603C7A" w:rsidRPr="00603C7A">
        <w:t>(Carøe et al., 2018)</w:t>
      </w:r>
      <w:r w:rsidR="00603C7A">
        <w:fldChar w:fldCharType="end"/>
      </w:r>
      <w:r w:rsidR="003C6B5B">
        <w:t>.</w:t>
      </w:r>
      <w:r w:rsidR="00EC0669" w:rsidRPr="00C22614">
        <w:t xml:space="preserve"> </w:t>
      </w:r>
      <w:r w:rsidR="003C6B5B">
        <w:t>T</w:t>
      </w:r>
      <w:r w:rsidR="00186C13">
        <w:t>he reaction</w:t>
      </w:r>
      <w:r w:rsidR="003C6B5B">
        <w:t>s</w:t>
      </w:r>
      <w:r w:rsidR="00186C13">
        <w:t xml:space="preserve"> w</w:t>
      </w:r>
      <w:r w:rsidR="003C6B5B">
        <w:t>ere</w:t>
      </w:r>
      <w:r w:rsidR="00186C13">
        <w:t xml:space="preserve"> purified using</w:t>
      </w:r>
      <w:r w:rsidR="00EC0669">
        <w:t xml:space="preserve"> </w:t>
      </w:r>
      <w:r w:rsidR="00603C7A">
        <w:t xml:space="preserve">modified </w:t>
      </w:r>
      <w:r w:rsidR="00EC0669">
        <w:t>Speedbeads</w:t>
      </w:r>
      <w:r w:rsidR="00343432">
        <w:t xml:space="preserve"> </w:t>
      </w:r>
      <w:r w:rsidR="00343432">
        <w:fldChar w:fldCharType="begin"/>
      </w:r>
      <w:r w:rsidR="00343432">
        <w:instrText xml:space="preserve"> ADDIN ZOTERO_ITEM CSL_CITATION {"citationID":"QjHruJbD","properties":{"formattedCitation":"(Rohland and Reich, 2012)","plainCitation":"(Rohland and Reich, 2012)","noteIndex":0},"citationItems":[{"id":1229,"uris":["http://zotero.org/users/4461938/items/2ADH4RVU"],"uri":["http://zotero.org/users/4461938/items/2ADH4RVU"],"itemData":{"id":1229,"type":"article-journal","title":"Cost-effective, high-throughput DNA sequencing libraries for multiplexed target capture","container-title":"Genome research","page":"939-946","volume":"22","issue":"5","ISSN":"1088-9051","journalAbbreviation":"Genome research","author":[{"family":"Rohland","given":"Nadin"},{"family":"Reich","given":"David"}],"issued":{"date-parts":[["2012"]]}}}],"schema":"https://github.com/citation-style-language/schema/raw/master/csl-citation.json"} </w:instrText>
      </w:r>
      <w:r w:rsidR="00343432">
        <w:fldChar w:fldCharType="separate"/>
      </w:r>
      <w:r w:rsidR="00343432" w:rsidRPr="00343432">
        <w:t>(Rohland and Reich, 2012)</w:t>
      </w:r>
      <w:r w:rsidR="00343432">
        <w:fldChar w:fldCharType="end"/>
      </w:r>
      <w:r w:rsidR="00EC0669">
        <w:t>. A quantitative PCR (qPCR, Lightcycler 480 Roche)</w:t>
      </w:r>
      <w:r w:rsidR="003C6B5B">
        <w:t xml:space="preserve"> </w:t>
      </w:r>
      <w:r w:rsidR="00EC0669">
        <w:t xml:space="preserve">was performed on each sample to evaluate the amount of DNA present in each library. </w:t>
      </w:r>
      <w:r w:rsidR="00EC0669" w:rsidRPr="00C22614">
        <w:t xml:space="preserve">Libraries were amplified </w:t>
      </w:r>
      <w:r w:rsidR="00EC0669">
        <w:t>in triplicate</w:t>
      </w:r>
      <w:r w:rsidR="00EC0669" w:rsidRPr="00C22614">
        <w:t xml:space="preserve"> </w:t>
      </w:r>
      <w:r w:rsidR="00EC0669">
        <w:t>25</w:t>
      </w:r>
      <w:r w:rsidR="00EC0669" w:rsidRPr="00C22614">
        <w:t xml:space="preserve"> µl PCR reaction</w:t>
      </w:r>
      <w:r w:rsidR="00EC0669">
        <w:t>s</w:t>
      </w:r>
      <w:r w:rsidR="00EC0669" w:rsidRPr="00C22614">
        <w:t xml:space="preserve"> using </w:t>
      </w:r>
      <w:r w:rsidR="00EC0669">
        <w:t>4</w:t>
      </w:r>
      <w:r w:rsidR="00EC0669" w:rsidRPr="00C22614">
        <w:t xml:space="preserve"> µl template, </w:t>
      </w:r>
      <w:r w:rsidR="00EC0669">
        <w:t>12.5</w:t>
      </w:r>
      <w:r w:rsidR="00EC0669" w:rsidRPr="00C22614">
        <w:t xml:space="preserve"> µl of a 2x KAPA </w:t>
      </w:r>
      <w:r w:rsidR="00EC0669">
        <w:t>HiFi HotStart Ready master mix,</w:t>
      </w:r>
      <w:r w:rsidR="00EC0669" w:rsidRPr="00C22614">
        <w:t xml:space="preserve"> </w:t>
      </w:r>
      <w:r w:rsidR="00EC0669">
        <w:t>6</w:t>
      </w:r>
      <w:r w:rsidR="00EC0669" w:rsidRPr="00C22614">
        <w:t xml:space="preserve"> µl H20, 1.5 µl DMSO, 1 µl BSA (2</w:t>
      </w:r>
      <w:r w:rsidR="00EC0669">
        <w:t>.5</w:t>
      </w:r>
      <w:r w:rsidR="00EC0669" w:rsidRPr="00C22614">
        <w:t xml:space="preserve"> mg/ml), and </w:t>
      </w:r>
      <w:r w:rsidR="00EC0669">
        <w:t>0.75</w:t>
      </w:r>
      <w:r w:rsidR="00EC0669" w:rsidRPr="00C22614">
        <w:t xml:space="preserve"> µl each </w:t>
      </w:r>
      <w:r w:rsidR="004C6AD3">
        <w:t xml:space="preserve">of barcoded </w:t>
      </w:r>
      <w:r w:rsidR="00EC0669" w:rsidRPr="00C22614">
        <w:t>forward and reverse ind</w:t>
      </w:r>
      <w:r w:rsidR="004C6AD3">
        <w:t>ices</w:t>
      </w:r>
      <w:r w:rsidR="00EC0669" w:rsidRPr="00C22614">
        <w:t xml:space="preserve"> (10</w:t>
      </w:r>
      <w:r w:rsidR="00EC0669">
        <w:t xml:space="preserve"> </w:t>
      </w:r>
      <w:r w:rsidR="00EC0669" w:rsidRPr="00C22614">
        <w:t>µM). Thermocycl</w:t>
      </w:r>
      <w:r w:rsidR="00603C7A">
        <w:t>er</w:t>
      </w:r>
      <w:r w:rsidR="00EC0669" w:rsidRPr="00C22614">
        <w:t xml:space="preserve"> conditions were 5 min at 9</w:t>
      </w:r>
      <w:r w:rsidR="00EC0669">
        <w:t>5</w:t>
      </w:r>
      <w:r w:rsidR="00EC0669" w:rsidRPr="00C22614">
        <w:t>° C followed by a 12</w:t>
      </w:r>
      <w:r w:rsidR="00EC0669">
        <w:t>-25</w:t>
      </w:r>
      <w:r w:rsidR="00EC0669" w:rsidRPr="00C22614">
        <w:t xml:space="preserve"> cycles of </w:t>
      </w:r>
      <w:r w:rsidR="00EC0669">
        <w:t>20</w:t>
      </w:r>
      <w:r w:rsidR="00EC0669" w:rsidRPr="00C22614">
        <w:t xml:space="preserve"> seconds at 9</w:t>
      </w:r>
      <w:r w:rsidR="00EC0669">
        <w:t>8</w:t>
      </w:r>
      <w:r w:rsidR="00EC0669" w:rsidRPr="00C22614">
        <w:t xml:space="preserve">° C, </w:t>
      </w:r>
      <w:r w:rsidR="00EC0669">
        <w:t>15</w:t>
      </w:r>
      <w:r w:rsidR="00EC0669" w:rsidRPr="00C22614">
        <w:t xml:space="preserve"> seconds at 60° C, and </w:t>
      </w:r>
      <w:r w:rsidR="00EC0669">
        <w:t>3</w:t>
      </w:r>
      <w:r w:rsidR="00EC0669" w:rsidRPr="00C22614">
        <w:t xml:space="preserve">0 seconds at 72° C, followed by </w:t>
      </w:r>
      <w:r w:rsidR="00EC0669" w:rsidRPr="00C22614">
        <w:lastRenderedPageBreak/>
        <w:t xml:space="preserve">a final elongation step for 1 minute at 72° C. </w:t>
      </w:r>
      <w:r w:rsidR="003C6B5B">
        <w:t>Pooled triplicate a</w:t>
      </w:r>
      <w:r w:rsidR="00EC0669" w:rsidRPr="00C22614">
        <w:t xml:space="preserve">mplified libraries were then purified using </w:t>
      </w:r>
      <w:r w:rsidR="00EC0669">
        <w:t>Speedbeads</w:t>
      </w:r>
      <w:r w:rsidR="00EC0669" w:rsidRPr="00C22614">
        <w:t xml:space="preserve"> and eluted in 30 µl EB. </w:t>
      </w:r>
      <w:r w:rsidR="003C6B5B">
        <w:t xml:space="preserve">The libraries </w:t>
      </w:r>
      <w:r w:rsidR="004C6AD3">
        <w:t xml:space="preserve">were </w:t>
      </w:r>
      <w:r w:rsidR="00EC0669">
        <w:t>quantified using quantitative PCR (qPCR, Lightcycler 480 Roche</w:t>
      </w:r>
      <w:r w:rsidR="00186C13">
        <w:t>)</w:t>
      </w:r>
      <w:r w:rsidR="003C6B5B">
        <w:t xml:space="preserve"> and library size was estimated on a Fragment Analyzer</w:t>
      </w:r>
      <w:r w:rsidR="00EC0669">
        <w:t>.</w:t>
      </w:r>
      <w:r w:rsidR="003C6B5B">
        <w:t xml:space="preserve"> Libraries were pooled in equimolar ratios and a</w:t>
      </w:r>
      <w:r w:rsidR="00EC0669">
        <w:t xml:space="preserve"> Pippin Prep </w:t>
      </w:r>
      <w:r w:rsidR="003C6B5B">
        <w:t>was used to</w:t>
      </w:r>
      <w:r w:rsidR="0081470C">
        <w:t xml:space="preserve"> </w:t>
      </w:r>
      <w:r w:rsidR="00EC0669">
        <w:t>select</w:t>
      </w:r>
      <w:r w:rsidR="003C6B5B">
        <w:t xml:space="preserve"> DNA molecules between </w:t>
      </w:r>
      <w:r w:rsidR="00EC0669">
        <w:t xml:space="preserve">150 to 500 bp. </w:t>
      </w:r>
      <w:r w:rsidR="003C6B5B">
        <w:t xml:space="preserve">The pool was sequenced on an </w:t>
      </w:r>
      <w:r w:rsidR="00EC0669" w:rsidRPr="00C22614">
        <w:t>Illumina HiSeq 2500 using a paired-end, 2 x 1</w:t>
      </w:r>
      <w:r w:rsidR="00EB13A6">
        <w:t>50</w:t>
      </w:r>
      <w:r w:rsidR="00EC0669" w:rsidRPr="00C22614">
        <w:t xml:space="preserve"> bp, rapid-run chemistry</w:t>
      </w:r>
      <w:r w:rsidR="003C6B5B">
        <w:t xml:space="preserve"> at the Oklahoma Medical Research Foundation</w:t>
      </w:r>
      <w:r w:rsidR="00EC0669" w:rsidRPr="00C22614">
        <w:t xml:space="preserve">. </w:t>
      </w:r>
    </w:p>
    <w:p w14:paraId="5E8498CD" w14:textId="77777777" w:rsidR="00CE72C7" w:rsidRPr="00C21A2F" w:rsidRDefault="00CE72C7" w:rsidP="00C21A2F">
      <w:pPr>
        <w:pStyle w:val="Heading2"/>
        <w:rPr>
          <w:rFonts w:ascii="Times New Roman" w:hAnsi="Times New Roman" w:cs="Times New Roman"/>
          <w:i/>
          <w:color w:val="auto"/>
          <w:sz w:val="24"/>
          <w:szCs w:val="24"/>
        </w:rPr>
      </w:pPr>
      <w:bookmarkStart w:id="17" w:name="_Toc8404629"/>
      <w:r w:rsidRPr="00C21A2F">
        <w:rPr>
          <w:rFonts w:ascii="Times New Roman" w:hAnsi="Times New Roman" w:cs="Times New Roman"/>
          <w:i/>
          <w:color w:val="auto"/>
          <w:sz w:val="24"/>
          <w:szCs w:val="24"/>
        </w:rPr>
        <w:t>Shotgun data analysis and quality filtering</w:t>
      </w:r>
      <w:bookmarkEnd w:id="17"/>
      <w:r w:rsidRPr="00C21A2F">
        <w:rPr>
          <w:rFonts w:ascii="Times New Roman" w:hAnsi="Times New Roman" w:cs="Times New Roman"/>
          <w:i/>
          <w:color w:val="auto"/>
          <w:sz w:val="24"/>
          <w:szCs w:val="24"/>
        </w:rPr>
        <w:t xml:space="preserve"> </w:t>
      </w:r>
    </w:p>
    <w:p w14:paraId="1FE6E07E" w14:textId="13E93900" w:rsidR="00CE72C7" w:rsidRDefault="00186C13" w:rsidP="00603C7A">
      <w:pPr>
        <w:pStyle w:val="NormalWeb"/>
        <w:spacing w:before="0" w:beforeAutospacing="0" w:after="0" w:afterAutospacing="0" w:line="480" w:lineRule="auto"/>
        <w:ind w:firstLine="720"/>
      </w:pPr>
      <w:r w:rsidRPr="00186C13">
        <w:t xml:space="preserve">Low quality and adapter sequences </w:t>
      </w:r>
      <w:r w:rsidR="00CE72C7" w:rsidRPr="00186C13">
        <w:t xml:space="preserve">were removed using AdapterRemoval </w:t>
      </w:r>
      <w:r w:rsidR="00CE72C7" w:rsidRPr="00186C13">
        <w:fldChar w:fldCharType="begin"/>
      </w:r>
      <w:r w:rsidR="00CE72C7" w:rsidRPr="00186C13">
        <w:instrText xml:space="preserve"> ADDIN ZOTERO_ITEM CSL_CITATION {"citationID":"2FfdYihN","properties":{"formattedCitation":"(Schubert et al., 2016)","plainCitation":"(Schubert et al., 2016)","noteIndex":0},"citationItems":[{"id":938,"uris":["http://zotero.org/users/4461938/items/CS25T8VD"],"uri":["http://zotero.org/users/4461938/items/CS25T8VD"],"itemData":{"id":938,"type":"article-journal","title":"AdapterRemoval v2: rapid adapter trimming, identification, and read merging","container-title":"BMC research notes","page":"88","volume":"9","issue":"1","author":[{"family":"Schubert","given":"Mikkel"},{"family":"Lindgreen","given":"Stinus"},{"family":"Orlando","given":"Ludovic"}],"issued":{"date-parts":[["2016"]]}}}],"schema":"https://github.com/citation-style-language/schema/raw/master/csl-citation.json"} </w:instrText>
      </w:r>
      <w:r w:rsidR="00CE72C7" w:rsidRPr="00186C13">
        <w:fldChar w:fldCharType="separate"/>
      </w:r>
      <w:r w:rsidR="00CE72C7" w:rsidRPr="00186C13">
        <w:t>(Schubert et al., 2016)</w:t>
      </w:r>
      <w:r w:rsidR="00CE72C7" w:rsidRPr="00186C13">
        <w:fldChar w:fldCharType="end"/>
      </w:r>
      <w:r w:rsidR="00CE72C7" w:rsidRPr="00186C13">
        <w:t xml:space="preserve"> with the following options: --trimns --trimqualities --minquality 20 --collapse --minlength 30. </w:t>
      </w:r>
      <w:r w:rsidR="00412E66">
        <w:t xml:space="preserve">The resulting analysis-ready reads were used for downstream analyses. </w:t>
      </w:r>
    </w:p>
    <w:p w14:paraId="3154D8E3" w14:textId="77777777" w:rsidR="00CE72C7" w:rsidRPr="00C21A2F" w:rsidRDefault="00CE72C7" w:rsidP="00C21A2F">
      <w:pPr>
        <w:pStyle w:val="Heading2"/>
        <w:rPr>
          <w:rFonts w:ascii="Times New Roman" w:hAnsi="Times New Roman" w:cs="Times New Roman"/>
          <w:i/>
          <w:color w:val="auto"/>
          <w:sz w:val="24"/>
          <w:szCs w:val="24"/>
        </w:rPr>
      </w:pPr>
      <w:bookmarkStart w:id="18" w:name="_Toc8404630"/>
      <w:r w:rsidRPr="00C21A2F">
        <w:rPr>
          <w:rFonts w:ascii="Times New Roman" w:hAnsi="Times New Roman" w:cs="Times New Roman"/>
          <w:i/>
          <w:color w:val="auto"/>
          <w:sz w:val="24"/>
          <w:szCs w:val="24"/>
        </w:rPr>
        <w:t>Metataxonomic characterization</w:t>
      </w:r>
      <w:bookmarkEnd w:id="18"/>
      <w:r w:rsidRPr="00C21A2F">
        <w:rPr>
          <w:rFonts w:ascii="Times New Roman" w:hAnsi="Times New Roman" w:cs="Times New Roman"/>
          <w:i/>
          <w:color w:val="auto"/>
          <w:sz w:val="24"/>
          <w:szCs w:val="24"/>
        </w:rPr>
        <w:t xml:space="preserve"> </w:t>
      </w:r>
    </w:p>
    <w:p w14:paraId="1F115A21" w14:textId="3FC9C187" w:rsidR="00CE72C7" w:rsidRDefault="00E969BB" w:rsidP="00CE72C7">
      <w:pPr>
        <w:pStyle w:val="NormalWeb"/>
        <w:spacing w:before="0" w:beforeAutospacing="0" w:after="0" w:afterAutospacing="0" w:line="480" w:lineRule="auto"/>
        <w:ind w:firstLine="720"/>
      </w:pPr>
      <w:r>
        <w:t xml:space="preserve">Analysis-ready </w:t>
      </w:r>
      <w:r w:rsidR="00CE72C7">
        <w:t xml:space="preserve">reads from the 4 dental calculus samples were mapped to the </w:t>
      </w:r>
      <w:r w:rsidR="00412E66">
        <w:t>G</w:t>
      </w:r>
      <w:r w:rsidR="00CE72C7">
        <w:t xml:space="preserve">reengenes (v13.8) </w:t>
      </w:r>
      <w:r w:rsidR="00CE72C7" w:rsidRPr="00224D2B">
        <w:t xml:space="preserve">16S rRNA gene database </w:t>
      </w:r>
      <w:r w:rsidR="00CE72C7" w:rsidRPr="00224D2B">
        <w:fldChar w:fldCharType="begin"/>
      </w:r>
      <w:r w:rsidR="00CE72C7" w:rsidRPr="00224D2B">
        <w:instrText xml:space="preserve"> ADDIN ZOTERO_ITEM CSL_CITATION {"citationID":"MCEvbgIR","properties":{"formattedCitation":"(DeSantis et al., 2006)","plainCitation":"(DeSantis et al., 2006)","noteIndex":0},"citationItems":[{"id":857,"uris":["http://zotero.org/users/4461938/items/AJ3SBGKB"],"uri":["http://zotero.org/users/4461938/items/AJ3SBGKB"],"itemData":{"id":857,"type":"article-journal","title":"Greengenes, a chimera-checked 16S rRNA gene database and workbench compatible with ARB","container-title":"Appl. Environ. Microbiol.","page":"5069-5072","volume":"72","issue":"7","author":[{"family":"DeSantis","given":"Todd Z."},{"family":"Hugenholtz","given":"Philip"},{"family":"Larsen","given":"Neils"},{"family":"Rojas","given":"Mark"},{"family":"Brodie","given":"Eoin L."},{"family":"Keller","given":"Keith"},{"family":"Huber","given":"Thomas"},{"family":"Dalevi","given":"Daniel"},{"family":"Hu","given":"Ping"},{"family":"Andersen","given":"Gary L."}],"issued":{"date-parts":[["2006"]]}}}],"schema":"https://github.com/citation-style-language/schema/raw/master/csl-citation.json"} </w:instrText>
      </w:r>
      <w:r w:rsidR="00CE72C7" w:rsidRPr="00224D2B">
        <w:fldChar w:fldCharType="separate"/>
      </w:r>
      <w:r w:rsidR="00CE72C7" w:rsidRPr="00224D2B">
        <w:t>(DeSantis et al., 2006)</w:t>
      </w:r>
      <w:r w:rsidR="00CE72C7" w:rsidRPr="00224D2B">
        <w:fldChar w:fldCharType="end"/>
      </w:r>
      <w:r w:rsidR="00CE72C7" w:rsidRPr="00224D2B">
        <w:t xml:space="preserve"> using bowtie2 aligner </w:t>
      </w:r>
      <w:r w:rsidR="00CE72C7" w:rsidRPr="00224D2B">
        <w:fldChar w:fldCharType="begin"/>
      </w:r>
      <w:r w:rsidR="00CE72C7" w:rsidRPr="00224D2B">
        <w:instrText xml:space="preserve"> ADDIN ZOTERO_ITEM CSL_CITATION {"citationID":"wAkDqPma","properties":{"formattedCitation":"(Langmead and Salzberg, 2012)","plainCitation":"(Langmead and Salzberg, 2012)","noteIndex":0},"citationItems":[{"id":914,"uris":["http://zotero.org/users/4461938/items/WEZ354WL"],"uri":["http://zotero.org/users/4461938/items/WEZ354WL"],"itemData":{"id":914,"type":"article-journal","title":"Fast gapped-read alignment with Bowtie 2","container-title":"Nature methods","page":"357","volume":"9","issue":"4","author":[{"family":"Langmead","given":"Ben"},{"family":"Salzberg","given":"Steven L."}],"issued":{"date-parts":[["2012"]]}}}],"schema":"https://github.com/citation-style-language/schema/raw/master/csl-citation.json"} </w:instrText>
      </w:r>
      <w:r w:rsidR="00CE72C7" w:rsidRPr="00224D2B">
        <w:fldChar w:fldCharType="separate"/>
      </w:r>
      <w:r w:rsidR="00CE72C7" w:rsidRPr="00224D2B">
        <w:t>(Langmead and Salzberg, 2012)</w:t>
      </w:r>
      <w:r w:rsidR="00CE72C7" w:rsidRPr="00224D2B">
        <w:fldChar w:fldCharType="end"/>
      </w:r>
      <w:r w:rsidR="00CE72C7">
        <w:t xml:space="preserve">. SAMtools </w:t>
      </w:r>
      <w:r w:rsidR="00714924">
        <w:t xml:space="preserve">(v. 1.5) </w:t>
      </w:r>
      <w:r w:rsidR="00CE72C7">
        <w:t xml:space="preserve">was then used to sort and de-duplicate the mapped reads. </w:t>
      </w:r>
      <w:r w:rsidR="00B9470E">
        <w:t xml:space="preserve">Reads that mapped to the greengenes database were </w:t>
      </w:r>
      <w:r w:rsidR="00412E66">
        <w:t xml:space="preserve">assigned to operational taxonomic units (OTU) </w:t>
      </w:r>
      <w:r w:rsidR="00B9470E">
        <w:t>using QIIME</w:t>
      </w:r>
      <w:r w:rsidR="00714924">
        <w:t xml:space="preserve"> (v. 1.9.1)</w:t>
      </w:r>
      <w:r w:rsidR="00B9470E">
        <w:t xml:space="preserve">. </w:t>
      </w:r>
      <w:r w:rsidR="00CE72C7">
        <w:t xml:space="preserve">Taxonomic binning was performed against the greengenes 16S rRNA gene database (version 13.8) preclustered at 97% sequence similarity with the pick_closed_reference_otus.py script and the following options: --max_accepts 500, max_rejects 500, --word_length 12, --stepwords 20, --enable_rev_strand_match True. The </w:t>
      </w:r>
      <w:r w:rsidR="00DC255B">
        <w:t>operational taxonomic unit (OUT)</w:t>
      </w:r>
      <w:r w:rsidR="00B9470E">
        <w:t xml:space="preserve"> </w:t>
      </w:r>
      <w:r w:rsidR="00CE72C7">
        <w:t>file was then rarefied to 1</w:t>
      </w:r>
      <w:r w:rsidR="0045169B">
        <w:t>1</w:t>
      </w:r>
      <w:r w:rsidR="00CE72C7">
        <w:t xml:space="preserve">00 reads </w:t>
      </w:r>
      <w:r w:rsidR="00714924">
        <w:t xml:space="preserve">to </w:t>
      </w:r>
      <w:r w:rsidR="00B9470E">
        <w:t>explore metataxonomic</w:t>
      </w:r>
      <w:r w:rsidR="00CE72C7">
        <w:t xml:space="preserve"> diversity. </w:t>
      </w:r>
    </w:p>
    <w:p w14:paraId="77BB7069" w14:textId="11595091" w:rsidR="00CE72C7" w:rsidRPr="00F23AE9" w:rsidRDefault="00DC255B" w:rsidP="00CE72C7">
      <w:pPr>
        <w:spacing w:line="480" w:lineRule="auto"/>
        <w:ind w:firstLine="720"/>
        <w:rPr>
          <w:sz w:val="24"/>
          <w:szCs w:val="24"/>
        </w:rPr>
      </w:pPr>
      <w:r>
        <w:rPr>
          <w:sz w:val="24"/>
          <w:szCs w:val="24"/>
        </w:rPr>
        <w:t xml:space="preserve">Additionally, </w:t>
      </w:r>
      <w:r w:rsidR="00CE72C7" w:rsidRPr="00683530">
        <w:rPr>
          <w:sz w:val="24"/>
          <w:szCs w:val="24"/>
        </w:rPr>
        <w:t>Metataxonomic Phylogenetic Analysis (MetaPhlAn)</w:t>
      </w:r>
      <w:r w:rsidR="00714924">
        <w:rPr>
          <w:sz w:val="24"/>
          <w:szCs w:val="24"/>
        </w:rPr>
        <w:t xml:space="preserve"> (v. 2.7.7)</w:t>
      </w:r>
      <w:r w:rsidR="00CE72C7" w:rsidRPr="00683530">
        <w:rPr>
          <w:sz w:val="24"/>
          <w:szCs w:val="24"/>
        </w:rPr>
        <w:t xml:space="preserve"> was also used to estimate phylum, genus, and species abundance. </w:t>
      </w:r>
      <w:r w:rsidR="00B9470E">
        <w:rPr>
          <w:sz w:val="24"/>
          <w:szCs w:val="24"/>
        </w:rPr>
        <w:t>Merged reads</w:t>
      </w:r>
      <w:r w:rsidR="00CE72C7" w:rsidRPr="00683530">
        <w:rPr>
          <w:sz w:val="24"/>
          <w:szCs w:val="24"/>
        </w:rPr>
        <w:t xml:space="preserve"> were taxonomically binned using the metaphlan2.py script. The script generated two files for each sample, one </w:t>
      </w:r>
      <w:r w:rsidR="00CE72C7" w:rsidRPr="00683530">
        <w:rPr>
          <w:sz w:val="24"/>
          <w:szCs w:val="24"/>
        </w:rPr>
        <w:lastRenderedPageBreak/>
        <w:t xml:space="preserve">containing reads that mapped to specific sequence markers and the other containing the relative abundances at each taxonomic level. </w:t>
      </w:r>
    </w:p>
    <w:p w14:paraId="6CD476D6" w14:textId="77777777" w:rsidR="00CE72C7" w:rsidRPr="00C21A2F" w:rsidRDefault="00CE72C7" w:rsidP="00C21A2F">
      <w:pPr>
        <w:pStyle w:val="Heading2"/>
        <w:rPr>
          <w:rFonts w:ascii="Times New Roman" w:hAnsi="Times New Roman" w:cs="Times New Roman"/>
          <w:i/>
          <w:color w:val="auto"/>
          <w:sz w:val="24"/>
          <w:szCs w:val="24"/>
        </w:rPr>
      </w:pPr>
      <w:bookmarkStart w:id="19" w:name="_Toc8404631"/>
      <w:r w:rsidRPr="00C21A2F">
        <w:rPr>
          <w:rFonts w:ascii="Times New Roman" w:hAnsi="Times New Roman" w:cs="Times New Roman"/>
          <w:i/>
          <w:color w:val="auto"/>
          <w:sz w:val="24"/>
          <w:szCs w:val="24"/>
        </w:rPr>
        <w:t>SourceTracker –a Bayesian approach to estimate endogenous and exogenous content</w:t>
      </w:r>
      <w:bookmarkEnd w:id="19"/>
      <w:r w:rsidRPr="00C21A2F">
        <w:rPr>
          <w:rFonts w:ascii="Times New Roman" w:hAnsi="Times New Roman" w:cs="Times New Roman"/>
          <w:i/>
          <w:color w:val="auto"/>
          <w:sz w:val="24"/>
          <w:szCs w:val="24"/>
        </w:rPr>
        <w:t xml:space="preserve"> </w:t>
      </w:r>
    </w:p>
    <w:p w14:paraId="12811444" w14:textId="3B6BAB9B" w:rsidR="00CE72C7" w:rsidRPr="006D5A14" w:rsidRDefault="00CE72C7" w:rsidP="0088205F">
      <w:pPr>
        <w:pStyle w:val="NormalWeb"/>
        <w:spacing w:before="0" w:beforeAutospacing="0" w:after="0" w:afterAutospacing="0" w:line="480" w:lineRule="auto"/>
        <w:ind w:firstLine="720"/>
      </w:pPr>
      <w:r w:rsidRPr="00C22614">
        <w:t xml:space="preserve">Potential source contribution to samples were calculated from </w:t>
      </w:r>
      <w:r w:rsidR="00714924">
        <w:t xml:space="preserve">rarefied </w:t>
      </w:r>
      <w:r w:rsidRPr="00C22614">
        <w:t>genus-level bacterial and archaeal taxonomic frequency</w:t>
      </w:r>
      <w:r w:rsidR="0081470C">
        <w:t xml:space="preserve"> tables</w:t>
      </w:r>
      <w:r w:rsidRPr="00C22614">
        <w:t xml:space="preserve"> </w:t>
      </w:r>
      <w:r w:rsidR="00B63BE3">
        <w:t xml:space="preserve">from QIIME </w:t>
      </w:r>
      <w:r w:rsidRPr="00C22614">
        <w:t>using Sourcetracker version 0.9.8</w:t>
      </w:r>
      <w:r w:rsidR="009E7FE4">
        <w:t xml:space="preserve"> </w:t>
      </w:r>
      <w:r w:rsidR="009E7FE4">
        <w:fldChar w:fldCharType="begin"/>
      </w:r>
      <w:r w:rsidR="009E7FE4">
        <w:instrText xml:space="preserve"> ADDIN ZOTERO_ITEM CSL_CITATION {"citationID":"kvtdc2H2","properties":{"formattedCitation":"(Knights et al., 2011)","plainCitation":"(Knights et al., 2011)","noteIndex":0},"citationItems":[{"id":435,"uris":["http://zotero.org/users/4461938/items/GQGR4S7D"],"uri":["http://zotero.org/users/4461938/items/GQGR4S7D"],"itemData":{"id":435,"type":"article-journal","title":"Bayesian community-wide culture-independent microbial source tracking","container-title":"Nature Methods","page":"761-763","volume":"8","issue":"9","source":"www-nature-com.ezproxy.lib.ou.edu","abstract":"Contamination is a critical issue in high-throughput metagenomic studies, yet progress toward a comprehensive solution has been limited. We present SourceTracker, a Bayesian approach to estimate the proportion of contaminants in a given community that come from possible source environments. We applied SourceTracker to microbial surveys from neonatal intensive care units (NICUs), offices and molecular biology laboratories, and provide a database of known contaminants for future testing.","DOI":"10.1038/nmeth.1650","ISSN":"1548-7105","language":"en","author":[{"family":"Knights","given":"Dan"},{"family":"Kuczynski","given":"Justin"},{"family":"Charlson","given":"Emily S."},{"family":"Zaneveld","given":"Jesse"},{"family":"Mozer","given":"Michael C."},{"family":"Collman","given":"Ronald G."},{"family":"Bushman","given":"Frederic D."},{"family":"Knight","given":"Rob"},{"family":"Kelley","given":"Scott T."}],"issued":{"date-parts":[["2011",9]]}}}],"schema":"https://github.com/citation-style-language/schema/raw/master/csl-citation.json"} </w:instrText>
      </w:r>
      <w:r w:rsidR="009E7FE4">
        <w:fldChar w:fldCharType="separate"/>
      </w:r>
      <w:r w:rsidR="009E7FE4" w:rsidRPr="009E7FE4">
        <w:t>(Knights et al., 2011)</w:t>
      </w:r>
      <w:r w:rsidR="009E7FE4">
        <w:fldChar w:fldCharType="end"/>
      </w:r>
      <w:r w:rsidRPr="00C22614">
        <w:t xml:space="preserve">. </w:t>
      </w:r>
      <w:r w:rsidR="00714924">
        <w:t xml:space="preserve">This analysis used comparative data from </w:t>
      </w:r>
      <w:r>
        <w:t>well-characterize</w:t>
      </w:r>
      <w:r w:rsidR="00B9470E">
        <w:t>d</w:t>
      </w:r>
      <w:r>
        <w:t xml:space="preserve"> source communities </w:t>
      </w:r>
      <w:r w:rsidR="00B63BE3">
        <w:t>to predict source contributions to a given sample</w:t>
      </w:r>
      <w:r w:rsidR="0088205F">
        <w:t xml:space="preserve"> (Appendix Table A.1)</w:t>
      </w:r>
      <w:r w:rsidR="00B63BE3">
        <w:t xml:space="preserve">. </w:t>
      </w:r>
      <w:r w:rsidR="00412E66">
        <w:t>Raw sequences were downloaded and processed in the same manner as the samples in the current study. T</w:t>
      </w:r>
      <w:r w:rsidR="00B63BE3">
        <w:t xml:space="preserve">hese sources </w:t>
      </w:r>
      <w:r>
        <w:t>includ</w:t>
      </w:r>
      <w:r w:rsidR="00B63BE3">
        <w:t>ed</w:t>
      </w:r>
      <w:r>
        <w:t xml:space="preserve"> ancient dental calculus </w:t>
      </w:r>
      <w:r>
        <w:fldChar w:fldCharType="begin"/>
      </w:r>
      <w:r>
        <w:instrText xml:space="preserve"> ADDIN ZOTERO_ITEM CSL_CITATION {"citationID":"wZDMy7Us","properties":{"formattedCitation":"(Mann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w:instrText>
      </w:r>
      <w:r w:rsidRPr="00423531">
        <w:rPr>
          <w:lang w:val="de-DE"/>
        </w:rPr>
        <w:instrText xml:space="preserve">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fldChar w:fldCharType="separate"/>
      </w:r>
      <w:r w:rsidRPr="00423531">
        <w:rPr>
          <w:lang w:val="de-DE"/>
        </w:rPr>
        <w:t>(Mann et al., 2018; Weyrich et al., 2017)</w:t>
      </w:r>
      <w:r>
        <w:fldChar w:fldCharType="end"/>
      </w:r>
      <w:r w:rsidRPr="00423531">
        <w:rPr>
          <w:lang w:val="de-DE"/>
        </w:rPr>
        <w:t xml:space="preserve">, human gut </w:t>
      </w:r>
      <w:r>
        <w:fldChar w:fldCharType="begin"/>
      </w:r>
      <w:r w:rsidRPr="00423531">
        <w:rPr>
          <w:lang w:val="de-DE"/>
        </w:rPr>
        <w:instrText xml:space="preserve"> ADDIN ZOTERO_ITEM CSL_CITATION {"citationID":"ZE0DAfrn","properties":{"formattedCitation":"(Gopalakrishnan et al., 2018; Rampelli et al., 2015)","plainCitation":"(Gopalakrishnan et al., 2018; Rampelli et al., 2015)","noteIndex":0},"citationItems":[{"id":942,"uris":["http://zotero.org/users/4461938/items/4EC5DYVC"],"uri":["http://zotero.org/users/4461938/items/4EC5DYVC"],"itemData":{"id":942,"type":"a</w:instrText>
      </w:r>
      <w:r w:rsidRPr="00CE72C7">
        <w:rPr>
          <w:lang w:val="de-DE"/>
        </w:rPr>
        <w:instrText xml:space="preserve">rticle-journal","title":"Gut microbiome modulates response to anti–PD-1 immunotherapy in melanoma patients","container-title":"Science","page":"97-103","volume":"359","issue":"6371","author":[{"family":"Gopalakrishnan","given":"V."},{"family":"Spencer","given":"C. N."},{"family":"Nezi","given":"L."},{"family":"Reuben","given":"A."},{"family":"Andrews","given":"M. C."},{"family":"Karpinets","given":"T. V."},{"family":"Prieto","given":"P. A."},{"family":"Vicente","given":"D."},{"family":"Hoffman","given":"K."},{"family":"Wei","given":"S. C."}],"issued":{"date-parts":[["2018"]]}}},{"id":945,"uris":["http://zotero.org/users/4461938/items/KXSPQJJE"],"uri":["http://zotero.org/users/4461938/items/KXSPQJJE"],"itemData":{"id":945,"type":"article-journal","title":"Metagenome sequencing of the Hadza hunter-gatherer gut microbiota","container-title":"Current Biology","page":"1682-1693","volume":"25","issue":"13","author":[{"family":"Rampelli","given":"Simone"},{"family":"Schnorr","given":"Stephanie L."},{"family":"Consolandi","given":"Clarissa"},{"family":"Turroni","given":"Silvia"},{"family":"Severgnini","given":"Marco"},{"family":"Peano","given":"Clelia"},{"family":"Brigidi","given":"Patrizia"},{"family":"Crittenden","given":"Alyssa N."},{"family":"Henry","given":"Amanda G."},{"family":"Candela","given":"Marco"}],"issued":{"date-parts":[["2015"]]}}}],"schema":"https://github.com/citation-style-language/schema/raw/master/csl-citation.json"} </w:instrText>
      </w:r>
      <w:r>
        <w:fldChar w:fldCharType="separate"/>
      </w:r>
      <w:r w:rsidRPr="00CE72C7">
        <w:rPr>
          <w:lang w:val="de-DE"/>
        </w:rPr>
        <w:t>(Gopalakrishnan et al., 2018; Rampelli et al., 2015)</w:t>
      </w:r>
      <w:r>
        <w:fldChar w:fldCharType="end"/>
      </w:r>
      <w:r w:rsidRPr="00CE72C7">
        <w:rPr>
          <w:lang w:val="de-DE"/>
        </w:rPr>
        <w:t xml:space="preserve">, plaque </w:t>
      </w:r>
      <w:r>
        <w:rPr>
          <w:lang w:val="fr-FR"/>
        </w:rPr>
        <w:fldChar w:fldCharType="begin"/>
      </w:r>
      <w:r w:rsidRPr="00CE72C7">
        <w:rPr>
          <w:lang w:val="de-DE"/>
        </w:rPr>
        <w:instrText xml:space="preserve"> ADDIN ZOTERO_ITEM CSL_CITATION {"citationID":"d6QwlZtm","properties":{"formattedCitation":"(Lloyd-Price et al., 2017)","plainCitation":"(Lloyd-Price et al., 2017)","noteIndex":0},"citationItems":[{"id":432,"uris":["http://zotero.org/users/4461938/items/TPM56BVQ"],"uri":["http://zotero.org/users/4461938/items/TPM56BVQ"],"itemData":{"id":432,"type":"article-journal","title":"Strains, functions and dynamics in the expanded Human Microbiome Project","container-title":"Nature","page":"61-66","volume":"550","issue":"7674","source":"www-nature-com.ezproxy.lib.ou.edu","abstract":"The characterization of baseline microbial and functional diversity in the human microbiome has enabled studies of microbiome-related disease, diversity, biogeography, and molecular function. The National Institutes of Health Human Microbiome Project has provided one of the broadest such characterizations so far. Here we introduce a second wave of data from the study, comprising 1,631 new metagenomes (2,355 total) targeting diverse body sites with mul</w:instrText>
      </w:r>
      <w:r w:rsidRPr="00BC4418">
        <w:rPr>
          <w:lang w:val="fr-FR"/>
        </w:rPr>
        <w:instrText>tiple time points in 265 individuals. We applied updated profiling and assembly methods to provide new characterizations of microbiome personalization. Strain identification revealed subspecies clades specific to body sites; it also quantified species with phylogenetic diversity under-represented in isolate genomes. Body-wide functional profiling classified pathways into universal, human-enriched, a</w:instrText>
      </w:r>
      <w:r>
        <w:rPr>
          <w:lang w:val="fr-FR"/>
        </w:rPr>
        <w:instrText xml:space="preserve">nd body site-enriched subsets. Finally, temporal analysis decomposed microbial variation into rapidly variable, moderately variable, and stable subsets. This study furthers our knowledge of baseline human microbial diversity and enables an understanding of personalized microbiome function and dynamics.","DOI":"10.1038/nature23889","ISSN":"1476-4687","language":"en","author":[{"family":"Lloyd-Price","given":"Jason"},{"family":"Mahurkar","given":"Anup"},{"family":"Rahnavard","given":"Gholamali"},{"family":"Crabtree","given":"Jonathan"},{"family":"Orvis","given":"Joshua"},{"family":"Hall","given":"A. Brantley"},{"family":"Brady","given":"Arthur"},{"family":"Creasy","given":"Heather H."},{"family":"McCracken","given":"Carrie"},{"family":"Giglio","given":"Michelle G."},{"family":"McDonald","given":"Daniel"},{"family":"Franzosa","given":"Eric A."},{"family":"Knight","given":"Rob"},{"family":"White","given":"Owen"},{"family":"Huttenhower","given":"Curtis"}],"issued":{"date-parts":[["2017",10]]}}}],"schema":"https://github.com/citation-style-language/schema/raw/master/csl-citation.json"} </w:instrText>
      </w:r>
      <w:r>
        <w:rPr>
          <w:lang w:val="fr-FR"/>
        </w:rPr>
        <w:fldChar w:fldCharType="separate"/>
      </w:r>
      <w:r w:rsidRPr="00423531">
        <w:rPr>
          <w:lang w:val="fr-FR"/>
        </w:rPr>
        <w:t>(Lloyd-Price et al., 2017)</w:t>
      </w:r>
      <w:r>
        <w:rPr>
          <w:lang w:val="fr-FR"/>
        </w:rPr>
        <w:fldChar w:fldCharType="end"/>
      </w:r>
      <w:r w:rsidRPr="00423531">
        <w:rPr>
          <w:lang w:val="fr-FR"/>
        </w:rPr>
        <w:t>, saliva</w:t>
      </w:r>
      <w:r>
        <w:rPr>
          <w:lang w:val="fr-FR"/>
        </w:rPr>
        <w:t xml:space="preserve"> </w:t>
      </w:r>
      <w:r>
        <w:rPr>
          <w:lang w:val="fr-FR"/>
        </w:rPr>
        <w:fldChar w:fldCharType="begin"/>
      </w:r>
      <w:r>
        <w:rPr>
          <w:lang w:val="fr-FR"/>
        </w:rPr>
        <w:instrText xml:space="preserve"> ADDIN ZOTERO_ITEM CSL_CITATION {"citationID":"k1mawdTT","properties":{"formattedCitation":"(Aleti et al., 2018; Lassalle et al., 2018)","plainCitation":"(Aleti et al., 2018; Lassalle et al., 2018)","noteIndex":0},"citationItems":[{"id":949,"uris":["http://zotero.org/users/4461938/items/5DE8MUMQ"],"uri":["http://zotero.org/users/4461938/items/5DE8MUMQ"],"itemData":{"id":949,"type":"article-journal","title":"Identification of the bacterial biosynthetic gene clusters of the oral microbiome illuminates the unexplored social language of bacteria during health and disease","container-title":"bioRxiv","page":"431510","author":[{"family":"Aleti","given":"Gajender"},{"family":"Baker","given":"Jonathon L."},{"family":"Tang","given":"Xiaoyu"},{"family":"Alvarez","given":"Ruth"},{"family":"Dinis","given":"Márcia"},{"family":"Tran","given":"Nini C."},{"family":"Melnik","given":"Alexey V."},{"family":"Zhong","given":"Cuncong"},{"family":"Ernst","given":"Madeleine"},{"family":"Dorrestein","given":"Pieter C."}],"issued":{"date-parts":[["2018"]]}}},{"id":940,"uris":["http://zotero.org/users/4461938/items/JCLIPAG9"],"uri":["http://zotero.org/users/4461938/items/JCLIPAG9"],"itemData":{"id":940,"type":"article-journal","title":"Oral microbiomes from hunter‐gatherers and traditional farmers reveal shifts in commensal balance and pathogen load linked to diet","container-title":"Molecular ecology","page":"182-195","volume":"27","issue":"1","author":[{"family":"Lassalle","given":"Florent"},{"family":"Spagnoletti","given":"Matteo"},{"family":"Fumagalli","given":"Matteo"},{"family":"Shaw","given":"Liam"},{"family":"Dyble","given":"Mark"},{"family":"Walker","given":"Catherine"},{"family":"Thomas","given":"Mark G."},{"family":"Bamberg Migliano","given":"Andrea"},{"family":"Balloux","given":"Francois"}],"issued":{"date-parts":[["2018"]]}}}],"schema":"https://github.com/citation-style-language/schema/raw/master/csl-citation.json"} </w:instrText>
      </w:r>
      <w:r>
        <w:rPr>
          <w:lang w:val="fr-FR"/>
        </w:rPr>
        <w:fldChar w:fldCharType="separate"/>
      </w:r>
      <w:r w:rsidRPr="00423531">
        <w:rPr>
          <w:lang w:val="fr-FR"/>
        </w:rPr>
        <w:t>(Aleti et al., 2018; Lassalle et al., 2018)</w:t>
      </w:r>
      <w:r>
        <w:rPr>
          <w:lang w:val="fr-FR"/>
        </w:rPr>
        <w:fldChar w:fldCharType="end"/>
      </w:r>
      <w:r w:rsidRPr="00423531">
        <w:rPr>
          <w:lang w:val="fr-FR"/>
        </w:rPr>
        <w:t>, skin</w:t>
      </w:r>
      <w:r>
        <w:rPr>
          <w:lang w:val="fr-FR"/>
        </w:rPr>
        <w:t xml:space="preserve"> </w:t>
      </w:r>
      <w:r>
        <w:rPr>
          <w:lang w:val="fr-FR"/>
        </w:rPr>
        <w:fldChar w:fldCharType="begin"/>
      </w:r>
      <w:r>
        <w:rPr>
          <w:lang w:val="fr-FR"/>
        </w:rPr>
        <w:instrText xml:space="preserve"> ADDIN ZOTERO_ITEM CSL_CITATION {"citationID":"JntMVuyp","properties":{"formattedCitation":"(Oh et al., 2016; Schmedes et al., 2016; Tirosh et al., 2018)","plainCitation":"(Oh et al., 2016; Schmedes et al., 2016; Tirosh et al., 2018)","noteIndex":0},"citationItems":[{"id":947,"uris":["http://zotero.org/users/4461938/items/UJ4C4GW9"],"uri":["http://zotero.org/users/4461938/items/UJ4C4GW9"],"itemData":{"id":947,"type":"article-journal","title":"Temporal stability of the human skin microbiome","container-title":"Cell","page":"854-866","volume":"165","issue":"4","author":[{"family":"Oh","given":"Julia"},{"family":"Byrd","given":"Allyson L."},{"family":"Park","given":"Morgan"},{"family":"Kong","given":"Heidi H."},{"family":"Segre","given":"Julia A."},{"family":"Program","given":"NISC Comparative Sequencing"}],"issued":{"date-parts":[["2016"]]}}},{"id":944,"uris":["http://zotero.org/users/4461938/items/NXF5DCNJ"],"uri":["http://zotero.org/users/4461938/items/NXF5DCNJ"],"itemData":{"id":944,"type":"article-journal","title":"Expansion of microbial forensics","container-title":"Journal of clinical microbiology","page":"1964-1974","volume":"54","issue":"8","author":[{"family":"Schmedes","given":"Sarah E."},{"family":"Sajantila","given":"Antti"},{"family":"Budowle","given":"Bruce"}],"issued":{"date-parts":[["2016"]]}}},{"id":950,"uris":["http://zotero.org/users/4461938/items/3J9QR5U3"],"uri":["http://zotero.org/users/4461938/items/3J9QR5U3"],"itemData":{"id":950,"type":"article-journal","title":"Expanded skin virome in DOCK8-deficient patients","container-title":"Nature medicine","page":"1815","volume":"24","issue":"12","author":[{"family":"Tirosh","given":"Osnat"},{"family":"Conlan","given":"Sean"},{"family":"Deming","given":"Clay"},{"family":"Lee-Lin","given":"Shih-Queen"},{"family":"Huang","given":"Xin"},{"family":"Su","given":"Helen C."},{"family":"Freeman","given":"Alexandra F."},{"family":"Segre","given":"Julia A."},{"family":"Kong","given":"Heidi H."}],"issued":{"date-parts":[["2018"]]}}}],"schema":"https://github.com/citation-style-language/schema/raw/master/csl-citation.json"} </w:instrText>
      </w:r>
      <w:r>
        <w:rPr>
          <w:lang w:val="fr-FR"/>
        </w:rPr>
        <w:fldChar w:fldCharType="separate"/>
      </w:r>
      <w:r w:rsidRPr="00423531">
        <w:rPr>
          <w:lang w:val="fr-FR"/>
        </w:rPr>
        <w:t>(Oh et al., 2016; Schmedes et al., 2016; Tirosh et al., 2018)</w:t>
      </w:r>
      <w:r>
        <w:rPr>
          <w:lang w:val="fr-FR"/>
        </w:rPr>
        <w:fldChar w:fldCharType="end"/>
      </w:r>
      <w:r w:rsidRPr="00423531">
        <w:rPr>
          <w:lang w:val="fr-FR"/>
        </w:rPr>
        <w:t>, and soil</w:t>
      </w:r>
      <w:r>
        <w:rPr>
          <w:lang w:val="fr-FR"/>
        </w:rPr>
        <w:t xml:space="preserve"> </w:t>
      </w:r>
      <w:r>
        <w:rPr>
          <w:lang w:val="fr-FR"/>
        </w:rPr>
        <w:fldChar w:fldCharType="begin"/>
      </w:r>
      <w:r>
        <w:rPr>
          <w:lang w:val="fr-FR"/>
        </w:rPr>
        <w:instrText xml:space="preserve"> ADDIN ZOTERO_ITEM CSL_CITATION {"citationID":"vagnWteg","properties":{"formattedCitation":"(DOE Joint Genome Institute, 2017; Lin et al., 2014)","plainCitation":"(DOE Joint Genome Institute, 2017; Lin et al., 2014)","noteIndex":0},"citationItems":[{"id":948,"uris":["http://zotero.org/users/4461938/items/66HVJMNY"],"uri":["http://zotero.org/users/4461938/items/66HVJMNY"],"itemData":{"id":948,"type":"article-journal","title":"Bog forest soil microbial communities from Calvert Island, British Columbia, Canada - ECP14_OM3 metagenome","author":[{"family":"DOE Joint Genome Institute","given":""}],"issued":{"date-parts":[["2017"]]}}},{"id":943,"uris":["http://zotero.org/users/4461938/items/57MIVEGR"],"uri":["http://zotero.org/users/4461938/items/57MIVEGR"],"itemData":{"id":943,"type":"article-journal","title":"Microbial metabolic potential for carbon degradation and nutrient (nitrogen and phosphorus) acquisition in an ombrotrophic peatland","container-title":"Appl. Environ. Microbiol.","page":"3531-3540","volume":"80","issue":"11","author":[{"family":"Lin","given":"Xueju"},{"family":"Tfaily","given":"Malak M."},{"family":"Green","given":"Stefan J."},{"family":"Steinweg","given":"J. Megan"},{"family":"Chanton","given":"Patrick"},{"family":"Imvittaya","given":"Aopeau"},{"family":"Chanton","given":"Jeffrey P."},{"family":"Cooper","given":"William"},{"family":"Schadt","given":"Christopher"},{"family":"Kostka","given":"Joel E."}],"issued":{"date-parts":[["2014"]]}}}],"schema":"https://github.com/citation-style-language/schema/raw/master/csl-citation.json"} </w:instrText>
      </w:r>
      <w:r>
        <w:rPr>
          <w:lang w:val="fr-FR"/>
        </w:rPr>
        <w:fldChar w:fldCharType="separate"/>
      </w:r>
      <w:r w:rsidRPr="00423531">
        <w:rPr>
          <w:lang w:val="fr-FR"/>
        </w:rPr>
        <w:t>(DOE Joint Genome Institute, 2017; Lin et al., 2014)</w:t>
      </w:r>
      <w:r>
        <w:rPr>
          <w:lang w:val="fr-FR"/>
        </w:rPr>
        <w:fldChar w:fldCharType="end"/>
      </w:r>
      <w:r w:rsidRPr="00423531">
        <w:rPr>
          <w:lang w:val="fr-FR"/>
        </w:rPr>
        <w:t xml:space="preserve">. </w:t>
      </w:r>
      <w:proofErr w:type="spellStart"/>
      <w:r w:rsidR="00B9470E" w:rsidRPr="00BC4418">
        <w:rPr>
          <w:lang w:val="fr-FR"/>
        </w:rPr>
        <w:t>Additional</w:t>
      </w:r>
      <w:r w:rsidR="00927A79" w:rsidRPr="00BC4418">
        <w:rPr>
          <w:lang w:val="fr-FR"/>
        </w:rPr>
        <w:t>ly</w:t>
      </w:r>
      <w:proofErr w:type="spellEnd"/>
      <w:r w:rsidR="00B9470E" w:rsidRPr="00BC4418">
        <w:rPr>
          <w:lang w:val="fr-FR"/>
        </w:rPr>
        <w:t xml:space="preserve">, </w:t>
      </w:r>
      <w:proofErr w:type="spellStart"/>
      <w:r w:rsidR="00B9470E" w:rsidRPr="00BC4418">
        <w:rPr>
          <w:lang w:val="fr-FR"/>
        </w:rPr>
        <w:t>ancient</w:t>
      </w:r>
      <w:proofErr w:type="spellEnd"/>
      <w:r w:rsidR="00B9470E" w:rsidRPr="00BC4418">
        <w:rPr>
          <w:lang w:val="fr-FR"/>
        </w:rPr>
        <w:t xml:space="preserve"> dental </w:t>
      </w:r>
      <w:proofErr w:type="spellStart"/>
      <w:r w:rsidR="00B9470E" w:rsidRPr="00BC4418">
        <w:rPr>
          <w:lang w:val="fr-FR"/>
        </w:rPr>
        <w:t>calculus</w:t>
      </w:r>
      <w:proofErr w:type="spellEnd"/>
      <w:r w:rsidR="00B9470E" w:rsidRPr="00BC4418">
        <w:rPr>
          <w:lang w:val="fr-FR"/>
        </w:rPr>
        <w:t xml:space="preserve"> </w:t>
      </w:r>
      <w:proofErr w:type="spellStart"/>
      <w:r w:rsidR="00B9470E" w:rsidRPr="00BC4418">
        <w:rPr>
          <w:lang w:val="fr-FR"/>
        </w:rPr>
        <w:t>samples</w:t>
      </w:r>
      <w:proofErr w:type="spellEnd"/>
      <w:r w:rsidR="0088205F" w:rsidRPr="00BC4418">
        <w:rPr>
          <w:lang w:val="fr-FR"/>
        </w:rPr>
        <w:t>—ElSidron1, ElSidron2, and OldSpy—</w:t>
      </w:r>
      <w:proofErr w:type="spellStart"/>
      <w:r w:rsidR="00B9470E" w:rsidRPr="00BC4418">
        <w:rPr>
          <w:lang w:val="fr-FR"/>
        </w:rPr>
        <w:t>were</w:t>
      </w:r>
      <w:proofErr w:type="spellEnd"/>
      <w:r w:rsidR="0088205F" w:rsidRPr="00BC4418">
        <w:rPr>
          <w:lang w:val="fr-FR"/>
        </w:rPr>
        <w:t xml:space="preserve"> </w:t>
      </w:r>
      <w:proofErr w:type="spellStart"/>
      <w:r w:rsidR="00B9470E" w:rsidRPr="00BC4418">
        <w:rPr>
          <w:lang w:val="fr-FR"/>
        </w:rPr>
        <w:t>added</w:t>
      </w:r>
      <w:proofErr w:type="spellEnd"/>
      <w:r w:rsidR="00B9470E" w:rsidRPr="00BC4418">
        <w:rPr>
          <w:lang w:val="fr-FR"/>
        </w:rPr>
        <w:t xml:space="preserve"> as sources </w:t>
      </w:r>
      <w:proofErr w:type="spellStart"/>
      <w:r w:rsidR="00B9470E" w:rsidRPr="00BC4418">
        <w:rPr>
          <w:lang w:val="fr-FR"/>
        </w:rPr>
        <w:t>from</w:t>
      </w:r>
      <w:proofErr w:type="spellEnd"/>
      <w:r w:rsidR="00B9470E" w:rsidRPr="00BC4418">
        <w:rPr>
          <w:lang w:val="fr-FR"/>
        </w:rPr>
        <w:t xml:space="preserve"> Weyrich et al. </w:t>
      </w:r>
      <w:r w:rsidR="00B9470E">
        <w:t>(2017)</w:t>
      </w:r>
      <w:r w:rsidR="00714924">
        <w:t xml:space="preserve"> </w:t>
      </w:r>
      <w:r w:rsidR="00E948CB">
        <w:t xml:space="preserve">and can be downloaded from </w:t>
      </w:r>
      <w:hyperlink r:id="rId15" w:history="1">
        <w:r w:rsidR="00E948CB">
          <w:rPr>
            <w:rStyle w:val="Hyperlink"/>
          </w:rPr>
          <w:t>https://www.oagr.org.au/</w:t>
        </w:r>
      </w:hyperlink>
      <w:r w:rsidR="00B9470E">
        <w:t xml:space="preserve">. </w:t>
      </w:r>
    </w:p>
    <w:p w14:paraId="64A219B0" w14:textId="77777777" w:rsidR="00452B26" w:rsidRPr="00F05514" w:rsidRDefault="00452B26" w:rsidP="00452B26">
      <w:pPr>
        <w:pStyle w:val="NormalWeb"/>
        <w:spacing w:before="0" w:beforeAutospacing="0" w:after="0" w:afterAutospacing="0" w:line="480" w:lineRule="auto"/>
        <w:rPr>
          <w:i/>
        </w:rPr>
      </w:pPr>
      <w:r>
        <w:rPr>
          <w:i/>
        </w:rPr>
        <w:t xml:space="preserve">Human DNA analysis </w:t>
      </w:r>
    </w:p>
    <w:p w14:paraId="39C06867" w14:textId="5E7262D5" w:rsidR="00452B26" w:rsidRDefault="00452B26" w:rsidP="00452B26">
      <w:pPr>
        <w:pStyle w:val="NormalWeb"/>
        <w:spacing w:before="0" w:beforeAutospacing="0" w:after="0" w:afterAutospacing="0" w:line="480" w:lineRule="auto"/>
        <w:ind w:firstLine="720"/>
      </w:pPr>
      <w:r>
        <w:t xml:space="preserve">Analysis-ready reads were mapped to the hg 19 reference sequence </w:t>
      </w:r>
      <w:r>
        <w:fldChar w:fldCharType="begin"/>
      </w:r>
      <w:r>
        <w:instrText xml:space="preserve"> ADDIN ZOTERO_ITEM CSL_CITATION {"citationID":"Jb3xMUsn","properties":{"formattedCitation":"(International Human Genome Sequencing Consortium, 2001)","plainCitation":"(International Human Genome Sequencing Consortium, 2001)","noteIndex":0},"citationItems":[{"id":969,"uris":["http://zotero.org/users/4461938/items/T522KQVV"],"uri":["http://zotero.org/users/4461938/items/T522KQVV"],"itemData":{"id":969,"type":"article-journal","title":"Initial sequencing and analysis of the human genome","container-title":"Nature","page":"860-921","volume":"409","issue":"6822","source":"www.nature.com","abstract":"The human genome holds an extraordinary trove of information about human development, physiology, medicine and evolution. Here we report the results of an international collaboration to produce and make freely available a draft sequence of the human genome. We also present an initial analysis of the data, describing some of the insights that can be gleaned from the sequence.","DOI":"10.1038/35057062","ISSN":"1476-4687","language":"en","author":[{"literal":"International Human Genome Sequencing Consortium"}],"issued":{"date-parts":[["2001",2]]}}}],"schema":"https://github.com/citation-style-language/schema/raw/master/csl-citation.json"} </w:instrText>
      </w:r>
      <w:r>
        <w:fldChar w:fldCharType="separate"/>
      </w:r>
      <w:r w:rsidRPr="003C09E2">
        <w:t>(International Human Genome Sequencing Consortium, 2001)</w:t>
      </w:r>
      <w:r>
        <w:fldChar w:fldCharType="end"/>
      </w:r>
      <w:r>
        <w:t xml:space="preserve">. To determine mitochondrial haplotype, quality filtered reads were mapped to the human mitochondrial reference sequence (rCRS) </w:t>
      </w:r>
      <w:r>
        <w:fldChar w:fldCharType="begin"/>
      </w:r>
      <w:r>
        <w:instrText xml:space="preserve"> ADDIN ZOTERO_ITEM CSL_CITATION {"citationID":"Qz52HNyC","properties":{"formattedCitation":"(Anderson et al., 1981; Andrews et al., 1999)","plainCitation":"(Anderson et al., 1981; Andrews et al., 1999)","noteIndex":0},"citationItems":[{"id":1141,"uris":["http://zotero.org/users/4461938/items/5WKWVUS2"],"uri":["http://zotero.org/users/4461938/items/5WKWVUS2"],"itemData":{"id":1141,"type":"article-journal","title":"Sequence and organization of the human mitochondrial genome","container-title":"Nature","page":"457","volume":"290","issue":"5806","source":"www.nature.com","abstract":"The complete sequence of the 16,569-base pair human mitochondrial genome is presented. The genes for the 12S and 16S rRNAs, 22 tRNAs, cytochrome c oxidase subunits I, II and III, ATPase subunit 6, cytochrome b and eight other predicted protein coding genes have been located. The sequence shows extreme economy in that the genes have none or only a few noncoding bases between them, and in many cases the termination codons are not coded in the DNA but are created post-transcriptionally by polyadenylation of the mRNAs.","DOI":"10.1038/290457a0","ISSN":"1476-4687","language":"En","author":[{"family":"Anderson","given":"S."},{"family":"Bankier","given":"A. T."},{"family":"Barrell","given":"B. G."},{"family":"Bruijn","given":"M. H. L.","dropping-particle":"de"},{"family":"Coulson","given":"A. R."},{"family":"Drouin","given":"J."},{"family":"Eperon","given":"I. C."},{"family":"Nierlich","given":"D. P."},{"family":"Roe","given":"B. A."},{"family":"Sanger","given":"F."},{"family":"Schreier","given":"P. H."},{"family":"Smith","given":"A. J. H."},{"family":"Staden","given":"R."},{"family":"Young","given":"I. G."}],"issued":{"date-parts":[["1981",4]]}}},{"id":1144,"uris":["http://zotero.org/users/4461938/items/C7SR458N"],"uri":["http://zotero.org/users/4461938/items/C7SR458N"],"itemData":{"id":1144,"type":"article-journal","title":"Reanalysis and revision of the Cambridge reference sequence for human mitochondrial DNA","container-title":"Nature Genetics","page":"147","volume":"23","issue":"2","source":"www.nature.com","abstract":"Reanalysis and revision of the Cambridge reference sequence for human mitochondrial DNA","DOI":"10.1038/13779","ISSN":"1546-1718","language":"en","author":[{"family":"Andrews","given":"Richard M."},{"family":"Kubacka","given":"Iwona"},{"family":"Chinnery","given":"Patrick F."},{"family":"Lightowlers","given":"Robert N."},{"family":"Turnbull","given":"Douglass M."},{"family":"Howell","given":"Neil"}],"issued":{"date-parts":[["1999",10]]}}}],"schema":"https://github.com/citation-style-language/schema/raw/master/csl-citation.json"} </w:instrText>
      </w:r>
      <w:r>
        <w:fldChar w:fldCharType="separate"/>
      </w:r>
      <w:r w:rsidRPr="00F05514">
        <w:t>(Anderson et al., 1981; Andrews et al., 1999)</w:t>
      </w:r>
      <w:r>
        <w:fldChar w:fldCharType="end"/>
      </w:r>
      <w:r>
        <w:t>. Categorization of mtDNA haplogroups was done using HaploGrep (</w:t>
      </w:r>
      <w:hyperlink r:id="rId16" w:history="1">
        <w:r>
          <w:rPr>
            <w:rStyle w:val="Hyperlink"/>
          </w:rPr>
          <w:t>http://haplogrep.uibk.ac.at/</w:t>
        </w:r>
      </w:hyperlink>
      <w:r>
        <w:t xml:space="preserve">). </w:t>
      </w:r>
    </w:p>
    <w:p w14:paraId="591E693D" w14:textId="77777777" w:rsidR="00452B26" w:rsidRPr="00C21A2F" w:rsidRDefault="00452B26" w:rsidP="00452B26">
      <w:pPr>
        <w:pStyle w:val="Heading2"/>
        <w:rPr>
          <w:rFonts w:ascii="Times New Roman" w:hAnsi="Times New Roman" w:cs="Times New Roman"/>
          <w:i/>
          <w:color w:val="auto"/>
          <w:sz w:val="24"/>
          <w:szCs w:val="24"/>
        </w:rPr>
      </w:pPr>
      <w:bookmarkStart w:id="20" w:name="_Toc8404632"/>
      <w:r w:rsidRPr="00C21A2F">
        <w:rPr>
          <w:rFonts w:ascii="Times New Roman" w:hAnsi="Times New Roman" w:cs="Times New Roman"/>
          <w:i/>
          <w:color w:val="auto"/>
          <w:sz w:val="24"/>
          <w:szCs w:val="24"/>
        </w:rPr>
        <w:t>Ancient DNA authentication</w:t>
      </w:r>
      <w:bookmarkEnd w:id="20"/>
      <w:r w:rsidRPr="00C21A2F">
        <w:rPr>
          <w:rFonts w:ascii="Times New Roman" w:hAnsi="Times New Roman" w:cs="Times New Roman"/>
          <w:i/>
          <w:color w:val="auto"/>
          <w:sz w:val="24"/>
          <w:szCs w:val="24"/>
        </w:rPr>
        <w:t xml:space="preserve"> </w:t>
      </w:r>
    </w:p>
    <w:p w14:paraId="7EB81E80" w14:textId="38108994" w:rsidR="00452B26" w:rsidRDefault="00452B26" w:rsidP="00452B26">
      <w:pPr>
        <w:pStyle w:val="NormalWeb"/>
        <w:spacing w:before="0" w:beforeAutospacing="0" w:after="0" w:afterAutospacing="0" w:line="480" w:lineRule="auto"/>
        <w:ind w:firstLine="720"/>
      </w:pPr>
      <w:r>
        <w:t xml:space="preserve">Alignments resulting from mapping to the hg19, </w:t>
      </w:r>
      <w:r w:rsidRPr="003B1F68">
        <w:rPr>
          <w:i/>
        </w:rPr>
        <w:t>Methanobrevibacter oralis</w:t>
      </w:r>
      <w:r>
        <w:rPr>
          <w:i/>
        </w:rPr>
        <w:t>, Streptococcus anginosus</w:t>
      </w:r>
      <w:r>
        <w:t xml:space="preserve"> and </w:t>
      </w:r>
      <w:r>
        <w:rPr>
          <w:i/>
        </w:rPr>
        <w:t>Cutibacterium</w:t>
      </w:r>
      <w:r w:rsidRPr="003B1F68">
        <w:rPr>
          <w:i/>
        </w:rPr>
        <w:t xml:space="preserve"> acnes</w:t>
      </w:r>
      <w:r>
        <w:t xml:space="preserve"> references were used to authenticate the recovery of ancient DNA molecules. </w:t>
      </w:r>
      <w:r>
        <w:rPr>
          <w:i/>
        </w:rPr>
        <w:t xml:space="preserve">Methanobrevibacter oralis </w:t>
      </w:r>
      <w:r>
        <w:t xml:space="preserve">was chosen as it exhibited high </w:t>
      </w:r>
      <w:r>
        <w:lastRenderedPageBreak/>
        <w:t xml:space="preserve">relative abundance in the MetaPhlAn analysis and has also been well documented in dental calculus samples </w:t>
      </w:r>
      <w:r>
        <w:fldChar w:fldCharType="begin"/>
      </w:r>
      <w:r>
        <w:instrText xml:space="preserve"> ADDIN ZOTERO_ITEM CSL_CITATION {"citationID":"57lfMGL7","properties":{"formattedCitation":"(Mann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fldChar w:fldCharType="separate"/>
      </w:r>
      <w:r w:rsidRPr="008A29C7">
        <w:t>(Mann et al., 2018; Weyrich et al., 2017)</w:t>
      </w:r>
      <w:r>
        <w:fldChar w:fldCharType="end"/>
      </w:r>
      <w:r>
        <w:t xml:space="preserve">. </w:t>
      </w:r>
      <w:r>
        <w:rPr>
          <w:i/>
        </w:rPr>
        <w:t xml:space="preserve">Streptococcus anginosus </w:t>
      </w:r>
      <w:r>
        <w:t xml:space="preserve">was selected due to its presence in both the PPCC and PPL samples. </w:t>
      </w:r>
      <w:r>
        <w:rPr>
          <w:i/>
        </w:rPr>
        <w:t xml:space="preserve">Cutibacterium acnes </w:t>
      </w:r>
      <w:r>
        <w:t xml:space="preserve">was also chosen as it exhibited high relative abundance but also as a control since it is a well characterized skin bacterium </w:t>
      </w:r>
      <w:r>
        <w:fldChar w:fldCharType="begin"/>
      </w:r>
      <w:r>
        <w:instrText xml:space="preserve"> ADDIN ZOTERO_ITEM CSL_CITATION {"citationID":"Gu79yCYS","properties":{"formattedCitation":"(Chen et al., 2018; Oh et al., 2016)","plainCitation":"(Chen et al., 2018; Oh et al., 2016)","noteIndex":0},"citationItems":[{"id":1004,"uris":["http://zotero.org/users/4461938/items/5LU676IR"],"uri":["http://zotero.org/users/4461938/items/5LU676IR"],"itemData":{"id":1004,"type":"article-journal","title":"Skin microbiota–host interactions","container-title":"Nature","page":"427-436","volume":"553","issue":"7689","source":"www.nature.com","abstract":"The skin is a complex and dynamic ecosystem that is inhabited by bacteria, archaea, fungi and viruses. These microbes—collectively referred to as the skin microbiota—are fundamental to skin physiology and immunity. Interactions between skin microbes and the host can fall anywhere along the continuum between mutualism and pathogenicity. In this Review, we highlight how host–microbe interactions depend heavily on context, including the state of immune activation, host genetic predisposition, barrier status, microbe localization, and microbe–microbe interactions. We focus on how context shapes the complex dialogue between skin microbes and the host, and the consequences of this dialogue for health and disease.","DOI":"10.1038/nature25177","ISSN":"1476-4687","language":"en","author":[{"family":"Chen","given":"Y. Erin"},{"family":"Fischbach","given":"Michael A."},{"family":"Belkaid","given":"Yasmine"}],"issued":{"date-parts":[["2018",1,24]]}}},{"id":947,"uris":["http://zotero.org/users/4461938/items/UJ4C4GW9"],"uri":["http://zotero.org/users/4461938/items/UJ4C4GW9"],"itemData":{"id":947,"type":"article-journal","title":"Temporal stability of the human skin microbiome","container-title":"Cell","page":"854-866","volume":"165","issue":"4","author":[{"family":"Oh","given":"Julia"},{"family":"Byrd","given":"Allyson L."},{"family":"Park","given":"Morgan"},{"family":"Kong","given":"Heidi H."},{"family":"Segre","given":"Julia A."},{"family":"Program","given":"NISC Comparative Sequencing"}],"issued":{"date-parts":[["2016"]]}}}],"schema":"https://github.com/citation-style-language/schema/raw/master/csl-citation.json"} </w:instrText>
      </w:r>
      <w:r>
        <w:fldChar w:fldCharType="separate"/>
      </w:r>
      <w:r w:rsidRPr="008A29C7">
        <w:t>(Chen et al., 2018; Oh et al., 2016)</w:t>
      </w:r>
      <w:r>
        <w:fldChar w:fldCharType="end"/>
      </w:r>
      <w:r>
        <w:t xml:space="preserve">. MapDamage 2.0 </w:t>
      </w:r>
      <w:r>
        <w:fldChar w:fldCharType="begin"/>
      </w:r>
      <w:r>
        <w:instrText xml:space="preserve"> ADDIN ZOTERO_ITEM CSL_CITATION {"citationID":"VPDQIAph","properties":{"formattedCitation":"(J\\uc0\\u243{}nsson et al., 2013)","plainCitation":"(Jónsson et al., 2013)","noteIndex":0},"citationItems":[{"id":556,"uris":["http://zotero.org/users/4461938/items/EMFQQJSM"],"uri":["http://zotero.org/users/4461938/items/EMFQQJSM"],"itemData":{"id":556,"type":"article-journal","title":"mapDamage2.0: fast approximate Bayesian estimates of ancient DNA damage parameters","container-title":"Bioinformatics","page":"1682-1684","volume":"29","issue":"13","source":"academic.oup.com","abstract":"Abstract.  Motivation: Ancient DNA (aDNA) molecules in fossilized bones and teeth, coprolites, sediments, mummified specimens and museum collections represent f","DOI":"10.1093/bioinformatics/btt193","ISSN":"1367-4803","title-short":"mapDamage2.0","journalAbbreviation":"Bioinformatics","language":"en","author":[{"family":"Jónsson","given":"Hákon"},{"family":"Ginolhac","given":"Aurélien"},{"family":"Schubert","given":"Mikkel"},{"family":"Johnson","given":"Philip L. F."},{"family":"Orlando","given":"Ludovic"}],"issued":{"date-parts":[["2013",7,1]]}}}],"schema":"https://github.com/citation-style-language/schema/raw/master/csl-citation.json"} </w:instrText>
      </w:r>
      <w:r>
        <w:fldChar w:fldCharType="separate"/>
      </w:r>
      <w:r w:rsidRPr="006A44B8">
        <w:t>(Jónsson et al., 2013)</w:t>
      </w:r>
      <w:r>
        <w:fldChar w:fldCharType="end"/>
      </w:r>
      <w:r>
        <w:t xml:space="preserve"> was used to assess aDNA damage and fragmentation patterns. The relationships between DNA damage patterns, fragment length distributions, and other metadata were then visualized in R (version 3.5.2). </w:t>
      </w:r>
    </w:p>
    <w:p w14:paraId="6546685B" w14:textId="77777777" w:rsidR="00452B26" w:rsidRPr="00BB3FB0" w:rsidRDefault="00452B26" w:rsidP="00452B26">
      <w:pPr>
        <w:pStyle w:val="NormalWeb"/>
        <w:spacing w:before="0" w:beforeAutospacing="0" w:after="0" w:afterAutospacing="0" w:line="480" w:lineRule="auto"/>
        <w:ind w:firstLine="720"/>
      </w:pPr>
    </w:p>
    <w:p w14:paraId="0312C639" w14:textId="77777777" w:rsidR="00F21EA4" w:rsidRDefault="00F21EA4">
      <w:pPr>
        <w:rPr>
          <w:rFonts w:eastAsia="Times New Roman"/>
          <w:sz w:val="24"/>
          <w:szCs w:val="24"/>
        </w:rPr>
      </w:pPr>
      <w:r>
        <w:br w:type="page"/>
      </w:r>
    </w:p>
    <w:p w14:paraId="49629D17" w14:textId="68200D8B" w:rsidR="00F21EA4" w:rsidRDefault="00F21EA4" w:rsidP="00F21EA4">
      <w:pPr>
        <w:pStyle w:val="NormalWeb"/>
        <w:spacing w:before="0" w:beforeAutospacing="0" w:after="0" w:afterAutospacing="0" w:line="480" w:lineRule="auto"/>
        <w:ind w:firstLine="720"/>
      </w:pPr>
      <w:r>
        <w:rPr>
          <w:noProof/>
        </w:rPr>
        <w:lastRenderedPageBreak/>
        <w:drawing>
          <wp:inline distT="0" distB="0" distL="0" distR="0" wp14:anchorId="160819FD" wp14:editId="4FD9B9E0">
            <wp:extent cx="3436620" cy="47167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6620" cy="4716780"/>
                    </a:xfrm>
                    <a:prstGeom prst="rect">
                      <a:avLst/>
                    </a:prstGeom>
                    <a:noFill/>
                    <a:ln>
                      <a:noFill/>
                    </a:ln>
                  </pic:spPr>
                </pic:pic>
              </a:graphicData>
            </a:graphic>
          </wp:inline>
        </w:drawing>
      </w:r>
    </w:p>
    <w:p w14:paraId="6731448F" w14:textId="3A5C1AFA" w:rsidR="00F21EA4" w:rsidRPr="000016AD" w:rsidRDefault="00F21EA4" w:rsidP="00F21EA4">
      <w:pPr>
        <w:pStyle w:val="Caption"/>
        <w:rPr>
          <w:i w:val="0"/>
          <w:color w:val="auto"/>
          <w:sz w:val="24"/>
          <w:szCs w:val="24"/>
        </w:rPr>
      </w:pPr>
      <w:r w:rsidRPr="000016AD">
        <w:rPr>
          <w:b/>
          <w:i w:val="0"/>
          <w:color w:val="auto"/>
          <w:sz w:val="24"/>
          <w:szCs w:val="24"/>
        </w:rPr>
        <w:t xml:space="preserve">Figure </w:t>
      </w:r>
      <w:r w:rsidRPr="000016AD">
        <w:rPr>
          <w:b/>
          <w:i w:val="0"/>
          <w:color w:val="auto"/>
          <w:sz w:val="24"/>
          <w:szCs w:val="24"/>
        </w:rPr>
        <w:fldChar w:fldCharType="begin"/>
      </w:r>
      <w:r w:rsidRPr="000016AD">
        <w:rPr>
          <w:b/>
          <w:i w:val="0"/>
          <w:color w:val="auto"/>
          <w:sz w:val="24"/>
          <w:szCs w:val="24"/>
        </w:rPr>
        <w:instrText xml:space="preserve"> SEQ Figure \* ARABIC </w:instrText>
      </w:r>
      <w:r w:rsidRPr="000016AD">
        <w:rPr>
          <w:b/>
          <w:i w:val="0"/>
          <w:color w:val="auto"/>
          <w:sz w:val="24"/>
          <w:szCs w:val="24"/>
        </w:rPr>
        <w:fldChar w:fldCharType="separate"/>
      </w:r>
      <w:r w:rsidR="00961531">
        <w:rPr>
          <w:b/>
          <w:i w:val="0"/>
          <w:noProof/>
          <w:color w:val="auto"/>
          <w:sz w:val="24"/>
          <w:szCs w:val="24"/>
        </w:rPr>
        <w:t>2</w:t>
      </w:r>
      <w:r w:rsidRPr="000016AD">
        <w:rPr>
          <w:b/>
          <w:i w:val="0"/>
          <w:color w:val="auto"/>
          <w:sz w:val="24"/>
          <w:szCs w:val="24"/>
        </w:rPr>
        <w:fldChar w:fldCharType="end"/>
      </w:r>
      <w:r w:rsidRPr="000016AD">
        <w:rPr>
          <w:b/>
          <w:i w:val="0"/>
          <w:color w:val="auto"/>
          <w:sz w:val="24"/>
          <w:szCs w:val="24"/>
        </w:rPr>
        <w:t>. Aerial view of the Teotihuacan site.</w:t>
      </w:r>
      <w:r>
        <w:rPr>
          <w:i w:val="0"/>
          <w:color w:val="auto"/>
          <w:sz w:val="24"/>
          <w:szCs w:val="24"/>
        </w:rPr>
        <w:t xml:space="preserve"> The Moon Pyramid is highlighted in blue and the area for the Plaza of the Columns is highlighted in purple. The Avenue of the Dead is demarcated with the bold white line and the Sun Pyramid is highlighted in yellow. Approximately 440 m separate the two areas. Both structures date to the Classic period (300-950 CE). </w:t>
      </w:r>
    </w:p>
    <w:p w14:paraId="14D489B2" w14:textId="77777777" w:rsidR="00C6392B" w:rsidRDefault="00C6392B">
      <w:pPr>
        <w:rPr>
          <w:rFonts w:eastAsiaTheme="majorEastAsia"/>
          <w:b/>
          <w:sz w:val="28"/>
          <w:szCs w:val="28"/>
        </w:rPr>
      </w:pPr>
      <w:r>
        <w:rPr>
          <w:b/>
          <w:sz w:val="28"/>
          <w:szCs w:val="28"/>
        </w:rPr>
        <w:br w:type="page"/>
      </w:r>
    </w:p>
    <w:p w14:paraId="64B6A7B8" w14:textId="6C0EF4DC" w:rsidR="006F1834" w:rsidRPr="00C21A2F" w:rsidRDefault="006F1834" w:rsidP="00C21A2F">
      <w:pPr>
        <w:pStyle w:val="Heading1"/>
        <w:rPr>
          <w:rFonts w:ascii="Times New Roman" w:hAnsi="Times New Roman" w:cs="Times New Roman"/>
          <w:b/>
          <w:color w:val="auto"/>
          <w:sz w:val="28"/>
          <w:szCs w:val="28"/>
        </w:rPr>
      </w:pPr>
      <w:bookmarkStart w:id="21" w:name="_Toc8404633"/>
      <w:r w:rsidRPr="00C21A2F">
        <w:rPr>
          <w:rFonts w:ascii="Times New Roman" w:hAnsi="Times New Roman" w:cs="Times New Roman"/>
          <w:b/>
          <w:color w:val="auto"/>
          <w:sz w:val="28"/>
          <w:szCs w:val="28"/>
        </w:rPr>
        <w:lastRenderedPageBreak/>
        <w:t>Results</w:t>
      </w:r>
      <w:bookmarkEnd w:id="21"/>
      <w:r w:rsidRPr="00C21A2F">
        <w:rPr>
          <w:rFonts w:ascii="Times New Roman" w:hAnsi="Times New Roman" w:cs="Times New Roman"/>
          <w:b/>
          <w:color w:val="auto"/>
          <w:sz w:val="28"/>
          <w:szCs w:val="28"/>
        </w:rPr>
        <w:t xml:space="preserve"> </w:t>
      </w:r>
    </w:p>
    <w:p w14:paraId="643006B3" w14:textId="1FB5C039" w:rsidR="006F1834" w:rsidRPr="00C21A2F" w:rsidRDefault="006F1834" w:rsidP="00C21A2F">
      <w:pPr>
        <w:pStyle w:val="Heading2"/>
        <w:rPr>
          <w:rFonts w:ascii="Times New Roman" w:hAnsi="Times New Roman" w:cs="Times New Roman"/>
          <w:i/>
          <w:color w:val="auto"/>
          <w:sz w:val="24"/>
          <w:szCs w:val="24"/>
        </w:rPr>
      </w:pPr>
      <w:bookmarkStart w:id="22" w:name="_Toc8404634"/>
      <w:r w:rsidRPr="00C21A2F">
        <w:rPr>
          <w:rFonts w:ascii="Times New Roman" w:hAnsi="Times New Roman" w:cs="Times New Roman"/>
          <w:i/>
          <w:color w:val="auto"/>
          <w:sz w:val="24"/>
          <w:szCs w:val="24"/>
        </w:rPr>
        <w:t>Read</w:t>
      </w:r>
      <w:r w:rsidR="00BB3FB0">
        <w:rPr>
          <w:rFonts w:ascii="Times New Roman" w:hAnsi="Times New Roman" w:cs="Times New Roman"/>
          <w:i/>
          <w:color w:val="auto"/>
          <w:sz w:val="24"/>
          <w:szCs w:val="24"/>
        </w:rPr>
        <w:t xml:space="preserve"> Metadata</w:t>
      </w:r>
      <w:bookmarkEnd w:id="22"/>
      <w:r w:rsidRPr="00C21A2F">
        <w:rPr>
          <w:rFonts w:ascii="Times New Roman" w:hAnsi="Times New Roman" w:cs="Times New Roman"/>
          <w:i/>
          <w:color w:val="auto"/>
          <w:sz w:val="24"/>
          <w:szCs w:val="24"/>
        </w:rPr>
        <w:t xml:space="preserve"> </w:t>
      </w:r>
    </w:p>
    <w:p w14:paraId="31BA695A" w14:textId="2C33E95D" w:rsidR="00901370" w:rsidRDefault="006F1834" w:rsidP="00901370">
      <w:pPr>
        <w:spacing w:line="480" w:lineRule="auto"/>
        <w:ind w:firstLine="720"/>
        <w:rPr>
          <w:sz w:val="24"/>
          <w:szCs w:val="24"/>
        </w:rPr>
      </w:pPr>
      <w:r w:rsidRPr="006E43C8">
        <w:rPr>
          <w:sz w:val="24"/>
          <w:szCs w:val="24"/>
        </w:rPr>
        <w:t xml:space="preserve">The mean number of reads generated for each sample, excluding negative controls, is 11,553,643 before quality filtering </w:t>
      </w:r>
      <w:r w:rsidRPr="006E43C8">
        <w:rPr>
          <w:i/>
          <w:sz w:val="24"/>
          <w:szCs w:val="24"/>
        </w:rPr>
        <w:t>(minimum=9,974,121, median=11,415,281.5, maximum=13,409,888)</w:t>
      </w:r>
      <w:r w:rsidR="00B70281">
        <w:rPr>
          <w:i/>
          <w:sz w:val="24"/>
          <w:szCs w:val="24"/>
        </w:rPr>
        <w:t xml:space="preserve"> </w:t>
      </w:r>
      <w:r w:rsidR="00B70281">
        <w:rPr>
          <w:sz w:val="24"/>
          <w:szCs w:val="24"/>
        </w:rPr>
        <w:t>(Table 1)</w:t>
      </w:r>
      <w:r w:rsidRPr="006E43C8">
        <w:rPr>
          <w:sz w:val="24"/>
          <w:szCs w:val="24"/>
        </w:rPr>
        <w:t>. The mean number of paired-end reads that successfully merged is 10,530,177 (</w:t>
      </w:r>
      <w:r w:rsidRPr="006E43C8">
        <w:rPr>
          <w:i/>
          <w:sz w:val="24"/>
          <w:szCs w:val="24"/>
        </w:rPr>
        <w:t>minimum=8,929,205, median=10,807,185, maximum=11,577,133</w:t>
      </w:r>
      <w:r w:rsidRPr="006E43C8">
        <w:rPr>
          <w:sz w:val="24"/>
          <w:szCs w:val="24"/>
        </w:rPr>
        <w:t>), wh</w:t>
      </w:r>
      <w:r w:rsidR="00507ADC">
        <w:rPr>
          <w:sz w:val="24"/>
          <w:szCs w:val="24"/>
        </w:rPr>
        <w:t>ich</w:t>
      </w:r>
      <w:r w:rsidRPr="006E43C8">
        <w:rPr>
          <w:sz w:val="24"/>
          <w:szCs w:val="24"/>
        </w:rPr>
        <w:t xml:space="preserve"> represents an average of 91.26%</w:t>
      </w:r>
      <w:r w:rsidR="00C6392B">
        <w:rPr>
          <w:sz w:val="24"/>
          <w:szCs w:val="24"/>
        </w:rPr>
        <w:t xml:space="preserve"> merged</w:t>
      </w:r>
      <w:r w:rsidRPr="006E43C8">
        <w:rPr>
          <w:sz w:val="24"/>
          <w:szCs w:val="24"/>
        </w:rPr>
        <w:t>. The mean number of reads for the negative controls is 7,759,789.33 (</w:t>
      </w:r>
      <w:r w:rsidRPr="006E43C8">
        <w:rPr>
          <w:i/>
          <w:sz w:val="24"/>
          <w:szCs w:val="24"/>
        </w:rPr>
        <w:t>minimum=408,363, median=11,014,302, maximum=11,856,703</w:t>
      </w:r>
      <w:r w:rsidRPr="006E43C8">
        <w:rPr>
          <w:sz w:val="24"/>
          <w:szCs w:val="24"/>
        </w:rPr>
        <w:t xml:space="preserve">). The mean number of </w:t>
      </w:r>
      <w:r w:rsidR="00901370">
        <w:rPr>
          <w:sz w:val="24"/>
          <w:szCs w:val="24"/>
        </w:rPr>
        <w:t xml:space="preserve">negative control </w:t>
      </w:r>
      <w:r w:rsidRPr="006E43C8">
        <w:rPr>
          <w:sz w:val="24"/>
          <w:szCs w:val="24"/>
        </w:rPr>
        <w:t>paired-end reads that successfully merged is 7,094,963.33 (</w:t>
      </w:r>
      <w:r w:rsidRPr="006E43C8">
        <w:rPr>
          <w:i/>
          <w:sz w:val="24"/>
          <w:szCs w:val="24"/>
        </w:rPr>
        <w:t>minimum=12,007, median=11856703, maximum=11,856,703</w:t>
      </w:r>
      <w:r w:rsidRPr="006E43C8">
        <w:rPr>
          <w:sz w:val="24"/>
          <w:szCs w:val="24"/>
        </w:rPr>
        <w:t>). The library negative was omitte</w:t>
      </w:r>
      <w:r w:rsidR="00065AEC">
        <w:rPr>
          <w:sz w:val="24"/>
          <w:szCs w:val="24"/>
        </w:rPr>
        <w:t>d from downstream analysis</w:t>
      </w:r>
      <w:r w:rsidR="0081470C">
        <w:rPr>
          <w:sz w:val="24"/>
          <w:szCs w:val="24"/>
        </w:rPr>
        <w:t xml:space="preserve"> due to </w:t>
      </w:r>
      <w:r w:rsidR="005972A5">
        <w:rPr>
          <w:sz w:val="24"/>
          <w:szCs w:val="24"/>
        </w:rPr>
        <w:t>less than 50</w:t>
      </w:r>
      <w:r w:rsidR="0081470C">
        <w:rPr>
          <w:sz w:val="24"/>
          <w:szCs w:val="24"/>
        </w:rPr>
        <w:t xml:space="preserve"> unique reads</w:t>
      </w:r>
      <w:r w:rsidR="005972A5">
        <w:rPr>
          <w:sz w:val="24"/>
          <w:szCs w:val="24"/>
        </w:rPr>
        <w:t xml:space="preserve"> </w:t>
      </w:r>
      <w:r w:rsidR="007368B0">
        <w:rPr>
          <w:sz w:val="24"/>
          <w:szCs w:val="24"/>
        </w:rPr>
        <w:t xml:space="preserve">mapping </w:t>
      </w:r>
      <w:r w:rsidR="005972A5">
        <w:rPr>
          <w:sz w:val="24"/>
          <w:szCs w:val="24"/>
        </w:rPr>
        <w:t>to any reference</w:t>
      </w:r>
      <w:r w:rsidRPr="006E43C8">
        <w:rPr>
          <w:sz w:val="24"/>
          <w:szCs w:val="24"/>
        </w:rPr>
        <w:t>.</w:t>
      </w:r>
      <w:r w:rsidR="004A0A8F">
        <w:rPr>
          <w:sz w:val="24"/>
          <w:szCs w:val="24"/>
        </w:rPr>
        <w:t xml:space="preserve"> </w:t>
      </w:r>
    </w:p>
    <w:p w14:paraId="62805451" w14:textId="77777777" w:rsidR="00065AEC" w:rsidRPr="00C21A2F" w:rsidRDefault="00065AEC" w:rsidP="00065AEC">
      <w:pPr>
        <w:pStyle w:val="Heading2"/>
        <w:rPr>
          <w:rFonts w:ascii="Times New Roman" w:hAnsi="Times New Roman" w:cs="Times New Roman"/>
          <w:i/>
          <w:color w:val="auto"/>
          <w:sz w:val="24"/>
          <w:szCs w:val="24"/>
        </w:rPr>
      </w:pPr>
      <w:bookmarkStart w:id="23" w:name="_Toc8404635"/>
      <w:r w:rsidRPr="00C21A2F">
        <w:rPr>
          <w:rFonts w:ascii="Times New Roman" w:hAnsi="Times New Roman" w:cs="Times New Roman"/>
          <w:i/>
          <w:color w:val="auto"/>
          <w:sz w:val="24"/>
          <w:szCs w:val="24"/>
        </w:rPr>
        <w:t>Metataxonomic characterization</w:t>
      </w:r>
      <w:bookmarkEnd w:id="23"/>
      <w:r w:rsidRPr="00C21A2F">
        <w:rPr>
          <w:rFonts w:ascii="Times New Roman" w:hAnsi="Times New Roman" w:cs="Times New Roman"/>
          <w:i/>
          <w:color w:val="auto"/>
          <w:sz w:val="24"/>
          <w:szCs w:val="24"/>
        </w:rPr>
        <w:t xml:space="preserve"> </w:t>
      </w:r>
    </w:p>
    <w:p w14:paraId="702F8DDA" w14:textId="6FE9F68D" w:rsidR="00065AEC" w:rsidRPr="006E43C8" w:rsidRDefault="00065AEC" w:rsidP="00065AEC">
      <w:pPr>
        <w:spacing w:line="480" w:lineRule="auto"/>
        <w:ind w:firstLine="720"/>
        <w:rPr>
          <w:sz w:val="24"/>
          <w:szCs w:val="24"/>
        </w:rPr>
      </w:pPr>
      <w:r>
        <w:rPr>
          <w:sz w:val="24"/>
          <w:szCs w:val="24"/>
        </w:rPr>
        <w:t xml:space="preserve">The microbial community for each sample and negative control was characterized with QIIME and MetaPhlAn. </w:t>
      </w:r>
      <w:r w:rsidR="003409BD">
        <w:rPr>
          <w:sz w:val="24"/>
          <w:szCs w:val="24"/>
        </w:rPr>
        <w:t xml:space="preserve">According to </w:t>
      </w:r>
      <w:r w:rsidR="003409BD">
        <w:rPr>
          <w:sz w:val="24"/>
          <w:szCs w:val="24"/>
        </w:rPr>
        <w:fldChar w:fldCharType="begin"/>
      </w:r>
      <w:r w:rsidR="003409BD">
        <w:rPr>
          <w:sz w:val="24"/>
          <w:szCs w:val="24"/>
        </w:rPr>
        <w:instrText xml:space="preserve"> ADDIN ZOTERO_ITEM CSL_CITATION {"citationID":"2oRSRCjr","properties":{"formattedCitation":"(Huynh et al., 2016)","plainCitation":"(Huynh et al., 2016)","noteIndex":0},"citationItems":[{"id":1298,"uris":["http://zotero.org/users/4461938/items/7UBYH4HQ"],"uri":["http://zotero.org/users/4461938/items/7UBYH4HQ"],"itemData":{"id":1298,"type":"article-journal","title":"Bacteria and archaea paleomicrobiology of the dental calculus: a review","container-title":"Molecular Oral Microbiology","page":"234-242","volume":"31","issue":"3","source":"Wiley Online Library","abstract":"Dental calculus, a material observed in the majority of adults worldwide, emerged as a source for correlating paleomicrobiology with human health and diet. This mini review of 48 articles on the paleomicrobiology of dental calculus over 7550 years discloses a secular core microbiota comprising nine bacterial phyla – Firmicutes, Actinobacteria, Proteobacteria, Bacteroidetes, TM7, Synergistetes, Chloroflexi, Fusobacteria, Spirochetes – and one archaeal phylum Euryarchaeota; and some accessory microbiota that appear and disappear according to time frame. The diet residues and oral microbes, including bacteria, archaea, viruses and fungi, consisting of harmless organisms and pathogens associated with local and systemic infections have been found trapped in ancient dental calculus by morphological approaches, immunolabeling techniques, isotope analyses, fluorescent in situ hybridization, DNA-based approaches, and protein-based approaches. These observations led to correlation of paleomicrobiology, particularly Streptococcus mutans and archaea, with past human health and diet.","DOI":"10.1111/omi.12118","ISSN":"2041-1014","title-short":"Bacteria and archaea paleomicrobiology of the dental calculus","language":"en","author":[{"family":"Huynh","given":"H. T. T."},{"family":"Verneau","given":"J."},{"family":"Levasseur","given":"A."},{"family":"Drancourt","given":"M."},{"family":"Aboudharam","given":"G."}],"issued":{"date-parts":[["2016"]]}}}],"schema":"https://github.com/citation-style-language/schema/raw/master/csl-citation.json"} </w:instrText>
      </w:r>
      <w:r w:rsidR="003409BD">
        <w:rPr>
          <w:sz w:val="24"/>
          <w:szCs w:val="24"/>
        </w:rPr>
        <w:fldChar w:fldCharType="separate"/>
      </w:r>
      <w:r w:rsidR="003409BD" w:rsidRPr="003409BD">
        <w:rPr>
          <w:sz w:val="24"/>
        </w:rPr>
        <w:t xml:space="preserve">Huynh et al. </w:t>
      </w:r>
      <w:r w:rsidR="003409BD">
        <w:rPr>
          <w:sz w:val="24"/>
        </w:rPr>
        <w:t>(</w:t>
      </w:r>
      <w:r w:rsidR="003409BD" w:rsidRPr="003409BD">
        <w:rPr>
          <w:sz w:val="24"/>
        </w:rPr>
        <w:t>2016)</w:t>
      </w:r>
      <w:r w:rsidR="003409BD">
        <w:rPr>
          <w:sz w:val="24"/>
          <w:szCs w:val="24"/>
        </w:rPr>
        <w:fldChar w:fldCharType="end"/>
      </w:r>
      <w:r w:rsidR="003409BD">
        <w:rPr>
          <w:sz w:val="24"/>
          <w:szCs w:val="24"/>
        </w:rPr>
        <w:t xml:space="preserve">, there are 10 core phyla found in dental calculus: </w:t>
      </w:r>
      <w:r w:rsidR="00821B81">
        <w:rPr>
          <w:sz w:val="24"/>
          <w:szCs w:val="24"/>
        </w:rPr>
        <w:t>Bacteroidetes, Proteobacteria, Actinobacteria, Firmicutes, T</w:t>
      </w:r>
      <w:r w:rsidR="003409BD">
        <w:rPr>
          <w:sz w:val="24"/>
          <w:szCs w:val="24"/>
        </w:rPr>
        <w:t xml:space="preserve">M7, Synergistetes, Chloroflexi, Fusobacteria, Spirochetes, and Euryarchaeota. </w:t>
      </w:r>
      <w:r>
        <w:rPr>
          <w:sz w:val="24"/>
          <w:szCs w:val="24"/>
        </w:rPr>
        <w:t>QIIME identified</w:t>
      </w:r>
      <w:r w:rsidR="003409BD">
        <w:rPr>
          <w:sz w:val="24"/>
          <w:szCs w:val="24"/>
        </w:rPr>
        <w:t xml:space="preserve"> all ten of these</w:t>
      </w:r>
      <w:r>
        <w:rPr>
          <w:sz w:val="24"/>
          <w:szCs w:val="24"/>
        </w:rPr>
        <w:t xml:space="preserve"> </w:t>
      </w:r>
      <w:r w:rsidRPr="00603FDA">
        <w:rPr>
          <w:sz w:val="24"/>
          <w:szCs w:val="24"/>
        </w:rPr>
        <w:t xml:space="preserve">phyla </w:t>
      </w:r>
      <w:r>
        <w:rPr>
          <w:sz w:val="24"/>
          <w:szCs w:val="24"/>
        </w:rPr>
        <w:t xml:space="preserve">in the </w:t>
      </w:r>
      <w:r w:rsidR="000C40C3">
        <w:rPr>
          <w:sz w:val="24"/>
          <w:szCs w:val="24"/>
        </w:rPr>
        <w:t xml:space="preserve">PPCC sample and at least 5 of the phyla in the PPL </w:t>
      </w:r>
      <w:r>
        <w:rPr>
          <w:sz w:val="24"/>
          <w:szCs w:val="24"/>
        </w:rPr>
        <w:t>samples (Figure 3)</w:t>
      </w:r>
      <w:r w:rsidRPr="003409BD">
        <w:rPr>
          <w:sz w:val="24"/>
          <w:szCs w:val="24"/>
        </w:rPr>
        <w:t xml:space="preserve">. </w:t>
      </w:r>
      <w:r w:rsidR="003409BD">
        <w:rPr>
          <w:sz w:val="24"/>
          <w:szCs w:val="24"/>
        </w:rPr>
        <w:t xml:space="preserve">The relative abundances for the top three </w:t>
      </w:r>
      <w:r w:rsidR="0081470C">
        <w:rPr>
          <w:sz w:val="24"/>
          <w:szCs w:val="24"/>
        </w:rPr>
        <w:t xml:space="preserve">most abundant </w:t>
      </w:r>
      <w:r w:rsidR="00452B26">
        <w:rPr>
          <w:sz w:val="24"/>
          <w:szCs w:val="24"/>
        </w:rPr>
        <w:t xml:space="preserve">in each sample </w:t>
      </w:r>
      <w:r w:rsidR="003409BD">
        <w:rPr>
          <w:sz w:val="24"/>
          <w:szCs w:val="24"/>
        </w:rPr>
        <w:t xml:space="preserve">are shown in Table 2. </w:t>
      </w:r>
      <w:r w:rsidR="00D67760">
        <w:rPr>
          <w:sz w:val="24"/>
          <w:szCs w:val="24"/>
        </w:rPr>
        <w:t>Several g</w:t>
      </w:r>
      <w:r w:rsidR="003409BD">
        <w:rPr>
          <w:sz w:val="24"/>
          <w:szCs w:val="24"/>
        </w:rPr>
        <w:t xml:space="preserve">enus representatives </w:t>
      </w:r>
      <w:r w:rsidR="00D67760">
        <w:rPr>
          <w:sz w:val="24"/>
          <w:szCs w:val="24"/>
        </w:rPr>
        <w:t>that have been found in dental calculus include</w:t>
      </w:r>
      <w:r w:rsidR="003409BD">
        <w:rPr>
          <w:sz w:val="24"/>
          <w:szCs w:val="24"/>
        </w:rPr>
        <w:t xml:space="preserve"> </w:t>
      </w:r>
      <w:r w:rsidRPr="009943B2">
        <w:rPr>
          <w:i/>
          <w:sz w:val="24"/>
          <w:szCs w:val="24"/>
        </w:rPr>
        <w:t>Tannerella</w:t>
      </w:r>
      <w:r>
        <w:rPr>
          <w:sz w:val="24"/>
          <w:szCs w:val="24"/>
        </w:rPr>
        <w:t xml:space="preserve">, </w:t>
      </w:r>
      <w:r w:rsidR="00821B81">
        <w:rPr>
          <w:i/>
          <w:sz w:val="24"/>
          <w:szCs w:val="24"/>
        </w:rPr>
        <w:t xml:space="preserve">Desulfobulbus, </w:t>
      </w:r>
      <w:r>
        <w:rPr>
          <w:i/>
          <w:sz w:val="24"/>
          <w:szCs w:val="24"/>
        </w:rPr>
        <w:t xml:space="preserve">Actinomyces, </w:t>
      </w:r>
      <w:r>
        <w:rPr>
          <w:sz w:val="24"/>
          <w:szCs w:val="24"/>
        </w:rPr>
        <w:t xml:space="preserve">and </w:t>
      </w:r>
      <w:r>
        <w:rPr>
          <w:i/>
          <w:sz w:val="24"/>
          <w:szCs w:val="24"/>
        </w:rPr>
        <w:t>Streptococcus</w:t>
      </w:r>
      <w:r w:rsidR="00821B81">
        <w:rPr>
          <w:i/>
          <w:sz w:val="24"/>
          <w:szCs w:val="24"/>
        </w:rPr>
        <w:t xml:space="preserve"> </w:t>
      </w:r>
      <w:r w:rsidR="00821B81">
        <w:rPr>
          <w:sz w:val="24"/>
          <w:szCs w:val="24"/>
        </w:rPr>
        <w:t xml:space="preserve">and </w:t>
      </w:r>
      <w:r w:rsidR="00821B81">
        <w:rPr>
          <w:i/>
          <w:sz w:val="24"/>
          <w:szCs w:val="24"/>
        </w:rPr>
        <w:t xml:space="preserve">Methanobrevibacter </w:t>
      </w:r>
      <w:r>
        <w:rPr>
          <w:sz w:val="24"/>
          <w:szCs w:val="24"/>
        </w:rPr>
        <w:t xml:space="preserve"> </w:t>
      </w:r>
      <w:r>
        <w:rPr>
          <w:sz w:val="24"/>
          <w:szCs w:val="24"/>
        </w:rPr>
        <w:fldChar w:fldCharType="begin"/>
      </w:r>
      <w:r>
        <w:rPr>
          <w:sz w:val="24"/>
          <w:szCs w:val="24"/>
        </w:rPr>
        <w:instrText xml:space="preserve"> ADDIN ZOTERO_ITEM CSL_CITATION {"citationID":"8YwrVTzN","properties":{"formattedCitation":"(Dewhirst et al., 2010)","plainCitation":"(Dewhirst et al., 2010)","noteIndex":0},"citationItems":[{"id":605,"uris":["http://zotero.org/users/4461938/items/WSLI8Q4D"],"uri":["http://zotero.org/users/4461938/items/WSLI8Q4D"],"itemData":{"id":605,"type":"article-journal","title":"The human oral microbiome","container-title":"Journal of bacteriology","page":"5002-5017","volume":"192","issue":"19","author":[{"family":"Dewhirst","given":"Floyd E."},{"family":"Chen","given":"Tuste"},{"family":"Izard","given":"Jacques"},{"family":"Paster","given":"Bruce J."},{"family":"Tanner","given":"Anne CR"},{"family":"Yu","given":"Wen-Han"},{"family":"Lakshmanan","given":"Abirami"},{"family":"Wade","given":"William G."}],"issued":{"date-parts":[["2010"]]}}}],"schema":"https://github.com/citation-style-language/schema/raw/master/csl-citation.json"} </w:instrText>
      </w:r>
      <w:r>
        <w:rPr>
          <w:sz w:val="24"/>
          <w:szCs w:val="24"/>
        </w:rPr>
        <w:fldChar w:fldCharType="separate"/>
      </w:r>
      <w:r w:rsidRPr="00200795">
        <w:rPr>
          <w:sz w:val="24"/>
        </w:rPr>
        <w:t>(Dewhirst et al., 2010)</w:t>
      </w:r>
      <w:r>
        <w:rPr>
          <w:sz w:val="24"/>
          <w:szCs w:val="24"/>
        </w:rPr>
        <w:fldChar w:fldCharType="end"/>
      </w:r>
      <w:r w:rsidR="00210F35">
        <w:rPr>
          <w:sz w:val="24"/>
          <w:szCs w:val="24"/>
        </w:rPr>
        <w:t xml:space="preserve">. </w:t>
      </w:r>
      <w:r w:rsidR="003409BD">
        <w:rPr>
          <w:sz w:val="24"/>
          <w:szCs w:val="24"/>
        </w:rPr>
        <w:t>QIIME</w:t>
      </w:r>
      <w:r w:rsidR="003409BD" w:rsidRPr="00603FDA">
        <w:rPr>
          <w:sz w:val="24"/>
          <w:szCs w:val="24"/>
        </w:rPr>
        <w:t xml:space="preserve"> </w:t>
      </w:r>
      <w:r w:rsidR="003409BD">
        <w:rPr>
          <w:sz w:val="24"/>
          <w:szCs w:val="24"/>
        </w:rPr>
        <w:t xml:space="preserve">OTU picking also </w:t>
      </w:r>
      <w:r w:rsidR="003409BD" w:rsidRPr="00603FDA">
        <w:rPr>
          <w:sz w:val="24"/>
          <w:szCs w:val="24"/>
        </w:rPr>
        <w:t xml:space="preserve">showed that the PPCC sample had </w:t>
      </w:r>
      <w:r w:rsidR="00746AFD">
        <w:rPr>
          <w:sz w:val="24"/>
          <w:szCs w:val="24"/>
        </w:rPr>
        <w:t xml:space="preserve">all of </w:t>
      </w:r>
      <w:r w:rsidR="003409BD">
        <w:rPr>
          <w:sz w:val="24"/>
          <w:szCs w:val="24"/>
        </w:rPr>
        <w:t xml:space="preserve">these </w:t>
      </w:r>
      <w:r w:rsidR="003409BD" w:rsidRPr="00603FDA">
        <w:rPr>
          <w:sz w:val="24"/>
          <w:szCs w:val="24"/>
        </w:rPr>
        <w:t>genera</w:t>
      </w:r>
      <w:r w:rsidR="00746AFD">
        <w:rPr>
          <w:sz w:val="24"/>
          <w:szCs w:val="24"/>
        </w:rPr>
        <w:t>. The PPL 5A was the only Moon Pyramid sample that had Streptococcus</w:t>
      </w:r>
      <w:r w:rsidR="003409BD">
        <w:rPr>
          <w:sz w:val="24"/>
          <w:szCs w:val="24"/>
        </w:rPr>
        <w:t xml:space="preserve"> (Table 3). </w:t>
      </w:r>
      <w:r w:rsidR="00210F35">
        <w:rPr>
          <w:sz w:val="24"/>
          <w:szCs w:val="24"/>
        </w:rPr>
        <w:t>QIIME showed that the</w:t>
      </w:r>
      <w:r w:rsidRPr="00603FDA">
        <w:rPr>
          <w:sz w:val="24"/>
          <w:szCs w:val="24"/>
        </w:rPr>
        <w:t xml:space="preserve"> PPL samples </w:t>
      </w:r>
      <w:r>
        <w:rPr>
          <w:sz w:val="24"/>
          <w:szCs w:val="24"/>
        </w:rPr>
        <w:t xml:space="preserve">had </w:t>
      </w:r>
      <w:r w:rsidR="00210F35">
        <w:rPr>
          <w:sz w:val="24"/>
          <w:szCs w:val="24"/>
        </w:rPr>
        <w:t xml:space="preserve">several </w:t>
      </w:r>
      <w:r>
        <w:rPr>
          <w:sz w:val="24"/>
          <w:szCs w:val="24"/>
        </w:rPr>
        <w:t xml:space="preserve">genera mainly found in </w:t>
      </w:r>
      <w:r w:rsidRPr="00603FDA">
        <w:rPr>
          <w:sz w:val="24"/>
          <w:szCs w:val="24"/>
        </w:rPr>
        <w:t xml:space="preserve">soil and skin </w:t>
      </w:r>
      <w:r>
        <w:rPr>
          <w:sz w:val="24"/>
          <w:szCs w:val="24"/>
        </w:rPr>
        <w:t>microbiomes (</w:t>
      </w:r>
      <w:r w:rsidR="003409BD">
        <w:rPr>
          <w:sz w:val="24"/>
          <w:szCs w:val="24"/>
        </w:rPr>
        <w:t xml:space="preserve">e.g. </w:t>
      </w:r>
      <w:r w:rsidRPr="002B4E6F">
        <w:rPr>
          <w:i/>
          <w:sz w:val="24"/>
          <w:szCs w:val="24"/>
        </w:rPr>
        <w:t>Acidobacteria</w:t>
      </w:r>
      <w:r>
        <w:rPr>
          <w:sz w:val="24"/>
          <w:szCs w:val="24"/>
        </w:rPr>
        <w:t xml:space="preserve"> gen., </w:t>
      </w:r>
      <w:r w:rsidRPr="00200795">
        <w:rPr>
          <w:i/>
          <w:sz w:val="24"/>
          <w:szCs w:val="24"/>
        </w:rPr>
        <w:t>Solibacteraceae</w:t>
      </w:r>
      <w:r>
        <w:rPr>
          <w:sz w:val="24"/>
          <w:szCs w:val="24"/>
        </w:rPr>
        <w:t xml:space="preserve">, </w:t>
      </w:r>
      <w:r w:rsidRPr="00200795">
        <w:rPr>
          <w:i/>
          <w:sz w:val="24"/>
          <w:szCs w:val="24"/>
        </w:rPr>
        <w:t>Xanthomonadaceae</w:t>
      </w:r>
      <w:r>
        <w:rPr>
          <w:sz w:val="24"/>
          <w:szCs w:val="24"/>
        </w:rPr>
        <w:t xml:space="preserve"> gen., and </w:t>
      </w:r>
      <w:r w:rsidRPr="00200795">
        <w:rPr>
          <w:i/>
          <w:sz w:val="24"/>
          <w:szCs w:val="24"/>
        </w:rPr>
        <w:t>Rhodospirillacea</w:t>
      </w:r>
      <w:r w:rsidRPr="00603FDA">
        <w:rPr>
          <w:sz w:val="24"/>
          <w:szCs w:val="24"/>
        </w:rPr>
        <w:t xml:space="preserve"> </w:t>
      </w:r>
      <w:r>
        <w:rPr>
          <w:sz w:val="24"/>
          <w:szCs w:val="24"/>
        </w:rPr>
        <w:t xml:space="preserve">gen.) </w:t>
      </w:r>
      <w:r>
        <w:rPr>
          <w:sz w:val="24"/>
          <w:szCs w:val="24"/>
        </w:rPr>
        <w:fldChar w:fldCharType="begin"/>
      </w:r>
      <w:r>
        <w:rPr>
          <w:sz w:val="24"/>
          <w:szCs w:val="24"/>
        </w:rPr>
        <w:instrText xml:space="preserve"> ADDIN ZOTERO_ITEM CSL_CITATION {"citationID":"g14e4PkY","properties":{"formattedCitation":"(Chen et al., 2018; DOE Joint Genome Institute, 2017; Oh et al., 2016)","plainCitation":"(Chen et al., 2018; DOE Joint Genome Institute, 2017; Oh et al., 2016)","noteIndex":0},"citationItems":[{"id":1004,"uris":["http://zotero.org/users/4461938/items/5LU676IR"],"uri":["http://zotero.org/users/4461938/items/5LU676IR"],"itemData":{"id":1004,"type":"article-journal","title":"Skin microbiota–host interactions","container-title":"Nature","page":"427-436","volume":"553","issue":"7689","source":"www.nature.com","abstract":"The skin is a complex and dynamic ecosystem that is inhabited by bacteria, archaea, fungi and viruses. These microbes—collectively referred to as the skin microbiota—are fundamental to skin physiology and immunity. Interactions between skin microbes and the host can fall anywhere along the continuum between mutualism and pathogenicity. In this Review, we highlight how host–microbe interactions depend heavily on context, including the state of immune activation, host genetic predisposition, barrier status, microbe localization, and microbe–microbe interactions. We focus on how context shapes the complex dialogue between skin microbes and the host, and the consequences of this dialogue for health and disease.","DOI":"10.1038/nature25177","ISSN":"1476-4687","language":"en","author":[{"family":"Chen","given":"Y. Erin"},{"family":"Fischbach","given":"Michael A."},{"family":"Belkaid","given":"Yasmine"}],"issued":{"date-parts":[["2018",1,24]]}}},{"id":948,"uris":["http://zotero.org/users/4461938/items/66HVJMNY"],"uri":["http://zotero.org/users/4461938/items/66HVJMNY"],"itemData":{"id":948,"type":"article-journal","title":"Bog forest soil microbial communities from Calvert Island, British Columbia, Canada - ECP14_OM3 metagenome","author":[{"family":"DOE Joint Genome Institute","given":""}],"issued":{"date-parts":[["2017"]]}}},{"id":947,"uris":["http://zotero.org/users/4461938/items/UJ4C4GW9"],"uri":["http://zotero.org/users/4461938/items/UJ4C4GW9"],"itemData":{"id":947,"type":"article-journal","title":"Temporal stability of the human skin microbiome","container-title":"Cell","page":"854-866","volume":"165","issue":"4","author":[{"family":"Oh","given":"Julia"},{"family":"Byrd","given":"Allyson L."},{"family":"Park","given":"Morgan"},{"family":"Kong","given":"Heidi H."},{"family":"Segre","given":"Julia A."},{"family":"Program","given":"NISC Comparative Sequencing"}],"issued":{"date-parts":[["2016"]]}}}],"schema":"https://github.com/citation-style-language/schema/raw/master/csl-citation.json"} </w:instrText>
      </w:r>
      <w:r>
        <w:rPr>
          <w:sz w:val="24"/>
          <w:szCs w:val="24"/>
        </w:rPr>
        <w:fldChar w:fldCharType="separate"/>
      </w:r>
      <w:r w:rsidRPr="00200795">
        <w:rPr>
          <w:sz w:val="24"/>
        </w:rPr>
        <w:t xml:space="preserve">(Chen et al., 2018; DOE </w:t>
      </w:r>
      <w:r w:rsidRPr="00200795">
        <w:rPr>
          <w:sz w:val="24"/>
        </w:rPr>
        <w:lastRenderedPageBreak/>
        <w:t>Joint Genome Institute, 2017; Oh et al., 2016)</w:t>
      </w:r>
      <w:r>
        <w:rPr>
          <w:sz w:val="24"/>
          <w:szCs w:val="24"/>
        </w:rPr>
        <w:fldChar w:fldCharType="end"/>
      </w:r>
      <w:r w:rsidRPr="00603FDA">
        <w:rPr>
          <w:sz w:val="24"/>
          <w:szCs w:val="24"/>
        </w:rPr>
        <w:t xml:space="preserve">. </w:t>
      </w:r>
      <w:r w:rsidR="00210F35">
        <w:rPr>
          <w:sz w:val="24"/>
          <w:szCs w:val="24"/>
        </w:rPr>
        <w:t xml:space="preserve">As a result, the PPCC sample visually had a more similar microbial profile at the genus level to other dental calculus samples than the PPL samples (Figure 4). </w:t>
      </w:r>
    </w:p>
    <w:p w14:paraId="77796FB8" w14:textId="635949DB" w:rsidR="002B16E2" w:rsidRDefault="00065AEC" w:rsidP="00065AEC">
      <w:pPr>
        <w:spacing w:line="480" w:lineRule="auto"/>
        <w:ind w:firstLine="720"/>
        <w:rPr>
          <w:sz w:val="24"/>
          <w:szCs w:val="24"/>
        </w:rPr>
      </w:pPr>
      <w:r w:rsidRPr="006E43C8">
        <w:rPr>
          <w:sz w:val="24"/>
          <w:szCs w:val="24"/>
        </w:rPr>
        <w:t>The MetaPhlAn pipeline was used to corroborate the metagenomic communities characterized by QIIME.</w:t>
      </w:r>
      <w:r w:rsidR="00127A5C">
        <w:rPr>
          <w:sz w:val="24"/>
          <w:szCs w:val="24"/>
        </w:rPr>
        <w:t xml:space="preserve"> MetaPhlAn </w:t>
      </w:r>
      <w:r w:rsidR="00D67760">
        <w:rPr>
          <w:sz w:val="24"/>
          <w:szCs w:val="24"/>
        </w:rPr>
        <w:t xml:space="preserve">failed to </w:t>
      </w:r>
      <w:r w:rsidR="00127A5C">
        <w:rPr>
          <w:sz w:val="24"/>
          <w:szCs w:val="24"/>
        </w:rPr>
        <w:t xml:space="preserve">identify Chloroflexi and TM7 in the Teotihuacan samples but was able to identify the other eight phyla (Figure 5). MetaPhlAn also showed that the PPCC sample had a different microbial profile from the PPL samples at the genus level (Figure 6). </w:t>
      </w:r>
      <w:r w:rsidRPr="006E43C8">
        <w:rPr>
          <w:sz w:val="24"/>
          <w:szCs w:val="24"/>
        </w:rPr>
        <w:t xml:space="preserve">The species-level analysis from MetaPhlAn found </w:t>
      </w:r>
      <w:r w:rsidR="007471E8">
        <w:rPr>
          <w:sz w:val="24"/>
          <w:szCs w:val="24"/>
        </w:rPr>
        <w:t xml:space="preserve">several oral taxa in the PPCC sample with a few in the PPL samples (Table 4). </w:t>
      </w:r>
      <w:r w:rsidR="0081470C">
        <w:rPr>
          <w:sz w:val="24"/>
          <w:szCs w:val="24"/>
        </w:rPr>
        <w:t>MetaPhlAn estimated a</w:t>
      </w:r>
      <w:r w:rsidR="007471E8">
        <w:rPr>
          <w:sz w:val="24"/>
          <w:szCs w:val="24"/>
        </w:rPr>
        <w:t xml:space="preserve"> </w:t>
      </w:r>
      <w:r w:rsidRPr="006E43C8">
        <w:rPr>
          <w:sz w:val="24"/>
          <w:szCs w:val="24"/>
        </w:rPr>
        <w:t xml:space="preserve">high relative abundance of the skin bacterium, </w:t>
      </w:r>
      <w:r w:rsidRPr="006E43C8">
        <w:rPr>
          <w:i/>
          <w:sz w:val="24"/>
          <w:szCs w:val="24"/>
        </w:rPr>
        <w:t>Cut</w:t>
      </w:r>
      <w:r>
        <w:rPr>
          <w:i/>
          <w:sz w:val="24"/>
          <w:szCs w:val="24"/>
        </w:rPr>
        <w:t>i</w:t>
      </w:r>
      <w:r w:rsidRPr="006E43C8">
        <w:rPr>
          <w:i/>
          <w:sz w:val="24"/>
          <w:szCs w:val="24"/>
        </w:rPr>
        <w:t xml:space="preserve">bacterium acnes </w:t>
      </w:r>
      <w:r w:rsidRPr="006E43C8">
        <w:rPr>
          <w:sz w:val="24"/>
          <w:szCs w:val="24"/>
        </w:rPr>
        <w:t xml:space="preserve">(formerly </w:t>
      </w:r>
      <w:r w:rsidRPr="006E43C8">
        <w:rPr>
          <w:i/>
          <w:sz w:val="24"/>
          <w:szCs w:val="24"/>
        </w:rPr>
        <w:t>Propionibacterum acnes</w:t>
      </w:r>
      <w:r w:rsidRPr="006E43C8">
        <w:rPr>
          <w:sz w:val="24"/>
          <w:szCs w:val="24"/>
        </w:rPr>
        <w:t xml:space="preserve">), with a mean of 16.20% in the PPL samples but was </w:t>
      </w:r>
      <w:r w:rsidR="007471E8">
        <w:rPr>
          <w:sz w:val="24"/>
          <w:szCs w:val="24"/>
        </w:rPr>
        <w:t>less than 0.5% in the</w:t>
      </w:r>
      <w:r w:rsidRPr="006E43C8">
        <w:rPr>
          <w:sz w:val="24"/>
          <w:szCs w:val="24"/>
        </w:rPr>
        <w:t xml:space="preserve"> PPCC sample</w:t>
      </w:r>
      <w:r>
        <w:rPr>
          <w:sz w:val="24"/>
          <w:szCs w:val="24"/>
        </w:rPr>
        <w:t xml:space="preserve"> (Figure </w:t>
      </w:r>
      <w:r w:rsidR="00127A5C">
        <w:rPr>
          <w:sz w:val="24"/>
          <w:szCs w:val="24"/>
        </w:rPr>
        <w:t>7</w:t>
      </w:r>
      <w:r>
        <w:rPr>
          <w:sz w:val="24"/>
          <w:szCs w:val="24"/>
        </w:rPr>
        <w:t>)</w:t>
      </w:r>
      <w:r w:rsidRPr="006E43C8">
        <w:rPr>
          <w:sz w:val="24"/>
          <w:szCs w:val="24"/>
        </w:rPr>
        <w:t xml:space="preserve">. </w:t>
      </w:r>
    </w:p>
    <w:p w14:paraId="08BFCADA" w14:textId="5264DB69" w:rsidR="002B16E2" w:rsidRPr="00C21A2F" w:rsidRDefault="002B16E2" w:rsidP="002B16E2">
      <w:pPr>
        <w:pStyle w:val="Heading2"/>
        <w:rPr>
          <w:rFonts w:ascii="Times New Roman" w:hAnsi="Times New Roman" w:cs="Times New Roman"/>
          <w:i/>
          <w:color w:val="auto"/>
          <w:sz w:val="24"/>
          <w:szCs w:val="24"/>
        </w:rPr>
      </w:pPr>
      <w:bookmarkStart w:id="24" w:name="_Toc8404636"/>
      <w:r>
        <w:rPr>
          <w:rFonts w:ascii="Times New Roman" w:hAnsi="Times New Roman" w:cs="Times New Roman"/>
          <w:i/>
          <w:color w:val="auto"/>
          <w:sz w:val="24"/>
          <w:szCs w:val="24"/>
        </w:rPr>
        <w:t>Microbial Damage Patter</w:t>
      </w:r>
      <w:r w:rsidR="0081470C">
        <w:rPr>
          <w:rFonts w:ascii="Times New Roman" w:hAnsi="Times New Roman" w:cs="Times New Roman"/>
          <w:i/>
          <w:color w:val="auto"/>
          <w:sz w:val="24"/>
          <w:szCs w:val="24"/>
        </w:rPr>
        <w:t>n</w:t>
      </w:r>
      <w:r>
        <w:rPr>
          <w:rFonts w:ascii="Times New Roman" w:hAnsi="Times New Roman" w:cs="Times New Roman"/>
          <w:i/>
          <w:color w:val="auto"/>
          <w:sz w:val="24"/>
          <w:szCs w:val="24"/>
        </w:rPr>
        <w:t>s</w:t>
      </w:r>
      <w:bookmarkEnd w:id="24"/>
      <w:r>
        <w:rPr>
          <w:rFonts w:ascii="Times New Roman" w:hAnsi="Times New Roman" w:cs="Times New Roman"/>
          <w:i/>
          <w:color w:val="auto"/>
          <w:sz w:val="24"/>
          <w:szCs w:val="24"/>
        </w:rPr>
        <w:t xml:space="preserve"> </w:t>
      </w:r>
    </w:p>
    <w:p w14:paraId="5C283D3B" w14:textId="62ABE0A5" w:rsidR="002B16E2" w:rsidRDefault="002B16E2" w:rsidP="009E73BC">
      <w:pPr>
        <w:spacing w:line="480" w:lineRule="auto"/>
        <w:ind w:firstLine="720"/>
        <w:rPr>
          <w:sz w:val="24"/>
          <w:szCs w:val="24"/>
        </w:rPr>
      </w:pPr>
      <w:r>
        <w:rPr>
          <w:sz w:val="24"/>
          <w:szCs w:val="24"/>
        </w:rPr>
        <w:t>M</w:t>
      </w:r>
      <w:r w:rsidRPr="006E43C8">
        <w:rPr>
          <w:sz w:val="24"/>
          <w:szCs w:val="24"/>
        </w:rPr>
        <w:t xml:space="preserve">apDamage 2.0 </w:t>
      </w:r>
      <w:r>
        <w:rPr>
          <w:sz w:val="24"/>
          <w:szCs w:val="24"/>
        </w:rPr>
        <w:t xml:space="preserve">was used to </w:t>
      </w:r>
      <w:r w:rsidRPr="006E43C8">
        <w:rPr>
          <w:sz w:val="24"/>
          <w:szCs w:val="24"/>
        </w:rPr>
        <w:t xml:space="preserve">authenticate the </w:t>
      </w:r>
      <w:r w:rsidR="009E73BC">
        <w:rPr>
          <w:sz w:val="24"/>
          <w:szCs w:val="24"/>
        </w:rPr>
        <w:t xml:space="preserve">damage patterns of the </w:t>
      </w:r>
      <w:r>
        <w:rPr>
          <w:sz w:val="24"/>
          <w:szCs w:val="24"/>
        </w:rPr>
        <w:t xml:space="preserve">microbial </w:t>
      </w:r>
      <w:r w:rsidRPr="006E43C8">
        <w:rPr>
          <w:sz w:val="24"/>
          <w:szCs w:val="24"/>
        </w:rPr>
        <w:t>DNA from the PPCC and PPL samples</w:t>
      </w:r>
      <w:r>
        <w:rPr>
          <w:sz w:val="24"/>
          <w:szCs w:val="24"/>
        </w:rPr>
        <w:t xml:space="preserve"> using t</w:t>
      </w:r>
      <w:r w:rsidR="009E73BC">
        <w:rPr>
          <w:sz w:val="24"/>
          <w:szCs w:val="24"/>
        </w:rPr>
        <w:t>hree</w:t>
      </w:r>
      <w:r w:rsidRPr="006E43C8">
        <w:rPr>
          <w:sz w:val="24"/>
          <w:szCs w:val="24"/>
        </w:rPr>
        <w:t xml:space="preserve"> reference</w:t>
      </w:r>
      <w:r>
        <w:rPr>
          <w:sz w:val="24"/>
          <w:szCs w:val="24"/>
        </w:rPr>
        <w:t>s</w:t>
      </w:r>
      <w:r w:rsidRPr="006E43C8">
        <w:rPr>
          <w:sz w:val="24"/>
          <w:szCs w:val="24"/>
        </w:rPr>
        <w:t xml:space="preserve">: </w:t>
      </w:r>
      <w:r w:rsidRPr="006E43C8">
        <w:rPr>
          <w:i/>
          <w:sz w:val="24"/>
          <w:szCs w:val="24"/>
        </w:rPr>
        <w:t>Methanobrevibacter oralis</w:t>
      </w:r>
      <w:r w:rsidR="009E73BC">
        <w:rPr>
          <w:i/>
          <w:sz w:val="24"/>
          <w:szCs w:val="24"/>
        </w:rPr>
        <w:t>, S</w:t>
      </w:r>
      <w:r w:rsidR="007E0303">
        <w:rPr>
          <w:i/>
          <w:sz w:val="24"/>
          <w:szCs w:val="24"/>
        </w:rPr>
        <w:t>.</w:t>
      </w:r>
      <w:r w:rsidR="009E73BC">
        <w:rPr>
          <w:i/>
          <w:sz w:val="24"/>
          <w:szCs w:val="24"/>
        </w:rPr>
        <w:t xml:space="preserve"> anginosus,</w:t>
      </w:r>
      <w:r w:rsidRPr="006E43C8">
        <w:rPr>
          <w:sz w:val="24"/>
          <w:szCs w:val="24"/>
        </w:rPr>
        <w:t xml:space="preserve"> and </w:t>
      </w:r>
      <w:r w:rsidRPr="006E43C8">
        <w:rPr>
          <w:i/>
          <w:sz w:val="24"/>
          <w:szCs w:val="24"/>
        </w:rPr>
        <w:t>C</w:t>
      </w:r>
      <w:r w:rsidR="007E0303">
        <w:rPr>
          <w:i/>
          <w:sz w:val="24"/>
          <w:szCs w:val="24"/>
        </w:rPr>
        <w:t>.</w:t>
      </w:r>
      <w:r w:rsidRPr="006E43C8">
        <w:rPr>
          <w:i/>
          <w:sz w:val="24"/>
          <w:szCs w:val="24"/>
        </w:rPr>
        <w:t xml:space="preserve"> acnes</w:t>
      </w:r>
      <w:r w:rsidRPr="006E43C8">
        <w:rPr>
          <w:sz w:val="24"/>
          <w:szCs w:val="24"/>
        </w:rPr>
        <w:t xml:space="preserve">. </w:t>
      </w:r>
      <w:r w:rsidR="00452B26">
        <w:rPr>
          <w:sz w:val="24"/>
          <w:szCs w:val="24"/>
        </w:rPr>
        <w:t xml:space="preserve">As a control, inferences were made with only samples that had more than 1000 reads mapped to the references. </w:t>
      </w:r>
      <w:r w:rsidRPr="006E43C8">
        <w:rPr>
          <w:sz w:val="24"/>
          <w:szCs w:val="24"/>
        </w:rPr>
        <w:t xml:space="preserve">Only the </w:t>
      </w:r>
      <w:r>
        <w:rPr>
          <w:sz w:val="24"/>
          <w:szCs w:val="24"/>
        </w:rPr>
        <w:t xml:space="preserve">analysis-ready reads from the </w:t>
      </w:r>
      <w:r w:rsidRPr="006E43C8">
        <w:rPr>
          <w:sz w:val="24"/>
          <w:szCs w:val="24"/>
        </w:rPr>
        <w:t>PPCC</w:t>
      </w:r>
      <w:r w:rsidR="007E0303">
        <w:rPr>
          <w:sz w:val="24"/>
          <w:szCs w:val="24"/>
        </w:rPr>
        <w:t>, PPL 5A, and PPL 5B</w:t>
      </w:r>
      <w:r w:rsidRPr="006E43C8">
        <w:rPr>
          <w:sz w:val="24"/>
          <w:szCs w:val="24"/>
        </w:rPr>
        <w:t xml:space="preserve"> sample</w:t>
      </w:r>
      <w:r w:rsidR="007E0303">
        <w:rPr>
          <w:sz w:val="24"/>
          <w:szCs w:val="24"/>
        </w:rPr>
        <w:t>s</w:t>
      </w:r>
      <w:r w:rsidRPr="006E43C8">
        <w:rPr>
          <w:sz w:val="24"/>
          <w:szCs w:val="24"/>
        </w:rPr>
        <w:t xml:space="preserve"> show damage patterns at the 5’ and 3’ termini inserts expected for aDNA when mapped to the</w:t>
      </w:r>
      <w:r>
        <w:rPr>
          <w:sz w:val="24"/>
          <w:szCs w:val="24"/>
        </w:rPr>
        <w:t xml:space="preserve"> </w:t>
      </w:r>
      <w:r>
        <w:rPr>
          <w:i/>
          <w:sz w:val="24"/>
          <w:szCs w:val="24"/>
        </w:rPr>
        <w:t>M</w:t>
      </w:r>
      <w:r w:rsidR="007E0303">
        <w:rPr>
          <w:i/>
          <w:sz w:val="24"/>
          <w:szCs w:val="24"/>
        </w:rPr>
        <w:t xml:space="preserve">. </w:t>
      </w:r>
      <w:r>
        <w:rPr>
          <w:i/>
          <w:sz w:val="24"/>
          <w:szCs w:val="24"/>
        </w:rPr>
        <w:t>oralis</w:t>
      </w:r>
      <w:r w:rsidRPr="006E43C8">
        <w:rPr>
          <w:sz w:val="24"/>
          <w:szCs w:val="24"/>
        </w:rPr>
        <w:t xml:space="preserve"> </w:t>
      </w:r>
      <w:r>
        <w:rPr>
          <w:sz w:val="24"/>
          <w:szCs w:val="24"/>
        </w:rPr>
        <w:t xml:space="preserve">(Figure 8). </w:t>
      </w:r>
      <w:r w:rsidR="009E73BC">
        <w:rPr>
          <w:sz w:val="24"/>
          <w:szCs w:val="24"/>
        </w:rPr>
        <w:t xml:space="preserve">The reads </w:t>
      </w:r>
      <w:r w:rsidR="00D67760">
        <w:rPr>
          <w:sz w:val="24"/>
          <w:szCs w:val="24"/>
        </w:rPr>
        <w:t xml:space="preserve">from the PPCC and </w:t>
      </w:r>
      <w:r w:rsidR="00746AFD">
        <w:rPr>
          <w:sz w:val="24"/>
          <w:szCs w:val="24"/>
        </w:rPr>
        <w:t>PPL 5A</w:t>
      </w:r>
      <w:r w:rsidR="00D67760">
        <w:rPr>
          <w:sz w:val="24"/>
          <w:szCs w:val="24"/>
        </w:rPr>
        <w:t xml:space="preserve"> samples show damage when </w:t>
      </w:r>
      <w:r w:rsidR="009E73BC">
        <w:rPr>
          <w:sz w:val="24"/>
          <w:szCs w:val="24"/>
        </w:rPr>
        <w:t>mapped</w:t>
      </w:r>
      <w:r w:rsidR="00B232FB">
        <w:rPr>
          <w:sz w:val="24"/>
          <w:szCs w:val="24"/>
        </w:rPr>
        <w:t xml:space="preserve"> </w:t>
      </w:r>
      <w:r w:rsidR="009E73BC">
        <w:rPr>
          <w:sz w:val="24"/>
          <w:szCs w:val="24"/>
        </w:rPr>
        <w:t xml:space="preserve">to </w:t>
      </w:r>
      <w:r w:rsidR="00B232FB">
        <w:rPr>
          <w:i/>
          <w:sz w:val="24"/>
          <w:szCs w:val="24"/>
        </w:rPr>
        <w:t>S</w:t>
      </w:r>
      <w:r w:rsidR="007E0303">
        <w:rPr>
          <w:i/>
          <w:sz w:val="24"/>
          <w:szCs w:val="24"/>
        </w:rPr>
        <w:t>.</w:t>
      </w:r>
      <w:r w:rsidR="00B232FB">
        <w:rPr>
          <w:i/>
          <w:sz w:val="24"/>
          <w:szCs w:val="24"/>
        </w:rPr>
        <w:t xml:space="preserve"> anginosus </w:t>
      </w:r>
      <w:r w:rsidR="00B232FB">
        <w:rPr>
          <w:sz w:val="24"/>
          <w:szCs w:val="24"/>
        </w:rPr>
        <w:t xml:space="preserve">(Figure 9). </w:t>
      </w:r>
      <w:r w:rsidR="007E0303">
        <w:rPr>
          <w:sz w:val="24"/>
          <w:szCs w:val="24"/>
        </w:rPr>
        <w:t xml:space="preserve">None of the reads from the Teotihuacan samples show damage when mapped to </w:t>
      </w:r>
      <w:r>
        <w:rPr>
          <w:i/>
          <w:sz w:val="24"/>
          <w:szCs w:val="24"/>
        </w:rPr>
        <w:t>C. acnes</w:t>
      </w:r>
      <w:r>
        <w:rPr>
          <w:sz w:val="24"/>
          <w:szCs w:val="24"/>
        </w:rPr>
        <w:t xml:space="preserve"> (Figure </w:t>
      </w:r>
      <w:r w:rsidR="00B232FB">
        <w:rPr>
          <w:sz w:val="24"/>
          <w:szCs w:val="24"/>
        </w:rPr>
        <w:t>10</w:t>
      </w:r>
      <w:r>
        <w:rPr>
          <w:sz w:val="24"/>
          <w:szCs w:val="24"/>
        </w:rPr>
        <w:t xml:space="preserve">). </w:t>
      </w:r>
    </w:p>
    <w:p w14:paraId="05A46BF5" w14:textId="6A393FB6" w:rsidR="00EA176A" w:rsidRPr="00C21A2F" w:rsidRDefault="00EA176A" w:rsidP="00EA176A">
      <w:pPr>
        <w:pStyle w:val="Heading2"/>
        <w:rPr>
          <w:rFonts w:ascii="Times New Roman" w:hAnsi="Times New Roman" w:cs="Times New Roman"/>
          <w:i/>
          <w:color w:val="auto"/>
          <w:sz w:val="24"/>
          <w:szCs w:val="24"/>
        </w:rPr>
      </w:pPr>
      <w:bookmarkStart w:id="25" w:name="_Toc8404637"/>
      <w:r>
        <w:rPr>
          <w:rFonts w:ascii="Times New Roman" w:hAnsi="Times New Roman" w:cs="Times New Roman"/>
          <w:i/>
          <w:color w:val="auto"/>
          <w:sz w:val="24"/>
          <w:szCs w:val="24"/>
        </w:rPr>
        <w:t>Microbial f</w:t>
      </w:r>
      <w:r w:rsidRPr="00C21A2F">
        <w:rPr>
          <w:rFonts w:ascii="Times New Roman" w:hAnsi="Times New Roman" w:cs="Times New Roman"/>
          <w:i/>
          <w:color w:val="auto"/>
          <w:sz w:val="24"/>
          <w:szCs w:val="24"/>
        </w:rPr>
        <w:t>ragment length analysis</w:t>
      </w:r>
      <w:bookmarkEnd w:id="25"/>
      <w:r w:rsidRPr="00C21A2F">
        <w:rPr>
          <w:rFonts w:ascii="Times New Roman" w:hAnsi="Times New Roman" w:cs="Times New Roman"/>
          <w:i/>
          <w:color w:val="auto"/>
          <w:sz w:val="24"/>
          <w:szCs w:val="24"/>
        </w:rPr>
        <w:t xml:space="preserve"> </w:t>
      </w:r>
    </w:p>
    <w:p w14:paraId="5F4559F7" w14:textId="4ED0DB3E" w:rsidR="00EA176A" w:rsidRPr="003F31AA" w:rsidRDefault="00EA176A" w:rsidP="00EA176A">
      <w:pPr>
        <w:spacing w:line="480" w:lineRule="auto"/>
        <w:ind w:firstLine="720"/>
        <w:rPr>
          <w:sz w:val="24"/>
          <w:szCs w:val="24"/>
        </w:rPr>
      </w:pPr>
      <w:r w:rsidRPr="00FB2F5B">
        <w:rPr>
          <w:sz w:val="24"/>
          <w:szCs w:val="24"/>
        </w:rPr>
        <w:t xml:space="preserve">Based on the metataxonomic results, </w:t>
      </w:r>
      <w:r w:rsidR="00D67760">
        <w:rPr>
          <w:sz w:val="24"/>
          <w:szCs w:val="24"/>
        </w:rPr>
        <w:t xml:space="preserve">reads from each </w:t>
      </w:r>
      <w:r>
        <w:rPr>
          <w:sz w:val="24"/>
          <w:szCs w:val="24"/>
        </w:rPr>
        <w:t xml:space="preserve">sample was mapped to </w:t>
      </w:r>
      <w:r w:rsidRPr="00FB2F5B">
        <w:rPr>
          <w:sz w:val="24"/>
          <w:szCs w:val="24"/>
        </w:rPr>
        <w:t>t</w:t>
      </w:r>
      <w:r>
        <w:rPr>
          <w:sz w:val="24"/>
          <w:szCs w:val="24"/>
        </w:rPr>
        <w:t>hree</w:t>
      </w:r>
      <w:r w:rsidRPr="00FB2F5B">
        <w:rPr>
          <w:sz w:val="24"/>
          <w:szCs w:val="24"/>
        </w:rPr>
        <w:t xml:space="preserve"> bacteria: </w:t>
      </w:r>
      <w:r w:rsidRPr="00FB2F5B">
        <w:rPr>
          <w:i/>
          <w:sz w:val="24"/>
          <w:szCs w:val="24"/>
        </w:rPr>
        <w:t>M. oralis</w:t>
      </w:r>
      <w:r>
        <w:rPr>
          <w:i/>
          <w:sz w:val="24"/>
          <w:szCs w:val="24"/>
        </w:rPr>
        <w:t>, S</w:t>
      </w:r>
      <w:r w:rsidR="0099408B">
        <w:rPr>
          <w:i/>
          <w:sz w:val="24"/>
          <w:szCs w:val="24"/>
        </w:rPr>
        <w:t>. anginosus</w:t>
      </w:r>
      <w:r>
        <w:rPr>
          <w:i/>
          <w:sz w:val="24"/>
          <w:szCs w:val="24"/>
        </w:rPr>
        <w:t xml:space="preserve"> </w:t>
      </w:r>
      <w:r w:rsidRPr="00FB2F5B">
        <w:rPr>
          <w:sz w:val="24"/>
          <w:szCs w:val="24"/>
        </w:rPr>
        <w:t xml:space="preserve">and </w:t>
      </w:r>
      <w:r w:rsidRPr="00FB2F5B">
        <w:rPr>
          <w:i/>
          <w:sz w:val="24"/>
          <w:szCs w:val="24"/>
        </w:rPr>
        <w:t>C. acnes</w:t>
      </w:r>
      <w:r w:rsidRPr="00FB2F5B">
        <w:rPr>
          <w:sz w:val="24"/>
          <w:szCs w:val="24"/>
        </w:rPr>
        <w:t xml:space="preserve">. </w:t>
      </w:r>
      <w:r>
        <w:rPr>
          <w:sz w:val="24"/>
          <w:szCs w:val="24"/>
        </w:rPr>
        <w:t>T</w:t>
      </w:r>
      <w:r w:rsidRPr="00FB2F5B">
        <w:rPr>
          <w:sz w:val="24"/>
          <w:szCs w:val="24"/>
        </w:rPr>
        <w:t xml:space="preserve">he median fragment length for the PPCC sample when mapped to </w:t>
      </w:r>
      <w:r w:rsidRPr="00FB2F5B">
        <w:rPr>
          <w:i/>
          <w:sz w:val="24"/>
          <w:szCs w:val="24"/>
        </w:rPr>
        <w:t>M. oralis</w:t>
      </w:r>
      <w:r w:rsidRPr="00FB2F5B">
        <w:rPr>
          <w:sz w:val="24"/>
          <w:szCs w:val="24"/>
        </w:rPr>
        <w:t xml:space="preserve"> (</w:t>
      </w:r>
      <w:r w:rsidR="00B171C7">
        <w:rPr>
          <w:sz w:val="24"/>
          <w:szCs w:val="24"/>
        </w:rPr>
        <w:t>93</w:t>
      </w:r>
      <w:r w:rsidRPr="00FB2F5B">
        <w:rPr>
          <w:sz w:val="24"/>
          <w:szCs w:val="24"/>
        </w:rPr>
        <w:t xml:space="preserve"> bp) </w:t>
      </w:r>
      <w:r w:rsidR="007F1C2A">
        <w:rPr>
          <w:sz w:val="24"/>
          <w:szCs w:val="24"/>
        </w:rPr>
        <w:t xml:space="preserve">and </w:t>
      </w:r>
      <w:r w:rsidR="007F1C2A">
        <w:rPr>
          <w:i/>
          <w:sz w:val="24"/>
          <w:szCs w:val="24"/>
        </w:rPr>
        <w:t xml:space="preserve">S. anginosus </w:t>
      </w:r>
      <w:r w:rsidR="007F1C2A">
        <w:rPr>
          <w:sz w:val="24"/>
          <w:szCs w:val="24"/>
        </w:rPr>
        <w:t>(</w:t>
      </w:r>
      <w:r w:rsidR="00B171C7">
        <w:rPr>
          <w:sz w:val="24"/>
          <w:szCs w:val="24"/>
        </w:rPr>
        <w:t>72 bp</w:t>
      </w:r>
      <w:r w:rsidR="007F1C2A">
        <w:rPr>
          <w:sz w:val="24"/>
          <w:szCs w:val="24"/>
        </w:rPr>
        <w:t xml:space="preserve">) were longer </w:t>
      </w:r>
      <w:r w:rsidRPr="00FB2F5B">
        <w:rPr>
          <w:sz w:val="24"/>
          <w:szCs w:val="24"/>
        </w:rPr>
        <w:t xml:space="preserve">than the median for </w:t>
      </w:r>
      <w:r w:rsidRPr="00FB2F5B">
        <w:rPr>
          <w:i/>
          <w:sz w:val="24"/>
          <w:szCs w:val="24"/>
        </w:rPr>
        <w:t xml:space="preserve">C. </w:t>
      </w:r>
      <w:r w:rsidRPr="00FB2F5B">
        <w:rPr>
          <w:i/>
          <w:sz w:val="24"/>
          <w:szCs w:val="24"/>
        </w:rPr>
        <w:lastRenderedPageBreak/>
        <w:t>acnes</w:t>
      </w:r>
      <w:r w:rsidRPr="00FB2F5B">
        <w:rPr>
          <w:sz w:val="24"/>
          <w:szCs w:val="24"/>
        </w:rPr>
        <w:t xml:space="preserve"> (4</w:t>
      </w:r>
      <w:r w:rsidR="00B171C7">
        <w:rPr>
          <w:sz w:val="24"/>
          <w:szCs w:val="24"/>
        </w:rPr>
        <w:t>4</w:t>
      </w:r>
      <w:r w:rsidRPr="00FB2F5B">
        <w:rPr>
          <w:sz w:val="24"/>
          <w:szCs w:val="24"/>
        </w:rPr>
        <w:t xml:space="preserve"> bp)</w:t>
      </w:r>
      <w:r w:rsidR="00F6484B">
        <w:rPr>
          <w:sz w:val="24"/>
          <w:szCs w:val="24"/>
        </w:rPr>
        <w:t xml:space="preserve"> (Table 5)</w:t>
      </w:r>
      <w:r w:rsidRPr="00FB2F5B">
        <w:rPr>
          <w:sz w:val="24"/>
          <w:szCs w:val="24"/>
        </w:rPr>
        <w:t xml:space="preserve">. </w:t>
      </w:r>
      <w:r w:rsidR="0047513B">
        <w:rPr>
          <w:sz w:val="24"/>
          <w:szCs w:val="24"/>
        </w:rPr>
        <w:t xml:space="preserve">The PPL samples, on the other hand, had longer median fragment lengths when mapped to the human reference in comparison to the bacteria references. </w:t>
      </w:r>
      <w:r w:rsidR="003F31AA">
        <w:rPr>
          <w:sz w:val="24"/>
          <w:szCs w:val="24"/>
        </w:rPr>
        <w:t xml:space="preserve">In addition, the fragmentation </w:t>
      </w:r>
      <w:r w:rsidR="00B171C7">
        <w:rPr>
          <w:sz w:val="24"/>
          <w:szCs w:val="24"/>
        </w:rPr>
        <w:t>length distributions</w:t>
      </w:r>
      <w:r w:rsidR="003F31AA">
        <w:rPr>
          <w:sz w:val="24"/>
          <w:szCs w:val="24"/>
        </w:rPr>
        <w:t xml:space="preserve"> were also visualized in R. Fragmentation </w:t>
      </w:r>
      <w:r w:rsidR="00B171C7">
        <w:rPr>
          <w:sz w:val="24"/>
          <w:szCs w:val="24"/>
        </w:rPr>
        <w:t>length distribution</w:t>
      </w:r>
      <w:r w:rsidR="003F31AA">
        <w:rPr>
          <w:sz w:val="24"/>
          <w:szCs w:val="24"/>
        </w:rPr>
        <w:t xml:space="preserve"> for aDNA </w:t>
      </w:r>
      <w:r w:rsidR="00D67760">
        <w:rPr>
          <w:sz w:val="24"/>
          <w:szCs w:val="24"/>
        </w:rPr>
        <w:t>generally have medians that are less than</w:t>
      </w:r>
      <w:r w:rsidR="003F31AA">
        <w:rPr>
          <w:sz w:val="24"/>
          <w:szCs w:val="24"/>
        </w:rPr>
        <w:t xml:space="preserve"> 100 bps </w:t>
      </w:r>
      <w:r w:rsidR="003F31AA">
        <w:rPr>
          <w:sz w:val="24"/>
          <w:szCs w:val="24"/>
        </w:rPr>
        <w:fldChar w:fldCharType="begin"/>
      </w:r>
      <w:r w:rsidR="003F31AA">
        <w:rPr>
          <w:sz w:val="24"/>
          <w:szCs w:val="24"/>
        </w:rPr>
        <w:instrText xml:space="preserve"> ADDIN ZOTERO_ITEM CSL_CITATION {"citationID":"1AOPDur1","properties":{"formattedCitation":"(Kistler et al., 2017)","plainCitation":"(Kistler et al., 2017)","noteIndex":0},"citationItems":[{"id":797,"uris":["http://zotero.org/users/4461938/items/Z9U2BBRA"],"uri":["http://zotero.org/users/4461938/items/Z9U2BBRA"],"itemData":{"id":797,"type":"article-journal","title":"A new model for ancient DNA decay based on paleogenomic meta-analysis","container-title":"Nucleic Acids Research","page":"6310-6320","volume":"45","issue":"11","source":"academic-oup-com.ezproxy.lib.ou.edu","abstract":"Abstract.  The persistence of DNA over archaeological and paleontological timescales in diverse environments has led to a revolutionary body of paleogenomic res","DOI":"10.1093/nar/gkx361","ISSN":"0305-1048","journalAbbreviation":"Nucleic Acids Res","language":"en","author":[{"family":"Kistler","given":"Logan"},{"family":"Ware","given":"Roselyn"},{"family":"Smith","given":"Oliver"},{"family":"Collins","given":"Matthew"},{"family":"Allaby","given":"Robin G."}],"issued":{"date-parts":[["2017",6,20]]}}}],"schema":"https://github.com/citation-style-language/schema/raw/master/csl-citation.json"} </w:instrText>
      </w:r>
      <w:r w:rsidR="003F31AA">
        <w:rPr>
          <w:sz w:val="24"/>
          <w:szCs w:val="24"/>
        </w:rPr>
        <w:fldChar w:fldCharType="separate"/>
      </w:r>
      <w:r w:rsidR="003F31AA" w:rsidRPr="003F31AA">
        <w:rPr>
          <w:sz w:val="24"/>
        </w:rPr>
        <w:t>(Kistler et al., 2017)</w:t>
      </w:r>
      <w:r w:rsidR="003F31AA">
        <w:rPr>
          <w:sz w:val="24"/>
          <w:szCs w:val="24"/>
        </w:rPr>
        <w:fldChar w:fldCharType="end"/>
      </w:r>
      <w:r w:rsidR="003F31AA">
        <w:rPr>
          <w:sz w:val="24"/>
          <w:szCs w:val="24"/>
        </w:rPr>
        <w:t xml:space="preserve">. This </w:t>
      </w:r>
      <w:r w:rsidR="00D67760">
        <w:rPr>
          <w:sz w:val="24"/>
          <w:szCs w:val="24"/>
        </w:rPr>
        <w:t>pattern was</w:t>
      </w:r>
      <w:r w:rsidR="003F31AA">
        <w:rPr>
          <w:sz w:val="24"/>
          <w:szCs w:val="24"/>
        </w:rPr>
        <w:t xml:space="preserve"> </w:t>
      </w:r>
      <w:r w:rsidR="00D67760">
        <w:rPr>
          <w:sz w:val="24"/>
          <w:szCs w:val="24"/>
        </w:rPr>
        <w:t>observed</w:t>
      </w:r>
      <w:r w:rsidR="0047513B">
        <w:rPr>
          <w:sz w:val="24"/>
          <w:szCs w:val="24"/>
        </w:rPr>
        <w:t xml:space="preserve"> across all samples. However, the median for fragment lengths from the PPC</w:t>
      </w:r>
      <w:r w:rsidR="003F31AA">
        <w:rPr>
          <w:sz w:val="24"/>
          <w:szCs w:val="24"/>
        </w:rPr>
        <w:t xml:space="preserve">C sample </w:t>
      </w:r>
      <w:r w:rsidR="0047513B">
        <w:rPr>
          <w:sz w:val="24"/>
          <w:szCs w:val="24"/>
        </w:rPr>
        <w:t>w</w:t>
      </w:r>
      <w:r w:rsidR="00DE6C97">
        <w:rPr>
          <w:sz w:val="24"/>
          <w:szCs w:val="24"/>
        </w:rPr>
        <w:t>as</w:t>
      </w:r>
      <w:r w:rsidR="0047513B">
        <w:rPr>
          <w:sz w:val="24"/>
          <w:szCs w:val="24"/>
        </w:rPr>
        <w:t xml:space="preserve"> longer than the median for the PPL samples when</w:t>
      </w:r>
      <w:r w:rsidR="00DE6C97">
        <w:rPr>
          <w:sz w:val="24"/>
          <w:szCs w:val="24"/>
        </w:rPr>
        <w:t xml:space="preserve"> mapped</w:t>
      </w:r>
      <w:r w:rsidR="0047513B">
        <w:rPr>
          <w:sz w:val="24"/>
          <w:szCs w:val="24"/>
        </w:rPr>
        <w:t xml:space="preserve"> </w:t>
      </w:r>
      <w:r w:rsidR="003F31AA">
        <w:rPr>
          <w:sz w:val="24"/>
          <w:szCs w:val="24"/>
        </w:rPr>
        <w:t xml:space="preserve">to </w:t>
      </w:r>
      <w:r w:rsidR="003F31AA">
        <w:rPr>
          <w:i/>
          <w:sz w:val="24"/>
          <w:szCs w:val="24"/>
        </w:rPr>
        <w:t xml:space="preserve">M. oralis </w:t>
      </w:r>
      <w:r w:rsidR="003F31AA">
        <w:rPr>
          <w:sz w:val="24"/>
          <w:szCs w:val="24"/>
        </w:rPr>
        <w:t xml:space="preserve">(Figure 11). </w:t>
      </w:r>
      <w:r w:rsidR="0047513B">
        <w:rPr>
          <w:sz w:val="24"/>
          <w:szCs w:val="24"/>
        </w:rPr>
        <w:t>A similar</w:t>
      </w:r>
      <w:r w:rsidR="003F31AA">
        <w:rPr>
          <w:sz w:val="24"/>
          <w:szCs w:val="24"/>
        </w:rPr>
        <w:t xml:space="preserve"> pattern </w:t>
      </w:r>
      <w:r w:rsidR="0047513B">
        <w:rPr>
          <w:sz w:val="24"/>
          <w:szCs w:val="24"/>
        </w:rPr>
        <w:t xml:space="preserve">was also observed </w:t>
      </w:r>
      <w:r w:rsidR="003F31AA">
        <w:rPr>
          <w:sz w:val="24"/>
          <w:szCs w:val="24"/>
        </w:rPr>
        <w:t xml:space="preserve">for the PPCC and PPL 5A sample when mapped to </w:t>
      </w:r>
      <w:r w:rsidR="003F31AA">
        <w:rPr>
          <w:i/>
          <w:sz w:val="24"/>
          <w:szCs w:val="24"/>
        </w:rPr>
        <w:t>S</w:t>
      </w:r>
      <w:r w:rsidR="0099408B">
        <w:rPr>
          <w:i/>
          <w:sz w:val="24"/>
          <w:szCs w:val="24"/>
        </w:rPr>
        <w:t>.</w:t>
      </w:r>
      <w:r w:rsidR="003F31AA">
        <w:rPr>
          <w:i/>
          <w:sz w:val="24"/>
          <w:szCs w:val="24"/>
        </w:rPr>
        <w:t xml:space="preserve"> </w:t>
      </w:r>
      <w:r w:rsidR="003F31AA" w:rsidRPr="003F31AA">
        <w:rPr>
          <w:i/>
          <w:sz w:val="24"/>
          <w:szCs w:val="24"/>
        </w:rPr>
        <w:t>anginosus</w:t>
      </w:r>
      <w:r w:rsidR="003F31AA">
        <w:rPr>
          <w:i/>
          <w:sz w:val="24"/>
          <w:szCs w:val="24"/>
        </w:rPr>
        <w:t xml:space="preserve"> </w:t>
      </w:r>
      <w:r w:rsidR="003F31AA">
        <w:rPr>
          <w:sz w:val="24"/>
          <w:szCs w:val="24"/>
        </w:rPr>
        <w:t>(Figure 12)</w:t>
      </w:r>
      <w:r w:rsidR="003F31AA">
        <w:rPr>
          <w:i/>
          <w:sz w:val="24"/>
          <w:szCs w:val="24"/>
        </w:rPr>
        <w:t xml:space="preserve">. </w:t>
      </w:r>
      <w:r w:rsidR="0047513B">
        <w:rPr>
          <w:sz w:val="24"/>
          <w:szCs w:val="24"/>
        </w:rPr>
        <w:t>This pattern could also be observed when the reads for the Teotihuacan samples were</w:t>
      </w:r>
      <w:r w:rsidR="003F31AA">
        <w:rPr>
          <w:sz w:val="24"/>
          <w:szCs w:val="24"/>
        </w:rPr>
        <w:t xml:space="preserve"> mapped to </w:t>
      </w:r>
      <w:r w:rsidR="003F31AA">
        <w:rPr>
          <w:i/>
          <w:sz w:val="24"/>
          <w:szCs w:val="24"/>
        </w:rPr>
        <w:t>C. acnes</w:t>
      </w:r>
      <w:r w:rsidR="003F31AA">
        <w:rPr>
          <w:sz w:val="24"/>
          <w:szCs w:val="24"/>
        </w:rPr>
        <w:t xml:space="preserve"> (Figure 13).</w:t>
      </w:r>
      <w:r w:rsidR="0081470C">
        <w:rPr>
          <w:sz w:val="24"/>
          <w:szCs w:val="24"/>
        </w:rPr>
        <w:t xml:space="preserve"> However, the damage patterns for each sample suggest that all </w:t>
      </w:r>
      <w:r w:rsidR="0081470C">
        <w:rPr>
          <w:i/>
          <w:sz w:val="24"/>
          <w:szCs w:val="24"/>
        </w:rPr>
        <w:t xml:space="preserve">C. acnes </w:t>
      </w:r>
      <w:r w:rsidR="0081470C">
        <w:rPr>
          <w:sz w:val="24"/>
          <w:szCs w:val="24"/>
        </w:rPr>
        <w:t xml:space="preserve">reads were modern contaminants. </w:t>
      </w:r>
      <w:r w:rsidR="003F31AA">
        <w:rPr>
          <w:sz w:val="24"/>
          <w:szCs w:val="24"/>
        </w:rPr>
        <w:t xml:space="preserve"> </w:t>
      </w:r>
    </w:p>
    <w:p w14:paraId="58B608D2" w14:textId="77777777" w:rsidR="00012144" w:rsidRPr="00C21A2F" w:rsidRDefault="00012144" w:rsidP="00012144">
      <w:pPr>
        <w:pStyle w:val="Heading2"/>
        <w:rPr>
          <w:rFonts w:ascii="Times New Roman" w:hAnsi="Times New Roman" w:cs="Times New Roman"/>
          <w:i/>
          <w:color w:val="auto"/>
          <w:sz w:val="24"/>
          <w:szCs w:val="24"/>
        </w:rPr>
      </w:pPr>
      <w:bookmarkStart w:id="26" w:name="_Toc8404638"/>
      <w:r w:rsidRPr="00C21A2F">
        <w:rPr>
          <w:rFonts w:ascii="Times New Roman" w:hAnsi="Times New Roman" w:cs="Times New Roman"/>
          <w:i/>
          <w:color w:val="auto"/>
          <w:sz w:val="24"/>
          <w:szCs w:val="24"/>
        </w:rPr>
        <w:t>Bayesian source tracking</w:t>
      </w:r>
      <w:bookmarkEnd w:id="26"/>
      <w:r w:rsidRPr="00C21A2F">
        <w:rPr>
          <w:rFonts w:ascii="Times New Roman" w:hAnsi="Times New Roman" w:cs="Times New Roman"/>
          <w:i/>
          <w:color w:val="auto"/>
          <w:sz w:val="24"/>
          <w:szCs w:val="24"/>
        </w:rPr>
        <w:t xml:space="preserve"> </w:t>
      </w:r>
    </w:p>
    <w:p w14:paraId="5A7D41D8" w14:textId="312714F9" w:rsidR="00012144" w:rsidRDefault="00012144" w:rsidP="00012144">
      <w:pPr>
        <w:spacing w:line="480" w:lineRule="auto"/>
        <w:ind w:firstLine="720"/>
        <w:rPr>
          <w:sz w:val="24"/>
          <w:szCs w:val="24"/>
        </w:rPr>
      </w:pPr>
      <w:r w:rsidRPr="006E43C8">
        <w:rPr>
          <w:sz w:val="24"/>
          <w:szCs w:val="24"/>
        </w:rPr>
        <w:t>SourceTracker was performed to estimate the environmental origin of the microbial DNA present within each sample</w:t>
      </w:r>
      <w:bookmarkStart w:id="27" w:name="_Hlk3801771"/>
      <w:r>
        <w:rPr>
          <w:sz w:val="24"/>
          <w:szCs w:val="24"/>
        </w:rPr>
        <w:t xml:space="preserve"> based on a set of modern well-characterized reference communities sequenced from human dental calculus </w:t>
      </w:r>
      <w:r>
        <w:rPr>
          <w:sz w:val="24"/>
          <w:szCs w:val="24"/>
        </w:rPr>
        <w:fldChar w:fldCharType="begin"/>
      </w:r>
      <w:r>
        <w:rPr>
          <w:sz w:val="24"/>
          <w:szCs w:val="24"/>
        </w:rPr>
        <w:instrText xml:space="preserve"> ADDIN ZOTERO_ITEM CSL_CITATION {"citationID":"Zyf8nxsF","properties":{"formattedCitation":"(Mann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w:instrText>
      </w:r>
      <w:r w:rsidRPr="00ED2BA0">
        <w:rPr>
          <w:sz w:val="24"/>
          <w:szCs w:val="24"/>
          <w:lang w:val="de-DE"/>
        </w:rPr>
        <w:instrText xml:space="preserve">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Pr>
          <w:sz w:val="24"/>
          <w:szCs w:val="24"/>
        </w:rPr>
        <w:fldChar w:fldCharType="separate"/>
      </w:r>
      <w:r w:rsidRPr="00ED2BA0">
        <w:rPr>
          <w:sz w:val="24"/>
          <w:lang w:val="de-DE"/>
        </w:rPr>
        <w:t>(Mann et al., 2018; Weyrich et al., 2017)</w:t>
      </w:r>
      <w:r>
        <w:rPr>
          <w:sz w:val="24"/>
          <w:szCs w:val="24"/>
        </w:rPr>
        <w:fldChar w:fldCharType="end"/>
      </w:r>
      <w:r w:rsidRPr="00ED2BA0">
        <w:rPr>
          <w:sz w:val="24"/>
          <w:szCs w:val="24"/>
          <w:lang w:val="de-DE"/>
        </w:rPr>
        <w:t xml:space="preserve">, human gut </w:t>
      </w:r>
      <w:r>
        <w:rPr>
          <w:sz w:val="24"/>
          <w:szCs w:val="24"/>
        </w:rPr>
        <w:fldChar w:fldCharType="begin"/>
      </w:r>
      <w:r>
        <w:rPr>
          <w:sz w:val="24"/>
          <w:szCs w:val="24"/>
          <w:lang w:val="de-DE"/>
        </w:rPr>
        <w:instrText xml:space="preserve"> ADDIN ZOTERO_ITEM CSL_CITATION {"citationID":"7Bo7toVZ","properties":{"formattedCitation":"(Gopalakrishnan et al., 2018; Rampelli et al., 2015)","plainCitation":"(Gopalakrishnan et al., 2018; Rampelli et al., 2015)","noteIndex":0},"citationItems":[{"id":942,"uris":["http://zotero.org/users/4461938/items/4EC5DYVC"],"uri":["http://zotero.org/users/4461938/items/4EC5DYVC"],"itemData":{"id":942,"type":"a</w:instrText>
      </w:r>
      <w:r w:rsidRPr="001E3691">
        <w:rPr>
          <w:sz w:val="24"/>
          <w:szCs w:val="24"/>
          <w:lang w:val="de-DE"/>
        </w:rPr>
        <w:instrText xml:space="preserve">rticle-journal","title":"Gut microbiome modulates response to anti–PD-1 immunotherapy in melanoma patients","container-title":"Science","page":"97-103","volume":"359","issue":"6371","author":[{"family":"Gopalakrishnan","given":"V."},{"family":"Spencer","given":"C. N."},{"family":"Nezi","given":"L."},{"family":"Reuben","given":"A."},{"family":"Andrews","given":"M. C."},{"family":"Karpinets","given":"T. V."},{"family":"Prieto","given":"P. A."},{"family":"Vicente","given":"D."},{"family":"Hoffman","given":"K."},{"family":"Wei","given":"S. C."}],"issued":{"date-parts":[["2018"]]}}},{"id":945,"uris":["http://zotero.org/users/4461938/items/KXSPQJJE"],"uri":["http://zotero.org/users/4461938/items/KXSPQJJE"],"itemData":{"id":945,"type":"article-journal","title":"Metagenome sequencing of the Hadza hunter-gatherer gut microbiota","container-title":"Current Biology","page":"1682-1693","volume":"25","issue":"13","author":[{"family":"Rampelli","given":"Simone"},{"family":"Schnorr","given":"Stephanie L."},{"family":"Consolandi","given":"Clarissa"},{"family":"Turroni","given":"Silvia"},{"family":"Severgnini","given":"Marco"},{"family":"Peano","given":"Clelia"},{"family":"Brigidi","given":"Patrizia"},{"family":"Crittenden","given":"Alyssa N."},{"family":"Henry","given":"Amanda G."},{"family":"Candela","given":"Marco"}],"issued":{"date-parts":[["2015"]]}}}],"schema":"https://github.com/citation-style-language/schema/raw/master/csl-citation.json"} </w:instrText>
      </w:r>
      <w:r>
        <w:rPr>
          <w:sz w:val="24"/>
          <w:szCs w:val="24"/>
        </w:rPr>
        <w:fldChar w:fldCharType="separate"/>
      </w:r>
      <w:r w:rsidRPr="001E3691">
        <w:rPr>
          <w:sz w:val="24"/>
          <w:lang w:val="de-DE"/>
        </w:rPr>
        <w:t>(Gopalakrishnan et al., 2018; Rampelli et al., 2015)</w:t>
      </w:r>
      <w:r>
        <w:rPr>
          <w:sz w:val="24"/>
          <w:szCs w:val="24"/>
        </w:rPr>
        <w:fldChar w:fldCharType="end"/>
      </w:r>
      <w:r w:rsidRPr="001E3691">
        <w:rPr>
          <w:sz w:val="24"/>
          <w:szCs w:val="24"/>
          <w:lang w:val="de-DE"/>
        </w:rPr>
        <w:t xml:space="preserve">, plaque </w:t>
      </w:r>
      <w:r>
        <w:rPr>
          <w:sz w:val="24"/>
          <w:szCs w:val="24"/>
          <w:lang w:val="de-DE"/>
        </w:rPr>
        <w:fldChar w:fldCharType="begin"/>
      </w:r>
      <w:r w:rsidRPr="001E3691">
        <w:rPr>
          <w:sz w:val="24"/>
          <w:szCs w:val="24"/>
          <w:lang w:val="de-DE"/>
        </w:rPr>
        <w:instrText xml:space="preserve"> ADDIN ZOTERO_ITEM CSL_CITATION {"citationID":"wlAdAvnJ","properties":{"formattedCitation":"(Lloyd-Price et al., 2017)","plainCitation":"(Lloyd-Price et al., 2017)","noteIndex":0},"citationItems":[{"id":432,"uris":["http://zotero.org/users/4461938/items/TPM56BVQ"],"uri":["http://zotero.org/users/4461938/items/TPM56BVQ"],"itemData":{"id":432,"type":"article-journal","title":"Strains, functions and dynamics in the expanded Human Microbiome Project","container-title":"Nature","page":"61-66","volume":"550","issue":"7674","source":"www-nature-com.ezproxy.lib.ou.edu","abstract":"The characterization of baseline microbial and functional diversity in the human microbiome has enabled studies of microbiome-related disease, diversity, biogeography, and molecular function. The National Institutes of Health Human Microbiome Project has provided one of the broadest such characterizations so far. Here we introduce a second wave of data from the study, comprising 1,631 new metagenomes (2,355 total) targeting diverse body sites with mul</w:instrText>
      </w:r>
      <w:r w:rsidRPr="00BC4418">
        <w:rPr>
          <w:sz w:val="24"/>
          <w:szCs w:val="24"/>
          <w:lang w:val="fr-FR"/>
        </w:rPr>
        <w:instrText>tiple time points in 265 individuals. We applied updated profiling and assembly methods to provide new characterizations of microbiome personalization. Strain identification revealed subspecies clades specific to body sites; it also quantified species with phylogenetic diversity under-represented in isolate genomes. Body-wide functional profiling classified pathways into universal, human-enriched, a</w:instrText>
      </w:r>
      <w:r w:rsidRPr="00ED2BA0">
        <w:rPr>
          <w:sz w:val="24"/>
          <w:szCs w:val="24"/>
          <w:lang w:val="fr-FR"/>
        </w:rPr>
        <w:instrText xml:space="preserve">nd body site-enriched subsets. Finally, temporal analysis decomposed microbial variation into rapidly variable, moderately variable, and stable subsets. This study furthers our knowledge of baseline human microbial diversity and enables an understanding of personalized microbiome function and dynamics.","DOI":"10.1038/nature23889","ISSN":"1476-4687","language":"en","author":[{"family":"Lloyd-Price","given":"Jason"},{"family":"Mahurkar","given":"Anup"},{"family":"Rahnavard","given":"Gholamali"},{"family":"Crabtree","given":"Jonathan"},{"family":"Orvis","given":"Joshua"},{"family":"Hall","given":"A. Brantley"},{"family":"Brady","given":"Arthur"},{"family":"Creasy","given":"Heather H."},{"family":"McCracken","given":"Carrie"},{"family":"Giglio","given":"Michelle G."},{"family":"McDonald","given":"Daniel"},{"family":"Franzosa","given":"Eric A."},{"family":"Knight","given":"Rob"},{"family":"White","given":"Owen"},{"family":"Huttenhower","given":"Curtis"}],"issued":{"date-parts":[["2017",10]]}}}],"schema":"https://github.com/citation-style-language/schema/raw/master/csl-citation.json"} </w:instrText>
      </w:r>
      <w:r>
        <w:rPr>
          <w:sz w:val="24"/>
          <w:szCs w:val="24"/>
          <w:lang w:val="de-DE"/>
        </w:rPr>
        <w:fldChar w:fldCharType="separate"/>
      </w:r>
      <w:r w:rsidRPr="00ED2BA0">
        <w:rPr>
          <w:sz w:val="24"/>
          <w:lang w:val="fr-FR"/>
        </w:rPr>
        <w:t>(Lloyd-Price et al., 2017)</w:t>
      </w:r>
      <w:r>
        <w:rPr>
          <w:sz w:val="24"/>
          <w:szCs w:val="24"/>
          <w:lang w:val="de-DE"/>
        </w:rPr>
        <w:fldChar w:fldCharType="end"/>
      </w:r>
      <w:r w:rsidRPr="00ED2BA0">
        <w:rPr>
          <w:sz w:val="24"/>
          <w:szCs w:val="24"/>
          <w:lang w:val="fr-FR"/>
        </w:rPr>
        <w:t xml:space="preserve">, saliva </w:t>
      </w:r>
      <w:r>
        <w:rPr>
          <w:sz w:val="24"/>
          <w:szCs w:val="24"/>
          <w:lang w:val="de-DE"/>
        </w:rPr>
        <w:fldChar w:fldCharType="begin"/>
      </w:r>
      <w:r w:rsidRPr="00ED2BA0">
        <w:rPr>
          <w:sz w:val="24"/>
          <w:szCs w:val="24"/>
          <w:lang w:val="fr-FR"/>
        </w:rPr>
        <w:instrText xml:space="preserve"> ADDIN ZOTERO_ITEM CSL_CITATION {"citationID":"USB2O0gr","properties":{"formattedCitation":"(Aleti et al., 2018; Lassalle et al., 2018)","plainCitation":"(Aleti et al., 2018; Lassalle et al., 2018)","noteIndex":0},"citationItems":[{"id":949,"uris":["http://zotero.org/users/4461938/items/5DE8MUMQ"],"uri":["http://zotero.org/users/4461938/items/5DE8MUMQ"],"itemData":{"id":949,"type":"article-journal","title":"Identification of the bacterial biosynthetic gene clusters of the oral microbiome illuminates the unexplored social language of bacteria during health and disease","container-title":"bioRxiv","page":"431510","author":[{"family":"Aleti","given":"Gajender"},{"family":"Baker","given":"Jonathon L."},{"family":"Tang","given":"Xiaoyu"},{"family":"Alvarez","given":"Ruth"},{"family":"Dinis","given":"Márcia"},{"family":"Tran","given":"Nini C."},{"family":"Melnik","given":"Alexey V."},{"family":"Zhong","given":"Cuncong"},{"family":"Ernst","given":"Madeleine"},{"family":"Dorrestein","given":"Pieter C."}],"issued":{"date-parts":[["2018"]]}}},{"id":940,"uris":["http://zotero.org/users/4461938/items/JCLIPAG9"],"uri":["http://zotero.org/users/4461938/items/JCLIPAG9"],"itemData":{"id":940,"type":"article-journal","title":"Oral microbiomes from hunter‐gatherers and traditional farmers reveal shifts in commensal balance and pathogen load linked to diet","container-title":"Molecular ecology","page":"182-195","volume":"27","issue":"1","author":[{"family":"Lassalle","given":"Florent"},{"family":"Spagnoletti","given":"Matteo"},{"family":"Fumagalli","given":"Matteo"},{"family":"Shaw","given":"Liam"},{"family":"Dyble","given":"Mark"},{"family":"Walker","given":"Catherine"},{"family":"Thomas","given":"Mark G."},{"family":"Bamberg Migliano","given":"Andrea"},{"family":"Balloux","given":"Francois"}],"issued":{"date-parts":[["2018"]]}}}],"schema":"https://github.com/citation-style-language/schema/raw/master/csl-citation.json"} </w:instrText>
      </w:r>
      <w:r>
        <w:rPr>
          <w:sz w:val="24"/>
          <w:szCs w:val="24"/>
          <w:lang w:val="de-DE"/>
        </w:rPr>
        <w:fldChar w:fldCharType="separate"/>
      </w:r>
      <w:r w:rsidRPr="00ED2BA0">
        <w:rPr>
          <w:sz w:val="24"/>
          <w:lang w:val="fr-FR"/>
        </w:rPr>
        <w:t>(Aleti et al., 2018; Lassalle et al., 2018)</w:t>
      </w:r>
      <w:r>
        <w:rPr>
          <w:sz w:val="24"/>
          <w:szCs w:val="24"/>
          <w:lang w:val="de-DE"/>
        </w:rPr>
        <w:fldChar w:fldCharType="end"/>
      </w:r>
      <w:r w:rsidRPr="00ED2BA0">
        <w:rPr>
          <w:sz w:val="24"/>
          <w:szCs w:val="24"/>
          <w:lang w:val="fr-FR"/>
        </w:rPr>
        <w:t xml:space="preserve">, skin </w:t>
      </w:r>
      <w:r>
        <w:rPr>
          <w:sz w:val="24"/>
          <w:szCs w:val="24"/>
          <w:lang w:val="de-DE"/>
        </w:rPr>
        <w:fldChar w:fldCharType="begin"/>
      </w:r>
      <w:r w:rsidRPr="00ED2BA0">
        <w:rPr>
          <w:sz w:val="24"/>
          <w:szCs w:val="24"/>
          <w:lang w:val="fr-FR"/>
        </w:rPr>
        <w:instrText xml:space="preserve"> ADDIN ZOTERO_ITEM CSL_CITATION {"citationID":"K1H57Xzh","properties":{"formattedCitation":"(Oh et al., 2016; Schmedes et al., 2016; Tirosh et al., 2018)","plainCitation":"(Oh et al., 2016; Schmedes et al., 2016; Tirosh et al., 2018)","noteIndex":0},"citationItems":[{"id":947,"uris":["http://zotero.org/users/4461938/items/UJ4C4GW9"],"uri":["http://zotero.org/users/4461938/items/UJ4C4GW9"],"itemData":{"id":947,"type":"article-journal","title":"Temporal stability of the human skin microbiome","container-title":"Cell","page":"854-866","volume":"165","issue":"4","author":[{"family":"Oh","given":"Julia"},{"family":"Byrd","given":"Allyson L."},{"family":"Park","given":"Morgan"},{"family":"Kong","given":"Heidi H."},{"family":"Segre","given":"Julia A."},{"family":"Program","given":"NISC Comparative Sequencing"}],"issued":{"date-parts":[["2016"]]}}},{"id":944,"uris":["http://zotero.org/users/4461938/items/NXF5DCNJ"],"uri":["http://zotero.org/users/4461938/items/NXF5DCNJ"],"itemData":{"id":944,"type":"article-journal","title":"Expansion of microbial forensics","container-title":"Journal of clinical microbiology","page":"1964-1974","volume":"54","issue":"8","author":[{"family":"Schmedes","given":"Sarah E."},{"family":"Sajantila","given":"Antti"},{"family":"Budowle","given":"Bruce"}],"issued":{"date-parts":[["2016"]]}}},{"id":950,"uris":["http://zotero.org/users/4461938/items/3J9QR5U3"],"uri":["http://zotero.org/users/4461938/items/3J9QR5U3"],"itemData":{"id":950,"type":"article-journal","title":"Expanded skin virome in DOCK8-deficient patients","container-title":"Nature medicine","page":"1815","volume":"24","issue":"12","author":[{"family":"Tirosh","given":"Osnat"},{"family":"Conlan","given":"Sean"},{"family":"Deming","given":"Clay"},{"family":"Lee-Lin","given":"Shih-Queen"},{"family":"Huang","given":"Xin"},{"family":"Su","given":"Helen C."},{"family":"Freeman","given":"Alexandra F."},{"family":"Segre","given":"Julia A."},{"family":"Kong","given":"Heidi H."}],"issued":{"date-parts":[["2018"]]}}}],"schema":"https://github.com/citation-style-language/schema/raw/master/csl-citation.json"} </w:instrText>
      </w:r>
      <w:r>
        <w:rPr>
          <w:sz w:val="24"/>
          <w:szCs w:val="24"/>
          <w:lang w:val="de-DE"/>
        </w:rPr>
        <w:fldChar w:fldCharType="separate"/>
      </w:r>
      <w:r w:rsidRPr="00ED2BA0">
        <w:rPr>
          <w:sz w:val="24"/>
          <w:lang w:val="fr-FR"/>
        </w:rPr>
        <w:t>(Oh et al., 2016; Schmedes et al., 2016; Tirosh et al., 2018)</w:t>
      </w:r>
      <w:r>
        <w:rPr>
          <w:sz w:val="24"/>
          <w:szCs w:val="24"/>
          <w:lang w:val="de-DE"/>
        </w:rPr>
        <w:fldChar w:fldCharType="end"/>
      </w:r>
      <w:r w:rsidRPr="00E236BA">
        <w:rPr>
          <w:sz w:val="24"/>
          <w:szCs w:val="24"/>
          <w:lang w:val="fr-FR"/>
        </w:rPr>
        <w:t xml:space="preserve">, and soil </w:t>
      </w:r>
      <w:r>
        <w:rPr>
          <w:sz w:val="24"/>
          <w:szCs w:val="24"/>
          <w:lang w:val="de-DE"/>
        </w:rPr>
        <w:fldChar w:fldCharType="begin"/>
      </w:r>
      <w:r w:rsidRPr="00E236BA">
        <w:rPr>
          <w:sz w:val="24"/>
          <w:szCs w:val="24"/>
          <w:lang w:val="fr-FR"/>
        </w:rPr>
        <w:instrText xml:space="preserve"> ADDIN ZOTERO_ITEM CSL_CITATION {"citationID":"9zuAn9Ld","properties":{"formattedCitation":"(DOE Joint Genome Institut</w:instrText>
      </w:r>
      <w:r w:rsidRPr="00D80991">
        <w:rPr>
          <w:sz w:val="24"/>
          <w:szCs w:val="24"/>
          <w:lang w:val="fr-FR"/>
        </w:rPr>
        <w:instrText>e, 2017; Lin et al., 20</w:instrText>
      </w:r>
      <w:r w:rsidRPr="00E535BC">
        <w:rPr>
          <w:sz w:val="24"/>
          <w:szCs w:val="24"/>
          <w:lang w:val="fr-FR"/>
        </w:rPr>
        <w:instrText xml:space="preserve">14)","plainCitation":"(DOE Joint Genome Institute, 2017; Lin et al., 2014)","noteIndex":0},"citationItems":[{"id":948,"uris":["http://zotero.org/users/4461938/items/66HVJMNY"],"uri":["http://zotero.org/users/4461938/items/66HVJMNY"],"itemData":{"id":948,"type":"article-journal","title":"Bog forest soil microbial communities from Calvert Island, British Columbia, Canada - ECP14_OM3 metagenome","author":[{"family":"DOE Joint Genome Institute","given":""}],"issued":{"date-parts":[["2017"]]}}},{"id":943,"uris":["http://zotero.org/users/4461938/items/57MIVEGR"],"uri":["http://zotero.org/users/4461938/items/57MIVEGR"],"itemData":{"id":943,"type":"article-journal","title":"Microbial metabolic potential for carbon degradation and nutrient (nitrogen and phosphorus) acquisition in an ombrotrophic peatland","container-title":"Appl. Environ. Microbiol.","page":"3531-3540","volume":"80","issue":"11","author":[{"family":"Lin","given":"Xueju"},{"family":"Tfaily","given":"Malak M."},{"family":"Green","given":"Stefan J."},{"family":"Steinweg","given":"J. Megan"},{"family":"Chanton","given":"Patrick"},{"family":"Imvittaya","given":"Aopeau"},{"family":"Chanton","given":"Jeffrey P."},{"family":"Cooper","given":"William"},{"family":"Schadt","given":"Christopher"},{"family":"Kostka","given":"Joel E."}],"issued":{"date-parts":[["2014"]]}}}],"schema":"https://github.com/citation-style-language/schema/raw/master/csl-citation.json"} </w:instrText>
      </w:r>
      <w:r>
        <w:rPr>
          <w:sz w:val="24"/>
          <w:szCs w:val="24"/>
          <w:lang w:val="de-DE"/>
        </w:rPr>
        <w:fldChar w:fldCharType="separate"/>
      </w:r>
      <w:r w:rsidRPr="00E535BC">
        <w:rPr>
          <w:sz w:val="24"/>
          <w:lang w:val="fr-FR"/>
        </w:rPr>
        <w:t>(DOE Joint Genome Institute, 2017; Lin et al., 2014)</w:t>
      </w:r>
      <w:r>
        <w:rPr>
          <w:sz w:val="24"/>
          <w:szCs w:val="24"/>
          <w:lang w:val="de-DE"/>
        </w:rPr>
        <w:fldChar w:fldCharType="end"/>
      </w:r>
      <w:r>
        <w:rPr>
          <w:sz w:val="24"/>
          <w:szCs w:val="24"/>
          <w:lang w:val="fr-FR"/>
        </w:rPr>
        <w:t xml:space="preserve"> </w:t>
      </w:r>
      <w:r w:rsidRPr="00E535BC">
        <w:rPr>
          <w:sz w:val="24"/>
          <w:szCs w:val="24"/>
          <w:lang w:val="fr-FR"/>
        </w:rPr>
        <w:t xml:space="preserve">(Figure 13). </w:t>
      </w:r>
      <w:bookmarkEnd w:id="27"/>
      <w:r w:rsidRPr="000D3B34">
        <w:rPr>
          <w:sz w:val="24"/>
          <w:szCs w:val="24"/>
          <w:lang w:val="fr-FR"/>
        </w:rPr>
        <w:t xml:space="preserve">The oral and skin microbiomes share few taxa members of the genera </w:t>
      </w:r>
      <w:r w:rsidRPr="000D3B34">
        <w:rPr>
          <w:i/>
          <w:sz w:val="24"/>
          <w:szCs w:val="24"/>
          <w:lang w:val="fr-FR"/>
        </w:rPr>
        <w:t xml:space="preserve">Propionibacterium </w:t>
      </w:r>
      <w:r w:rsidRPr="000D3B34">
        <w:rPr>
          <w:sz w:val="24"/>
          <w:szCs w:val="24"/>
          <w:lang w:val="fr-FR"/>
        </w:rPr>
        <w:t xml:space="preserve">and </w:t>
      </w:r>
      <w:r w:rsidRPr="000D3B34">
        <w:rPr>
          <w:i/>
          <w:sz w:val="24"/>
          <w:szCs w:val="24"/>
          <w:lang w:val="fr-FR"/>
        </w:rPr>
        <w:t xml:space="preserve">Staphylococcus </w:t>
      </w:r>
      <w:r w:rsidR="0081470C" w:rsidRPr="000D3B34">
        <w:rPr>
          <w:sz w:val="24"/>
          <w:szCs w:val="24"/>
          <w:lang w:val="fr-FR"/>
        </w:rPr>
        <w:t xml:space="preserve">which </w:t>
      </w:r>
      <w:r w:rsidR="007E0303" w:rsidRPr="000D3B34">
        <w:rPr>
          <w:sz w:val="24"/>
          <w:szCs w:val="24"/>
          <w:lang w:val="fr-FR"/>
        </w:rPr>
        <w:t>are commonly found in</w:t>
      </w:r>
      <w:r w:rsidRPr="000D3B34">
        <w:rPr>
          <w:sz w:val="24"/>
          <w:szCs w:val="24"/>
          <w:lang w:val="fr-FR"/>
        </w:rPr>
        <w:t xml:space="preserve"> the skin while </w:t>
      </w:r>
      <w:r w:rsidRPr="000D3B34">
        <w:rPr>
          <w:i/>
          <w:sz w:val="24"/>
          <w:szCs w:val="24"/>
          <w:lang w:val="fr-FR"/>
        </w:rPr>
        <w:t xml:space="preserve">Streptococcus </w:t>
      </w:r>
      <w:r w:rsidRPr="000D3B34">
        <w:rPr>
          <w:sz w:val="24"/>
          <w:szCs w:val="24"/>
          <w:lang w:val="fr-FR"/>
        </w:rPr>
        <w:t xml:space="preserve">dominates the oral cavity </w:t>
      </w:r>
      <w:r>
        <w:rPr>
          <w:sz w:val="24"/>
          <w:szCs w:val="24"/>
        </w:rPr>
        <w:fldChar w:fldCharType="begin"/>
      </w:r>
      <w:r w:rsidRPr="000D3B34">
        <w:rPr>
          <w:sz w:val="24"/>
          <w:szCs w:val="24"/>
          <w:lang w:val="fr-FR"/>
        </w:rPr>
        <w:instrText xml:space="preserve"> ADDIN ZOTERO_ITEM CSL_CITATION {"citationID":"E63hiMhK","properties":{"formattedCitation":"(Mann et al., 2018)","plainCitation":"(Mann et al., 2018)","noteIndex":0},"citationItems":[{"id":428,"uris":["http://zotero.org/users/4461938/items/WVIA9HQ4"],"uri":["http://zotero.org/users/4461938/items/WVIA9HQ4"],"itemData":{"id":428,"type":"article-journal","title":"Differential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w:instrText>
      </w:r>
      <w:r w:rsidRPr="0081470C">
        <w:rPr>
          <w:sz w:val="24"/>
          <w:szCs w:val="24"/>
        </w:rPr>
        <w:instrText>ent prop</w:instrText>
      </w:r>
      <w:r>
        <w:rPr>
          <w:sz w:val="24"/>
          <w:szCs w:val="24"/>
        </w:rPr>
        <w:instrText xml:space="preserve">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I."},{"family":"Warinner","given":"Christina"}],"issued":{"date-parts":[["2018",6,29]]}}}],"schema":"https://github.com/citation-style-language/schema/raw/master/csl-citation.json"} </w:instrText>
      </w:r>
      <w:r>
        <w:rPr>
          <w:sz w:val="24"/>
          <w:szCs w:val="24"/>
        </w:rPr>
        <w:fldChar w:fldCharType="separate"/>
      </w:r>
      <w:r w:rsidRPr="00E236BA">
        <w:rPr>
          <w:sz w:val="24"/>
        </w:rPr>
        <w:t>(Mann et al., 2018)</w:t>
      </w:r>
      <w:r>
        <w:rPr>
          <w:sz w:val="24"/>
          <w:szCs w:val="24"/>
        </w:rPr>
        <w:fldChar w:fldCharType="end"/>
      </w:r>
      <w:r>
        <w:rPr>
          <w:sz w:val="24"/>
          <w:szCs w:val="24"/>
        </w:rPr>
        <w:t xml:space="preserve">. Members of the phyla </w:t>
      </w:r>
      <w:r>
        <w:rPr>
          <w:i/>
          <w:sz w:val="24"/>
          <w:szCs w:val="24"/>
        </w:rPr>
        <w:t xml:space="preserve">Acidobacteria </w:t>
      </w:r>
      <w:r>
        <w:rPr>
          <w:sz w:val="24"/>
          <w:szCs w:val="24"/>
        </w:rPr>
        <w:t>generally dominate soil microbiomes although it</w:t>
      </w:r>
      <w:r w:rsidR="007E0303">
        <w:rPr>
          <w:sz w:val="24"/>
          <w:szCs w:val="24"/>
        </w:rPr>
        <w:t>s relative abundance</w:t>
      </w:r>
      <w:r>
        <w:rPr>
          <w:sz w:val="24"/>
          <w:szCs w:val="24"/>
        </w:rPr>
        <w:t xml:space="preserve"> is highly variable </w:t>
      </w:r>
      <w:r>
        <w:rPr>
          <w:sz w:val="24"/>
          <w:szCs w:val="24"/>
        </w:rPr>
        <w:fldChar w:fldCharType="begin"/>
      </w:r>
      <w:r>
        <w:rPr>
          <w:sz w:val="24"/>
          <w:szCs w:val="24"/>
        </w:rPr>
        <w:instrText xml:space="preserve"> ADDIN ZOTERO_ITEM CSL_CITATION {"citationID":"5F6dWa0O","properties":{"formattedCitation":"(Lee et al., 2008)","plainCitation":"(Lee et al., 2008)","noteIndex":0},"citationItems":[{"id":1263,"uris":["http://zotero.org/users/4461938/items/DARXLH64"],"uri":["http://zotero.org/users/4461938/items/DARXLH64"],"itemData":{"id":1263,"type":"article-journal","title":"Members of the phylum Acidobacteria are dominant and metabolically active in rhizosphere soil","container-title":"FEMS microbiology letters","page":"263-269","volume":"285","issue":"2","ISSN":"1574-6968","journalAbbreviation":"FEMS microbiology letters","author":[{"family":"Lee","given":"Sang-Hoon"},{"family":"Ka","given":"Jong-Ok"},{"family":"Cho","given":"Jae-Chang"}],"issued":{"date-parts":[["2008"]]}}}],"schema":"https://github.com/citation-style-language/schema/raw/master/csl-citation.json"} </w:instrText>
      </w:r>
      <w:r>
        <w:rPr>
          <w:sz w:val="24"/>
          <w:szCs w:val="24"/>
        </w:rPr>
        <w:fldChar w:fldCharType="separate"/>
      </w:r>
      <w:r w:rsidRPr="00351B7B">
        <w:rPr>
          <w:sz w:val="24"/>
        </w:rPr>
        <w:t>(Lee et al., 2008)</w:t>
      </w:r>
      <w:r>
        <w:rPr>
          <w:sz w:val="24"/>
          <w:szCs w:val="24"/>
        </w:rPr>
        <w:fldChar w:fldCharType="end"/>
      </w:r>
      <w:r>
        <w:rPr>
          <w:sz w:val="24"/>
          <w:szCs w:val="24"/>
        </w:rPr>
        <w:t xml:space="preserve">. </w:t>
      </w:r>
      <w:r w:rsidRPr="00E236BA">
        <w:rPr>
          <w:sz w:val="24"/>
          <w:szCs w:val="24"/>
        </w:rPr>
        <w:t xml:space="preserve">Only the PPCC sample </w:t>
      </w:r>
      <w:r>
        <w:rPr>
          <w:sz w:val="24"/>
          <w:szCs w:val="24"/>
        </w:rPr>
        <w:t>visually showed a strong dental calculus signal</w:t>
      </w:r>
      <w:r w:rsidR="0081470C">
        <w:rPr>
          <w:sz w:val="24"/>
          <w:szCs w:val="24"/>
        </w:rPr>
        <w:t xml:space="preserve"> (97% attributable to dental calculus)</w:t>
      </w:r>
      <w:r>
        <w:rPr>
          <w:sz w:val="24"/>
          <w:szCs w:val="24"/>
        </w:rPr>
        <w:t>, whereas the PPL samples showed a strong soil, skin, and unknown signature than dental calculus</w:t>
      </w:r>
      <w:r w:rsidR="0081470C">
        <w:rPr>
          <w:sz w:val="24"/>
          <w:szCs w:val="24"/>
        </w:rPr>
        <w:t xml:space="preserve"> (less than 10% attributable to dental calculus for each)</w:t>
      </w:r>
      <w:r>
        <w:rPr>
          <w:sz w:val="24"/>
          <w:szCs w:val="24"/>
        </w:rPr>
        <w:t xml:space="preserve"> (Figure 1</w:t>
      </w:r>
      <w:r w:rsidR="003F31AA">
        <w:rPr>
          <w:sz w:val="24"/>
          <w:szCs w:val="24"/>
        </w:rPr>
        <w:t>4</w:t>
      </w:r>
      <w:r>
        <w:rPr>
          <w:sz w:val="24"/>
          <w:szCs w:val="24"/>
        </w:rPr>
        <w:t xml:space="preserve">). </w:t>
      </w:r>
      <w:r w:rsidR="009573E3">
        <w:rPr>
          <w:sz w:val="24"/>
          <w:szCs w:val="24"/>
        </w:rPr>
        <w:t xml:space="preserve">This finding in the PPCC </w:t>
      </w:r>
      <w:r w:rsidR="009573E3">
        <w:rPr>
          <w:sz w:val="24"/>
          <w:szCs w:val="24"/>
        </w:rPr>
        <w:lastRenderedPageBreak/>
        <w:t xml:space="preserve">sample is consistent with the SourceTracker analyses in Mann et al. (2018) and Weyrich et al. (2017) where they used soil, skin, plaque, and unknown as sources. </w:t>
      </w:r>
      <w:r>
        <w:rPr>
          <w:sz w:val="24"/>
          <w:szCs w:val="24"/>
        </w:rPr>
        <w:t xml:space="preserve">These analyses suggest differential amounts of preservation and contamination between the PPCC and PPL samples. </w:t>
      </w:r>
    </w:p>
    <w:p w14:paraId="70AC03E7" w14:textId="689EEF74" w:rsidR="00BB3FB0" w:rsidRPr="00C21A2F" w:rsidRDefault="00BB3FB0" w:rsidP="00BB3FB0">
      <w:pPr>
        <w:pStyle w:val="Heading2"/>
        <w:rPr>
          <w:rFonts w:ascii="Times New Roman" w:hAnsi="Times New Roman" w:cs="Times New Roman"/>
          <w:i/>
          <w:color w:val="auto"/>
          <w:sz w:val="24"/>
          <w:szCs w:val="24"/>
        </w:rPr>
      </w:pPr>
      <w:bookmarkStart w:id="28" w:name="_Toc8404639"/>
      <w:r>
        <w:rPr>
          <w:rFonts w:ascii="Times New Roman" w:hAnsi="Times New Roman" w:cs="Times New Roman"/>
          <w:i/>
          <w:color w:val="auto"/>
          <w:sz w:val="24"/>
          <w:szCs w:val="24"/>
        </w:rPr>
        <w:t>Human DNA Content</w:t>
      </w:r>
      <w:bookmarkEnd w:id="28"/>
      <w:r>
        <w:rPr>
          <w:rFonts w:ascii="Times New Roman" w:hAnsi="Times New Roman" w:cs="Times New Roman"/>
          <w:i/>
          <w:color w:val="auto"/>
          <w:sz w:val="24"/>
          <w:szCs w:val="24"/>
        </w:rPr>
        <w:t xml:space="preserve"> </w:t>
      </w:r>
    </w:p>
    <w:p w14:paraId="55D0CD44" w14:textId="12D09E49" w:rsidR="00CB1160" w:rsidRDefault="00E54C49" w:rsidP="00012144">
      <w:pPr>
        <w:spacing w:line="480" w:lineRule="auto"/>
        <w:ind w:firstLine="720"/>
        <w:rPr>
          <w:sz w:val="24"/>
          <w:szCs w:val="24"/>
        </w:rPr>
      </w:pPr>
      <w:r>
        <w:rPr>
          <w:sz w:val="24"/>
          <w:szCs w:val="24"/>
        </w:rPr>
        <w:t>The proportion of human endogenous DNA in dental calculus varies but is generally low (&lt;1</w:t>
      </w:r>
      <w:r w:rsidR="00DE6C97">
        <w:rPr>
          <w:sz w:val="24"/>
          <w:szCs w:val="24"/>
        </w:rPr>
        <w:t>.0</w:t>
      </w:r>
      <w:r>
        <w:rPr>
          <w:sz w:val="24"/>
          <w:szCs w:val="24"/>
        </w:rPr>
        <w:t xml:space="preserve"> %) </w:t>
      </w:r>
      <w:r>
        <w:rPr>
          <w:sz w:val="24"/>
          <w:szCs w:val="24"/>
        </w:rPr>
        <w:fldChar w:fldCharType="begin"/>
      </w:r>
      <w:r>
        <w:rPr>
          <w:sz w:val="24"/>
          <w:szCs w:val="24"/>
        </w:rPr>
        <w:instrText xml:space="preserve"> ADDIN ZOTERO_ITEM CSL_CITATION {"citationID":"DXJ5BMZa","properties":{"formattedCitation":"(Mann et al., 2018)","plainCitation":"(Mann et al., 2018)","noteIndex":0},"citationItems":[{"id":428,"uris":["http://zotero.org/users/4461938/items/WVIA9HQ4"],"uri":["http://zotero.org/users/4461938/items/WVIA9HQ4"],"itemData":{"id":428,"type":"article-journal","title":"Differential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I."},{"family":"Warinner","given":"Christina"}],"issued":{"date-parts":[["2018",6,29]]}}}],"schema":"https://github.com/citation-style-language/schema/raw/master/csl-citation.json"} </w:instrText>
      </w:r>
      <w:r>
        <w:rPr>
          <w:sz w:val="24"/>
          <w:szCs w:val="24"/>
        </w:rPr>
        <w:fldChar w:fldCharType="separate"/>
      </w:r>
      <w:r w:rsidRPr="00E54C49">
        <w:rPr>
          <w:sz w:val="24"/>
        </w:rPr>
        <w:t>(Mann et al., 2018)</w:t>
      </w:r>
      <w:r>
        <w:rPr>
          <w:sz w:val="24"/>
          <w:szCs w:val="24"/>
        </w:rPr>
        <w:fldChar w:fldCharType="end"/>
      </w:r>
      <w:r>
        <w:rPr>
          <w:sz w:val="24"/>
          <w:szCs w:val="24"/>
        </w:rPr>
        <w:t xml:space="preserve">. </w:t>
      </w:r>
      <w:r w:rsidR="00012144">
        <w:rPr>
          <w:sz w:val="24"/>
          <w:szCs w:val="24"/>
        </w:rPr>
        <w:t>The proportion of human DNA recovered in the Teotihuacan samples is comparable to that found in other samples (Figure 1</w:t>
      </w:r>
      <w:r w:rsidR="003F31AA">
        <w:rPr>
          <w:sz w:val="24"/>
          <w:szCs w:val="24"/>
        </w:rPr>
        <w:t>5</w:t>
      </w:r>
      <w:r w:rsidR="00012144">
        <w:rPr>
          <w:sz w:val="24"/>
          <w:szCs w:val="24"/>
        </w:rPr>
        <w:t xml:space="preserve">). However, a </w:t>
      </w:r>
      <w:r w:rsidR="008A3E21">
        <w:rPr>
          <w:sz w:val="24"/>
          <w:szCs w:val="24"/>
        </w:rPr>
        <w:t>concerning issue for th</w:t>
      </w:r>
      <w:r>
        <w:rPr>
          <w:sz w:val="24"/>
          <w:szCs w:val="24"/>
        </w:rPr>
        <w:t xml:space="preserve">is study was </w:t>
      </w:r>
      <w:r w:rsidR="008A3E21">
        <w:rPr>
          <w:sz w:val="24"/>
          <w:szCs w:val="24"/>
        </w:rPr>
        <w:t>that t</w:t>
      </w:r>
      <w:r w:rsidR="00CB1160">
        <w:rPr>
          <w:sz w:val="24"/>
          <w:szCs w:val="24"/>
        </w:rPr>
        <w:t xml:space="preserve">he </w:t>
      </w:r>
      <w:r w:rsidR="008A3E21">
        <w:rPr>
          <w:sz w:val="24"/>
          <w:szCs w:val="24"/>
        </w:rPr>
        <w:t xml:space="preserve">second </w:t>
      </w:r>
      <w:r w:rsidR="00CB1160">
        <w:rPr>
          <w:sz w:val="24"/>
          <w:szCs w:val="24"/>
        </w:rPr>
        <w:t>extraction blank</w:t>
      </w:r>
      <w:r w:rsidR="008A3E21">
        <w:rPr>
          <w:sz w:val="24"/>
          <w:szCs w:val="24"/>
        </w:rPr>
        <w:t xml:space="preserve"> had more </w:t>
      </w:r>
      <w:r w:rsidR="00B63BE3">
        <w:rPr>
          <w:sz w:val="24"/>
          <w:szCs w:val="24"/>
        </w:rPr>
        <w:t xml:space="preserve">unique </w:t>
      </w:r>
      <w:r w:rsidR="008A3E21">
        <w:rPr>
          <w:sz w:val="24"/>
          <w:szCs w:val="24"/>
        </w:rPr>
        <w:t xml:space="preserve">reads </w:t>
      </w:r>
      <w:r w:rsidR="00B63BE3">
        <w:rPr>
          <w:sz w:val="24"/>
          <w:szCs w:val="24"/>
        </w:rPr>
        <w:t>mapping t</w:t>
      </w:r>
      <w:r w:rsidR="008A3E21">
        <w:rPr>
          <w:sz w:val="24"/>
          <w:szCs w:val="24"/>
        </w:rPr>
        <w:t xml:space="preserve">o </w:t>
      </w:r>
      <w:r w:rsidR="00B63BE3">
        <w:rPr>
          <w:sz w:val="24"/>
          <w:szCs w:val="24"/>
        </w:rPr>
        <w:t xml:space="preserve">hg 19 </w:t>
      </w:r>
      <w:r w:rsidR="008A3E21">
        <w:rPr>
          <w:sz w:val="24"/>
          <w:szCs w:val="24"/>
        </w:rPr>
        <w:t>(</w:t>
      </w:r>
      <w:r w:rsidR="00B63BE3">
        <w:rPr>
          <w:sz w:val="24"/>
          <w:szCs w:val="24"/>
        </w:rPr>
        <w:t>87,526</w:t>
      </w:r>
      <w:r w:rsidR="008A3E21">
        <w:rPr>
          <w:sz w:val="24"/>
          <w:szCs w:val="24"/>
        </w:rPr>
        <w:t xml:space="preserve">) </w:t>
      </w:r>
      <w:r w:rsidR="00B63BE3">
        <w:rPr>
          <w:sz w:val="24"/>
          <w:szCs w:val="24"/>
        </w:rPr>
        <w:t>than any of t</w:t>
      </w:r>
      <w:r w:rsidR="008A3E21">
        <w:rPr>
          <w:sz w:val="24"/>
          <w:szCs w:val="24"/>
        </w:rPr>
        <w:t>he samples</w:t>
      </w:r>
      <w:r w:rsidR="00CB1160">
        <w:rPr>
          <w:sz w:val="24"/>
          <w:szCs w:val="24"/>
        </w:rPr>
        <w:t xml:space="preserve"> (Table </w:t>
      </w:r>
      <w:r w:rsidR="00F6484B">
        <w:rPr>
          <w:sz w:val="24"/>
          <w:szCs w:val="24"/>
        </w:rPr>
        <w:t>1</w:t>
      </w:r>
      <w:r w:rsidR="00CB1160">
        <w:rPr>
          <w:sz w:val="24"/>
          <w:szCs w:val="24"/>
        </w:rPr>
        <w:t>)</w:t>
      </w:r>
      <w:r w:rsidR="008C6A37">
        <w:rPr>
          <w:sz w:val="24"/>
          <w:szCs w:val="24"/>
        </w:rPr>
        <w:t>.</w:t>
      </w:r>
      <w:r w:rsidR="008A29C7">
        <w:rPr>
          <w:sz w:val="24"/>
          <w:szCs w:val="24"/>
        </w:rPr>
        <w:t xml:space="preserve"> </w:t>
      </w:r>
    </w:p>
    <w:p w14:paraId="2F400E8E" w14:textId="1C01862C" w:rsidR="00630A6B" w:rsidRPr="005110B6" w:rsidRDefault="00BB3FB0" w:rsidP="00611F8C">
      <w:pPr>
        <w:spacing w:line="480" w:lineRule="auto"/>
        <w:ind w:firstLine="720"/>
        <w:rPr>
          <w:rFonts w:eastAsiaTheme="minorEastAsia"/>
          <w:sz w:val="24"/>
          <w:szCs w:val="24"/>
        </w:rPr>
      </w:pPr>
      <w:r>
        <w:rPr>
          <w:sz w:val="24"/>
          <w:szCs w:val="24"/>
        </w:rPr>
        <w:t>Mitochondrial haplotypes were characterized for the four samples and the results reveal the presence of H2a2a1</w:t>
      </w:r>
      <w:r w:rsidR="00A55F5F">
        <w:rPr>
          <w:sz w:val="24"/>
          <w:szCs w:val="24"/>
        </w:rPr>
        <w:t xml:space="preserve"> </w:t>
      </w:r>
      <w:r w:rsidR="00385DA8">
        <w:rPr>
          <w:sz w:val="24"/>
          <w:szCs w:val="24"/>
        </w:rPr>
        <w:t xml:space="preserve">in all samples </w:t>
      </w:r>
      <w:r w:rsidR="00A55F5F">
        <w:rPr>
          <w:sz w:val="24"/>
          <w:szCs w:val="24"/>
        </w:rPr>
        <w:t xml:space="preserve">but this finding is due </w:t>
      </w:r>
      <w:r w:rsidR="00385DA8">
        <w:rPr>
          <w:sz w:val="24"/>
          <w:szCs w:val="24"/>
        </w:rPr>
        <w:t xml:space="preserve">to </w:t>
      </w:r>
      <w:r w:rsidR="00A55F5F">
        <w:rPr>
          <w:sz w:val="24"/>
          <w:szCs w:val="24"/>
        </w:rPr>
        <w:t xml:space="preserve">the few </w:t>
      </w:r>
      <w:r w:rsidR="00385DA8">
        <w:rPr>
          <w:sz w:val="24"/>
          <w:szCs w:val="24"/>
        </w:rPr>
        <w:t>numbers</w:t>
      </w:r>
      <w:r w:rsidR="00A55F5F">
        <w:rPr>
          <w:sz w:val="24"/>
          <w:szCs w:val="24"/>
        </w:rPr>
        <w:t xml:space="preserve"> of reads mapping to the rCRS reference (Table 1</w:t>
      </w:r>
      <w:r w:rsidR="00A55F5F">
        <w:rPr>
          <w:rFonts w:eastAsiaTheme="minorEastAsia"/>
          <w:sz w:val="24"/>
          <w:szCs w:val="24"/>
        </w:rPr>
        <w:t>). The H2a2a1 is the default haplotype given when there is a lack of complete information</w:t>
      </w:r>
      <w:r w:rsidR="00A16C60">
        <w:rPr>
          <w:rFonts w:eastAsiaTheme="minorEastAsia"/>
          <w:sz w:val="24"/>
          <w:szCs w:val="24"/>
        </w:rPr>
        <w:t>.</w:t>
      </w:r>
      <w:r w:rsidR="008A29C7">
        <w:rPr>
          <w:rFonts w:eastAsiaTheme="minorEastAsia"/>
          <w:sz w:val="24"/>
          <w:szCs w:val="24"/>
        </w:rPr>
        <w:t xml:space="preserve"> </w:t>
      </w:r>
      <w:r w:rsidR="00A55F5F">
        <w:rPr>
          <w:rFonts w:eastAsiaTheme="minorEastAsia"/>
          <w:sz w:val="24"/>
          <w:szCs w:val="24"/>
        </w:rPr>
        <w:t xml:space="preserve">For this reason, no downstream analyses estimating the ancestry of the Teotihuacan samples were made. </w:t>
      </w:r>
    </w:p>
    <w:p w14:paraId="114D2E14" w14:textId="04971D2B" w:rsidR="006F1834" w:rsidRPr="00C21A2F" w:rsidRDefault="00012144" w:rsidP="00C21A2F">
      <w:pPr>
        <w:pStyle w:val="Heading2"/>
        <w:rPr>
          <w:rFonts w:ascii="Times New Roman" w:hAnsi="Times New Roman" w:cs="Times New Roman"/>
          <w:i/>
          <w:color w:val="auto"/>
          <w:sz w:val="24"/>
          <w:szCs w:val="24"/>
        </w:rPr>
      </w:pPr>
      <w:bookmarkStart w:id="29" w:name="_Toc8404640"/>
      <w:r>
        <w:rPr>
          <w:rFonts w:ascii="Times New Roman" w:hAnsi="Times New Roman" w:cs="Times New Roman"/>
          <w:i/>
          <w:color w:val="auto"/>
          <w:sz w:val="24"/>
          <w:szCs w:val="24"/>
        </w:rPr>
        <w:t xml:space="preserve">Human </w:t>
      </w:r>
      <w:r w:rsidR="006F1834" w:rsidRPr="00C21A2F">
        <w:rPr>
          <w:rFonts w:ascii="Times New Roman" w:hAnsi="Times New Roman" w:cs="Times New Roman"/>
          <w:i/>
          <w:color w:val="auto"/>
          <w:sz w:val="24"/>
          <w:szCs w:val="24"/>
        </w:rPr>
        <w:t>Damage Patterns</w:t>
      </w:r>
      <w:r w:rsidR="0081470C">
        <w:rPr>
          <w:rFonts w:ascii="Times New Roman" w:hAnsi="Times New Roman" w:cs="Times New Roman"/>
          <w:i/>
          <w:color w:val="auto"/>
          <w:sz w:val="24"/>
          <w:szCs w:val="24"/>
        </w:rPr>
        <w:t xml:space="preserve"> and Fragment Lengths</w:t>
      </w:r>
      <w:bookmarkEnd w:id="29"/>
      <w:r w:rsidR="0081470C">
        <w:rPr>
          <w:rFonts w:ascii="Times New Roman" w:hAnsi="Times New Roman" w:cs="Times New Roman"/>
          <w:i/>
          <w:color w:val="auto"/>
          <w:sz w:val="24"/>
          <w:szCs w:val="24"/>
        </w:rPr>
        <w:t xml:space="preserve"> </w:t>
      </w:r>
      <w:r w:rsidR="006F1834" w:rsidRPr="00C21A2F">
        <w:rPr>
          <w:rFonts w:ascii="Times New Roman" w:hAnsi="Times New Roman" w:cs="Times New Roman"/>
          <w:i/>
          <w:color w:val="auto"/>
          <w:sz w:val="24"/>
          <w:szCs w:val="24"/>
        </w:rPr>
        <w:t xml:space="preserve"> </w:t>
      </w:r>
    </w:p>
    <w:p w14:paraId="1B9692FC" w14:textId="06B1FFF2" w:rsidR="003F31AA" w:rsidRDefault="00012144" w:rsidP="003F31AA">
      <w:pPr>
        <w:spacing w:line="480" w:lineRule="auto"/>
        <w:ind w:firstLine="720"/>
        <w:rPr>
          <w:sz w:val="24"/>
          <w:szCs w:val="24"/>
        </w:rPr>
      </w:pPr>
      <w:r>
        <w:rPr>
          <w:sz w:val="24"/>
          <w:szCs w:val="24"/>
        </w:rPr>
        <w:t xml:space="preserve">Analysis-ready reads that mapped to the human genome for the PPCC sample visually show damage, whereas the PPL samples do not (Figure </w:t>
      </w:r>
      <w:r w:rsidR="003F31AA">
        <w:rPr>
          <w:sz w:val="24"/>
          <w:szCs w:val="24"/>
        </w:rPr>
        <w:t xml:space="preserve">16). </w:t>
      </w:r>
      <w:r w:rsidR="00A16C60">
        <w:rPr>
          <w:sz w:val="24"/>
          <w:szCs w:val="24"/>
        </w:rPr>
        <w:t xml:space="preserve">This pattern suggests </w:t>
      </w:r>
      <w:r w:rsidR="0080143D">
        <w:rPr>
          <w:sz w:val="24"/>
          <w:szCs w:val="24"/>
        </w:rPr>
        <w:t>that the</w:t>
      </w:r>
      <w:r w:rsidR="003F31AA">
        <w:rPr>
          <w:sz w:val="24"/>
          <w:szCs w:val="24"/>
        </w:rPr>
        <w:t xml:space="preserve"> human DNA content in the PPL samples</w:t>
      </w:r>
      <w:r w:rsidR="0080143D">
        <w:rPr>
          <w:sz w:val="24"/>
          <w:szCs w:val="24"/>
        </w:rPr>
        <w:t xml:space="preserve"> are modern contaminants</w:t>
      </w:r>
      <w:r w:rsidR="003F31AA">
        <w:rPr>
          <w:sz w:val="24"/>
          <w:szCs w:val="24"/>
        </w:rPr>
        <w:t xml:space="preserve">. </w:t>
      </w:r>
    </w:p>
    <w:p w14:paraId="08888514" w14:textId="5322FD25" w:rsidR="005D4F5E" w:rsidRDefault="00DE6C97" w:rsidP="003F31AA">
      <w:pPr>
        <w:spacing w:line="480" w:lineRule="auto"/>
        <w:ind w:firstLine="720"/>
        <w:rPr>
          <w:sz w:val="24"/>
          <w:szCs w:val="24"/>
        </w:rPr>
      </w:pPr>
      <w:r>
        <w:rPr>
          <w:sz w:val="24"/>
          <w:szCs w:val="24"/>
        </w:rPr>
        <w:t xml:space="preserve">The human fragment </w:t>
      </w:r>
      <w:r w:rsidR="0081470C">
        <w:rPr>
          <w:sz w:val="24"/>
          <w:szCs w:val="24"/>
        </w:rPr>
        <w:t>length distributions for the</w:t>
      </w:r>
      <w:r w:rsidR="00686F47">
        <w:rPr>
          <w:sz w:val="24"/>
          <w:szCs w:val="24"/>
        </w:rPr>
        <w:t xml:space="preserve"> four Teotihuacan samples </w:t>
      </w:r>
      <w:r w:rsidR="007E0303">
        <w:rPr>
          <w:sz w:val="24"/>
          <w:szCs w:val="24"/>
        </w:rPr>
        <w:t>were</w:t>
      </w:r>
      <w:r>
        <w:rPr>
          <w:sz w:val="24"/>
          <w:szCs w:val="24"/>
        </w:rPr>
        <w:t xml:space="preserve"> consistent with</w:t>
      </w:r>
      <w:r w:rsidR="007E0303">
        <w:rPr>
          <w:sz w:val="24"/>
          <w:szCs w:val="24"/>
        </w:rPr>
        <w:t xml:space="preserve"> the microbial fragment length distributions </w:t>
      </w:r>
      <w:r w:rsidR="00686F47">
        <w:rPr>
          <w:sz w:val="24"/>
          <w:szCs w:val="24"/>
        </w:rPr>
        <w:t>(Figure 17).</w:t>
      </w:r>
      <w:r w:rsidR="007E0303">
        <w:rPr>
          <w:sz w:val="24"/>
          <w:szCs w:val="24"/>
        </w:rPr>
        <w:t xml:space="preserve"> The median for the human PPCC fragment length distribution (55 bp) was shorter than the medians for </w:t>
      </w:r>
      <w:r w:rsidR="007E0303">
        <w:rPr>
          <w:i/>
          <w:sz w:val="24"/>
          <w:szCs w:val="24"/>
        </w:rPr>
        <w:t xml:space="preserve">M. oralis </w:t>
      </w:r>
      <w:r w:rsidR="007E0303">
        <w:rPr>
          <w:sz w:val="24"/>
          <w:szCs w:val="24"/>
        </w:rPr>
        <w:t xml:space="preserve">(93 bp) and </w:t>
      </w:r>
      <w:r w:rsidR="007E0303">
        <w:rPr>
          <w:i/>
          <w:sz w:val="24"/>
          <w:szCs w:val="24"/>
        </w:rPr>
        <w:t xml:space="preserve">S. anginosus </w:t>
      </w:r>
      <w:r w:rsidR="007E0303">
        <w:rPr>
          <w:sz w:val="24"/>
          <w:szCs w:val="24"/>
        </w:rPr>
        <w:t xml:space="preserve">(72 bp). This was not the case for the PPL samples. The median for the </w:t>
      </w:r>
      <w:r w:rsidR="007E0303">
        <w:rPr>
          <w:sz w:val="24"/>
          <w:szCs w:val="24"/>
        </w:rPr>
        <w:lastRenderedPageBreak/>
        <w:t xml:space="preserve">human PPL 5A </w:t>
      </w:r>
      <w:r w:rsidR="005D4F5E">
        <w:rPr>
          <w:sz w:val="24"/>
          <w:szCs w:val="24"/>
        </w:rPr>
        <w:t xml:space="preserve">fragment length distribution (79 bp), PPL 5B (64 bp), and PPL 5C (73 bp) were longer than their respective median fragment length distributions for </w:t>
      </w:r>
      <w:r w:rsidR="005D4F5E">
        <w:rPr>
          <w:i/>
          <w:sz w:val="24"/>
          <w:szCs w:val="24"/>
        </w:rPr>
        <w:t xml:space="preserve">M. oralis </w:t>
      </w:r>
      <w:r w:rsidR="005D4F5E">
        <w:rPr>
          <w:sz w:val="24"/>
          <w:szCs w:val="24"/>
        </w:rPr>
        <w:t xml:space="preserve">and </w:t>
      </w:r>
      <w:r w:rsidR="005D4F5E">
        <w:rPr>
          <w:i/>
          <w:sz w:val="24"/>
          <w:szCs w:val="24"/>
        </w:rPr>
        <w:t>S. anginosus</w:t>
      </w:r>
      <w:r w:rsidR="005D4F5E">
        <w:rPr>
          <w:sz w:val="24"/>
          <w:szCs w:val="24"/>
        </w:rPr>
        <w:t xml:space="preserve">. </w:t>
      </w:r>
    </w:p>
    <w:p w14:paraId="3FE0BD5F" w14:textId="360C14D8" w:rsidR="003F31AA" w:rsidRPr="00B556BE" w:rsidRDefault="00686F47" w:rsidP="003F31AA">
      <w:pPr>
        <w:spacing w:line="480" w:lineRule="auto"/>
        <w:ind w:firstLine="720"/>
        <w:rPr>
          <w:sz w:val="24"/>
          <w:szCs w:val="24"/>
        </w:rPr>
      </w:pPr>
      <w:r>
        <w:rPr>
          <w:sz w:val="24"/>
          <w:szCs w:val="24"/>
        </w:rPr>
        <w:t xml:space="preserve"> </w:t>
      </w:r>
    </w:p>
    <w:p w14:paraId="08CAC1A0" w14:textId="4875BF83" w:rsidR="00534139" w:rsidRPr="00144355" w:rsidRDefault="00534139" w:rsidP="005E7B0F">
      <w:pPr>
        <w:rPr>
          <w:sz w:val="24"/>
          <w:szCs w:val="24"/>
        </w:rPr>
      </w:pPr>
      <w:r>
        <w:rPr>
          <w:sz w:val="24"/>
          <w:szCs w:val="24"/>
        </w:rPr>
        <w:br w:type="page"/>
      </w:r>
      <w:r w:rsidRPr="00AE5E73">
        <w:rPr>
          <w:rFonts w:eastAsia="Times New Roman"/>
          <w:b/>
          <w:bCs/>
          <w:color w:val="000000"/>
          <w:sz w:val="24"/>
          <w:szCs w:val="24"/>
        </w:rPr>
        <w:lastRenderedPageBreak/>
        <w:t xml:space="preserve">Table 1. </w:t>
      </w:r>
      <w:r>
        <w:rPr>
          <w:rFonts w:eastAsia="Times New Roman"/>
          <w:b/>
          <w:bCs/>
          <w:color w:val="000000"/>
          <w:sz w:val="24"/>
          <w:szCs w:val="24"/>
        </w:rPr>
        <w:t>Summary of reads</w:t>
      </w:r>
    </w:p>
    <w:p w14:paraId="7D318228" w14:textId="77777777" w:rsidR="009E72BD" w:rsidRDefault="009E72BD" w:rsidP="00144355">
      <w:pPr>
        <w:spacing w:line="480" w:lineRule="auto"/>
        <w:rPr>
          <w:rFonts w:eastAsia="Times New Roman"/>
          <w:b/>
          <w:bCs/>
          <w:color w:val="000000"/>
          <w:sz w:val="24"/>
          <w:szCs w:val="24"/>
        </w:rPr>
      </w:pPr>
    </w:p>
    <w:p w14:paraId="164F3C11" w14:textId="77777777" w:rsidR="009E72BD" w:rsidRDefault="009E72BD" w:rsidP="00144355">
      <w:pPr>
        <w:spacing w:line="480" w:lineRule="auto"/>
        <w:rPr>
          <w:rFonts w:eastAsia="Times New Roman"/>
          <w:b/>
          <w:bCs/>
          <w:color w:val="000000"/>
          <w:sz w:val="24"/>
          <w:szCs w:val="24"/>
        </w:rPr>
      </w:pPr>
    </w:p>
    <w:p w14:paraId="7EE1656B" w14:textId="04FF32D3" w:rsidR="009E72BD" w:rsidRDefault="009E72BD" w:rsidP="00144355">
      <w:pPr>
        <w:spacing w:line="480" w:lineRule="auto"/>
        <w:rPr>
          <w:rFonts w:eastAsia="Times New Roman"/>
          <w:b/>
          <w:bCs/>
          <w:color w:val="000000"/>
          <w:sz w:val="24"/>
          <w:szCs w:val="24"/>
        </w:rPr>
      </w:pPr>
    </w:p>
    <w:p w14:paraId="4D4D85CB" w14:textId="32129EFA" w:rsidR="005B29E2" w:rsidRDefault="005B29E2" w:rsidP="00144355">
      <w:pPr>
        <w:spacing w:line="480" w:lineRule="auto"/>
        <w:rPr>
          <w:rFonts w:eastAsia="Times New Roman"/>
          <w:b/>
          <w:bCs/>
          <w:color w:val="000000"/>
          <w:sz w:val="24"/>
          <w:szCs w:val="24"/>
        </w:rPr>
      </w:pPr>
    </w:p>
    <w:p w14:paraId="0F69BBAF" w14:textId="77777777" w:rsidR="005B29E2" w:rsidRDefault="005B29E2" w:rsidP="00144355">
      <w:pPr>
        <w:spacing w:line="480" w:lineRule="auto"/>
        <w:rPr>
          <w:rFonts w:eastAsia="Times New Roman"/>
          <w:b/>
          <w:bCs/>
          <w:color w:val="000000"/>
          <w:sz w:val="24"/>
          <w:szCs w:val="24"/>
        </w:rPr>
      </w:pPr>
    </w:p>
    <w:p w14:paraId="22BDDC35" w14:textId="77777777" w:rsidR="009E72BD" w:rsidRDefault="009E72BD" w:rsidP="00144355">
      <w:pPr>
        <w:spacing w:line="480" w:lineRule="auto"/>
        <w:rPr>
          <w:rFonts w:eastAsia="Times New Roman"/>
          <w:b/>
          <w:bCs/>
          <w:color w:val="000000"/>
          <w:sz w:val="24"/>
          <w:szCs w:val="24"/>
        </w:rPr>
      </w:pPr>
    </w:p>
    <w:p w14:paraId="1AAEAE64" w14:textId="77777777" w:rsidR="009E72BD" w:rsidRDefault="009E72BD" w:rsidP="00144355">
      <w:pPr>
        <w:spacing w:line="480" w:lineRule="auto"/>
        <w:rPr>
          <w:rFonts w:eastAsia="Times New Roman"/>
          <w:b/>
          <w:bCs/>
          <w:color w:val="000000"/>
          <w:sz w:val="24"/>
          <w:szCs w:val="24"/>
        </w:rPr>
      </w:pPr>
    </w:p>
    <w:p w14:paraId="4C0D3ECB" w14:textId="77777777" w:rsidR="009E72BD" w:rsidRDefault="009E72BD" w:rsidP="00144355">
      <w:pPr>
        <w:spacing w:line="480" w:lineRule="auto"/>
        <w:rPr>
          <w:rFonts w:eastAsia="Times New Roman"/>
          <w:b/>
          <w:bCs/>
          <w:color w:val="000000"/>
          <w:sz w:val="24"/>
          <w:szCs w:val="24"/>
        </w:rPr>
      </w:pPr>
    </w:p>
    <w:p w14:paraId="47DF6EBF" w14:textId="1735E500" w:rsidR="00292CB6" w:rsidRPr="00144355" w:rsidRDefault="00292CB6" w:rsidP="00144355">
      <w:pPr>
        <w:spacing w:line="480" w:lineRule="auto"/>
        <w:rPr>
          <w:sz w:val="24"/>
          <w:szCs w:val="24"/>
        </w:rPr>
      </w:pPr>
    </w:p>
    <w:tbl>
      <w:tblPr>
        <w:tblpPr w:leftFromText="180" w:rightFromText="180" w:vertAnchor="page" w:horzAnchor="margin" w:tblpY="1837"/>
        <w:tblW w:w="7825" w:type="dxa"/>
        <w:tblLook w:val="04A0" w:firstRow="1" w:lastRow="0" w:firstColumn="1" w:lastColumn="0" w:noHBand="0" w:noVBand="1"/>
      </w:tblPr>
      <w:tblGrid>
        <w:gridCol w:w="1114"/>
        <w:gridCol w:w="978"/>
        <w:gridCol w:w="936"/>
        <w:gridCol w:w="714"/>
        <w:gridCol w:w="912"/>
        <w:gridCol w:w="1080"/>
        <w:gridCol w:w="1189"/>
        <w:gridCol w:w="902"/>
      </w:tblGrid>
      <w:tr w:rsidR="00B232FB" w:rsidRPr="00672ABF" w14:paraId="0D3F2CA3" w14:textId="77777777" w:rsidTr="00C07064">
        <w:trPr>
          <w:trHeight w:val="975"/>
        </w:trPr>
        <w:tc>
          <w:tcPr>
            <w:tcW w:w="1114"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87B97E1" w14:textId="046AD3C9"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Sample</w:t>
            </w:r>
          </w:p>
        </w:tc>
        <w:tc>
          <w:tcPr>
            <w:tcW w:w="978" w:type="dxa"/>
            <w:tcBorders>
              <w:top w:val="single" w:sz="4" w:space="0" w:color="auto"/>
              <w:left w:val="nil"/>
              <w:bottom w:val="single" w:sz="4" w:space="0" w:color="auto"/>
              <w:right w:val="single" w:sz="4" w:space="0" w:color="auto"/>
            </w:tcBorders>
            <w:shd w:val="clear" w:color="000000" w:fill="AEAAAA"/>
            <w:noWrap/>
            <w:vAlign w:val="center"/>
            <w:hideMark/>
          </w:tcPr>
          <w:p w14:paraId="687E86CD" w14:textId="17DCCAAC"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Total Reads</w:t>
            </w:r>
          </w:p>
        </w:tc>
        <w:tc>
          <w:tcPr>
            <w:tcW w:w="936" w:type="dxa"/>
            <w:tcBorders>
              <w:top w:val="single" w:sz="4" w:space="0" w:color="auto"/>
              <w:left w:val="nil"/>
              <w:bottom w:val="single" w:sz="4" w:space="0" w:color="auto"/>
              <w:right w:val="single" w:sz="4" w:space="0" w:color="auto"/>
            </w:tcBorders>
            <w:shd w:val="clear" w:color="000000" w:fill="AEAAAA"/>
            <w:vAlign w:val="center"/>
            <w:hideMark/>
          </w:tcPr>
          <w:p w14:paraId="59064E2C" w14:textId="0C57F118"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Analysis-ready reads</w:t>
            </w:r>
          </w:p>
        </w:tc>
        <w:tc>
          <w:tcPr>
            <w:tcW w:w="714" w:type="dxa"/>
            <w:tcBorders>
              <w:top w:val="single" w:sz="4" w:space="0" w:color="auto"/>
              <w:left w:val="single" w:sz="4" w:space="0" w:color="auto"/>
              <w:bottom w:val="single" w:sz="4" w:space="0" w:color="auto"/>
              <w:right w:val="single" w:sz="4" w:space="0" w:color="auto"/>
            </w:tcBorders>
            <w:shd w:val="clear" w:color="000000" w:fill="AEAAAA"/>
            <w:vAlign w:val="center"/>
          </w:tcPr>
          <w:p w14:paraId="15CAA176" w14:textId="2B50C485" w:rsidR="00B232FB" w:rsidRPr="00727FC8" w:rsidRDefault="00B232FB" w:rsidP="00B232FB">
            <w:pPr>
              <w:spacing w:after="0" w:line="240" w:lineRule="auto"/>
              <w:jc w:val="center"/>
              <w:rPr>
                <w:rFonts w:eastAsia="Times New Roman"/>
                <w:b/>
                <w:bCs/>
                <w:color w:val="000000"/>
                <w:sz w:val="16"/>
                <w:szCs w:val="16"/>
              </w:rPr>
            </w:pPr>
            <w:r>
              <w:rPr>
                <w:rFonts w:eastAsia="Times New Roman"/>
                <w:b/>
                <w:bCs/>
                <w:color w:val="000000"/>
                <w:sz w:val="16"/>
                <w:szCs w:val="16"/>
              </w:rPr>
              <w:t>Unique</w:t>
            </w:r>
            <w:r w:rsidRPr="00727FC8">
              <w:rPr>
                <w:rFonts w:eastAsia="Times New Roman"/>
                <w:b/>
                <w:bCs/>
                <w:color w:val="000000"/>
                <w:sz w:val="16"/>
                <w:szCs w:val="16"/>
              </w:rPr>
              <w:t xml:space="preserve"> rCRS</w:t>
            </w:r>
            <w:r>
              <w:rPr>
                <w:rFonts w:eastAsia="Times New Roman"/>
                <w:b/>
                <w:bCs/>
                <w:color w:val="000000"/>
                <w:sz w:val="16"/>
                <w:szCs w:val="16"/>
              </w:rPr>
              <w:t xml:space="preserve"> Reads</w:t>
            </w:r>
          </w:p>
        </w:tc>
        <w:tc>
          <w:tcPr>
            <w:tcW w:w="9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19A0F2AD" w14:textId="627F1400" w:rsidR="00B232FB" w:rsidRPr="00727FC8" w:rsidRDefault="00B232FB" w:rsidP="00B232FB">
            <w:pPr>
              <w:spacing w:after="0" w:line="240" w:lineRule="auto"/>
              <w:jc w:val="center"/>
              <w:rPr>
                <w:rFonts w:eastAsia="Times New Roman"/>
                <w:b/>
                <w:bCs/>
                <w:color w:val="000000"/>
                <w:sz w:val="16"/>
                <w:szCs w:val="16"/>
              </w:rPr>
            </w:pPr>
            <w:r>
              <w:rPr>
                <w:rFonts w:eastAsia="Times New Roman"/>
                <w:b/>
                <w:bCs/>
                <w:color w:val="000000"/>
                <w:sz w:val="16"/>
                <w:szCs w:val="16"/>
              </w:rPr>
              <w:t>Unique</w:t>
            </w:r>
            <w:r w:rsidRPr="00727FC8">
              <w:rPr>
                <w:rFonts w:eastAsia="Times New Roman"/>
                <w:b/>
                <w:bCs/>
                <w:color w:val="000000"/>
                <w:sz w:val="16"/>
                <w:szCs w:val="16"/>
              </w:rPr>
              <w:t xml:space="preserve"> hg</w:t>
            </w:r>
            <w:r>
              <w:rPr>
                <w:rFonts w:eastAsia="Times New Roman"/>
                <w:b/>
                <w:bCs/>
                <w:color w:val="000000"/>
                <w:sz w:val="16"/>
                <w:szCs w:val="16"/>
              </w:rPr>
              <w:t xml:space="preserve"> 1</w:t>
            </w:r>
            <w:r w:rsidRPr="00727FC8">
              <w:rPr>
                <w:rFonts w:eastAsia="Times New Roman"/>
                <w:b/>
                <w:bCs/>
                <w:color w:val="000000"/>
                <w:sz w:val="16"/>
                <w:szCs w:val="16"/>
              </w:rPr>
              <w:t>9</w:t>
            </w:r>
            <w:r>
              <w:rPr>
                <w:rFonts w:eastAsia="Times New Roman"/>
                <w:b/>
                <w:bCs/>
                <w:color w:val="000000"/>
                <w:sz w:val="16"/>
                <w:szCs w:val="16"/>
              </w:rPr>
              <w:t xml:space="preserve"> Reads</w:t>
            </w:r>
          </w:p>
        </w:tc>
        <w:tc>
          <w:tcPr>
            <w:tcW w:w="1080" w:type="dxa"/>
            <w:tcBorders>
              <w:top w:val="single" w:sz="4" w:space="0" w:color="auto"/>
              <w:left w:val="nil"/>
              <w:bottom w:val="single" w:sz="4" w:space="0" w:color="auto"/>
              <w:right w:val="single" w:sz="4" w:space="0" w:color="auto"/>
            </w:tcBorders>
            <w:shd w:val="clear" w:color="000000" w:fill="AEAAAA"/>
            <w:vAlign w:val="center"/>
            <w:hideMark/>
          </w:tcPr>
          <w:p w14:paraId="4E8AA346" w14:textId="77777777"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 xml:space="preserve">Unique </w:t>
            </w:r>
            <w:r w:rsidRPr="00727FC8">
              <w:rPr>
                <w:rFonts w:eastAsia="Times New Roman"/>
                <w:b/>
                <w:bCs/>
                <w:color w:val="000000"/>
                <w:sz w:val="16"/>
                <w:szCs w:val="16"/>
              </w:rPr>
              <w:br/>
              <w:t>M. oralis Reads</w:t>
            </w:r>
          </w:p>
        </w:tc>
        <w:tc>
          <w:tcPr>
            <w:tcW w:w="1189" w:type="dxa"/>
            <w:tcBorders>
              <w:top w:val="single" w:sz="4" w:space="0" w:color="auto"/>
              <w:left w:val="nil"/>
              <w:bottom w:val="single" w:sz="4" w:space="0" w:color="auto"/>
              <w:right w:val="single" w:sz="4" w:space="0" w:color="auto"/>
            </w:tcBorders>
            <w:shd w:val="clear" w:color="000000" w:fill="AEAAAA"/>
            <w:vAlign w:val="center"/>
          </w:tcPr>
          <w:p w14:paraId="657E38FD" w14:textId="05EFED00"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 xml:space="preserve">Unique </w:t>
            </w:r>
            <w:r w:rsidRPr="00727FC8">
              <w:rPr>
                <w:rFonts w:eastAsia="Times New Roman"/>
                <w:b/>
                <w:bCs/>
                <w:color w:val="000000"/>
                <w:sz w:val="16"/>
                <w:szCs w:val="16"/>
              </w:rPr>
              <w:br/>
            </w:r>
            <w:r>
              <w:rPr>
                <w:rFonts w:eastAsia="Times New Roman"/>
                <w:b/>
                <w:bCs/>
                <w:color w:val="000000"/>
                <w:sz w:val="16"/>
                <w:szCs w:val="16"/>
              </w:rPr>
              <w:t>S. anginosus Reads</w:t>
            </w:r>
          </w:p>
        </w:tc>
        <w:tc>
          <w:tcPr>
            <w:tcW w:w="90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37A698C2" w14:textId="5BC9BDAB" w:rsidR="00B232FB" w:rsidRPr="00727FC8" w:rsidRDefault="00B232FB" w:rsidP="00B232FB">
            <w:pPr>
              <w:spacing w:after="0" w:line="240" w:lineRule="auto"/>
              <w:jc w:val="center"/>
              <w:rPr>
                <w:rFonts w:eastAsia="Times New Roman"/>
                <w:b/>
                <w:bCs/>
                <w:color w:val="000000"/>
                <w:sz w:val="16"/>
                <w:szCs w:val="16"/>
              </w:rPr>
            </w:pPr>
            <w:r w:rsidRPr="00727FC8">
              <w:rPr>
                <w:rFonts w:eastAsia="Times New Roman"/>
                <w:b/>
                <w:bCs/>
                <w:color w:val="000000"/>
                <w:sz w:val="16"/>
                <w:szCs w:val="16"/>
              </w:rPr>
              <w:t xml:space="preserve">Unique </w:t>
            </w:r>
            <w:r w:rsidRPr="00727FC8">
              <w:rPr>
                <w:rFonts w:eastAsia="Times New Roman"/>
                <w:b/>
                <w:bCs/>
                <w:color w:val="000000"/>
                <w:sz w:val="16"/>
                <w:szCs w:val="16"/>
              </w:rPr>
              <w:br/>
              <w:t>C. acnes Reads</w:t>
            </w:r>
          </w:p>
        </w:tc>
      </w:tr>
      <w:tr w:rsidR="00B232FB" w:rsidRPr="00672ABF" w14:paraId="437CCD6E" w14:textId="77777777" w:rsidTr="00C07064">
        <w:trPr>
          <w:trHeight w:val="325"/>
        </w:trPr>
        <w:tc>
          <w:tcPr>
            <w:tcW w:w="1114" w:type="dxa"/>
            <w:tcBorders>
              <w:top w:val="nil"/>
              <w:left w:val="single" w:sz="4" w:space="0" w:color="auto"/>
              <w:bottom w:val="single" w:sz="4" w:space="0" w:color="auto"/>
              <w:right w:val="single" w:sz="4" w:space="0" w:color="auto"/>
            </w:tcBorders>
            <w:shd w:val="clear" w:color="000000" w:fill="D0CECE"/>
            <w:noWrap/>
            <w:vAlign w:val="bottom"/>
            <w:hideMark/>
          </w:tcPr>
          <w:p w14:paraId="4BA01ABE"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PPCC</w:t>
            </w:r>
          </w:p>
        </w:tc>
        <w:tc>
          <w:tcPr>
            <w:tcW w:w="978" w:type="dxa"/>
            <w:tcBorders>
              <w:top w:val="nil"/>
              <w:left w:val="nil"/>
              <w:bottom w:val="single" w:sz="4" w:space="0" w:color="auto"/>
              <w:right w:val="single" w:sz="4" w:space="0" w:color="auto"/>
            </w:tcBorders>
            <w:shd w:val="clear" w:color="000000" w:fill="D0CECE"/>
            <w:noWrap/>
            <w:vAlign w:val="bottom"/>
            <w:hideMark/>
          </w:tcPr>
          <w:p w14:paraId="582EC755"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12,033,608</w:t>
            </w:r>
          </w:p>
        </w:tc>
        <w:tc>
          <w:tcPr>
            <w:tcW w:w="936" w:type="dxa"/>
            <w:tcBorders>
              <w:top w:val="nil"/>
              <w:left w:val="nil"/>
              <w:bottom w:val="single" w:sz="4" w:space="0" w:color="auto"/>
              <w:right w:val="single" w:sz="4" w:space="0" w:color="auto"/>
            </w:tcBorders>
            <w:shd w:val="clear" w:color="000000" w:fill="D0CECE"/>
            <w:noWrap/>
            <w:vAlign w:val="bottom"/>
            <w:hideMark/>
          </w:tcPr>
          <w:p w14:paraId="15A1FFB1"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11,547,192</w:t>
            </w:r>
          </w:p>
        </w:tc>
        <w:tc>
          <w:tcPr>
            <w:tcW w:w="714" w:type="dxa"/>
            <w:tcBorders>
              <w:top w:val="single" w:sz="4" w:space="0" w:color="auto"/>
              <w:left w:val="single" w:sz="4" w:space="0" w:color="auto"/>
              <w:bottom w:val="single" w:sz="4" w:space="0" w:color="auto"/>
              <w:right w:val="single" w:sz="4" w:space="0" w:color="auto"/>
            </w:tcBorders>
            <w:shd w:val="clear" w:color="000000" w:fill="D0CECE"/>
            <w:vAlign w:val="bottom"/>
          </w:tcPr>
          <w:p w14:paraId="23E1129C" w14:textId="16707194"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2</w:t>
            </w:r>
          </w:p>
        </w:tc>
        <w:tc>
          <w:tcPr>
            <w:tcW w:w="91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C93B54E" w14:textId="3C29C5EE"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1,593</w:t>
            </w:r>
          </w:p>
        </w:tc>
        <w:tc>
          <w:tcPr>
            <w:tcW w:w="1080" w:type="dxa"/>
            <w:tcBorders>
              <w:top w:val="nil"/>
              <w:left w:val="nil"/>
              <w:bottom w:val="single" w:sz="4" w:space="0" w:color="auto"/>
              <w:right w:val="single" w:sz="4" w:space="0" w:color="auto"/>
            </w:tcBorders>
            <w:shd w:val="clear" w:color="000000" w:fill="D0CECE"/>
            <w:noWrap/>
            <w:vAlign w:val="bottom"/>
            <w:hideMark/>
          </w:tcPr>
          <w:p w14:paraId="199F3885" w14:textId="48AD9934" w:rsidR="00B232FB" w:rsidRPr="00727FC8" w:rsidRDefault="00005CCD" w:rsidP="00005CCD">
            <w:pPr>
              <w:spacing w:after="0" w:line="240" w:lineRule="auto"/>
              <w:jc w:val="center"/>
              <w:rPr>
                <w:rFonts w:eastAsia="Times New Roman"/>
                <w:color w:val="000000"/>
                <w:sz w:val="16"/>
                <w:szCs w:val="16"/>
              </w:rPr>
            </w:pPr>
            <w:r w:rsidRPr="00005CCD">
              <w:rPr>
                <w:rFonts w:eastAsia="Times New Roman"/>
                <w:color w:val="000000"/>
                <w:sz w:val="16"/>
                <w:szCs w:val="16"/>
              </w:rPr>
              <w:t>1,064,306</w:t>
            </w:r>
          </w:p>
        </w:tc>
        <w:tc>
          <w:tcPr>
            <w:tcW w:w="1189" w:type="dxa"/>
            <w:tcBorders>
              <w:top w:val="single" w:sz="4" w:space="0" w:color="auto"/>
              <w:left w:val="nil"/>
              <w:bottom w:val="single" w:sz="4" w:space="0" w:color="auto"/>
              <w:right w:val="single" w:sz="4" w:space="0" w:color="auto"/>
            </w:tcBorders>
            <w:shd w:val="clear" w:color="000000" w:fill="D0CECE"/>
            <w:vAlign w:val="bottom"/>
          </w:tcPr>
          <w:p w14:paraId="2E1539E1" w14:textId="145FB8E4"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44,689</w:t>
            </w:r>
          </w:p>
        </w:tc>
        <w:tc>
          <w:tcPr>
            <w:tcW w:w="90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C480F3A" w14:textId="365D2305"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1,318</w:t>
            </w:r>
          </w:p>
        </w:tc>
      </w:tr>
      <w:tr w:rsidR="00B232FB" w:rsidRPr="00672ABF" w14:paraId="7129DFDA" w14:textId="77777777" w:rsidTr="00C07064">
        <w:trPr>
          <w:trHeight w:val="325"/>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25E1D8FE" w14:textId="0BA9083D" w:rsidR="00B232FB" w:rsidRPr="00727FC8" w:rsidRDefault="00746AFD" w:rsidP="00B232FB">
            <w:pPr>
              <w:spacing w:after="0" w:line="240" w:lineRule="auto"/>
              <w:jc w:val="center"/>
              <w:rPr>
                <w:rFonts w:eastAsia="Times New Roman"/>
                <w:color w:val="000000"/>
                <w:sz w:val="16"/>
                <w:szCs w:val="16"/>
              </w:rPr>
            </w:pPr>
            <w:r>
              <w:rPr>
                <w:rFonts w:eastAsia="Times New Roman"/>
                <w:color w:val="000000"/>
                <w:sz w:val="16"/>
                <w:szCs w:val="16"/>
              </w:rPr>
              <w:t>PPL 5A</w:t>
            </w:r>
          </w:p>
        </w:tc>
        <w:tc>
          <w:tcPr>
            <w:tcW w:w="978" w:type="dxa"/>
            <w:tcBorders>
              <w:top w:val="nil"/>
              <w:left w:val="nil"/>
              <w:bottom w:val="single" w:sz="4" w:space="0" w:color="auto"/>
              <w:right w:val="single" w:sz="4" w:space="0" w:color="auto"/>
            </w:tcBorders>
            <w:shd w:val="clear" w:color="auto" w:fill="auto"/>
            <w:noWrap/>
            <w:vAlign w:val="bottom"/>
            <w:hideMark/>
          </w:tcPr>
          <w:p w14:paraId="644E4E8E"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10,796,955</w:t>
            </w:r>
          </w:p>
        </w:tc>
        <w:tc>
          <w:tcPr>
            <w:tcW w:w="936" w:type="dxa"/>
            <w:tcBorders>
              <w:top w:val="nil"/>
              <w:left w:val="nil"/>
              <w:bottom w:val="single" w:sz="4" w:space="0" w:color="auto"/>
              <w:right w:val="single" w:sz="4" w:space="0" w:color="auto"/>
            </w:tcBorders>
            <w:shd w:val="clear" w:color="auto" w:fill="auto"/>
            <w:noWrap/>
            <w:vAlign w:val="bottom"/>
            <w:hideMark/>
          </w:tcPr>
          <w:p w14:paraId="2B2885F6"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10,067,178</w:t>
            </w:r>
          </w:p>
        </w:tc>
        <w:tc>
          <w:tcPr>
            <w:tcW w:w="714" w:type="dxa"/>
            <w:tcBorders>
              <w:top w:val="single" w:sz="4" w:space="0" w:color="auto"/>
              <w:left w:val="single" w:sz="4" w:space="0" w:color="auto"/>
              <w:bottom w:val="single" w:sz="4" w:space="0" w:color="auto"/>
              <w:right w:val="single" w:sz="4" w:space="0" w:color="auto"/>
            </w:tcBorders>
            <w:vAlign w:val="bottom"/>
          </w:tcPr>
          <w:p w14:paraId="6575093E" w14:textId="7F782E17"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38</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08011" w14:textId="6658A04B"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59,334</w:t>
            </w:r>
          </w:p>
        </w:tc>
        <w:tc>
          <w:tcPr>
            <w:tcW w:w="1080" w:type="dxa"/>
            <w:tcBorders>
              <w:top w:val="nil"/>
              <w:left w:val="nil"/>
              <w:bottom w:val="single" w:sz="4" w:space="0" w:color="auto"/>
              <w:right w:val="single" w:sz="4" w:space="0" w:color="auto"/>
            </w:tcBorders>
            <w:shd w:val="clear" w:color="auto" w:fill="auto"/>
            <w:noWrap/>
            <w:vAlign w:val="bottom"/>
            <w:hideMark/>
          </w:tcPr>
          <w:p w14:paraId="066DDF46"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612</w:t>
            </w:r>
          </w:p>
        </w:tc>
        <w:tc>
          <w:tcPr>
            <w:tcW w:w="1189" w:type="dxa"/>
            <w:tcBorders>
              <w:top w:val="single" w:sz="4" w:space="0" w:color="auto"/>
              <w:left w:val="nil"/>
              <w:bottom w:val="single" w:sz="4" w:space="0" w:color="auto"/>
              <w:right w:val="single" w:sz="4" w:space="0" w:color="auto"/>
            </w:tcBorders>
            <w:vAlign w:val="bottom"/>
          </w:tcPr>
          <w:p w14:paraId="42D72A05" w14:textId="1071380E"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3,531</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B44C4" w14:textId="7F5A3604"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6,665</w:t>
            </w:r>
          </w:p>
        </w:tc>
      </w:tr>
      <w:tr w:rsidR="00B232FB" w:rsidRPr="00672ABF" w14:paraId="39DA4869" w14:textId="77777777" w:rsidTr="00C07064">
        <w:trPr>
          <w:trHeight w:val="325"/>
        </w:trPr>
        <w:tc>
          <w:tcPr>
            <w:tcW w:w="1114" w:type="dxa"/>
            <w:tcBorders>
              <w:top w:val="nil"/>
              <w:left w:val="single" w:sz="4" w:space="0" w:color="auto"/>
              <w:bottom w:val="single" w:sz="4" w:space="0" w:color="auto"/>
              <w:right w:val="single" w:sz="4" w:space="0" w:color="auto"/>
            </w:tcBorders>
            <w:shd w:val="clear" w:color="000000" w:fill="D0CECE"/>
            <w:noWrap/>
            <w:vAlign w:val="bottom"/>
            <w:hideMark/>
          </w:tcPr>
          <w:p w14:paraId="6E7DA76D" w14:textId="751BDFFC" w:rsidR="00B232FB" w:rsidRPr="00727FC8" w:rsidRDefault="00746AFD" w:rsidP="00B232FB">
            <w:pPr>
              <w:spacing w:after="0" w:line="240" w:lineRule="auto"/>
              <w:jc w:val="center"/>
              <w:rPr>
                <w:rFonts w:eastAsia="Times New Roman"/>
                <w:color w:val="000000"/>
                <w:sz w:val="16"/>
                <w:szCs w:val="16"/>
              </w:rPr>
            </w:pPr>
            <w:r>
              <w:rPr>
                <w:rFonts w:eastAsia="Times New Roman"/>
                <w:color w:val="000000"/>
                <w:sz w:val="16"/>
                <w:szCs w:val="16"/>
              </w:rPr>
              <w:t>PPL 5B</w:t>
            </w:r>
          </w:p>
        </w:tc>
        <w:tc>
          <w:tcPr>
            <w:tcW w:w="978" w:type="dxa"/>
            <w:tcBorders>
              <w:top w:val="nil"/>
              <w:left w:val="nil"/>
              <w:bottom w:val="single" w:sz="4" w:space="0" w:color="auto"/>
              <w:right w:val="single" w:sz="4" w:space="0" w:color="auto"/>
            </w:tcBorders>
            <w:shd w:val="clear" w:color="000000" w:fill="D0CECE"/>
            <w:noWrap/>
            <w:vAlign w:val="bottom"/>
            <w:hideMark/>
          </w:tcPr>
          <w:p w14:paraId="658CFCE7"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13,409,888</w:t>
            </w:r>
          </w:p>
        </w:tc>
        <w:tc>
          <w:tcPr>
            <w:tcW w:w="936" w:type="dxa"/>
            <w:tcBorders>
              <w:top w:val="nil"/>
              <w:left w:val="nil"/>
              <w:bottom w:val="single" w:sz="4" w:space="0" w:color="auto"/>
              <w:right w:val="single" w:sz="4" w:space="0" w:color="auto"/>
            </w:tcBorders>
            <w:shd w:val="clear" w:color="000000" w:fill="D0CECE"/>
            <w:noWrap/>
            <w:vAlign w:val="bottom"/>
            <w:hideMark/>
          </w:tcPr>
          <w:p w14:paraId="6CCF10F1"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11,577,133</w:t>
            </w:r>
          </w:p>
        </w:tc>
        <w:tc>
          <w:tcPr>
            <w:tcW w:w="714" w:type="dxa"/>
            <w:tcBorders>
              <w:top w:val="single" w:sz="4" w:space="0" w:color="auto"/>
              <w:left w:val="single" w:sz="4" w:space="0" w:color="auto"/>
              <w:bottom w:val="single" w:sz="4" w:space="0" w:color="auto"/>
              <w:right w:val="single" w:sz="4" w:space="0" w:color="auto"/>
            </w:tcBorders>
            <w:shd w:val="clear" w:color="000000" w:fill="D0CECE"/>
            <w:vAlign w:val="bottom"/>
          </w:tcPr>
          <w:p w14:paraId="024B871B" w14:textId="257D6BA4"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48</w:t>
            </w:r>
          </w:p>
        </w:tc>
        <w:tc>
          <w:tcPr>
            <w:tcW w:w="91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268AC1D2" w14:textId="5936A896"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32,770</w:t>
            </w:r>
          </w:p>
        </w:tc>
        <w:tc>
          <w:tcPr>
            <w:tcW w:w="1080" w:type="dxa"/>
            <w:tcBorders>
              <w:top w:val="nil"/>
              <w:left w:val="nil"/>
              <w:bottom w:val="single" w:sz="4" w:space="0" w:color="auto"/>
              <w:right w:val="single" w:sz="4" w:space="0" w:color="auto"/>
            </w:tcBorders>
            <w:shd w:val="clear" w:color="000000" w:fill="D0CECE"/>
            <w:noWrap/>
            <w:vAlign w:val="bottom"/>
            <w:hideMark/>
          </w:tcPr>
          <w:p w14:paraId="343A52CF"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1,550</w:t>
            </w:r>
          </w:p>
        </w:tc>
        <w:tc>
          <w:tcPr>
            <w:tcW w:w="1189" w:type="dxa"/>
            <w:tcBorders>
              <w:top w:val="single" w:sz="4" w:space="0" w:color="auto"/>
              <w:left w:val="nil"/>
              <w:bottom w:val="single" w:sz="4" w:space="0" w:color="auto"/>
              <w:right w:val="single" w:sz="4" w:space="0" w:color="auto"/>
            </w:tcBorders>
            <w:shd w:val="clear" w:color="000000" w:fill="D0CECE"/>
            <w:vAlign w:val="bottom"/>
          </w:tcPr>
          <w:p w14:paraId="1D31DF8D" w14:textId="03C58FE5"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10</w:t>
            </w:r>
          </w:p>
        </w:tc>
        <w:tc>
          <w:tcPr>
            <w:tcW w:w="90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C879E8C" w14:textId="5373D151"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4,901</w:t>
            </w:r>
          </w:p>
        </w:tc>
      </w:tr>
      <w:tr w:rsidR="00B232FB" w:rsidRPr="00672ABF" w14:paraId="51FDB3FC" w14:textId="77777777" w:rsidTr="00C07064">
        <w:trPr>
          <w:trHeight w:val="325"/>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0618BF09" w14:textId="1F5B885B" w:rsidR="00B232FB" w:rsidRPr="00727FC8" w:rsidRDefault="00746AFD" w:rsidP="00B232FB">
            <w:pPr>
              <w:spacing w:after="0" w:line="240" w:lineRule="auto"/>
              <w:jc w:val="center"/>
              <w:rPr>
                <w:rFonts w:eastAsia="Times New Roman"/>
                <w:color w:val="000000"/>
                <w:sz w:val="16"/>
                <w:szCs w:val="16"/>
              </w:rPr>
            </w:pPr>
            <w:r>
              <w:rPr>
                <w:rFonts w:eastAsia="Times New Roman"/>
                <w:color w:val="000000"/>
                <w:sz w:val="16"/>
                <w:szCs w:val="16"/>
              </w:rPr>
              <w:t>PPL 5C</w:t>
            </w:r>
          </w:p>
        </w:tc>
        <w:tc>
          <w:tcPr>
            <w:tcW w:w="978" w:type="dxa"/>
            <w:tcBorders>
              <w:top w:val="nil"/>
              <w:left w:val="nil"/>
              <w:bottom w:val="single" w:sz="4" w:space="0" w:color="auto"/>
              <w:right w:val="single" w:sz="4" w:space="0" w:color="auto"/>
            </w:tcBorders>
            <w:shd w:val="clear" w:color="auto" w:fill="auto"/>
            <w:noWrap/>
            <w:vAlign w:val="bottom"/>
            <w:hideMark/>
          </w:tcPr>
          <w:p w14:paraId="7E657C68"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9,974,121</w:t>
            </w:r>
          </w:p>
        </w:tc>
        <w:tc>
          <w:tcPr>
            <w:tcW w:w="936" w:type="dxa"/>
            <w:tcBorders>
              <w:top w:val="nil"/>
              <w:left w:val="nil"/>
              <w:bottom w:val="single" w:sz="4" w:space="0" w:color="auto"/>
              <w:right w:val="single" w:sz="4" w:space="0" w:color="auto"/>
            </w:tcBorders>
            <w:shd w:val="clear" w:color="auto" w:fill="auto"/>
            <w:noWrap/>
            <w:vAlign w:val="bottom"/>
            <w:hideMark/>
          </w:tcPr>
          <w:p w14:paraId="16628E35"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8,929,205</w:t>
            </w:r>
          </w:p>
        </w:tc>
        <w:tc>
          <w:tcPr>
            <w:tcW w:w="714" w:type="dxa"/>
            <w:tcBorders>
              <w:top w:val="single" w:sz="4" w:space="0" w:color="auto"/>
              <w:left w:val="single" w:sz="4" w:space="0" w:color="auto"/>
              <w:bottom w:val="single" w:sz="4" w:space="0" w:color="auto"/>
              <w:right w:val="single" w:sz="4" w:space="0" w:color="auto"/>
            </w:tcBorders>
            <w:vAlign w:val="bottom"/>
          </w:tcPr>
          <w:p w14:paraId="49467478" w14:textId="2DF29D55"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16</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F9E2" w14:textId="32137586"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9,449</w:t>
            </w:r>
          </w:p>
        </w:tc>
        <w:tc>
          <w:tcPr>
            <w:tcW w:w="1080" w:type="dxa"/>
            <w:tcBorders>
              <w:top w:val="nil"/>
              <w:left w:val="nil"/>
              <w:bottom w:val="single" w:sz="4" w:space="0" w:color="auto"/>
              <w:right w:val="single" w:sz="4" w:space="0" w:color="auto"/>
            </w:tcBorders>
            <w:shd w:val="clear" w:color="auto" w:fill="auto"/>
            <w:noWrap/>
            <w:vAlign w:val="bottom"/>
            <w:hideMark/>
          </w:tcPr>
          <w:p w14:paraId="20F52839"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71</w:t>
            </w:r>
          </w:p>
        </w:tc>
        <w:tc>
          <w:tcPr>
            <w:tcW w:w="1189" w:type="dxa"/>
            <w:tcBorders>
              <w:top w:val="single" w:sz="4" w:space="0" w:color="auto"/>
              <w:left w:val="nil"/>
              <w:bottom w:val="single" w:sz="4" w:space="0" w:color="auto"/>
              <w:right w:val="single" w:sz="4" w:space="0" w:color="auto"/>
            </w:tcBorders>
            <w:vAlign w:val="bottom"/>
          </w:tcPr>
          <w:p w14:paraId="1F6089E7" w14:textId="23FB76CD"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4</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4D35E" w14:textId="1D59F6DF"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3,184</w:t>
            </w:r>
          </w:p>
        </w:tc>
      </w:tr>
      <w:tr w:rsidR="00B232FB" w:rsidRPr="00672ABF" w14:paraId="3E362DCA" w14:textId="77777777" w:rsidTr="00C07064">
        <w:trPr>
          <w:trHeight w:val="325"/>
        </w:trPr>
        <w:tc>
          <w:tcPr>
            <w:tcW w:w="1114" w:type="dxa"/>
            <w:tcBorders>
              <w:top w:val="nil"/>
              <w:left w:val="single" w:sz="4" w:space="0" w:color="auto"/>
              <w:bottom w:val="single" w:sz="4" w:space="0" w:color="auto"/>
              <w:right w:val="single" w:sz="4" w:space="0" w:color="auto"/>
            </w:tcBorders>
            <w:shd w:val="clear" w:color="000000" w:fill="D0CECE"/>
            <w:noWrap/>
            <w:vAlign w:val="bottom"/>
            <w:hideMark/>
          </w:tcPr>
          <w:p w14:paraId="0CEEA7B0"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Teo.ExtNeg.1</w:t>
            </w:r>
          </w:p>
        </w:tc>
        <w:tc>
          <w:tcPr>
            <w:tcW w:w="978" w:type="dxa"/>
            <w:tcBorders>
              <w:top w:val="nil"/>
              <w:left w:val="nil"/>
              <w:bottom w:val="single" w:sz="4" w:space="0" w:color="auto"/>
              <w:right w:val="single" w:sz="4" w:space="0" w:color="auto"/>
            </w:tcBorders>
            <w:shd w:val="clear" w:color="000000" w:fill="D0CECE"/>
            <w:noWrap/>
            <w:vAlign w:val="bottom"/>
            <w:hideMark/>
          </w:tcPr>
          <w:p w14:paraId="3AA3B5F2"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11,014,302</w:t>
            </w:r>
          </w:p>
        </w:tc>
        <w:tc>
          <w:tcPr>
            <w:tcW w:w="936" w:type="dxa"/>
            <w:tcBorders>
              <w:top w:val="nil"/>
              <w:left w:val="nil"/>
              <w:bottom w:val="single" w:sz="4" w:space="0" w:color="auto"/>
              <w:right w:val="single" w:sz="4" w:space="0" w:color="auto"/>
            </w:tcBorders>
            <w:shd w:val="clear" w:color="000000" w:fill="D0CECE"/>
            <w:noWrap/>
            <w:vAlign w:val="bottom"/>
            <w:hideMark/>
          </w:tcPr>
          <w:p w14:paraId="3587E8CB"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10,261,598</w:t>
            </w:r>
          </w:p>
        </w:tc>
        <w:tc>
          <w:tcPr>
            <w:tcW w:w="714" w:type="dxa"/>
            <w:tcBorders>
              <w:top w:val="single" w:sz="4" w:space="0" w:color="auto"/>
              <w:left w:val="single" w:sz="4" w:space="0" w:color="auto"/>
              <w:bottom w:val="single" w:sz="4" w:space="0" w:color="auto"/>
              <w:right w:val="single" w:sz="4" w:space="0" w:color="auto"/>
            </w:tcBorders>
            <w:shd w:val="clear" w:color="000000" w:fill="D0CECE"/>
            <w:vAlign w:val="bottom"/>
          </w:tcPr>
          <w:p w14:paraId="5CD15CC2" w14:textId="311F879B"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10</w:t>
            </w:r>
          </w:p>
        </w:tc>
        <w:tc>
          <w:tcPr>
            <w:tcW w:w="91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6E0588A" w14:textId="1058A8BD"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6,970</w:t>
            </w:r>
          </w:p>
        </w:tc>
        <w:tc>
          <w:tcPr>
            <w:tcW w:w="1080" w:type="dxa"/>
            <w:tcBorders>
              <w:top w:val="nil"/>
              <w:left w:val="nil"/>
              <w:bottom w:val="single" w:sz="4" w:space="0" w:color="auto"/>
              <w:right w:val="single" w:sz="4" w:space="0" w:color="auto"/>
            </w:tcBorders>
            <w:shd w:val="clear" w:color="000000" w:fill="D0CECE"/>
            <w:noWrap/>
            <w:vAlign w:val="bottom"/>
            <w:hideMark/>
          </w:tcPr>
          <w:p w14:paraId="47B18CB6"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115</w:t>
            </w:r>
          </w:p>
        </w:tc>
        <w:tc>
          <w:tcPr>
            <w:tcW w:w="1189" w:type="dxa"/>
            <w:tcBorders>
              <w:top w:val="single" w:sz="4" w:space="0" w:color="auto"/>
              <w:left w:val="nil"/>
              <w:bottom w:val="single" w:sz="4" w:space="0" w:color="auto"/>
              <w:right w:val="single" w:sz="4" w:space="0" w:color="auto"/>
            </w:tcBorders>
            <w:shd w:val="clear" w:color="000000" w:fill="D0CECE"/>
            <w:vAlign w:val="bottom"/>
          </w:tcPr>
          <w:p w14:paraId="21FD9E73" w14:textId="5C05A231"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7</w:t>
            </w:r>
          </w:p>
        </w:tc>
        <w:tc>
          <w:tcPr>
            <w:tcW w:w="90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16FEF26" w14:textId="254715BE" w:rsidR="00B232FB" w:rsidRPr="00727FC8" w:rsidRDefault="009E4510" w:rsidP="00B232FB">
            <w:pPr>
              <w:spacing w:after="0" w:line="240" w:lineRule="auto"/>
              <w:jc w:val="center"/>
              <w:rPr>
                <w:rFonts w:eastAsia="Times New Roman"/>
                <w:color w:val="000000"/>
                <w:sz w:val="16"/>
                <w:szCs w:val="16"/>
              </w:rPr>
            </w:pPr>
            <w:r>
              <w:rPr>
                <w:rFonts w:eastAsia="Times New Roman"/>
                <w:color w:val="000000"/>
                <w:sz w:val="16"/>
                <w:szCs w:val="16"/>
              </w:rPr>
              <w:t>1.447</w:t>
            </w:r>
          </w:p>
        </w:tc>
      </w:tr>
      <w:tr w:rsidR="00B232FB" w:rsidRPr="00672ABF" w14:paraId="2C9166B7" w14:textId="77777777" w:rsidTr="00C07064">
        <w:trPr>
          <w:trHeight w:val="325"/>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3F8785EF"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Teo.ExtNeg.2</w:t>
            </w:r>
          </w:p>
        </w:tc>
        <w:tc>
          <w:tcPr>
            <w:tcW w:w="978" w:type="dxa"/>
            <w:tcBorders>
              <w:top w:val="nil"/>
              <w:left w:val="nil"/>
              <w:bottom w:val="single" w:sz="4" w:space="0" w:color="auto"/>
              <w:right w:val="single" w:sz="4" w:space="0" w:color="auto"/>
            </w:tcBorders>
            <w:shd w:val="clear" w:color="auto" w:fill="auto"/>
            <w:noWrap/>
            <w:vAlign w:val="bottom"/>
            <w:hideMark/>
          </w:tcPr>
          <w:p w14:paraId="4D2A082D"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11,856,703</w:t>
            </w:r>
          </w:p>
        </w:tc>
        <w:tc>
          <w:tcPr>
            <w:tcW w:w="936" w:type="dxa"/>
            <w:tcBorders>
              <w:top w:val="nil"/>
              <w:left w:val="nil"/>
              <w:bottom w:val="single" w:sz="4" w:space="0" w:color="auto"/>
              <w:right w:val="single" w:sz="4" w:space="0" w:color="auto"/>
            </w:tcBorders>
            <w:shd w:val="clear" w:color="auto" w:fill="auto"/>
            <w:noWrap/>
            <w:vAlign w:val="bottom"/>
            <w:hideMark/>
          </w:tcPr>
          <w:p w14:paraId="608884D5"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11,011,285</w:t>
            </w:r>
          </w:p>
        </w:tc>
        <w:tc>
          <w:tcPr>
            <w:tcW w:w="714" w:type="dxa"/>
            <w:tcBorders>
              <w:top w:val="single" w:sz="4" w:space="0" w:color="auto"/>
              <w:left w:val="single" w:sz="4" w:space="0" w:color="auto"/>
              <w:bottom w:val="single" w:sz="4" w:space="0" w:color="auto"/>
              <w:right w:val="single" w:sz="4" w:space="0" w:color="auto"/>
            </w:tcBorders>
            <w:vAlign w:val="bottom"/>
          </w:tcPr>
          <w:p w14:paraId="308247C9" w14:textId="7AC7362E"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40</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8A930" w14:textId="05D92699"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87,526</w:t>
            </w:r>
          </w:p>
        </w:tc>
        <w:tc>
          <w:tcPr>
            <w:tcW w:w="1080" w:type="dxa"/>
            <w:tcBorders>
              <w:top w:val="nil"/>
              <w:left w:val="nil"/>
              <w:bottom w:val="single" w:sz="4" w:space="0" w:color="auto"/>
              <w:right w:val="single" w:sz="4" w:space="0" w:color="auto"/>
            </w:tcBorders>
            <w:shd w:val="clear" w:color="auto" w:fill="auto"/>
            <w:noWrap/>
            <w:vAlign w:val="bottom"/>
            <w:hideMark/>
          </w:tcPr>
          <w:p w14:paraId="144F4EA3"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62</w:t>
            </w:r>
          </w:p>
        </w:tc>
        <w:tc>
          <w:tcPr>
            <w:tcW w:w="1189" w:type="dxa"/>
            <w:tcBorders>
              <w:top w:val="single" w:sz="4" w:space="0" w:color="auto"/>
              <w:left w:val="nil"/>
              <w:bottom w:val="single" w:sz="4" w:space="0" w:color="auto"/>
              <w:right w:val="single" w:sz="4" w:space="0" w:color="auto"/>
            </w:tcBorders>
            <w:vAlign w:val="bottom"/>
          </w:tcPr>
          <w:p w14:paraId="38C6D2CD" w14:textId="1434854B"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8</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87F88" w14:textId="7F2C1BC8" w:rsidR="00B232FB" w:rsidRPr="00727FC8" w:rsidRDefault="009E4510" w:rsidP="00B232FB">
            <w:pPr>
              <w:spacing w:after="0" w:line="240" w:lineRule="auto"/>
              <w:jc w:val="center"/>
              <w:rPr>
                <w:rFonts w:eastAsia="Times New Roman"/>
                <w:color w:val="000000"/>
                <w:sz w:val="16"/>
                <w:szCs w:val="16"/>
              </w:rPr>
            </w:pPr>
            <w:r>
              <w:rPr>
                <w:rFonts w:eastAsia="Times New Roman"/>
                <w:color w:val="000000"/>
                <w:sz w:val="16"/>
                <w:szCs w:val="16"/>
              </w:rPr>
              <w:t>878</w:t>
            </w:r>
          </w:p>
        </w:tc>
      </w:tr>
      <w:tr w:rsidR="00B232FB" w:rsidRPr="00672ABF" w14:paraId="58090328" w14:textId="77777777" w:rsidTr="00C07064">
        <w:trPr>
          <w:trHeight w:val="352"/>
        </w:trPr>
        <w:tc>
          <w:tcPr>
            <w:tcW w:w="1114" w:type="dxa"/>
            <w:tcBorders>
              <w:top w:val="nil"/>
              <w:left w:val="single" w:sz="4" w:space="0" w:color="auto"/>
              <w:bottom w:val="single" w:sz="4" w:space="0" w:color="auto"/>
              <w:right w:val="single" w:sz="4" w:space="0" w:color="auto"/>
            </w:tcBorders>
            <w:shd w:val="clear" w:color="000000" w:fill="D0CECE"/>
            <w:noWrap/>
            <w:vAlign w:val="bottom"/>
            <w:hideMark/>
          </w:tcPr>
          <w:p w14:paraId="611E39F1" w14:textId="663D3333"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Teo.LibNeg</w:t>
            </w:r>
          </w:p>
        </w:tc>
        <w:tc>
          <w:tcPr>
            <w:tcW w:w="978" w:type="dxa"/>
            <w:tcBorders>
              <w:top w:val="nil"/>
              <w:left w:val="nil"/>
              <w:bottom w:val="single" w:sz="4" w:space="0" w:color="auto"/>
              <w:right w:val="single" w:sz="4" w:space="0" w:color="auto"/>
            </w:tcBorders>
            <w:shd w:val="clear" w:color="000000" w:fill="D0CECE"/>
            <w:noWrap/>
            <w:vAlign w:val="bottom"/>
            <w:hideMark/>
          </w:tcPr>
          <w:p w14:paraId="5FA1CCFB"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408,363</w:t>
            </w:r>
          </w:p>
        </w:tc>
        <w:tc>
          <w:tcPr>
            <w:tcW w:w="936" w:type="dxa"/>
            <w:tcBorders>
              <w:top w:val="nil"/>
              <w:left w:val="nil"/>
              <w:bottom w:val="single" w:sz="4" w:space="0" w:color="auto"/>
              <w:right w:val="single" w:sz="4" w:space="0" w:color="auto"/>
            </w:tcBorders>
            <w:shd w:val="clear" w:color="000000" w:fill="D0CECE"/>
            <w:noWrap/>
            <w:vAlign w:val="bottom"/>
            <w:hideMark/>
          </w:tcPr>
          <w:p w14:paraId="5D41B1BE"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12,007</w:t>
            </w:r>
          </w:p>
        </w:tc>
        <w:tc>
          <w:tcPr>
            <w:tcW w:w="714" w:type="dxa"/>
            <w:tcBorders>
              <w:top w:val="single" w:sz="4" w:space="0" w:color="auto"/>
              <w:left w:val="single" w:sz="4" w:space="0" w:color="auto"/>
              <w:bottom w:val="single" w:sz="4" w:space="0" w:color="auto"/>
              <w:right w:val="single" w:sz="4" w:space="0" w:color="auto"/>
            </w:tcBorders>
            <w:shd w:val="clear" w:color="000000" w:fill="D0CECE"/>
            <w:vAlign w:val="bottom"/>
          </w:tcPr>
          <w:p w14:paraId="641C01C1" w14:textId="57FB7242"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w:t>
            </w:r>
          </w:p>
        </w:tc>
        <w:tc>
          <w:tcPr>
            <w:tcW w:w="91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217C3DDB" w14:textId="2115531B" w:rsidR="00B232FB" w:rsidRPr="00727FC8" w:rsidRDefault="00B232FB" w:rsidP="00B232FB">
            <w:pPr>
              <w:spacing w:after="0" w:line="240" w:lineRule="auto"/>
              <w:jc w:val="center"/>
              <w:rPr>
                <w:rFonts w:eastAsia="Times New Roman"/>
                <w:color w:val="000000"/>
                <w:sz w:val="16"/>
                <w:szCs w:val="16"/>
              </w:rPr>
            </w:pPr>
            <w:r>
              <w:rPr>
                <w:rFonts w:eastAsia="Times New Roman"/>
                <w:color w:val="000000"/>
                <w:sz w:val="16"/>
                <w:szCs w:val="16"/>
              </w:rPr>
              <w:t>0</w:t>
            </w:r>
          </w:p>
        </w:tc>
        <w:tc>
          <w:tcPr>
            <w:tcW w:w="1080" w:type="dxa"/>
            <w:tcBorders>
              <w:top w:val="nil"/>
              <w:left w:val="nil"/>
              <w:bottom w:val="single" w:sz="4" w:space="0" w:color="auto"/>
              <w:right w:val="single" w:sz="4" w:space="0" w:color="auto"/>
            </w:tcBorders>
            <w:shd w:val="clear" w:color="000000" w:fill="D0CECE"/>
            <w:noWrap/>
            <w:vAlign w:val="bottom"/>
            <w:hideMark/>
          </w:tcPr>
          <w:p w14:paraId="365DADE3" w14:textId="77777777"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w:t>
            </w:r>
          </w:p>
        </w:tc>
        <w:tc>
          <w:tcPr>
            <w:tcW w:w="1189" w:type="dxa"/>
            <w:tcBorders>
              <w:top w:val="single" w:sz="4" w:space="0" w:color="auto"/>
              <w:left w:val="nil"/>
              <w:bottom w:val="single" w:sz="4" w:space="0" w:color="auto"/>
              <w:right w:val="single" w:sz="4" w:space="0" w:color="auto"/>
            </w:tcBorders>
            <w:shd w:val="clear" w:color="000000" w:fill="D0CECE"/>
            <w:vAlign w:val="bottom"/>
          </w:tcPr>
          <w:p w14:paraId="79D81C19" w14:textId="3D4B65AB" w:rsidR="00B232FB" w:rsidRPr="00727FC8" w:rsidRDefault="00B86347" w:rsidP="00B232FB">
            <w:pPr>
              <w:spacing w:after="0" w:line="240" w:lineRule="auto"/>
              <w:jc w:val="center"/>
              <w:rPr>
                <w:rFonts w:eastAsia="Times New Roman"/>
                <w:color w:val="000000"/>
                <w:sz w:val="16"/>
                <w:szCs w:val="16"/>
              </w:rPr>
            </w:pPr>
            <w:r>
              <w:rPr>
                <w:rFonts w:eastAsia="Times New Roman"/>
                <w:color w:val="000000"/>
                <w:sz w:val="16"/>
                <w:szCs w:val="16"/>
              </w:rPr>
              <w:t>0</w:t>
            </w:r>
          </w:p>
        </w:tc>
        <w:tc>
          <w:tcPr>
            <w:tcW w:w="90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2E4A133" w14:textId="10882BF0" w:rsidR="00B232FB" w:rsidRPr="00727FC8" w:rsidRDefault="00B232FB" w:rsidP="00B232FB">
            <w:pPr>
              <w:spacing w:after="0" w:line="240" w:lineRule="auto"/>
              <w:jc w:val="center"/>
              <w:rPr>
                <w:rFonts w:eastAsia="Times New Roman"/>
                <w:color w:val="000000"/>
                <w:sz w:val="16"/>
                <w:szCs w:val="16"/>
              </w:rPr>
            </w:pPr>
            <w:r w:rsidRPr="00727FC8">
              <w:rPr>
                <w:rFonts w:eastAsia="Times New Roman"/>
                <w:color w:val="000000"/>
                <w:sz w:val="16"/>
                <w:szCs w:val="16"/>
              </w:rPr>
              <w:t>14</w:t>
            </w:r>
          </w:p>
        </w:tc>
      </w:tr>
    </w:tbl>
    <w:p w14:paraId="22DE1F1A" w14:textId="77777777" w:rsidR="009E72BD" w:rsidRDefault="009E72BD" w:rsidP="006F1834">
      <w:pPr>
        <w:pStyle w:val="Caption"/>
        <w:keepNext/>
      </w:pPr>
    </w:p>
    <w:p w14:paraId="68C553BA" w14:textId="77777777" w:rsidR="009E72BD" w:rsidRDefault="009E72BD" w:rsidP="006F1834">
      <w:pPr>
        <w:pStyle w:val="Caption"/>
        <w:keepNext/>
      </w:pPr>
    </w:p>
    <w:p w14:paraId="65AC4A1F" w14:textId="77777777" w:rsidR="009E72BD" w:rsidRDefault="009E72BD" w:rsidP="006F1834">
      <w:pPr>
        <w:pStyle w:val="Caption"/>
        <w:keepNext/>
      </w:pPr>
    </w:p>
    <w:p w14:paraId="4827DD5B" w14:textId="181CD30A" w:rsidR="009E72BD" w:rsidRDefault="009E72BD" w:rsidP="006F1834">
      <w:pPr>
        <w:pStyle w:val="Caption"/>
        <w:keepNext/>
      </w:pPr>
    </w:p>
    <w:p w14:paraId="24D8E5E0" w14:textId="2FF7818A" w:rsidR="00E52D55" w:rsidRDefault="00E52D55" w:rsidP="00E52D55"/>
    <w:p w14:paraId="453169B1" w14:textId="13B08DFC" w:rsidR="00E52D55" w:rsidRDefault="00E52D55" w:rsidP="00E52D55"/>
    <w:p w14:paraId="7743B87D" w14:textId="7C09793C" w:rsidR="00E52D55" w:rsidRDefault="00E52D55" w:rsidP="00E52D55"/>
    <w:p w14:paraId="127CED4F" w14:textId="5DA8A293" w:rsidR="00E52D55" w:rsidRDefault="00E52D55" w:rsidP="00E52D55"/>
    <w:p w14:paraId="2971C80E" w14:textId="0D149516" w:rsidR="00E52D55" w:rsidRDefault="00E52D55" w:rsidP="00E52D55"/>
    <w:p w14:paraId="69A811DB" w14:textId="6FC1E67B" w:rsidR="00E52D55" w:rsidRDefault="00E52D55" w:rsidP="00E52D55"/>
    <w:p w14:paraId="7CB3FA69" w14:textId="77777777" w:rsidR="00E52D55" w:rsidRPr="00E52D55" w:rsidRDefault="00E52D55" w:rsidP="00E52D55"/>
    <w:p w14:paraId="5B2494CB" w14:textId="77777777" w:rsidR="009E72BD" w:rsidRDefault="009E72BD" w:rsidP="006F1834">
      <w:pPr>
        <w:pStyle w:val="Caption"/>
        <w:keepNext/>
      </w:pPr>
    </w:p>
    <w:p w14:paraId="735C86A6" w14:textId="77777777" w:rsidR="003560F0" w:rsidRDefault="003560F0"/>
    <w:tbl>
      <w:tblPr>
        <w:tblpPr w:leftFromText="180" w:rightFromText="180" w:vertAnchor="page" w:horzAnchor="margin" w:tblpY="2028"/>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40"/>
        <w:gridCol w:w="540"/>
        <w:gridCol w:w="630"/>
        <w:gridCol w:w="630"/>
        <w:gridCol w:w="540"/>
        <w:gridCol w:w="630"/>
        <w:gridCol w:w="630"/>
        <w:gridCol w:w="630"/>
        <w:gridCol w:w="630"/>
        <w:gridCol w:w="540"/>
        <w:gridCol w:w="720"/>
        <w:gridCol w:w="720"/>
        <w:gridCol w:w="540"/>
        <w:gridCol w:w="630"/>
      </w:tblGrid>
      <w:tr w:rsidR="00C84FD5" w:rsidRPr="00DF6930" w14:paraId="06ECD67F" w14:textId="77777777" w:rsidTr="00A752A9">
        <w:trPr>
          <w:trHeight w:val="1002"/>
        </w:trPr>
        <w:tc>
          <w:tcPr>
            <w:tcW w:w="715" w:type="dxa"/>
            <w:shd w:val="clear" w:color="auto" w:fill="767171" w:themeFill="background2" w:themeFillShade="80"/>
            <w:vAlign w:val="bottom"/>
            <w:hideMark/>
          </w:tcPr>
          <w:p w14:paraId="3BE3D833" w14:textId="77777777" w:rsidR="005018BF" w:rsidRPr="00DF6930" w:rsidRDefault="005018BF" w:rsidP="005018BF">
            <w:pPr>
              <w:spacing w:after="0" w:line="240" w:lineRule="auto"/>
              <w:rPr>
                <w:rFonts w:eastAsia="Times New Roman"/>
                <w:b/>
                <w:bCs/>
                <w:color w:val="000000"/>
                <w:sz w:val="18"/>
                <w:szCs w:val="18"/>
              </w:rPr>
            </w:pPr>
            <w:r w:rsidRPr="00DF6930">
              <w:rPr>
                <w:rFonts w:eastAsia="Times New Roman"/>
                <w:b/>
                <w:bCs/>
                <w:color w:val="000000"/>
                <w:sz w:val="18"/>
                <w:szCs w:val="18"/>
              </w:rPr>
              <w:lastRenderedPageBreak/>
              <w:t>Taxa</w:t>
            </w:r>
          </w:p>
        </w:tc>
        <w:tc>
          <w:tcPr>
            <w:tcW w:w="540" w:type="dxa"/>
            <w:tcBorders>
              <w:bottom w:val="single" w:sz="24" w:space="0" w:color="auto"/>
            </w:tcBorders>
            <w:shd w:val="clear" w:color="auto" w:fill="767171" w:themeFill="background2" w:themeFillShade="80"/>
            <w:vAlign w:val="bottom"/>
            <w:hideMark/>
          </w:tcPr>
          <w:p w14:paraId="2EE9DE51" w14:textId="30113458"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PPCC</w:t>
            </w:r>
            <w:r w:rsidRPr="00DF6930">
              <w:rPr>
                <w:rFonts w:eastAsia="Times New Roman"/>
                <w:color w:val="000000"/>
                <w:sz w:val="18"/>
                <w:szCs w:val="18"/>
              </w:rPr>
              <w:br/>
              <w:t>M</w:t>
            </w:r>
            <w:r>
              <w:rPr>
                <w:rFonts w:eastAsia="Times New Roman"/>
                <w:color w:val="000000"/>
                <w:sz w:val="18"/>
                <w:szCs w:val="18"/>
              </w:rPr>
              <w:t>P</w:t>
            </w:r>
          </w:p>
        </w:tc>
        <w:tc>
          <w:tcPr>
            <w:tcW w:w="540" w:type="dxa"/>
            <w:tcBorders>
              <w:bottom w:val="single" w:sz="24" w:space="0" w:color="auto"/>
            </w:tcBorders>
            <w:shd w:val="clear" w:color="auto" w:fill="767171" w:themeFill="background2" w:themeFillShade="80"/>
            <w:vAlign w:val="bottom"/>
            <w:hideMark/>
          </w:tcPr>
          <w:p w14:paraId="5D028F55" w14:textId="1F11D11D"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PPCC</w:t>
            </w:r>
            <w:r w:rsidRPr="00DF6930">
              <w:rPr>
                <w:rFonts w:eastAsia="Times New Roman"/>
                <w:color w:val="000000"/>
                <w:sz w:val="18"/>
                <w:szCs w:val="18"/>
              </w:rPr>
              <w:br/>
              <w:t>Q</w:t>
            </w:r>
          </w:p>
        </w:tc>
        <w:tc>
          <w:tcPr>
            <w:tcW w:w="630" w:type="dxa"/>
            <w:tcBorders>
              <w:bottom w:val="single" w:sz="24" w:space="0" w:color="auto"/>
            </w:tcBorders>
            <w:shd w:val="clear" w:color="auto" w:fill="767171" w:themeFill="background2" w:themeFillShade="80"/>
            <w:vAlign w:val="bottom"/>
            <w:hideMark/>
          </w:tcPr>
          <w:p w14:paraId="46419BC7"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5A</w:t>
            </w:r>
            <w:r w:rsidRPr="00DF6930">
              <w:rPr>
                <w:rFonts w:eastAsia="Times New Roman"/>
                <w:color w:val="000000"/>
                <w:sz w:val="18"/>
                <w:szCs w:val="18"/>
              </w:rPr>
              <w:br/>
              <w:t>M</w:t>
            </w:r>
            <w:r>
              <w:rPr>
                <w:rFonts w:eastAsia="Times New Roman"/>
                <w:color w:val="000000"/>
                <w:sz w:val="18"/>
                <w:szCs w:val="18"/>
              </w:rPr>
              <w:t>P</w:t>
            </w:r>
          </w:p>
        </w:tc>
        <w:tc>
          <w:tcPr>
            <w:tcW w:w="630" w:type="dxa"/>
            <w:tcBorders>
              <w:bottom w:val="single" w:sz="24" w:space="0" w:color="auto"/>
            </w:tcBorders>
            <w:shd w:val="clear" w:color="auto" w:fill="767171" w:themeFill="background2" w:themeFillShade="80"/>
            <w:vAlign w:val="bottom"/>
            <w:hideMark/>
          </w:tcPr>
          <w:p w14:paraId="5E01EA59" w14:textId="3591F1B9"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5A</w:t>
            </w:r>
            <w:r w:rsidRPr="00DF6930">
              <w:rPr>
                <w:rFonts w:eastAsia="Times New Roman"/>
                <w:color w:val="000000"/>
                <w:sz w:val="18"/>
                <w:szCs w:val="18"/>
              </w:rPr>
              <w:br/>
              <w:t>Q</w:t>
            </w:r>
          </w:p>
        </w:tc>
        <w:tc>
          <w:tcPr>
            <w:tcW w:w="540" w:type="dxa"/>
            <w:tcBorders>
              <w:bottom w:val="single" w:sz="24" w:space="0" w:color="auto"/>
            </w:tcBorders>
            <w:shd w:val="clear" w:color="auto" w:fill="767171" w:themeFill="background2" w:themeFillShade="80"/>
            <w:vAlign w:val="bottom"/>
            <w:hideMark/>
          </w:tcPr>
          <w:p w14:paraId="0A8835FF"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5B</w:t>
            </w:r>
            <w:r w:rsidRPr="00DF6930">
              <w:rPr>
                <w:rFonts w:eastAsia="Times New Roman"/>
                <w:color w:val="000000"/>
                <w:sz w:val="18"/>
                <w:szCs w:val="18"/>
              </w:rPr>
              <w:br/>
              <w:t>M</w:t>
            </w:r>
            <w:r>
              <w:rPr>
                <w:rFonts w:eastAsia="Times New Roman"/>
                <w:color w:val="000000"/>
                <w:sz w:val="18"/>
                <w:szCs w:val="18"/>
              </w:rPr>
              <w:t>P</w:t>
            </w:r>
          </w:p>
        </w:tc>
        <w:tc>
          <w:tcPr>
            <w:tcW w:w="630" w:type="dxa"/>
            <w:tcBorders>
              <w:bottom w:val="single" w:sz="24" w:space="0" w:color="auto"/>
            </w:tcBorders>
            <w:shd w:val="clear" w:color="auto" w:fill="767171" w:themeFill="background2" w:themeFillShade="80"/>
            <w:vAlign w:val="bottom"/>
            <w:hideMark/>
          </w:tcPr>
          <w:p w14:paraId="268C2D10" w14:textId="5BA4B305"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5B</w:t>
            </w:r>
            <w:r w:rsidRPr="00DF6930">
              <w:rPr>
                <w:rFonts w:eastAsia="Times New Roman"/>
                <w:color w:val="000000"/>
                <w:sz w:val="18"/>
                <w:szCs w:val="18"/>
              </w:rPr>
              <w:br/>
              <w:t>Q</w:t>
            </w:r>
          </w:p>
        </w:tc>
        <w:tc>
          <w:tcPr>
            <w:tcW w:w="630" w:type="dxa"/>
            <w:tcBorders>
              <w:bottom w:val="single" w:sz="24" w:space="0" w:color="auto"/>
            </w:tcBorders>
            <w:shd w:val="clear" w:color="auto" w:fill="767171" w:themeFill="background2" w:themeFillShade="80"/>
            <w:vAlign w:val="bottom"/>
            <w:hideMark/>
          </w:tcPr>
          <w:p w14:paraId="6AA985D8"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5C</w:t>
            </w:r>
            <w:r w:rsidRPr="00DF6930">
              <w:rPr>
                <w:rFonts w:eastAsia="Times New Roman"/>
                <w:color w:val="000000"/>
                <w:sz w:val="18"/>
                <w:szCs w:val="18"/>
              </w:rPr>
              <w:br/>
            </w:r>
            <w:r>
              <w:rPr>
                <w:rFonts w:eastAsia="Times New Roman"/>
                <w:color w:val="000000"/>
                <w:sz w:val="18"/>
                <w:szCs w:val="18"/>
              </w:rPr>
              <w:t>MP</w:t>
            </w:r>
          </w:p>
        </w:tc>
        <w:tc>
          <w:tcPr>
            <w:tcW w:w="630" w:type="dxa"/>
            <w:tcBorders>
              <w:bottom w:val="single" w:sz="24" w:space="0" w:color="auto"/>
            </w:tcBorders>
            <w:shd w:val="clear" w:color="auto" w:fill="767171" w:themeFill="background2" w:themeFillShade="80"/>
            <w:vAlign w:val="bottom"/>
          </w:tcPr>
          <w:p w14:paraId="048090CE" w14:textId="329B88B6" w:rsidR="005018BF"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PPL</w:t>
            </w:r>
            <w:r w:rsidRPr="00DF6930">
              <w:rPr>
                <w:rFonts w:eastAsia="Times New Roman"/>
                <w:color w:val="000000"/>
                <w:sz w:val="18"/>
                <w:szCs w:val="18"/>
              </w:rPr>
              <w:br/>
              <w:t>5C</w:t>
            </w:r>
            <w:r w:rsidRPr="00DF6930">
              <w:rPr>
                <w:rFonts w:eastAsia="Times New Roman"/>
                <w:color w:val="000000"/>
                <w:sz w:val="18"/>
                <w:szCs w:val="18"/>
              </w:rPr>
              <w:br/>
              <w:t>Q</w:t>
            </w:r>
          </w:p>
        </w:tc>
        <w:tc>
          <w:tcPr>
            <w:tcW w:w="630" w:type="dxa"/>
            <w:tcBorders>
              <w:bottom w:val="single" w:sz="24" w:space="0" w:color="auto"/>
            </w:tcBorders>
            <w:shd w:val="clear" w:color="auto" w:fill="767171" w:themeFill="background2" w:themeFillShade="80"/>
            <w:vAlign w:val="bottom"/>
          </w:tcPr>
          <w:p w14:paraId="533FE070"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NegExt.1</w:t>
            </w:r>
            <w:r w:rsidRPr="00DF6930">
              <w:rPr>
                <w:rFonts w:eastAsia="Times New Roman"/>
                <w:color w:val="000000"/>
                <w:sz w:val="18"/>
                <w:szCs w:val="18"/>
              </w:rPr>
              <w:br/>
              <w:t>M</w:t>
            </w:r>
            <w:r>
              <w:rPr>
                <w:rFonts w:eastAsia="Times New Roman"/>
                <w:color w:val="000000"/>
                <w:sz w:val="18"/>
                <w:szCs w:val="18"/>
              </w:rPr>
              <w:t>P</w:t>
            </w:r>
          </w:p>
        </w:tc>
        <w:tc>
          <w:tcPr>
            <w:tcW w:w="540" w:type="dxa"/>
            <w:tcBorders>
              <w:bottom w:val="single" w:sz="24" w:space="0" w:color="auto"/>
            </w:tcBorders>
            <w:shd w:val="clear" w:color="auto" w:fill="767171" w:themeFill="background2" w:themeFillShade="80"/>
            <w:vAlign w:val="bottom"/>
          </w:tcPr>
          <w:p w14:paraId="54920BF7"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NegExt.1</w:t>
            </w:r>
            <w:r w:rsidRPr="00DF6930">
              <w:rPr>
                <w:rFonts w:eastAsia="Times New Roman"/>
                <w:color w:val="000000"/>
                <w:sz w:val="18"/>
                <w:szCs w:val="18"/>
              </w:rPr>
              <w:br/>
              <w:t>Q</w:t>
            </w:r>
          </w:p>
        </w:tc>
        <w:tc>
          <w:tcPr>
            <w:tcW w:w="720" w:type="dxa"/>
            <w:tcBorders>
              <w:bottom w:val="single" w:sz="24" w:space="0" w:color="auto"/>
            </w:tcBorders>
            <w:shd w:val="clear" w:color="auto" w:fill="767171" w:themeFill="background2" w:themeFillShade="80"/>
            <w:vAlign w:val="bottom"/>
          </w:tcPr>
          <w:p w14:paraId="01E1F66D"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NegExt.2</w:t>
            </w:r>
            <w:r w:rsidRPr="00DF6930">
              <w:rPr>
                <w:rFonts w:eastAsia="Times New Roman"/>
                <w:color w:val="000000"/>
                <w:sz w:val="18"/>
                <w:szCs w:val="18"/>
              </w:rPr>
              <w:br/>
              <w:t>M</w:t>
            </w:r>
            <w:r>
              <w:rPr>
                <w:rFonts w:eastAsia="Times New Roman"/>
                <w:color w:val="000000"/>
                <w:sz w:val="18"/>
                <w:szCs w:val="18"/>
              </w:rPr>
              <w:t>P</w:t>
            </w:r>
          </w:p>
        </w:tc>
        <w:tc>
          <w:tcPr>
            <w:tcW w:w="720" w:type="dxa"/>
            <w:tcBorders>
              <w:bottom w:val="single" w:sz="24" w:space="0" w:color="auto"/>
            </w:tcBorders>
            <w:shd w:val="clear" w:color="auto" w:fill="767171" w:themeFill="background2" w:themeFillShade="80"/>
            <w:vAlign w:val="bottom"/>
          </w:tcPr>
          <w:p w14:paraId="54B75218"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NegExt.2</w:t>
            </w:r>
            <w:r w:rsidRPr="00DF6930">
              <w:rPr>
                <w:rFonts w:eastAsia="Times New Roman"/>
                <w:color w:val="000000"/>
                <w:sz w:val="18"/>
                <w:szCs w:val="18"/>
              </w:rPr>
              <w:br/>
              <w:t>Q</w:t>
            </w:r>
          </w:p>
        </w:tc>
        <w:tc>
          <w:tcPr>
            <w:tcW w:w="540" w:type="dxa"/>
            <w:tcBorders>
              <w:bottom w:val="single" w:sz="24" w:space="0" w:color="auto"/>
            </w:tcBorders>
            <w:shd w:val="clear" w:color="auto" w:fill="767171" w:themeFill="background2" w:themeFillShade="80"/>
            <w:vAlign w:val="bottom"/>
          </w:tcPr>
          <w:p w14:paraId="17D539CA"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LibNe</w:t>
            </w:r>
            <w:r w:rsidRPr="00DF6930">
              <w:rPr>
                <w:rFonts w:eastAsia="Times New Roman"/>
                <w:color w:val="000000"/>
                <w:sz w:val="18"/>
                <w:szCs w:val="18"/>
              </w:rPr>
              <w:br/>
              <w:t>M</w:t>
            </w:r>
            <w:r>
              <w:rPr>
                <w:rFonts w:eastAsia="Times New Roman"/>
                <w:color w:val="000000"/>
                <w:sz w:val="18"/>
                <w:szCs w:val="18"/>
              </w:rPr>
              <w:t>P</w:t>
            </w:r>
          </w:p>
        </w:tc>
        <w:tc>
          <w:tcPr>
            <w:tcW w:w="630" w:type="dxa"/>
            <w:tcBorders>
              <w:bottom w:val="single" w:sz="24" w:space="0" w:color="auto"/>
            </w:tcBorders>
            <w:shd w:val="clear" w:color="auto" w:fill="767171" w:themeFill="background2" w:themeFillShade="80"/>
            <w:vAlign w:val="bottom"/>
          </w:tcPr>
          <w:p w14:paraId="6A16C768"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LibNeg.</w:t>
            </w:r>
            <w:r w:rsidRPr="00DF6930">
              <w:rPr>
                <w:rFonts w:eastAsia="Times New Roman"/>
                <w:color w:val="000000"/>
                <w:sz w:val="18"/>
                <w:szCs w:val="18"/>
              </w:rPr>
              <w:br/>
              <w:t>Q</w:t>
            </w:r>
          </w:p>
        </w:tc>
      </w:tr>
      <w:tr w:rsidR="004F75AC" w:rsidRPr="00DF6930" w14:paraId="64B216CE" w14:textId="77777777" w:rsidTr="00A752A9">
        <w:trPr>
          <w:trHeight w:val="249"/>
        </w:trPr>
        <w:tc>
          <w:tcPr>
            <w:tcW w:w="715" w:type="dxa"/>
            <w:tcBorders>
              <w:right w:val="single" w:sz="24" w:space="0" w:color="auto"/>
            </w:tcBorders>
            <w:shd w:val="clear" w:color="auto" w:fill="AEAAAA" w:themeFill="background2" w:themeFillShade="BF"/>
            <w:noWrap/>
            <w:vAlign w:val="bottom"/>
            <w:hideMark/>
          </w:tcPr>
          <w:p w14:paraId="46ED8753"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Firmicutes</w:t>
            </w:r>
          </w:p>
        </w:tc>
        <w:tc>
          <w:tcPr>
            <w:tcW w:w="540" w:type="dxa"/>
            <w:tcBorders>
              <w:top w:val="single" w:sz="24" w:space="0" w:color="auto"/>
              <w:left w:val="single" w:sz="24" w:space="0" w:color="auto"/>
            </w:tcBorders>
            <w:shd w:val="clear" w:color="auto" w:fill="AEAAAA" w:themeFill="background2" w:themeFillShade="BF"/>
            <w:noWrap/>
            <w:vAlign w:val="bottom"/>
            <w:hideMark/>
          </w:tcPr>
          <w:p w14:paraId="216D560B" w14:textId="68B8D85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22.5</w:t>
            </w:r>
          </w:p>
        </w:tc>
        <w:tc>
          <w:tcPr>
            <w:tcW w:w="540" w:type="dxa"/>
            <w:tcBorders>
              <w:top w:val="single" w:sz="24" w:space="0" w:color="auto"/>
              <w:right w:val="single" w:sz="24" w:space="0" w:color="auto"/>
            </w:tcBorders>
            <w:shd w:val="clear" w:color="auto" w:fill="AEAAAA" w:themeFill="background2" w:themeFillShade="BF"/>
            <w:noWrap/>
            <w:vAlign w:val="bottom"/>
            <w:hideMark/>
          </w:tcPr>
          <w:p w14:paraId="7A8AA422" w14:textId="706B8ACD"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39.7</w:t>
            </w:r>
          </w:p>
        </w:tc>
        <w:tc>
          <w:tcPr>
            <w:tcW w:w="630" w:type="dxa"/>
            <w:tcBorders>
              <w:top w:val="single" w:sz="24" w:space="0" w:color="auto"/>
              <w:left w:val="single" w:sz="24" w:space="0" w:color="auto"/>
            </w:tcBorders>
            <w:shd w:val="clear" w:color="auto" w:fill="AEAAAA" w:themeFill="background2" w:themeFillShade="BF"/>
            <w:noWrap/>
            <w:vAlign w:val="bottom"/>
            <w:hideMark/>
          </w:tcPr>
          <w:p w14:paraId="33C798C6" w14:textId="47430033"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47.4</w:t>
            </w:r>
          </w:p>
        </w:tc>
        <w:tc>
          <w:tcPr>
            <w:tcW w:w="630" w:type="dxa"/>
            <w:tcBorders>
              <w:top w:val="single" w:sz="24" w:space="0" w:color="auto"/>
              <w:right w:val="single" w:sz="24" w:space="0" w:color="auto"/>
            </w:tcBorders>
            <w:shd w:val="clear" w:color="auto" w:fill="AEAAAA" w:themeFill="background2" w:themeFillShade="BF"/>
            <w:noWrap/>
            <w:vAlign w:val="bottom"/>
            <w:hideMark/>
          </w:tcPr>
          <w:p w14:paraId="0B3CB77A" w14:textId="58007B8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13.</w:t>
            </w:r>
            <w:r w:rsidR="00DC26DD" w:rsidRPr="003A01A9">
              <w:rPr>
                <w:rFonts w:eastAsia="Times New Roman"/>
                <w:color w:val="000000"/>
                <w:sz w:val="18"/>
                <w:szCs w:val="18"/>
              </w:rPr>
              <w:t>2</w:t>
            </w:r>
          </w:p>
        </w:tc>
        <w:tc>
          <w:tcPr>
            <w:tcW w:w="540" w:type="dxa"/>
            <w:tcBorders>
              <w:top w:val="single" w:sz="24" w:space="0" w:color="auto"/>
              <w:left w:val="single" w:sz="24" w:space="0" w:color="auto"/>
            </w:tcBorders>
            <w:shd w:val="clear" w:color="auto" w:fill="AEAAAA" w:themeFill="background2" w:themeFillShade="BF"/>
            <w:noWrap/>
            <w:vAlign w:val="bottom"/>
            <w:hideMark/>
          </w:tcPr>
          <w:p w14:paraId="33578B1A" w14:textId="24B50C4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top w:val="single" w:sz="24" w:space="0" w:color="auto"/>
              <w:right w:val="single" w:sz="24" w:space="0" w:color="auto"/>
            </w:tcBorders>
            <w:shd w:val="clear" w:color="auto" w:fill="AEAAAA" w:themeFill="background2" w:themeFillShade="BF"/>
            <w:noWrap/>
            <w:vAlign w:val="bottom"/>
            <w:hideMark/>
          </w:tcPr>
          <w:p w14:paraId="40803EBC" w14:textId="09900168"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5.</w:t>
            </w:r>
            <w:r w:rsidR="00DC26DD" w:rsidRPr="003A01A9">
              <w:rPr>
                <w:rFonts w:eastAsia="Times New Roman"/>
                <w:color w:val="000000"/>
                <w:sz w:val="18"/>
                <w:szCs w:val="18"/>
              </w:rPr>
              <w:t>5</w:t>
            </w:r>
          </w:p>
        </w:tc>
        <w:tc>
          <w:tcPr>
            <w:tcW w:w="630" w:type="dxa"/>
            <w:tcBorders>
              <w:top w:val="single" w:sz="24" w:space="0" w:color="auto"/>
              <w:left w:val="single" w:sz="24" w:space="0" w:color="auto"/>
            </w:tcBorders>
            <w:shd w:val="clear" w:color="auto" w:fill="AEAAAA" w:themeFill="background2" w:themeFillShade="BF"/>
            <w:noWrap/>
            <w:vAlign w:val="bottom"/>
            <w:hideMark/>
          </w:tcPr>
          <w:p w14:paraId="12F3876B" w14:textId="13D88EC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top w:val="single" w:sz="24" w:space="0" w:color="auto"/>
              <w:right w:val="single" w:sz="24" w:space="0" w:color="auto"/>
            </w:tcBorders>
            <w:shd w:val="clear" w:color="auto" w:fill="AEAAAA" w:themeFill="background2" w:themeFillShade="BF"/>
            <w:vAlign w:val="bottom"/>
          </w:tcPr>
          <w:p w14:paraId="239ED489" w14:textId="24410B8E"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w:t>
            </w:r>
            <w:r w:rsidR="00DC26DD" w:rsidRPr="003A01A9">
              <w:rPr>
                <w:rFonts w:eastAsia="Times New Roman"/>
                <w:color w:val="000000"/>
                <w:sz w:val="18"/>
                <w:szCs w:val="18"/>
              </w:rPr>
              <w:t>3</w:t>
            </w:r>
          </w:p>
        </w:tc>
        <w:tc>
          <w:tcPr>
            <w:tcW w:w="630" w:type="dxa"/>
            <w:tcBorders>
              <w:top w:val="single" w:sz="24" w:space="0" w:color="auto"/>
              <w:left w:val="single" w:sz="24" w:space="0" w:color="auto"/>
            </w:tcBorders>
            <w:shd w:val="clear" w:color="auto" w:fill="AEAAAA" w:themeFill="background2" w:themeFillShade="BF"/>
            <w:vAlign w:val="bottom"/>
          </w:tcPr>
          <w:p w14:paraId="1F4C5C3F"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top w:val="single" w:sz="24" w:space="0" w:color="auto"/>
              <w:right w:val="single" w:sz="24" w:space="0" w:color="auto"/>
            </w:tcBorders>
            <w:shd w:val="clear" w:color="auto" w:fill="AEAAAA" w:themeFill="background2" w:themeFillShade="BF"/>
            <w:vAlign w:val="bottom"/>
          </w:tcPr>
          <w:p w14:paraId="4F7B9382" w14:textId="36FDC6E3"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.0</w:t>
            </w:r>
          </w:p>
        </w:tc>
        <w:tc>
          <w:tcPr>
            <w:tcW w:w="720" w:type="dxa"/>
            <w:tcBorders>
              <w:top w:val="single" w:sz="24" w:space="0" w:color="auto"/>
              <w:left w:val="single" w:sz="24" w:space="0" w:color="auto"/>
            </w:tcBorders>
            <w:shd w:val="clear" w:color="auto" w:fill="AEAAAA" w:themeFill="background2" w:themeFillShade="BF"/>
            <w:vAlign w:val="bottom"/>
          </w:tcPr>
          <w:p w14:paraId="52D6CC06" w14:textId="77777777" w:rsidR="005018BF" w:rsidRPr="003A01A9" w:rsidRDefault="005018BF" w:rsidP="00C84FD5">
            <w:pPr>
              <w:spacing w:after="0" w:line="240" w:lineRule="auto"/>
              <w:jc w:val="right"/>
              <w:rPr>
                <w:rFonts w:eastAsia="Times New Roman"/>
                <w:color w:val="000000"/>
                <w:sz w:val="18"/>
                <w:szCs w:val="18"/>
              </w:rPr>
            </w:pPr>
          </w:p>
          <w:p w14:paraId="155DEE4E"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top w:val="single" w:sz="24" w:space="0" w:color="auto"/>
              <w:right w:val="single" w:sz="24" w:space="0" w:color="auto"/>
            </w:tcBorders>
            <w:shd w:val="clear" w:color="auto" w:fill="AEAAAA" w:themeFill="background2" w:themeFillShade="BF"/>
            <w:vAlign w:val="bottom"/>
          </w:tcPr>
          <w:p w14:paraId="4F8BDDEF" w14:textId="6A83B11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4</w:t>
            </w:r>
          </w:p>
        </w:tc>
        <w:tc>
          <w:tcPr>
            <w:tcW w:w="540" w:type="dxa"/>
            <w:tcBorders>
              <w:top w:val="single" w:sz="24" w:space="0" w:color="auto"/>
              <w:left w:val="single" w:sz="24" w:space="0" w:color="auto"/>
            </w:tcBorders>
            <w:shd w:val="clear" w:color="auto" w:fill="AEAAAA" w:themeFill="background2" w:themeFillShade="BF"/>
            <w:vAlign w:val="bottom"/>
          </w:tcPr>
          <w:p w14:paraId="43CDEB1F" w14:textId="77777777" w:rsidR="005018BF" w:rsidRPr="003A01A9" w:rsidRDefault="005018BF" w:rsidP="00C84FD5">
            <w:pPr>
              <w:spacing w:after="0" w:line="240" w:lineRule="auto"/>
              <w:jc w:val="right"/>
              <w:rPr>
                <w:rFonts w:eastAsia="Times New Roman"/>
                <w:color w:val="000000"/>
                <w:sz w:val="18"/>
                <w:szCs w:val="18"/>
              </w:rPr>
            </w:pPr>
          </w:p>
          <w:p w14:paraId="4DC1E12C"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top w:val="single" w:sz="24" w:space="0" w:color="auto"/>
              <w:right w:val="single" w:sz="24" w:space="0" w:color="auto"/>
            </w:tcBorders>
            <w:shd w:val="clear" w:color="auto" w:fill="AEAAAA" w:themeFill="background2" w:themeFillShade="BF"/>
            <w:vAlign w:val="bottom"/>
          </w:tcPr>
          <w:p w14:paraId="21E837D1" w14:textId="64ACA55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0.2</w:t>
            </w:r>
          </w:p>
        </w:tc>
      </w:tr>
      <w:tr w:rsidR="004F75AC" w:rsidRPr="00DF6930" w14:paraId="670F1AF9" w14:textId="77777777" w:rsidTr="00A752A9">
        <w:trPr>
          <w:trHeight w:val="249"/>
        </w:trPr>
        <w:tc>
          <w:tcPr>
            <w:tcW w:w="715" w:type="dxa"/>
            <w:tcBorders>
              <w:right w:val="single" w:sz="24" w:space="0" w:color="auto"/>
            </w:tcBorders>
            <w:shd w:val="clear" w:color="auto" w:fill="auto"/>
            <w:noWrap/>
            <w:vAlign w:val="bottom"/>
            <w:hideMark/>
          </w:tcPr>
          <w:p w14:paraId="1F21BA6C"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Actinobacteria</w:t>
            </w:r>
          </w:p>
        </w:tc>
        <w:tc>
          <w:tcPr>
            <w:tcW w:w="540" w:type="dxa"/>
            <w:tcBorders>
              <w:left w:val="single" w:sz="24" w:space="0" w:color="auto"/>
            </w:tcBorders>
            <w:shd w:val="clear" w:color="auto" w:fill="auto"/>
            <w:noWrap/>
            <w:vAlign w:val="bottom"/>
            <w:hideMark/>
          </w:tcPr>
          <w:p w14:paraId="6BF9960D" w14:textId="288E98B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12.9</w:t>
            </w:r>
          </w:p>
        </w:tc>
        <w:tc>
          <w:tcPr>
            <w:tcW w:w="540" w:type="dxa"/>
            <w:tcBorders>
              <w:right w:val="single" w:sz="24" w:space="0" w:color="auto"/>
            </w:tcBorders>
            <w:shd w:val="clear" w:color="auto" w:fill="auto"/>
            <w:noWrap/>
            <w:vAlign w:val="bottom"/>
            <w:hideMark/>
          </w:tcPr>
          <w:p w14:paraId="60FE623D" w14:textId="400A2CC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w:t>
            </w:r>
            <w:r w:rsidR="00DC26DD" w:rsidRPr="003A01A9">
              <w:rPr>
                <w:rFonts w:eastAsia="Times New Roman"/>
                <w:color w:val="000000"/>
                <w:sz w:val="18"/>
                <w:szCs w:val="18"/>
              </w:rPr>
              <w:t>3.0</w:t>
            </w:r>
          </w:p>
        </w:tc>
        <w:tc>
          <w:tcPr>
            <w:tcW w:w="630" w:type="dxa"/>
            <w:tcBorders>
              <w:left w:val="single" w:sz="24" w:space="0" w:color="auto"/>
            </w:tcBorders>
            <w:shd w:val="clear" w:color="auto" w:fill="auto"/>
            <w:noWrap/>
            <w:vAlign w:val="bottom"/>
            <w:hideMark/>
          </w:tcPr>
          <w:p w14:paraId="1A0B9F32" w14:textId="7CDAD303"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27.</w:t>
            </w:r>
            <w:r w:rsidR="00DC26DD" w:rsidRPr="003A01A9">
              <w:rPr>
                <w:rFonts w:eastAsia="Times New Roman"/>
                <w:color w:val="000000"/>
                <w:sz w:val="18"/>
                <w:szCs w:val="18"/>
              </w:rPr>
              <w:t>9</w:t>
            </w:r>
          </w:p>
        </w:tc>
        <w:tc>
          <w:tcPr>
            <w:tcW w:w="630" w:type="dxa"/>
            <w:tcBorders>
              <w:right w:val="single" w:sz="24" w:space="0" w:color="auto"/>
            </w:tcBorders>
            <w:shd w:val="clear" w:color="auto" w:fill="auto"/>
            <w:noWrap/>
            <w:vAlign w:val="bottom"/>
            <w:hideMark/>
          </w:tcPr>
          <w:p w14:paraId="4AE6FD42" w14:textId="50E68E9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36.</w:t>
            </w:r>
            <w:r w:rsidR="00DC26DD" w:rsidRPr="003A01A9">
              <w:rPr>
                <w:rFonts w:eastAsia="Times New Roman"/>
                <w:color w:val="000000"/>
                <w:sz w:val="18"/>
                <w:szCs w:val="18"/>
              </w:rPr>
              <w:t>2</w:t>
            </w:r>
          </w:p>
        </w:tc>
        <w:tc>
          <w:tcPr>
            <w:tcW w:w="540" w:type="dxa"/>
            <w:tcBorders>
              <w:left w:val="single" w:sz="24" w:space="0" w:color="auto"/>
            </w:tcBorders>
            <w:shd w:val="clear" w:color="auto" w:fill="auto"/>
            <w:noWrap/>
            <w:vAlign w:val="bottom"/>
            <w:hideMark/>
          </w:tcPr>
          <w:p w14:paraId="1A8E9A61" w14:textId="2590923D"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45.0</w:t>
            </w:r>
          </w:p>
        </w:tc>
        <w:tc>
          <w:tcPr>
            <w:tcW w:w="630" w:type="dxa"/>
            <w:tcBorders>
              <w:right w:val="single" w:sz="24" w:space="0" w:color="auto"/>
            </w:tcBorders>
            <w:shd w:val="clear" w:color="auto" w:fill="auto"/>
            <w:noWrap/>
            <w:vAlign w:val="bottom"/>
            <w:hideMark/>
          </w:tcPr>
          <w:p w14:paraId="6BC54710" w14:textId="0ABB19D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23.6</w:t>
            </w:r>
          </w:p>
        </w:tc>
        <w:tc>
          <w:tcPr>
            <w:tcW w:w="630" w:type="dxa"/>
            <w:tcBorders>
              <w:left w:val="single" w:sz="24" w:space="0" w:color="auto"/>
            </w:tcBorders>
            <w:shd w:val="clear" w:color="auto" w:fill="auto"/>
            <w:noWrap/>
            <w:vAlign w:val="bottom"/>
            <w:hideMark/>
          </w:tcPr>
          <w:p w14:paraId="0A442A20" w14:textId="1AAECDD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80.</w:t>
            </w:r>
            <w:r w:rsidR="00DC26DD" w:rsidRPr="003A01A9">
              <w:rPr>
                <w:rFonts w:eastAsia="Times New Roman"/>
                <w:color w:val="000000"/>
                <w:sz w:val="18"/>
                <w:szCs w:val="18"/>
              </w:rPr>
              <w:t>5</w:t>
            </w:r>
          </w:p>
        </w:tc>
        <w:tc>
          <w:tcPr>
            <w:tcW w:w="630" w:type="dxa"/>
            <w:tcBorders>
              <w:right w:val="single" w:sz="24" w:space="0" w:color="auto"/>
            </w:tcBorders>
            <w:vAlign w:val="bottom"/>
          </w:tcPr>
          <w:p w14:paraId="7410C418" w14:textId="73779CE0"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33.6</w:t>
            </w:r>
          </w:p>
        </w:tc>
        <w:tc>
          <w:tcPr>
            <w:tcW w:w="630" w:type="dxa"/>
            <w:tcBorders>
              <w:left w:val="single" w:sz="24" w:space="0" w:color="auto"/>
            </w:tcBorders>
            <w:vAlign w:val="bottom"/>
          </w:tcPr>
          <w:p w14:paraId="423FCEF2" w14:textId="2B0317F3" w:rsidR="005018BF" w:rsidRPr="003A01A9" w:rsidRDefault="00DC26DD" w:rsidP="00C84FD5">
            <w:pPr>
              <w:spacing w:after="0" w:line="240" w:lineRule="auto"/>
              <w:jc w:val="right"/>
              <w:rPr>
                <w:rFonts w:eastAsia="Times New Roman"/>
                <w:color w:val="000000"/>
                <w:sz w:val="18"/>
                <w:szCs w:val="18"/>
              </w:rPr>
            </w:pPr>
            <w:r w:rsidRPr="003A01A9">
              <w:rPr>
                <w:rFonts w:eastAsia="Times New Roman"/>
                <w:color w:val="000000"/>
                <w:sz w:val="18"/>
                <w:szCs w:val="18"/>
              </w:rPr>
              <w:t>7.0</w:t>
            </w:r>
          </w:p>
        </w:tc>
        <w:tc>
          <w:tcPr>
            <w:tcW w:w="540" w:type="dxa"/>
            <w:tcBorders>
              <w:right w:val="single" w:sz="24" w:space="0" w:color="auto"/>
            </w:tcBorders>
            <w:vAlign w:val="bottom"/>
          </w:tcPr>
          <w:p w14:paraId="24F2E811" w14:textId="110B7D0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1</w:t>
            </w:r>
          </w:p>
        </w:tc>
        <w:tc>
          <w:tcPr>
            <w:tcW w:w="720" w:type="dxa"/>
            <w:tcBorders>
              <w:left w:val="single" w:sz="24" w:space="0" w:color="auto"/>
            </w:tcBorders>
            <w:vAlign w:val="bottom"/>
          </w:tcPr>
          <w:p w14:paraId="15BD98F6" w14:textId="77777777" w:rsidR="005018BF" w:rsidRPr="003A01A9" w:rsidRDefault="005018BF" w:rsidP="00C84FD5">
            <w:pPr>
              <w:spacing w:after="0" w:line="240" w:lineRule="auto"/>
              <w:jc w:val="right"/>
              <w:rPr>
                <w:rFonts w:eastAsia="Times New Roman"/>
                <w:color w:val="000000"/>
                <w:sz w:val="18"/>
                <w:szCs w:val="18"/>
              </w:rPr>
            </w:pPr>
          </w:p>
          <w:p w14:paraId="25A1E578" w14:textId="40C3D51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42.1</w:t>
            </w:r>
          </w:p>
        </w:tc>
        <w:tc>
          <w:tcPr>
            <w:tcW w:w="720" w:type="dxa"/>
            <w:tcBorders>
              <w:right w:val="single" w:sz="24" w:space="0" w:color="auto"/>
            </w:tcBorders>
            <w:vAlign w:val="bottom"/>
          </w:tcPr>
          <w:p w14:paraId="4EECE6BD" w14:textId="31050349"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1</w:t>
            </w:r>
          </w:p>
        </w:tc>
        <w:tc>
          <w:tcPr>
            <w:tcW w:w="540" w:type="dxa"/>
            <w:tcBorders>
              <w:left w:val="single" w:sz="24" w:space="0" w:color="auto"/>
            </w:tcBorders>
            <w:vAlign w:val="bottom"/>
          </w:tcPr>
          <w:p w14:paraId="715CB8B3" w14:textId="77777777" w:rsidR="005018BF" w:rsidRPr="003A01A9" w:rsidRDefault="005018BF" w:rsidP="00C84FD5">
            <w:pPr>
              <w:spacing w:after="0" w:line="240" w:lineRule="auto"/>
              <w:jc w:val="right"/>
              <w:rPr>
                <w:rFonts w:eastAsia="Times New Roman"/>
                <w:color w:val="000000"/>
                <w:sz w:val="18"/>
                <w:szCs w:val="18"/>
              </w:rPr>
            </w:pPr>
          </w:p>
          <w:p w14:paraId="0D269547"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1C398E26" w14:textId="4AF2EE4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1</w:t>
            </w:r>
          </w:p>
        </w:tc>
      </w:tr>
      <w:tr w:rsidR="004F75AC" w:rsidRPr="00DF6930" w14:paraId="177D7D67" w14:textId="77777777" w:rsidTr="00A752A9">
        <w:trPr>
          <w:trHeight w:val="249"/>
        </w:trPr>
        <w:tc>
          <w:tcPr>
            <w:tcW w:w="715" w:type="dxa"/>
            <w:tcBorders>
              <w:right w:val="single" w:sz="24" w:space="0" w:color="auto"/>
            </w:tcBorders>
            <w:shd w:val="clear" w:color="auto" w:fill="AEAAAA" w:themeFill="background2" w:themeFillShade="BF"/>
            <w:noWrap/>
            <w:vAlign w:val="bottom"/>
            <w:hideMark/>
          </w:tcPr>
          <w:p w14:paraId="498AB41F"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Proteobacteria</w:t>
            </w:r>
          </w:p>
        </w:tc>
        <w:tc>
          <w:tcPr>
            <w:tcW w:w="540" w:type="dxa"/>
            <w:tcBorders>
              <w:left w:val="single" w:sz="24" w:space="0" w:color="auto"/>
            </w:tcBorders>
            <w:shd w:val="clear" w:color="auto" w:fill="AEAAAA" w:themeFill="background2" w:themeFillShade="BF"/>
            <w:noWrap/>
            <w:vAlign w:val="bottom"/>
            <w:hideMark/>
          </w:tcPr>
          <w:p w14:paraId="692CF827" w14:textId="01860E1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5.9</w:t>
            </w:r>
          </w:p>
        </w:tc>
        <w:tc>
          <w:tcPr>
            <w:tcW w:w="540" w:type="dxa"/>
            <w:tcBorders>
              <w:right w:val="single" w:sz="24" w:space="0" w:color="auto"/>
            </w:tcBorders>
            <w:shd w:val="clear" w:color="auto" w:fill="AEAAAA" w:themeFill="background2" w:themeFillShade="BF"/>
            <w:noWrap/>
            <w:vAlign w:val="bottom"/>
            <w:hideMark/>
          </w:tcPr>
          <w:p w14:paraId="7D38E9C6" w14:textId="2AEAC26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w:t>
            </w:r>
            <w:r w:rsidR="00DC26DD" w:rsidRPr="003A01A9">
              <w:rPr>
                <w:rFonts w:eastAsia="Times New Roman"/>
                <w:color w:val="000000"/>
                <w:sz w:val="18"/>
                <w:szCs w:val="18"/>
              </w:rPr>
              <w:t>2</w:t>
            </w:r>
          </w:p>
        </w:tc>
        <w:tc>
          <w:tcPr>
            <w:tcW w:w="630" w:type="dxa"/>
            <w:tcBorders>
              <w:left w:val="single" w:sz="24" w:space="0" w:color="auto"/>
            </w:tcBorders>
            <w:shd w:val="clear" w:color="auto" w:fill="AEAAAA" w:themeFill="background2" w:themeFillShade="BF"/>
            <w:noWrap/>
            <w:vAlign w:val="bottom"/>
            <w:hideMark/>
          </w:tcPr>
          <w:p w14:paraId="0B6D4991" w14:textId="75008AD1"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18.</w:t>
            </w:r>
            <w:r w:rsidR="00DC26DD" w:rsidRPr="003A01A9">
              <w:rPr>
                <w:rFonts w:eastAsia="Times New Roman"/>
                <w:color w:val="000000"/>
                <w:sz w:val="18"/>
                <w:szCs w:val="18"/>
              </w:rPr>
              <w:t>4</w:t>
            </w:r>
          </w:p>
        </w:tc>
        <w:tc>
          <w:tcPr>
            <w:tcW w:w="630" w:type="dxa"/>
            <w:tcBorders>
              <w:right w:val="single" w:sz="24" w:space="0" w:color="auto"/>
            </w:tcBorders>
            <w:shd w:val="clear" w:color="auto" w:fill="AEAAAA" w:themeFill="background2" w:themeFillShade="BF"/>
            <w:noWrap/>
            <w:vAlign w:val="bottom"/>
            <w:hideMark/>
          </w:tcPr>
          <w:p w14:paraId="7AAC043B" w14:textId="1C891DE1"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35.6</w:t>
            </w:r>
          </w:p>
        </w:tc>
        <w:tc>
          <w:tcPr>
            <w:tcW w:w="540" w:type="dxa"/>
            <w:tcBorders>
              <w:left w:val="single" w:sz="24" w:space="0" w:color="auto"/>
            </w:tcBorders>
            <w:shd w:val="clear" w:color="auto" w:fill="AEAAAA" w:themeFill="background2" w:themeFillShade="BF"/>
            <w:noWrap/>
            <w:vAlign w:val="bottom"/>
            <w:hideMark/>
          </w:tcPr>
          <w:p w14:paraId="342B535B" w14:textId="69416D6E"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7.</w:t>
            </w:r>
            <w:r w:rsidR="00DC26DD" w:rsidRPr="003A01A9">
              <w:rPr>
                <w:rFonts w:eastAsia="Times New Roman"/>
                <w:color w:val="000000"/>
                <w:sz w:val="18"/>
                <w:szCs w:val="18"/>
              </w:rPr>
              <w:t>7</w:t>
            </w:r>
          </w:p>
        </w:tc>
        <w:tc>
          <w:tcPr>
            <w:tcW w:w="630" w:type="dxa"/>
            <w:tcBorders>
              <w:right w:val="single" w:sz="24" w:space="0" w:color="auto"/>
            </w:tcBorders>
            <w:shd w:val="clear" w:color="auto" w:fill="AEAAAA" w:themeFill="background2" w:themeFillShade="BF"/>
            <w:noWrap/>
            <w:vAlign w:val="bottom"/>
            <w:hideMark/>
          </w:tcPr>
          <w:p w14:paraId="7D2990B6" w14:textId="4288CAB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36.</w:t>
            </w:r>
            <w:r w:rsidR="00DC26DD" w:rsidRPr="003A01A9">
              <w:rPr>
                <w:rFonts w:eastAsia="Times New Roman"/>
                <w:color w:val="000000"/>
                <w:sz w:val="18"/>
                <w:szCs w:val="18"/>
              </w:rPr>
              <w:t>9</w:t>
            </w:r>
          </w:p>
        </w:tc>
        <w:tc>
          <w:tcPr>
            <w:tcW w:w="630" w:type="dxa"/>
            <w:tcBorders>
              <w:left w:val="single" w:sz="24" w:space="0" w:color="auto"/>
            </w:tcBorders>
            <w:shd w:val="clear" w:color="auto" w:fill="AEAAAA" w:themeFill="background2" w:themeFillShade="BF"/>
            <w:noWrap/>
            <w:vAlign w:val="bottom"/>
            <w:hideMark/>
          </w:tcPr>
          <w:p w14:paraId="3EA1A156" w14:textId="2918AD3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19.</w:t>
            </w:r>
            <w:r w:rsidR="00DC26DD" w:rsidRPr="003A01A9">
              <w:rPr>
                <w:rFonts w:eastAsia="Times New Roman"/>
                <w:color w:val="000000"/>
                <w:sz w:val="18"/>
                <w:szCs w:val="18"/>
              </w:rPr>
              <w:t>6</w:t>
            </w:r>
          </w:p>
        </w:tc>
        <w:tc>
          <w:tcPr>
            <w:tcW w:w="630" w:type="dxa"/>
            <w:tcBorders>
              <w:right w:val="single" w:sz="24" w:space="0" w:color="auto"/>
            </w:tcBorders>
            <w:shd w:val="clear" w:color="auto" w:fill="AEAAAA" w:themeFill="background2" w:themeFillShade="BF"/>
            <w:vAlign w:val="bottom"/>
          </w:tcPr>
          <w:p w14:paraId="59B72699" w14:textId="469594B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26.</w:t>
            </w:r>
            <w:r w:rsidR="00DC26DD" w:rsidRPr="003A01A9">
              <w:rPr>
                <w:rFonts w:eastAsia="Times New Roman"/>
                <w:color w:val="000000"/>
                <w:sz w:val="18"/>
                <w:szCs w:val="18"/>
              </w:rPr>
              <w:t>8</w:t>
            </w:r>
          </w:p>
        </w:tc>
        <w:tc>
          <w:tcPr>
            <w:tcW w:w="630" w:type="dxa"/>
            <w:tcBorders>
              <w:left w:val="single" w:sz="24" w:space="0" w:color="auto"/>
            </w:tcBorders>
            <w:shd w:val="clear" w:color="auto" w:fill="AEAAAA" w:themeFill="background2" w:themeFillShade="BF"/>
            <w:vAlign w:val="bottom"/>
          </w:tcPr>
          <w:p w14:paraId="6250AAEC" w14:textId="30BA9A9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93.0</w:t>
            </w:r>
          </w:p>
        </w:tc>
        <w:tc>
          <w:tcPr>
            <w:tcW w:w="540" w:type="dxa"/>
            <w:tcBorders>
              <w:right w:val="single" w:sz="24" w:space="0" w:color="auto"/>
            </w:tcBorders>
            <w:shd w:val="clear" w:color="auto" w:fill="AEAAAA" w:themeFill="background2" w:themeFillShade="BF"/>
            <w:vAlign w:val="bottom"/>
          </w:tcPr>
          <w:p w14:paraId="4BBA1CCA" w14:textId="3A3490B4"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6</w:t>
            </w:r>
          </w:p>
        </w:tc>
        <w:tc>
          <w:tcPr>
            <w:tcW w:w="720" w:type="dxa"/>
            <w:tcBorders>
              <w:left w:val="single" w:sz="24" w:space="0" w:color="auto"/>
            </w:tcBorders>
            <w:shd w:val="clear" w:color="auto" w:fill="AEAAAA" w:themeFill="background2" w:themeFillShade="BF"/>
            <w:vAlign w:val="bottom"/>
          </w:tcPr>
          <w:p w14:paraId="3DEF514B" w14:textId="77777777" w:rsidR="005018BF" w:rsidRPr="003A01A9" w:rsidRDefault="005018BF" w:rsidP="00C84FD5">
            <w:pPr>
              <w:spacing w:after="0" w:line="240" w:lineRule="auto"/>
              <w:jc w:val="right"/>
              <w:rPr>
                <w:rFonts w:eastAsia="Times New Roman"/>
                <w:color w:val="000000"/>
                <w:sz w:val="18"/>
                <w:szCs w:val="18"/>
              </w:rPr>
            </w:pPr>
          </w:p>
          <w:p w14:paraId="210E70E8" w14:textId="33D1FA5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57.9</w:t>
            </w:r>
          </w:p>
        </w:tc>
        <w:tc>
          <w:tcPr>
            <w:tcW w:w="720" w:type="dxa"/>
            <w:tcBorders>
              <w:right w:val="single" w:sz="24" w:space="0" w:color="auto"/>
            </w:tcBorders>
            <w:shd w:val="clear" w:color="auto" w:fill="AEAAAA" w:themeFill="background2" w:themeFillShade="BF"/>
            <w:vAlign w:val="bottom"/>
          </w:tcPr>
          <w:p w14:paraId="420E32C6"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auto" w:fill="AEAAAA" w:themeFill="background2" w:themeFillShade="BF"/>
            <w:vAlign w:val="bottom"/>
          </w:tcPr>
          <w:p w14:paraId="35BE9C23" w14:textId="77777777" w:rsidR="005018BF" w:rsidRPr="003A01A9" w:rsidRDefault="005018BF" w:rsidP="00C84FD5">
            <w:pPr>
              <w:spacing w:after="0" w:line="240" w:lineRule="auto"/>
              <w:jc w:val="right"/>
              <w:rPr>
                <w:rFonts w:eastAsia="Times New Roman"/>
                <w:color w:val="000000"/>
                <w:sz w:val="18"/>
                <w:szCs w:val="18"/>
              </w:rPr>
            </w:pPr>
          </w:p>
          <w:p w14:paraId="6C78CC1F"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vAlign w:val="bottom"/>
          </w:tcPr>
          <w:p w14:paraId="713BA031" w14:textId="3652608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r>
      <w:tr w:rsidR="004F75AC" w:rsidRPr="00DF6930" w14:paraId="7E99CBB1" w14:textId="77777777" w:rsidTr="00A752A9">
        <w:trPr>
          <w:trHeight w:val="249"/>
        </w:trPr>
        <w:tc>
          <w:tcPr>
            <w:tcW w:w="715" w:type="dxa"/>
            <w:tcBorders>
              <w:right w:val="single" w:sz="24" w:space="0" w:color="auto"/>
            </w:tcBorders>
            <w:shd w:val="clear" w:color="auto" w:fill="auto"/>
            <w:noWrap/>
            <w:vAlign w:val="bottom"/>
            <w:hideMark/>
          </w:tcPr>
          <w:p w14:paraId="444086CC"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Bacteroidetes</w:t>
            </w:r>
          </w:p>
        </w:tc>
        <w:tc>
          <w:tcPr>
            <w:tcW w:w="540" w:type="dxa"/>
            <w:tcBorders>
              <w:left w:val="single" w:sz="24" w:space="0" w:color="auto"/>
            </w:tcBorders>
            <w:shd w:val="clear" w:color="auto" w:fill="auto"/>
            <w:noWrap/>
            <w:vAlign w:val="bottom"/>
            <w:hideMark/>
          </w:tcPr>
          <w:p w14:paraId="7A802AA7" w14:textId="571C03D0"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4.</w:t>
            </w:r>
            <w:r w:rsidR="00DC26DD" w:rsidRPr="003A01A9">
              <w:rPr>
                <w:rFonts w:eastAsia="Times New Roman"/>
                <w:color w:val="000000"/>
                <w:sz w:val="18"/>
                <w:szCs w:val="18"/>
              </w:rPr>
              <w:t>1</w:t>
            </w:r>
          </w:p>
        </w:tc>
        <w:tc>
          <w:tcPr>
            <w:tcW w:w="540" w:type="dxa"/>
            <w:tcBorders>
              <w:right w:val="single" w:sz="24" w:space="0" w:color="auto"/>
            </w:tcBorders>
            <w:shd w:val="clear" w:color="auto" w:fill="auto"/>
            <w:noWrap/>
            <w:vAlign w:val="bottom"/>
            <w:hideMark/>
          </w:tcPr>
          <w:p w14:paraId="21F1541D" w14:textId="4F5E1E09"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2.0</w:t>
            </w:r>
          </w:p>
        </w:tc>
        <w:tc>
          <w:tcPr>
            <w:tcW w:w="630" w:type="dxa"/>
            <w:tcBorders>
              <w:left w:val="single" w:sz="24" w:space="0" w:color="auto"/>
            </w:tcBorders>
            <w:shd w:val="clear" w:color="auto" w:fill="auto"/>
            <w:noWrap/>
            <w:vAlign w:val="bottom"/>
            <w:hideMark/>
          </w:tcPr>
          <w:p w14:paraId="4234915C" w14:textId="30DA7255"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75B9526E" w14:textId="6F153B19"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2.1</w:t>
            </w:r>
          </w:p>
        </w:tc>
        <w:tc>
          <w:tcPr>
            <w:tcW w:w="540" w:type="dxa"/>
            <w:tcBorders>
              <w:left w:val="single" w:sz="24" w:space="0" w:color="auto"/>
            </w:tcBorders>
            <w:shd w:val="clear" w:color="auto" w:fill="auto"/>
            <w:noWrap/>
            <w:vAlign w:val="bottom"/>
            <w:hideMark/>
          </w:tcPr>
          <w:p w14:paraId="619C4842" w14:textId="0E100E6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438D0762" w14:textId="1925911D"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3.0</w:t>
            </w:r>
          </w:p>
        </w:tc>
        <w:tc>
          <w:tcPr>
            <w:tcW w:w="630" w:type="dxa"/>
            <w:tcBorders>
              <w:left w:val="single" w:sz="24" w:space="0" w:color="auto"/>
            </w:tcBorders>
            <w:shd w:val="clear" w:color="auto" w:fill="auto"/>
            <w:noWrap/>
            <w:vAlign w:val="bottom"/>
            <w:hideMark/>
          </w:tcPr>
          <w:p w14:paraId="14611AAA" w14:textId="32BA678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6C4899FC" w14:textId="7F73C59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w:t>
            </w:r>
            <w:r w:rsidR="00DC26DD" w:rsidRPr="003A01A9">
              <w:rPr>
                <w:rFonts w:eastAsia="Times New Roman"/>
                <w:color w:val="000000"/>
                <w:sz w:val="18"/>
                <w:szCs w:val="18"/>
              </w:rPr>
              <w:t>7</w:t>
            </w:r>
          </w:p>
        </w:tc>
        <w:tc>
          <w:tcPr>
            <w:tcW w:w="630" w:type="dxa"/>
            <w:tcBorders>
              <w:left w:val="single" w:sz="24" w:space="0" w:color="auto"/>
            </w:tcBorders>
            <w:vAlign w:val="bottom"/>
          </w:tcPr>
          <w:p w14:paraId="38485B86"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4AEBEAA3" w14:textId="56DA15B0"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720" w:type="dxa"/>
            <w:tcBorders>
              <w:left w:val="single" w:sz="24" w:space="0" w:color="auto"/>
            </w:tcBorders>
            <w:vAlign w:val="bottom"/>
          </w:tcPr>
          <w:p w14:paraId="57954994" w14:textId="77777777" w:rsidR="005018BF" w:rsidRPr="003A01A9" w:rsidRDefault="005018BF" w:rsidP="00C84FD5">
            <w:pPr>
              <w:spacing w:after="0" w:line="240" w:lineRule="auto"/>
              <w:jc w:val="right"/>
              <w:rPr>
                <w:rFonts w:eastAsia="Times New Roman"/>
                <w:color w:val="000000"/>
                <w:sz w:val="18"/>
                <w:szCs w:val="18"/>
              </w:rPr>
            </w:pPr>
          </w:p>
          <w:p w14:paraId="15348EDB"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vAlign w:val="bottom"/>
          </w:tcPr>
          <w:p w14:paraId="1C59241A" w14:textId="67112A9E"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540" w:type="dxa"/>
            <w:tcBorders>
              <w:left w:val="single" w:sz="24" w:space="0" w:color="auto"/>
            </w:tcBorders>
            <w:vAlign w:val="bottom"/>
          </w:tcPr>
          <w:p w14:paraId="22CACA4C" w14:textId="77777777" w:rsidR="005018BF" w:rsidRPr="003A01A9" w:rsidRDefault="005018BF" w:rsidP="00C84FD5">
            <w:pPr>
              <w:spacing w:after="0" w:line="240" w:lineRule="auto"/>
              <w:jc w:val="right"/>
              <w:rPr>
                <w:rFonts w:eastAsia="Times New Roman"/>
                <w:color w:val="000000"/>
                <w:sz w:val="18"/>
                <w:szCs w:val="18"/>
              </w:rPr>
            </w:pPr>
          </w:p>
          <w:p w14:paraId="58BF78B6"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4486B350" w14:textId="0B257050"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0.2</w:t>
            </w:r>
          </w:p>
        </w:tc>
      </w:tr>
      <w:tr w:rsidR="004F75AC" w:rsidRPr="00DF6930" w14:paraId="168FD1F0" w14:textId="77777777" w:rsidTr="00A752A9">
        <w:trPr>
          <w:trHeight w:val="249"/>
        </w:trPr>
        <w:tc>
          <w:tcPr>
            <w:tcW w:w="715" w:type="dxa"/>
            <w:tcBorders>
              <w:right w:val="single" w:sz="24" w:space="0" w:color="auto"/>
            </w:tcBorders>
            <w:shd w:val="clear" w:color="auto" w:fill="AEAAAA" w:themeFill="background2" w:themeFillShade="BF"/>
            <w:noWrap/>
            <w:vAlign w:val="bottom"/>
            <w:hideMark/>
          </w:tcPr>
          <w:p w14:paraId="6D283803"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Fusobacteria</w:t>
            </w:r>
          </w:p>
        </w:tc>
        <w:tc>
          <w:tcPr>
            <w:tcW w:w="540" w:type="dxa"/>
            <w:tcBorders>
              <w:left w:val="single" w:sz="24" w:space="0" w:color="auto"/>
            </w:tcBorders>
            <w:shd w:val="clear" w:color="auto" w:fill="AEAAAA" w:themeFill="background2" w:themeFillShade="BF"/>
            <w:noWrap/>
            <w:vAlign w:val="bottom"/>
            <w:hideMark/>
          </w:tcPr>
          <w:p w14:paraId="3AF9CEE4" w14:textId="68CB16E4"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540" w:type="dxa"/>
            <w:tcBorders>
              <w:right w:val="single" w:sz="24" w:space="0" w:color="auto"/>
            </w:tcBorders>
            <w:shd w:val="clear" w:color="auto" w:fill="AEAAAA" w:themeFill="background2" w:themeFillShade="BF"/>
            <w:noWrap/>
            <w:vAlign w:val="bottom"/>
            <w:hideMark/>
          </w:tcPr>
          <w:p w14:paraId="1C82C7CA" w14:textId="52923DE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0.4</w:t>
            </w:r>
          </w:p>
        </w:tc>
        <w:tc>
          <w:tcPr>
            <w:tcW w:w="630" w:type="dxa"/>
            <w:tcBorders>
              <w:left w:val="single" w:sz="24" w:space="0" w:color="auto"/>
            </w:tcBorders>
            <w:shd w:val="clear" w:color="auto" w:fill="AEAAAA" w:themeFill="background2" w:themeFillShade="BF"/>
            <w:noWrap/>
            <w:vAlign w:val="bottom"/>
            <w:hideMark/>
          </w:tcPr>
          <w:p w14:paraId="60374462" w14:textId="4760EAD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noWrap/>
            <w:vAlign w:val="bottom"/>
            <w:hideMark/>
          </w:tcPr>
          <w:p w14:paraId="43473FB0" w14:textId="40D9656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auto" w:fill="AEAAAA" w:themeFill="background2" w:themeFillShade="BF"/>
            <w:noWrap/>
            <w:vAlign w:val="bottom"/>
            <w:hideMark/>
          </w:tcPr>
          <w:p w14:paraId="1F6325D8" w14:textId="1906099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noWrap/>
            <w:vAlign w:val="bottom"/>
            <w:hideMark/>
          </w:tcPr>
          <w:p w14:paraId="39AFA051" w14:textId="0A206DE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auto" w:fill="AEAAAA" w:themeFill="background2" w:themeFillShade="BF"/>
            <w:noWrap/>
            <w:vAlign w:val="bottom"/>
            <w:hideMark/>
          </w:tcPr>
          <w:p w14:paraId="21A61CE4" w14:textId="3421AD1C"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vAlign w:val="bottom"/>
          </w:tcPr>
          <w:p w14:paraId="7CAF2C05" w14:textId="0962C9E8"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auto" w:fill="AEAAAA" w:themeFill="background2" w:themeFillShade="BF"/>
            <w:vAlign w:val="bottom"/>
          </w:tcPr>
          <w:p w14:paraId="6738A9CF"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auto" w:fill="AEAAAA" w:themeFill="background2" w:themeFillShade="BF"/>
            <w:vAlign w:val="bottom"/>
          </w:tcPr>
          <w:p w14:paraId="03D75CEB"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left w:val="single" w:sz="24" w:space="0" w:color="auto"/>
            </w:tcBorders>
            <w:shd w:val="clear" w:color="auto" w:fill="AEAAAA" w:themeFill="background2" w:themeFillShade="BF"/>
            <w:vAlign w:val="bottom"/>
          </w:tcPr>
          <w:p w14:paraId="78145A5E" w14:textId="77777777" w:rsidR="005018BF" w:rsidRPr="003A01A9" w:rsidRDefault="005018BF" w:rsidP="00C84FD5">
            <w:pPr>
              <w:spacing w:after="0" w:line="240" w:lineRule="auto"/>
              <w:jc w:val="right"/>
              <w:rPr>
                <w:rFonts w:eastAsia="Times New Roman"/>
                <w:color w:val="000000"/>
                <w:sz w:val="18"/>
                <w:szCs w:val="18"/>
              </w:rPr>
            </w:pPr>
          </w:p>
          <w:p w14:paraId="3FDBAE6D"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shd w:val="clear" w:color="auto" w:fill="AEAAAA" w:themeFill="background2" w:themeFillShade="BF"/>
            <w:vAlign w:val="bottom"/>
          </w:tcPr>
          <w:p w14:paraId="69BF6330" w14:textId="189CE171"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auto" w:fill="AEAAAA" w:themeFill="background2" w:themeFillShade="BF"/>
            <w:vAlign w:val="bottom"/>
          </w:tcPr>
          <w:p w14:paraId="6E4D0F3D" w14:textId="77777777" w:rsidR="005018BF" w:rsidRPr="003A01A9" w:rsidRDefault="005018BF" w:rsidP="00C84FD5">
            <w:pPr>
              <w:spacing w:after="0" w:line="240" w:lineRule="auto"/>
              <w:jc w:val="right"/>
              <w:rPr>
                <w:rFonts w:eastAsia="Times New Roman"/>
                <w:color w:val="000000"/>
                <w:sz w:val="18"/>
                <w:szCs w:val="18"/>
              </w:rPr>
            </w:pPr>
          </w:p>
          <w:p w14:paraId="1D4E7918"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vAlign w:val="bottom"/>
          </w:tcPr>
          <w:p w14:paraId="668850C7" w14:textId="7E973DA9"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1</w:t>
            </w:r>
          </w:p>
        </w:tc>
      </w:tr>
      <w:tr w:rsidR="004F75AC" w:rsidRPr="00DF6930" w14:paraId="0ED189BF" w14:textId="77777777" w:rsidTr="00A752A9">
        <w:trPr>
          <w:trHeight w:val="249"/>
        </w:trPr>
        <w:tc>
          <w:tcPr>
            <w:tcW w:w="715" w:type="dxa"/>
            <w:tcBorders>
              <w:right w:val="single" w:sz="24" w:space="0" w:color="auto"/>
            </w:tcBorders>
            <w:shd w:val="clear" w:color="auto" w:fill="auto"/>
            <w:noWrap/>
            <w:vAlign w:val="bottom"/>
            <w:hideMark/>
          </w:tcPr>
          <w:p w14:paraId="2675B064"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Euryarchaeota</w:t>
            </w:r>
          </w:p>
        </w:tc>
        <w:tc>
          <w:tcPr>
            <w:tcW w:w="540" w:type="dxa"/>
            <w:tcBorders>
              <w:left w:val="single" w:sz="24" w:space="0" w:color="auto"/>
            </w:tcBorders>
            <w:shd w:val="clear" w:color="auto" w:fill="auto"/>
            <w:noWrap/>
            <w:vAlign w:val="bottom"/>
            <w:hideMark/>
          </w:tcPr>
          <w:p w14:paraId="0BFCBBC1" w14:textId="523A268F"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48.1</w:t>
            </w:r>
          </w:p>
        </w:tc>
        <w:tc>
          <w:tcPr>
            <w:tcW w:w="540" w:type="dxa"/>
            <w:tcBorders>
              <w:right w:val="single" w:sz="24" w:space="0" w:color="auto"/>
            </w:tcBorders>
            <w:shd w:val="clear" w:color="auto" w:fill="auto"/>
            <w:noWrap/>
            <w:vAlign w:val="bottom"/>
            <w:hideMark/>
          </w:tcPr>
          <w:p w14:paraId="79BBA344" w14:textId="0EE3C1E6"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12.8</w:t>
            </w:r>
          </w:p>
        </w:tc>
        <w:tc>
          <w:tcPr>
            <w:tcW w:w="630" w:type="dxa"/>
            <w:tcBorders>
              <w:left w:val="single" w:sz="24" w:space="0" w:color="auto"/>
            </w:tcBorders>
            <w:shd w:val="clear" w:color="auto" w:fill="auto"/>
            <w:noWrap/>
            <w:vAlign w:val="bottom"/>
            <w:hideMark/>
          </w:tcPr>
          <w:p w14:paraId="2E7364D6" w14:textId="6C1E0A4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1BF02668" w14:textId="3F3073D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auto" w:fill="auto"/>
            <w:noWrap/>
            <w:vAlign w:val="bottom"/>
            <w:hideMark/>
          </w:tcPr>
          <w:p w14:paraId="66FE3441" w14:textId="17A9F2B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41277E99" w14:textId="398A4FB4"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2</w:t>
            </w:r>
          </w:p>
        </w:tc>
        <w:tc>
          <w:tcPr>
            <w:tcW w:w="630" w:type="dxa"/>
            <w:tcBorders>
              <w:left w:val="single" w:sz="24" w:space="0" w:color="auto"/>
            </w:tcBorders>
            <w:shd w:val="clear" w:color="auto" w:fill="auto"/>
            <w:noWrap/>
            <w:vAlign w:val="bottom"/>
            <w:hideMark/>
          </w:tcPr>
          <w:p w14:paraId="23309D62" w14:textId="0AFADE9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1B127E5D" w14:textId="05BB9C2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vAlign w:val="bottom"/>
          </w:tcPr>
          <w:p w14:paraId="2F866D62"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531F19E6"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left w:val="single" w:sz="24" w:space="0" w:color="auto"/>
            </w:tcBorders>
            <w:vAlign w:val="bottom"/>
          </w:tcPr>
          <w:p w14:paraId="6B316977" w14:textId="77777777" w:rsidR="005018BF" w:rsidRPr="003A01A9" w:rsidRDefault="005018BF" w:rsidP="00C84FD5">
            <w:pPr>
              <w:spacing w:after="0" w:line="240" w:lineRule="auto"/>
              <w:jc w:val="right"/>
              <w:rPr>
                <w:rFonts w:eastAsia="Times New Roman"/>
                <w:color w:val="000000"/>
                <w:sz w:val="18"/>
                <w:szCs w:val="18"/>
              </w:rPr>
            </w:pPr>
          </w:p>
          <w:p w14:paraId="61A7DD0F"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vAlign w:val="bottom"/>
          </w:tcPr>
          <w:p w14:paraId="7FD878C3" w14:textId="197DBD8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vAlign w:val="bottom"/>
          </w:tcPr>
          <w:p w14:paraId="2E9DDBC2" w14:textId="77777777" w:rsidR="005018BF" w:rsidRPr="003A01A9" w:rsidRDefault="005018BF" w:rsidP="00C84FD5">
            <w:pPr>
              <w:spacing w:after="0" w:line="240" w:lineRule="auto"/>
              <w:jc w:val="right"/>
              <w:rPr>
                <w:rFonts w:eastAsia="Times New Roman"/>
                <w:color w:val="000000"/>
                <w:sz w:val="18"/>
                <w:szCs w:val="18"/>
              </w:rPr>
            </w:pPr>
          </w:p>
          <w:p w14:paraId="79047252" w14:textId="77777777"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3AA2B39E" w14:textId="77B10B1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4F75AC" w:rsidRPr="00DF6930" w14:paraId="24BA2BF7" w14:textId="77777777" w:rsidTr="00A752A9">
        <w:trPr>
          <w:trHeight w:val="249"/>
        </w:trPr>
        <w:tc>
          <w:tcPr>
            <w:tcW w:w="715" w:type="dxa"/>
            <w:tcBorders>
              <w:right w:val="single" w:sz="24" w:space="0" w:color="auto"/>
            </w:tcBorders>
            <w:shd w:val="clear" w:color="auto" w:fill="AEAAAA" w:themeFill="background2" w:themeFillShade="BF"/>
            <w:noWrap/>
            <w:vAlign w:val="bottom"/>
            <w:hideMark/>
          </w:tcPr>
          <w:p w14:paraId="179E1398" w14:textId="77777777" w:rsidR="005018BF" w:rsidRPr="00DF6930" w:rsidRDefault="005018BF" w:rsidP="005018BF">
            <w:pPr>
              <w:spacing w:after="0" w:line="240" w:lineRule="auto"/>
              <w:jc w:val="center"/>
              <w:rPr>
                <w:rFonts w:eastAsia="Times New Roman"/>
                <w:color w:val="000000"/>
                <w:sz w:val="18"/>
                <w:szCs w:val="18"/>
              </w:rPr>
            </w:pPr>
            <w:r w:rsidRPr="00DF6930">
              <w:rPr>
                <w:rFonts w:eastAsia="Times New Roman"/>
                <w:color w:val="000000"/>
                <w:sz w:val="18"/>
                <w:szCs w:val="18"/>
              </w:rPr>
              <w:t>Saccharibacteria</w:t>
            </w:r>
          </w:p>
        </w:tc>
        <w:tc>
          <w:tcPr>
            <w:tcW w:w="540" w:type="dxa"/>
            <w:tcBorders>
              <w:left w:val="single" w:sz="24" w:space="0" w:color="auto"/>
            </w:tcBorders>
            <w:shd w:val="clear" w:color="auto" w:fill="AEAAAA" w:themeFill="background2" w:themeFillShade="BF"/>
            <w:noWrap/>
            <w:vAlign w:val="bottom"/>
            <w:hideMark/>
          </w:tcPr>
          <w:p w14:paraId="26627255" w14:textId="1BE60DD9"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1.5</w:t>
            </w:r>
          </w:p>
        </w:tc>
        <w:tc>
          <w:tcPr>
            <w:tcW w:w="540" w:type="dxa"/>
            <w:tcBorders>
              <w:right w:val="single" w:sz="24" w:space="0" w:color="auto"/>
            </w:tcBorders>
            <w:shd w:val="clear" w:color="auto" w:fill="AEAAAA" w:themeFill="background2" w:themeFillShade="BF"/>
            <w:noWrap/>
            <w:vAlign w:val="bottom"/>
            <w:hideMark/>
          </w:tcPr>
          <w:p w14:paraId="29C8DEA1" w14:textId="4F0BB320"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5.5</w:t>
            </w:r>
          </w:p>
        </w:tc>
        <w:tc>
          <w:tcPr>
            <w:tcW w:w="630" w:type="dxa"/>
            <w:tcBorders>
              <w:left w:val="single" w:sz="24" w:space="0" w:color="auto"/>
            </w:tcBorders>
            <w:shd w:val="clear" w:color="auto" w:fill="AEAAAA" w:themeFill="background2" w:themeFillShade="BF"/>
            <w:noWrap/>
            <w:vAlign w:val="bottom"/>
            <w:hideMark/>
          </w:tcPr>
          <w:p w14:paraId="1A117F5D" w14:textId="577D2D45"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noWrap/>
            <w:vAlign w:val="bottom"/>
            <w:hideMark/>
          </w:tcPr>
          <w:p w14:paraId="2C4FC118" w14:textId="310F9E16"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0.4</w:t>
            </w:r>
          </w:p>
        </w:tc>
        <w:tc>
          <w:tcPr>
            <w:tcW w:w="540" w:type="dxa"/>
            <w:tcBorders>
              <w:left w:val="single" w:sz="24" w:space="0" w:color="auto"/>
            </w:tcBorders>
            <w:shd w:val="clear" w:color="auto" w:fill="AEAAAA" w:themeFill="background2" w:themeFillShade="BF"/>
            <w:noWrap/>
            <w:vAlign w:val="bottom"/>
            <w:hideMark/>
          </w:tcPr>
          <w:p w14:paraId="0AAF72F0" w14:textId="6DD0432B"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noWrap/>
            <w:vAlign w:val="bottom"/>
            <w:hideMark/>
          </w:tcPr>
          <w:p w14:paraId="07D92407" w14:textId="7C9BCF6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0.6</w:t>
            </w:r>
          </w:p>
        </w:tc>
        <w:tc>
          <w:tcPr>
            <w:tcW w:w="630" w:type="dxa"/>
            <w:tcBorders>
              <w:left w:val="single" w:sz="24" w:space="0" w:color="auto"/>
            </w:tcBorders>
            <w:shd w:val="clear" w:color="auto" w:fill="AEAAAA" w:themeFill="background2" w:themeFillShade="BF"/>
            <w:noWrap/>
            <w:vAlign w:val="bottom"/>
            <w:hideMark/>
          </w:tcPr>
          <w:p w14:paraId="3047D4EB" w14:textId="553940E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vAlign w:val="bottom"/>
          </w:tcPr>
          <w:p w14:paraId="4EC013F0" w14:textId="7415DC91"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auto" w:fill="AEAAAA" w:themeFill="background2" w:themeFillShade="BF"/>
            <w:vAlign w:val="bottom"/>
          </w:tcPr>
          <w:p w14:paraId="39C9AC7D" w14:textId="7777777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auto" w:fill="AEAAAA" w:themeFill="background2" w:themeFillShade="BF"/>
            <w:vAlign w:val="bottom"/>
          </w:tcPr>
          <w:p w14:paraId="08EB0A22" w14:textId="7777777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left w:val="single" w:sz="24" w:space="0" w:color="auto"/>
            </w:tcBorders>
            <w:shd w:val="clear" w:color="auto" w:fill="AEAAAA" w:themeFill="background2" w:themeFillShade="BF"/>
            <w:vAlign w:val="bottom"/>
          </w:tcPr>
          <w:p w14:paraId="3BF08235" w14:textId="77777777" w:rsidR="005018BF" w:rsidRPr="003A01A9" w:rsidRDefault="005018BF" w:rsidP="00C84FD5">
            <w:pPr>
              <w:spacing w:after="0" w:line="240" w:lineRule="auto"/>
              <w:jc w:val="right"/>
              <w:rPr>
                <w:rFonts w:eastAsia="Times New Roman"/>
                <w:color w:val="000000"/>
                <w:sz w:val="18"/>
                <w:szCs w:val="18"/>
              </w:rPr>
            </w:pPr>
          </w:p>
          <w:p w14:paraId="14C00C84" w14:textId="7777777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shd w:val="clear" w:color="auto" w:fill="AEAAAA" w:themeFill="background2" w:themeFillShade="BF"/>
            <w:vAlign w:val="bottom"/>
          </w:tcPr>
          <w:p w14:paraId="26ACCE97" w14:textId="07DD1A1F"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auto" w:fill="AEAAAA" w:themeFill="background2" w:themeFillShade="BF"/>
            <w:vAlign w:val="bottom"/>
          </w:tcPr>
          <w:p w14:paraId="4E7E37E5" w14:textId="77777777" w:rsidR="005018BF" w:rsidRPr="003A01A9" w:rsidRDefault="005018BF" w:rsidP="00C84FD5">
            <w:pPr>
              <w:spacing w:after="0" w:line="240" w:lineRule="auto"/>
              <w:jc w:val="right"/>
              <w:rPr>
                <w:rFonts w:eastAsia="Times New Roman"/>
                <w:color w:val="000000"/>
                <w:sz w:val="18"/>
                <w:szCs w:val="18"/>
              </w:rPr>
            </w:pPr>
          </w:p>
          <w:p w14:paraId="5B331924" w14:textId="7777777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EAAAA" w:themeFill="background2" w:themeFillShade="BF"/>
            <w:vAlign w:val="bottom"/>
          </w:tcPr>
          <w:p w14:paraId="525868D2" w14:textId="4A77F9A5"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4F75AC" w:rsidRPr="00DF6930" w14:paraId="5569A459" w14:textId="77777777" w:rsidTr="00A752A9">
        <w:trPr>
          <w:trHeight w:val="249"/>
        </w:trPr>
        <w:tc>
          <w:tcPr>
            <w:tcW w:w="715" w:type="dxa"/>
            <w:tcBorders>
              <w:right w:val="single" w:sz="24" w:space="0" w:color="auto"/>
            </w:tcBorders>
            <w:shd w:val="clear" w:color="auto" w:fill="auto"/>
            <w:noWrap/>
            <w:vAlign w:val="bottom"/>
          </w:tcPr>
          <w:p w14:paraId="153556E2" w14:textId="77777777" w:rsidR="005018BF" w:rsidRPr="00DF6930" w:rsidRDefault="005018BF" w:rsidP="005018BF">
            <w:pPr>
              <w:spacing w:after="0" w:line="240" w:lineRule="auto"/>
              <w:jc w:val="center"/>
              <w:rPr>
                <w:rFonts w:eastAsia="Times New Roman"/>
                <w:color w:val="000000"/>
                <w:sz w:val="18"/>
                <w:szCs w:val="18"/>
              </w:rPr>
            </w:pPr>
            <w:r>
              <w:rPr>
                <w:rFonts w:eastAsia="Times New Roman"/>
                <w:color w:val="000000"/>
                <w:sz w:val="18"/>
                <w:szCs w:val="18"/>
              </w:rPr>
              <w:t>Acidobacteria</w:t>
            </w:r>
          </w:p>
        </w:tc>
        <w:tc>
          <w:tcPr>
            <w:tcW w:w="540" w:type="dxa"/>
            <w:tcBorders>
              <w:left w:val="single" w:sz="24" w:space="0" w:color="auto"/>
              <w:bottom w:val="single" w:sz="24" w:space="0" w:color="auto"/>
            </w:tcBorders>
            <w:shd w:val="clear" w:color="auto" w:fill="auto"/>
            <w:noWrap/>
            <w:vAlign w:val="bottom"/>
          </w:tcPr>
          <w:p w14:paraId="3A52DFC3" w14:textId="3296430E" w:rsidR="005018BF" w:rsidRPr="003A01A9" w:rsidRDefault="00DC26DD"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bottom w:val="single" w:sz="24" w:space="0" w:color="auto"/>
              <w:right w:val="single" w:sz="24" w:space="0" w:color="auto"/>
            </w:tcBorders>
            <w:shd w:val="clear" w:color="auto" w:fill="auto"/>
            <w:noWrap/>
            <w:vAlign w:val="bottom"/>
          </w:tcPr>
          <w:p w14:paraId="185F1681" w14:textId="2A59B89A"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bottom w:val="single" w:sz="24" w:space="0" w:color="auto"/>
            </w:tcBorders>
            <w:shd w:val="clear" w:color="auto" w:fill="auto"/>
            <w:noWrap/>
            <w:vAlign w:val="bottom"/>
          </w:tcPr>
          <w:p w14:paraId="12EF2477" w14:textId="3D62D88F" w:rsidR="005018BF" w:rsidRPr="003A01A9" w:rsidRDefault="00DC26DD"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bottom w:val="single" w:sz="24" w:space="0" w:color="auto"/>
              <w:right w:val="single" w:sz="24" w:space="0" w:color="auto"/>
            </w:tcBorders>
            <w:shd w:val="clear" w:color="auto" w:fill="auto"/>
            <w:noWrap/>
            <w:vAlign w:val="bottom"/>
          </w:tcPr>
          <w:p w14:paraId="7B569549" w14:textId="60DD9E52"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bottom w:val="single" w:sz="24" w:space="0" w:color="auto"/>
            </w:tcBorders>
            <w:shd w:val="clear" w:color="auto" w:fill="auto"/>
            <w:noWrap/>
            <w:vAlign w:val="bottom"/>
          </w:tcPr>
          <w:p w14:paraId="43AA0A3B" w14:textId="3C410A3D" w:rsidR="005018BF" w:rsidRPr="003A01A9" w:rsidRDefault="00DC26DD"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bottom w:val="single" w:sz="24" w:space="0" w:color="auto"/>
              <w:right w:val="single" w:sz="24" w:space="0" w:color="auto"/>
            </w:tcBorders>
            <w:shd w:val="clear" w:color="auto" w:fill="auto"/>
            <w:noWrap/>
            <w:vAlign w:val="bottom"/>
          </w:tcPr>
          <w:p w14:paraId="6D5744E2" w14:textId="26328EC4" w:rsidR="005018BF" w:rsidRPr="003A01A9" w:rsidRDefault="005018BF" w:rsidP="00C84FD5">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bottom w:val="single" w:sz="24" w:space="0" w:color="auto"/>
            </w:tcBorders>
            <w:shd w:val="clear" w:color="auto" w:fill="auto"/>
            <w:noWrap/>
            <w:vAlign w:val="bottom"/>
          </w:tcPr>
          <w:p w14:paraId="47FA8EEF" w14:textId="78780B68" w:rsidR="005018BF" w:rsidRPr="003A01A9" w:rsidRDefault="00DC26DD" w:rsidP="00C84FD5">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bottom w:val="single" w:sz="24" w:space="0" w:color="auto"/>
              <w:right w:val="single" w:sz="24" w:space="0" w:color="auto"/>
            </w:tcBorders>
            <w:vAlign w:val="bottom"/>
          </w:tcPr>
          <w:p w14:paraId="724A31F9" w14:textId="58C40C39"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2</w:t>
            </w:r>
          </w:p>
        </w:tc>
        <w:tc>
          <w:tcPr>
            <w:tcW w:w="630" w:type="dxa"/>
            <w:tcBorders>
              <w:left w:val="single" w:sz="24" w:space="0" w:color="auto"/>
              <w:bottom w:val="single" w:sz="24" w:space="0" w:color="auto"/>
            </w:tcBorders>
            <w:vAlign w:val="bottom"/>
          </w:tcPr>
          <w:p w14:paraId="236C24C8" w14:textId="54B5CFFD"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.0</w:t>
            </w:r>
          </w:p>
        </w:tc>
        <w:tc>
          <w:tcPr>
            <w:tcW w:w="540" w:type="dxa"/>
            <w:tcBorders>
              <w:bottom w:val="single" w:sz="24" w:space="0" w:color="auto"/>
              <w:right w:val="single" w:sz="24" w:space="0" w:color="auto"/>
            </w:tcBorders>
            <w:vAlign w:val="bottom"/>
          </w:tcPr>
          <w:p w14:paraId="06CBC1EF" w14:textId="33C2E50E"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left w:val="single" w:sz="24" w:space="0" w:color="auto"/>
              <w:bottom w:val="single" w:sz="24" w:space="0" w:color="auto"/>
            </w:tcBorders>
            <w:vAlign w:val="bottom"/>
          </w:tcPr>
          <w:p w14:paraId="51DBA6EB" w14:textId="77777777" w:rsidR="005018BF" w:rsidRPr="003A01A9" w:rsidRDefault="005018BF" w:rsidP="00C84FD5">
            <w:pPr>
              <w:spacing w:after="0" w:line="240" w:lineRule="auto"/>
              <w:jc w:val="right"/>
              <w:rPr>
                <w:rFonts w:eastAsia="Times New Roman"/>
                <w:color w:val="000000"/>
                <w:sz w:val="18"/>
                <w:szCs w:val="18"/>
              </w:rPr>
            </w:pPr>
          </w:p>
          <w:p w14:paraId="729F6EF1" w14:textId="64DD5A93" w:rsidR="005018BF" w:rsidRPr="003A01A9" w:rsidRDefault="00A360E4" w:rsidP="00C84FD5">
            <w:pPr>
              <w:keepNext/>
              <w:spacing w:after="0" w:line="240" w:lineRule="auto"/>
              <w:jc w:val="right"/>
              <w:rPr>
                <w:rFonts w:eastAsia="Times New Roman"/>
                <w:color w:val="000000"/>
                <w:sz w:val="18"/>
                <w:szCs w:val="18"/>
              </w:rPr>
            </w:pPr>
            <w:r>
              <w:rPr>
                <w:rFonts w:eastAsia="Times New Roman"/>
                <w:color w:val="000000"/>
                <w:sz w:val="18"/>
                <w:szCs w:val="18"/>
              </w:rPr>
              <w:t>0.</w:t>
            </w:r>
            <w:r w:rsidR="005018BF" w:rsidRPr="003A01A9">
              <w:rPr>
                <w:rFonts w:eastAsia="Times New Roman"/>
                <w:color w:val="000000"/>
                <w:sz w:val="18"/>
                <w:szCs w:val="18"/>
              </w:rPr>
              <w:t>0</w:t>
            </w:r>
          </w:p>
        </w:tc>
        <w:tc>
          <w:tcPr>
            <w:tcW w:w="720" w:type="dxa"/>
            <w:tcBorders>
              <w:bottom w:val="single" w:sz="24" w:space="0" w:color="auto"/>
              <w:right w:val="single" w:sz="24" w:space="0" w:color="auto"/>
            </w:tcBorders>
            <w:vAlign w:val="bottom"/>
          </w:tcPr>
          <w:p w14:paraId="69701121" w14:textId="548AACB9"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bottom w:val="single" w:sz="24" w:space="0" w:color="auto"/>
            </w:tcBorders>
            <w:vAlign w:val="bottom"/>
          </w:tcPr>
          <w:p w14:paraId="0B4E0951" w14:textId="77777777" w:rsidR="005018BF" w:rsidRPr="003A01A9" w:rsidRDefault="005018BF" w:rsidP="00C84FD5">
            <w:pPr>
              <w:spacing w:after="0" w:line="240" w:lineRule="auto"/>
              <w:jc w:val="right"/>
              <w:rPr>
                <w:rFonts w:eastAsia="Times New Roman"/>
                <w:color w:val="000000"/>
                <w:sz w:val="18"/>
                <w:szCs w:val="18"/>
              </w:rPr>
            </w:pPr>
          </w:p>
          <w:p w14:paraId="4BC8123C" w14:textId="7777777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bottom w:val="single" w:sz="24" w:space="0" w:color="auto"/>
              <w:right w:val="single" w:sz="24" w:space="0" w:color="auto"/>
            </w:tcBorders>
            <w:vAlign w:val="bottom"/>
          </w:tcPr>
          <w:p w14:paraId="55706F46" w14:textId="54F808D7" w:rsidR="005018BF" w:rsidRPr="003A01A9" w:rsidRDefault="005018BF" w:rsidP="00C84FD5">
            <w:pPr>
              <w:keepNext/>
              <w:spacing w:after="0" w:line="240" w:lineRule="auto"/>
              <w:jc w:val="right"/>
              <w:rPr>
                <w:rFonts w:eastAsia="Times New Roman"/>
                <w:color w:val="000000"/>
                <w:sz w:val="18"/>
                <w:szCs w:val="18"/>
              </w:rPr>
            </w:pPr>
            <w:r w:rsidRPr="003A01A9">
              <w:rPr>
                <w:rFonts w:eastAsia="Times New Roman"/>
                <w:color w:val="000000"/>
                <w:sz w:val="18"/>
                <w:szCs w:val="18"/>
              </w:rPr>
              <w:t>0.</w:t>
            </w:r>
            <w:r w:rsidR="00DC26DD" w:rsidRPr="003A01A9">
              <w:rPr>
                <w:rFonts w:eastAsia="Times New Roman"/>
                <w:color w:val="000000"/>
                <w:sz w:val="18"/>
                <w:szCs w:val="18"/>
              </w:rPr>
              <w:t>0</w:t>
            </w:r>
          </w:p>
        </w:tc>
      </w:tr>
    </w:tbl>
    <w:p w14:paraId="3FA6807F" w14:textId="0709DEFA" w:rsidR="003560F0" w:rsidRPr="00684CD5" w:rsidRDefault="003560F0" w:rsidP="003560F0">
      <w:pPr>
        <w:pStyle w:val="Caption"/>
        <w:rPr>
          <w:b/>
          <w:i w:val="0"/>
          <w:color w:val="auto"/>
          <w:sz w:val="24"/>
          <w:szCs w:val="24"/>
        </w:rPr>
      </w:pPr>
      <w:r w:rsidRPr="00684CD5">
        <w:rPr>
          <w:b/>
          <w:i w:val="0"/>
          <w:color w:val="auto"/>
          <w:sz w:val="24"/>
          <w:szCs w:val="24"/>
        </w:rPr>
        <w:t>Table 2.</w:t>
      </w:r>
      <w:r>
        <w:rPr>
          <w:b/>
          <w:i w:val="0"/>
          <w:color w:val="auto"/>
          <w:sz w:val="24"/>
          <w:szCs w:val="24"/>
        </w:rPr>
        <w:t xml:space="preserve"> Relative abundances for known oral bacterial phyla</w:t>
      </w:r>
      <w:r w:rsidR="00EE4157">
        <w:rPr>
          <w:b/>
          <w:i w:val="0"/>
          <w:color w:val="auto"/>
          <w:sz w:val="24"/>
          <w:szCs w:val="24"/>
        </w:rPr>
        <w:t>*</w:t>
      </w:r>
      <w:r>
        <w:rPr>
          <w:b/>
          <w:i w:val="0"/>
          <w:color w:val="auto"/>
          <w:sz w:val="24"/>
          <w:szCs w:val="24"/>
        </w:rPr>
        <w:t xml:space="preserve"> from QIIME</w:t>
      </w:r>
      <w:r w:rsidR="005018BF">
        <w:rPr>
          <w:b/>
          <w:i w:val="0"/>
          <w:color w:val="auto"/>
          <w:sz w:val="24"/>
          <w:szCs w:val="24"/>
        </w:rPr>
        <w:t xml:space="preserve"> (Q)</w:t>
      </w:r>
      <w:r>
        <w:rPr>
          <w:b/>
          <w:i w:val="0"/>
          <w:color w:val="auto"/>
          <w:sz w:val="24"/>
          <w:szCs w:val="24"/>
        </w:rPr>
        <w:t xml:space="preserve"> and MetaPhlAn </w:t>
      </w:r>
      <w:r w:rsidR="005018BF">
        <w:rPr>
          <w:b/>
          <w:i w:val="0"/>
          <w:color w:val="auto"/>
          <w:sz w:val="24"/>
          <w:szCs w:val="24"/>
        </w:rPr>
        <w:t xml:space="preserve">(MP) </w:t>
      </w:r>
      <w:r>
        <w:rPr>
          <w:b/>
          <w:i w:val="0"/>
          <w:color w:val="auto"/>
          <w:sz w:val="24"/>
          <w:szCs w:val="24"/>
        </w:rPr>
        <w:t xml:space="preserve">within the samples </w:t>
      </w:r>
    </w:p>
    <w:p w14:paraId="22798FB8" w14:textId="0987A8A3" w:rsidR="00C20991" w:rsidRDefault="00C20991" w:rsidP="00C20991">
      <w:pPr>
        <w:jc w:val="both"/>
      </w:pPr>
      <w:r>
        <w:rPr>
          <w:b/>
          <w:sz w:val="24"/>
          <w:szCs w:val="24"/>
        </w:rPr>
        <w:t xml:space="preserve">*The taxa presented were at least 0.1% relative abundance in at least one sample, not including the extraction and library blanks. </w:t>
      </w:r>
    </w:p>
    <w:p w14:paraId="65D2F19B" w14:textId="2C8B3EB7" w:rsidR="009E72BD" w:rsidRDefault="009E72BD" w:rsidP="00EE4157">
      <w:pPr>
        <w:rPr>
          <w:i/>
          <w:iCs/>
          <w:color w:val="44546A" w:themeColor="text2"/>
          <w:sz w:val="18"/>
          <w:szCs w:val="18"/>
        </w:rPr>
      </w:pPr>
      <w:r>
        <w:br w:type="page"/>
      </w:r>
    </w:p>
    <w:tbl>
      <w:tblPr>
        <w:tblpPr w:leftFromText="180" w:rightFromText="180" w:vertAnchor="page" w:horzAnchor="margin" w:tblpY="2170"/>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
        <w:gridCol w:w="630"/>
        <w:gridCol w:w="630"/>
        <w:gridCol w:w="540"/>
        <w:gridCol w:w="630"/>
        <w:gridCol w:w="450"/>
        <w:gridCol w:w="630"/>
        <w:gridCol w:w="550"/>
        <w:gridCol w:w="615"/>
        <w:gridCol w:w="720"/>
        <w:gridCol w:w="810"/>
        <w:gridCol w:w="630"/>
        <w:gridCol w:w="540"/>
        <w:gridCol w:w="540"/>
      </w:tblGrid>
      <w:tr w:rsidR="003A01A9" w:rsidRPr="003F5E09" w14:paraId="293F4AEB" w14:textId="77777777" w:rsidTr="00A752A9">
        <w:trPr>
          <w:trHeight w:val="1152"/>
        </w:trPr>
        <w:tc>
          <w:tcPr>
            <w:tcW w:w="720" w:type="dxa"/>
            <w:shd w:val="clear" w:color="000000" w:fill="757171"/>
            <w:vAlign w:val="bottom"/>
            <w:hideMark/>
          </w:tcPr>
          <w:p w14:paraId="3E7FE815" w14:textId="77777777" w:rsidR="004F75AC" w:rsidRPr="003A01A9" w:rsidRDefault="004F75AC" w:rsidP="003A01A9">
            <w:pPr>
              <w:spacing w:after="0" w:line="240" w:lineRule="auto"/>
              <w:rPr>
                <w:rFonts w:eastAsia="Times New Roman"/>
                <w:b/>
                <w:bCs/>
                <w:color w:val="000000"/>
                <w:sz w:val="18"/>
                <w:szCs w:val="18"/>
              </w:rPr>
            </w:pPr>
            <w:r w:rsidRPr="003A01A9">
              <w:rPr>
                <w:rFonts w:eastAsia="Times New Roman"/>
                <w:b/>
                <w:bCs/>
                <w:color w:val="000000"/>
                <w:sz w:val="18"/>
                <w:szCs w:val="18"/>
              </w:rPr>
              <w:lastRenderedPageBreak/>
              <w:t>Taxa</w:t>
            </w:r>
          </w:p>
        </w:tc>
        <w:tc>
          <w:tcPr>
            <w:tcW w:w="540" w:type="dxa"/>
            <w:tcBorders>
              <w:bottom w:val="single" w:sz="24" w:space="0" w:color="auto"/>
            </w:tcBorders>
            <w:shd w:val="clear" w:color="000000" w:fill="757171"/>
            <w:vAlign w:val="bottom"/>
            <w:hideMark/>
          </w:tcPr>
          <w:p w14:paraId="4BF73556"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PPCC</w:t>
            </w:r>
            <w:r w:rsidRPr="003A01A9">
              <w:rPr>
                <w:rFonts w:eastAsia="Times New Roman"/>
                <w:color w:val="000000"/>
                <w:sz w:val="18"/>
                <w:szCs w:val="18"/>
              </w:rPr>
              <w:br/>
              <w:t>MP</w:t>
            </w:r>
          </w:p>
        </w:tc>
        <w:tc>
          <w:tcPr>
            <w:tcW w:w="630" w:type="dxa"/>
            <w:tcBorders>
              <w:bottom w:val="single" w:sz="24" w:space="0" w:color="auto"/>
            </w:tcBorders>
            <w:shd w:val="clear" w:color="000000" w:fill="757171"/>
            <w:vAlign w:val="bottom"/>
            <w:hideMark/>
          </w:tcPr>
          <w:p w14:paraId="65C5F78F"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PPCC</w:t>
            </w:r>
            <w:r w:rsidRPr="003A01A9">
              <w:rPr>
                <w:rFonts w:eastAsia="Times New Roman"/>
                <w:color w:val="000000"/>
                <w:sz w:val="18"/>
                <w:szCs w:val="18"/>
              </w:rPr>
              <w:br/>
              <w:t>Q</w:t>
            </w:r>
          </w:p>
        </w:tc>
        <w:tc>
          <w:tcPr>
            <w:tcW w:w="630" w:type="dxa"/>
            <w:tcBorders>
              <w:bottom w:val="single" w:sz="24" w:space="0" w:color="auto"/>
            </w:tcBorders>
            <w:shd w:val="clear" w:color="000000" w:fill="757171"/>
            <w:vAlign w:val="bottom"/>
            <w:hideMark/>
          </w:tcPr>
          <w:p w14:paraId="76B7288D"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5A</w:t>
            </w:r>
            <w:r w:rsidRPr="003A01A9">
              <w:rPr>
                <w:rFonts w:eastAsia="Times New Roman"/>
                <w:color w:val="000000"/>
                <w:sz w:val="18"/>
                <w:szCs w:val="18"/>
              </w:rPr>
              <w:br/>
              <w:t>MP</w:t>
            </w:r>
          </w:p>
        </w:tc>
        <w:tc>
          <w:tcPr>
            <w:tcW w:w="540" w:type="dxa"/>
            <w:tcBorders>
              <w:bottom w:val="single" w:sz="24" w:space="0" w:color="auto"/>
            </w:tcBorders>
            <w:shd w:val="clear" w:color="000000" w:fill="757171"/>
            <w:vAlign w:val="bottom"/>
            <w:hideMark/>
          </w:tcPr>
          <w:p w14:paraId="6B9B8FDF"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5A</w:t>
            </w:r>
            <w:r w:rsidRPr="003A01A9">
              <w:rPr>
                <w:rFonts w:eastAsia="Times New Roman"/>
                <w:color w:val="000000"/>
                <w:sz w:val="18"/>
                <w:szCs w:val="18"/>
              </w:rPr>
              <w:br/>
              <w:t>Q</w:t>
            </w:r>
          </w:p>
        </w:tc>
        <w:tc>
          <w:tcPr>
            <w:tcW w:w="630" w:type="dxa"/>
            <w:tcBorders>
              <w:bottom w:val="single" w:sz="24" w:space="0" w:color="auto"/>
            </w:tcBorders>
            <w:shd w:val="clear" w:color="000000" w:fill="757171"/>
            <w:vAlign w:val="bottom"/>
            <w:hideMark/>
          </w:tcPr>
          <w:p w14:paraId="49EB5885"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5B</w:t>
            </w:r>
            <w:r w:rsidRPr="003A01A9">
              <w:rPr>
                <w:rFonts w:eastAsia="Times New Roman"/>
                <w:color w:val="000000"/>
                <w:sz w:val="18"/>
                <w:szCs w:val="18"/>
              </w:rPr>
              <w:br/>
              <w:t>MP</w:t>
            </w:r>
          </w:p>
        </w:tc>
        <w:tc>
          <w:tcPr>
            <w:tcW w:w="450" w:type="dxa"/>
            <w:tcBorders>
              <w:bottom w:val="single" w:sz="24" w:space="0" w:color="auto"/>
            </w:tcBorders>
            <w:shd w:val="clear" w:color="000000" w:fill="757171"/>
            <w:vAlign w:val="bottom"/>
            <w:hideMark/>
          </w:tcPr>
          <w:p w14:paraId="64AFBF8E"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5B</w:t>
            </w:r>
            <w:r w:rsidRPr="003A01A9">
              <w:rPr>
                <w:rFonts w:eastAsia="Times New Roman"/>
                <w:color w:val="000000"/>
                <w:sz w:val="18"/>
                <w:szCs w:val="18"/>
              </w:rPr>
              <w:br/>
              <w:t>Q</w:t>
            </w:r>
          </w:p>
        </w:tc>
        <w:tc>
          <w:tcPr>
            <w:tcW w:w="630" w:type="dxa"/>
            <w:tcBorders>
              <w:bottom w:val="single" w:sz="24" w:space="0" w:color="auto"/>
            </w:tcBorders>
            <w:shd w:val="clear" w:color="auto" w:fill="767171" w:themeFill="background2" w:themeFillShade="80"/>
            <w:vAlign w:val="bottom"/>
          </w:tcPr>
          <w:p w14:paraId="6CF59F92" w14:textId="268178D0"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5C</w:t>
            </w:r>
            <w:r w:rsidRPr="003A01A9">
              <w:rPr>
                <w:rFonts w:eastAsia="Times New Roman"/>
                <w:color w:val="000000"/>
                <w:sz w:val="18"/>
                <w:szCs w:val="18"/>
              </w:rPr>
              <w:br/>
              <w:t>Q</w:t>
            </w:r>
          </w:p>
        </w:tc>
        <w:tc>
          <w:tcPr>
            <w:tcW w:w="550" w:type="dxa"/>
            <w:tcBorders>
              <w:bottom w:val="single" w:sz="24" w:space="0" w:color="auto"/>
            </w:tcBorders>
            <w:shd w:val="clear" w:color="000000" w:fill="757171"/>
            <w:vAlign w:val="bottom"/>
            <w:hideMark/>
          </w:tcPr>
          <w:p w14:paraId="4554913D" w14:textId="7486A85B"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PPL</w:t>
            </w:r>
            <w:r w:rsidRPr="003A01A9">
              <w:rPr>
                <w:rFonts w:eastAsia="Times New Roman"/>
                <w:color w:val="000000"/>
                <w:sz w:val="18"/>
                <w:szCs w:val="18"/>
              </w:rPr>
              <w:br/>
              <w:t>5C</w:t>
            </w:r>
            <w:r w:rsidRPr="003A01A9">
              <w:rPr>
                <w:rFonts w:eastAsia="Times New Roman"/>
                <w:color w:val="000000"/>
                <w:sz w:val="18"/>
                <w:szCs w:val="18"/>
              </w:rPr>
              <w:br/>
              <w:t>MP</w:t>
            </w:r>
          </w:p>
        </w:tc>
        <w:tc>
          <w:tcPr>
            <w:tcW w:w="615" w:type="dxa"/>
            <w:tcBorders>
              <w:bottom w:val="single" w:sz="24" w:space="0" w:color="auto"/>
            </w:tcBorders>
            <w:shd w:val="clear" w:color="auto" w:fill="767171" w:themeFill="background2" w:themeFillShade="80"/>
            <w:vAlign w:val="bottom"/>
          </w:tcPr>
          <w:p w14:paraId="5854A527" w14:textId="77777777"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NegExt.1</w:t>
            </w:r>
            <w:r w:rsidRPr="003A01A9">
              <w:rPr>
                <w:rFonts w:eastAsia="Times New Roman"/>
                <w:color w:val="000000"/>
                <w:sz w:val="18"/>
                <w:szCs w:val="18"/>
              </w:rPr>
              <w:br/>
              <w:t>MP</w:t>
            </w:r>
          </w:p>
        </w:tc>
        <w:tc>
          <w:tcPr>
            <w:tcW w:w="720" w:type="dxa"/>
            <w:tcBorders>
              <w:bottom w:val="single" w:sz="24" w:space="0" w:color="auto"/>
            </w:tcBorders>
            <w:shd w:val="clear" w:color="auto" w:fill="767171" w:themeFill="background2" w:themeFillShade="80"/>
            <w:vAlign w:val="bottom"/>
          </w:tcPr>
          <w:p w14:paraId="2E3CE0AD" w14:textId="0FF0F854"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NegExt.1</w:t>
            </w:r>
            <w:r w:rsidRPr="003A01A9">
              <w:rPr>
                <w:rFonts w:eastAsia="Times New Roman"/>
                <w:color w:val="000000"/>
                <w:sz w:val="18"/>
                <w:szCs w:val="18"/>
              </w:rPr>
              <w:br/>
              <w:t>Q</w:t>
            </w:r>
          </w:p>
        </w:tc>
        <w:tc>
          <w:tcPr>
            <w:tcW w:w="810" w:type="dxa"/>
            <w:tcBorders>
              <w:bottom w:val="single" w:sz="24" w:space="0" w:color="auto"/>
            </w:tcBorders>
            <w:shd w:val="clear" w:color="auto" w:fill="767171" w:themeFill="background2" w:themeFillShade="80"/>
            <w:vAlign w:val="bottom"/>
          </w:tcPr>
          <w:p w14:paraId="2A820AB8" w14:textId="3A8B5F54"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NegExt.2</w:t>
            </w:r>
            <w:r w:rsidRPr="003A01A9">
              <w:rPr>
                <w:rFonts w:eastAsia="Times New Roman"/>
                <w:color w:val="000000"/>
                <w:sz w:val="18"/>
                <w:szCs w:val="18"/>
              </w:rPr>
              <w:br/>
              <w:t>MP</w:t>
            </w:r>
          </w:p>
        </w:tc>
        <w:tc>
          <w:tcPr>
            <w:tcW w:w="630" w:type="dxa"/>
            <w:tcBorders>
              <w:bottom w:val="single" w:sz="24" w:space="0" w:color="auto"/>
            </w:tcBorders>
            <w:shd w:val="clear" w:color="auto" w:fill="767171" w:themeFill="background2" w:themeFillShade="80"/>
            <w:vAlign w:val="bottom"/>
          </w:tcPr>
          <w:p w14:paraId="4250BAC2" w14:textId="64848390"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NegExt.2</w:t>
            </w:r>
            <w:r w:rsidRPr="003A01A9">
              <w:rPr>
                <w:rFonts w:eastAsia="Times New Roman"/>
                <w:color w:val="000000"/>
                <w:sz w:val="18"/>
                <w:szCs w:val="18"/>
              </w:rPr>
              <w:br/>
              <w:t>Q</w:t>
            </w:r>
          </w:p>
        </w:tc>
        <w:tc>
          <w:tcPr>
            <w:tcW w:w="540" w:type="dxa"/>
            <w:tcBorders>
              <w:bottom w:val="single" w:sz="24" w:space="0" w:color="auto"/>
            </w:tcBorders>
            <w:shd w:val="clear" w:color="auto" w:fill="767171" w:themeFill="background2" w:themeFillShade="80"/>
            <w:vAlign w:val="bottom"/>
          </w:tcPr>
          <w:p w14:paraId="4196B32D" w14:textId="28FFF78E"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LibNeg</w:t>
            </w:r>
            <w:r w:rsidRPr="003A01A9">
              <w:rPr>
                <w:rFonts w:eastAsia="Times New Roman"/>
                <w:color w:val="000000"/>
                <w:sz w:val="18"/>
                <w:szCs w:val="18"/>
              </w:rPr>
              <w:br/>
              <w:t>MP</w:t>
            </w:r>
          </w:p>
        </w:tc>
        <w:tc>
          <w:tcPr>
            <w:tcW w:w="540" w:type="dxa"/>
            <w:tcBorders>
              <w:bottom w:val="single" w:sz="24" w:space="0" w:color="auto"/>
            </w:tcBorders>
            <w:shd w:val="clear" w:color="auto" w:fill="767171" w:themeFill="background2" w:themeFillShade="80"/>
            <w:vAlign w:val="bottom"/>
          </w:tcPr>
          <w:p w14:paraId="2E198C67" w14:textId="2EA73C25" w:rsidR="004F75AC" w:rsidRPr="003A01A9" w:rsidRDefault="004F75AC" w:rsidP="003A01A9">
            <w:pPr>
              <w:spacing w:after="0" w:line="240" w:lineRule="auto"/>
              <w:jc w:val="center"/>
              <w:rPr>
                <w:rFonts w:eastAsia="Times New Roman"/>
                <w:color w:val="000000"/>
                <w:sz w:val="18"/>
                <w:szCs w:val="18"/>
              </w:rPr>
            </w:pPr>
            <w:r w:rsidRPr="003A01A9">
              <w:rPr>
                <w:rFonts w:eastAsia="Times New Roman"/>
                <w:color w:val="000000"/>
                <w:sz w:val="18"/>
                <w:szCs w:val="18"/>
              </w:rPr>
              <w:t>LibNeg</w:t>
            </w:r>
            <w:r w:rsidRPr="003A01A9">
              <w:rPr>
                <w:rFonts w:eastAsia="Times New Roman"/>
                <w:color w:val="000000"/>
                <w:sz w:val="18"/>
                <w:szCs w:val="18"/>
              </w:rPr>
              <w:br/>
              <w:t>Q</w:t>
            </w:r>
          </w:p>
        </w:tc>
      </w:tr>
      <w:tr w:rsidR="003A01A9" w:rsidRPr="003F5E09" w14:paraId="75F9CFCC" w14:textId="77777777" w:rsidTr="00A752A9">
        <w:trPr>
          <w:trHeight w:val="288"/>
        </w:trPr>
        <w:tc>
          <w:tcPr>
            <w:tcW w:w="720" w:type="dxa"/>
            <w:tcBorders>
              <w:right w:val="single" w:sz="24" w:space="0" w:color="auto"/>
            </w:tcBorders>
            <w:shd w:val="clear" w:color="000000" w:fill="AEAAAA"/>
            <w:noWrap/>
            <w:vAlign w:val="bottom"/>
            <w:hideMark/>
          </w:tcPr>
          <w:p w14:paraId="7C29E14D"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Actinomyces</w:t>
            </w:r>
          </w:p>
        </w:tc>
        <w:tc>
          <w:tcPr>
            <w:tcW w:w="540" w:type="dxa"/>
            <w:tcBorders>
              <w:top w:val="single" w:sz="24" w:space="0" w:color="auto"/>
              <w:left w:val="single" w:sz="24" w:space="0" w:color="auto"/>
            </w:tcBorders>
            <w:shd w:val="clear" w:color="000000" w:fill="AEAAAA"/>
            <w:noWrap/>
            <w:vAlign w:val="bottom"/>
            <w:hideMark/>
          </w:tcPr>
          <w:p w14:paraId="6DB52F32"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9.7</w:t>
            </w:r>
          </w:p>
        </w:tc>
        <w:tc>
          <w:tcPr>
            <w:tcW w:w="630" w:type="dxa"/>
            <w:tcBorders>
              <w:top w:val="single" w:sz="24" w:space="0" w:color="auto"/>
              <w:right w:val="single" w:sz="24" w:space="0" w:color="auto"/>
            </w:tcBorders>
            <w:shd w:val="clear" w:color="000000" w:fill="AEAAAA"/>
            <w:noWrap/>
            <w:vAlign w:val="bottom"/>
            <w:hideMark/>
          </w:tcPr>
          <w:p w14:paraId="5AE0847A"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16.0</w:t>
            </w:r>
          </w:p>
        </w:tc>
        <w:tc>
          <w:tcPr>
            <w:tcW w:w="630" w:type="dxa"/>
            <w:tcBorders>
              <w:top w:val="single" w:sz="24" w:space="0" w:color="auto"/>
              <w:left w:val="single" w:sz="24" w:space="0" w:color="auto"/>
            </w:tcBorders>
            <w:shd w:val="clear" w:color="000000" w:fill="AEAAAA"/>
            <w:noWrap/>
            <w:vAlign w:val="bottom"/>
            <w:hideMark/>
          </w:tcPr>
          <w:p w14:paraId="72472B23"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16.0</w:t>
            </w:r>
          </w:p>
        </w:tc>
        <w:tc>
          <w:tcPr>
            <w:tcW w:w="540" w:type="dxa"/>
            <w:tcBorders>
              <w:top w:val="single" w:sz="24" w:space="0" w:color="auto"/>
              <w:right w:val="single" w:sz="24" w:space="0" w:color="auto"/>
            </w:tcBorders>
            <w:shd w:val="clear" w:color="000000" w:fill="AEAAAA"/>
            <w:noWrap/>
            <w:vAlign w:val="bottom"/>
            <w:hideMark/>
          </w:tcPr>
          <w:p w14:paraId="2F4ED05B"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0.9</w:t>
            </w:r>
          </w:p>
        </w:tc>
        <w:tc>
          <w:tcPr>
            <w:tcW w:w="630" w:type="dxa"/>
            <w:tcBorders>
              <w:top w:val="single" w:sz="24" w:space="0" w:color="auto"/>
              <w:left w:val="single" w:sz="24" w:space="0" w:color="auto"/>
            </w:tcBorders>
            <w:shd w:val="clear" w:color="000000" w:fill="AEAAAA"/>
            <w:noWrap/>
            <w:vAlign w:val="bottom"/>
            <w:hideMark/>
          </w:tcPr>
          <w:p w14:paraId="7D9C099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top w:val="single" w:sz="24" w:space="0" w:color="auto"/>
              <w:right w:val="single" w:sz="24" w:space="0" w:color="auto"/>
            </w:tcBorders>
            <w:shd w:val="clear" w:color="000000" w:fill="AEAAAA"/>
            <w:noWrap/>
            <w:vAlign w:val="bottom"/>
            <w:hideMark/>
          </w:tcPr>
          <w:p w14:paraId="66292AEA"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0.2</w:t>
            </w:r>
          </w:p>
        </w:tc>
        <w:tc>
          <w:tcPr>
            <w:tcW w:w="630" w:type="dxa"/>
            <w:tcBorders>
              <w:top w:val="single" w:sz="24" w:space="0" w:color="auto"/>
              <w:left w:val="single" w:sz="24" w:space="0" w:color="auto"/>
            </w:tcBorders>
            <w:shd w:val="clear" w:color="000000" w:fill="AEAAAA"/>
            <w:vAlign w:val="bottom"/>
          </w:tcPr>
          <w:p w14:paraId="253FD47C" w14:textId="4D9DBBFE"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0.6</w:t>
            </w:r>
          </w:p>
        </w:tc>
        <w:tc>
          <w:tcPr>
            <w:tcW w:w="550" w:type="dxa"/>
            <w:tcBorders>
              <w:top w:val="single" w:sz="24" w:space="0" w:color="auto"/>
              <w:right w:val="single" w:sz="24" w:space="0" w:color="auto"/>
            </w:tcBorders>
            <w:shd w:val="clear" w:color="000000" w:fill="AEAAAA"/>
            <w:noWrap/>
            <w:vAlign w:val="bottom"/>
            <w:hideMark/>
          </w:tcPr>
          <w:p w14:paraId="5460486B" w14:textId="25F78F43"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top w:val="single" w:sz="24" w:space="0" w:color="auto"/>
              <w:left w:val="single" w:sz="24" w:space="0" w:color="auto"/>
            </w:tcBorders>
            <w:shd w:val="clear" w:color="000000" w:fill="AEAAAA"/>
            <w:vAlign w:val="bottom"/>
          </w:tcPr>
          <w:p w14:paraId="0CC722EA" w14:textId="55341A7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6.4</w:t>
            </w:r>
          </w:p>
        </w:tc>
        <w:tc>
          <w:tcPr>
            <w:tcW w:w="720" w:type="dxa"/>
            <w:tcBorders>
              <w:top w:val="single" w:sz="24" w:space="0" w:color="auto"/>
              <w:right w:val="single" w:sz="24" w:space="0" w:color="auto"/>
            </w:tcBorders>
            <w:shd w:val="clear" w:color="000000" w:fill="AEAAAA"/>
            <w:vAlign w:val="bottom"/>
          </w:tcPr>
          <w:p w14:paraId="18C18021" w14:textId="2C1280C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top w:val="single" w:sz="24" w:space="0" w:color="auto"/>
              <w:left w:val="single" w:sz="24" w:space="0" w:color="auto"/>
            </w:tcBorders>
            <w:shd w:val="clear" w:color="000000" w:fill="AEAAAA"/>
            <w:vAlign w:val="bottom"/>
          </w:tcPr>
          <w:p w14:paraId="0FD4FD40" w14:textId="77777777" w:rsidR="004F75AC" w:rsidRPr="003A01A9" w:rsidRDefault="004F75AC" w:rsidP="003A01A9">
            <w:pPr>
              <w:spacing w:after="0" w:line="240" w:lineRule="auto"/>
              <w:jc w:val="right"/>
              <w:rPr>
                <w:rFonts w:eastAsia="Times New Roman"/>
                <w:color w:val="000000"/>
                <w:sz w:val="18"/>
                <w:szCs w:val="18"/>
              </w:rPr>
            </w:pPr>
          </w:p>
          <w:p w14:paraId="4FADA901" w14:textId="79042AA8"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18.04</w:t>
            </w:r>
          </w:p>
        </w:tc>
        <w:tc>
          <w:tcPr>
            <w:tcW w:w="630" w:type="dxa"/>
            <w:tcBorders>
              <w:top w:val="single" w:sz="24" w:space="0" w:color="auto"/>
              <w:right w:val="single" w:sz="24" w:space="0" w:color="auto"/>
            </w:tcBorders>
            <w:shd w:val="clear" w:color="000000" w:fill="AEAAAA"/>
            <w:vAlign w:val="bottom"/>
          </w:tcPr>
          <w:p w14:paraId="7FA5EE74" w14:textId="75B7368B"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top w:val="single" w:sz="24" w:space="0" w:color="auto"/>
              <w:left w:val="single" w:sz="24" w:space="0" w:color="auto"/>
            </w:tcBorders>
            <w:shd w:val="clear" w:color="000000" w:fill="AEAAAA"/>
            <w:vAlign w:val="bottom"/>
          </w:tcPr>
          <w:p w14:paraId="7EC8D2AE" w14:textId="77777777" w:rsidR="004F75AC" w:rsidRPr="003A01A9" w:rsidRDefault="004F75AC" w:rsidP="003A01A9">
            <w:pPr>
              <w:spacing w:after="0" w:line="240" w:lineRule="auto"/>
              <w:jc w:val="right"/>
              <w:rPr>
                <w:rFonts w:eastAsia="Times New Roman"/>
                <w:color w:val="000000"/>
                <w:sz w:val="18"/>
                <w:szCs w:val="18"/>
              </w:rPr>
            </w:pPr>
          </w:p>
          <w:p w14:paraId="2A63AD48" w14:textId="79476414"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top w:val="single" w:sz="24" w:space="0" w:color="auto"/>
              <w:right w:val="single" w:sz="24" w:space="0" w:color="auto"/>
            </w:tcBorders>
            <w:shd w:val="clear" w:color="000000" w:fill="AEAAAA"/>
            <w:vAlign w:val="bottom"/>
          </w:tcPr>
          <w:p w14:paraId="1BB9D2A7" w14:textId="4D64AD93" w:rsidR="004F75AC" w:rsidRPr="003A01A9" w:rsidRDefault="004F75AC" w:rsidP="003A01A9">
            <w:pPr>
              <w:spacing w:after="0" w:line="240" w:lineRule="auto"/>
              <w:jc w:val="right"/>
              <w:rPr>
                <w:rFonts w:eastAsia="Times New Roman"/>
                <w:color w:val="000000"/>
                <w:sz w:val="18"/>
                <w:szCs w:val="18"/>
              </w:rPr>
            </w:pPr>
          </w:p>
          <w:p w14:paraId="42D3038B"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470460A2" w14:textId="77777777" w:rsidTr="00A752A9">
        <w:trPr>
          <w:trHeight w:val="288"/>
        </w:trPr>
        <w:tc>
          <w:tcPr>
            <w:tcW w:w="720" w:type="dxa"/>
            <w:tcBorders>
              <w:right w:val="single" w:sz="24" w:space="0" w:color="auto"/>
            </w:tcBorders>
            <w:shd w:val="clear" w:color="auto" w:fill="auto"/>
            <w:noWrap/>
            <w:vAlign w:val="bottom"/>
            <w:hideMark/>
          </w:tcPr>
          <w:p w14:paraId="0BA5B6B4"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Streptococcus</w:t>
            </w:r>
          </w:p>
        </w:tc>
        <w:tc>
          <w:tcPr>
            <w:tcW w:w="540" w:type="dxa"/>
            <w:tcBorders>
              <w:left w:val="single" w:sz="24" w:space="0" w:color="auto"/>
            </w:tcBorders>
            <w:shd w:val="clear" w:color="auto" w:fill="auto"/>
            <w:noWrap/>
            <w:vAlign w:val="bottom"/>
            <w:hideMark/>
          </w:tcPr>
          <w:p w14:paraId="6F5ED8F3"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10.0</w:t>
            </w:r>
          </w:p>
        </w:tc>
        <w:tc>
          <w:tcPr>
            <w:tcW w:w="630" w:type="dxa"/>
            <w:tcBorders>
              <w:right w:val="single" w:sz="24" w:space="0" w:color="auto"/>
            </w:tcBorders>
            <w:shd w:val="clear" w:color="auto" w:fill="auto"/>
            <w:noWrap/>
            <w:vAlign w:val="bottom"/>
            <w:hideMark/>
          </w:tcPr>
          <w:p w14:paraId="24B5E002"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3.6</w:t>
            </w:r>
          </w:p>
        </w:tc>
        <w:tc>
          <w:tcPr>
            <w:tcW w:w="630" w:type="dxa"/>
            <w:tcBorders>
              <w:left w:val="single" w:sz="24" w:space="0" w:color="auto"/>
            </w:tcBorders>
            <w:shd w:val="clear" w:color="auto" w:fill="auto"/>
            <w:noWrap/>
            <w:vAlign w:val="bottom"/>
            <w:hideMark/>
          </w:tcPr>
          <w:p w14:paraId="705F7EC5"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1.4</w:t>
            </w:r>
          </w:p>
        </w:tc>
        <w:tc>
          <w:tcPr>
            <w:tcW w:w="540" w:type="dxa"/>
            <w:tcBorders>
              <w:right w:val="single" w:sz="24" w:space="0" w:color="auto"/>
            </w:tcBorders>
            <w:shd w:val="clear" w:color="auto" w:fill="auto"/>
            <w:noWrap/>
            <w:vAlign w:val="bottom"/>
            <w:hideMark/>
          </w:tcPr>
          <w:p w14:paraId="1A8F47C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1.3</w:t>
            </w:r>
          </w:p>
        </w:tc>
        <w:tc>
          <w:tcPr>
            <w:tcW w:w="630" w:type="dxa"/>
            <w:tcBorders>
              <w:left w:val="single" w:sz="24" w:space="0" w:color="auto"/>
            </w:tcBorders>
            <w:shd w:val="clear" w:color="auto" w:fill="auto"/>
            <w:noWrap/>
            <w:vAlign w:val="bottom"/>
            <w:hideMark/>
          </w:tcPr>
          <w:p w14:paraId="05C23D3F"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auto" w:fill="auto"/>
            <w:noWrap/>
            <w:vAlign w:val="bottom"/>
            <w:hideMark/>
          </w:tcPr>
          <w:p w14:paraId="07B44F17"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0.7</w:t>
            </w:r>
          </w:p>
        </w:tc>
        <w:tc>
          <w:tcPr>
            <w:tcW w:w="630" w:type="dxa"/>
            <w:tcBorders>
              <w:left w:val="single" w:sz="24" w:space="0" w:color="auto"/>
            </w:tcBorders>
            <w:vAlign w:val="bottom"/>
          </w:tcPr>
          <w:p w14:paraId="263C91EE" w14:textId="3741E32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550" w:type="dxa"/>
            <w:tcBorders>
              <w:right w:val="single" w:sz="24" w:space="0" w:color="auto"/>
            </w:tcBorders>
            <w:shd w:val="clear" w:color="auto" w:fill="auto"/>
            <w:noWrap/>
            <w:vAlign w:val="bottom"/>
            <w:hideMark/>
          </w:tcPr>
          <w:p w14:paraId="2B4AD77C" w14:textId="1CC7560A"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vAlign w:val="bottom"/>
          </w:tcPr>
          <w:p w14:paraId="71397760" w14:textId="3FE24299"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0.6</w:t>
            </w:r>
          </w:p>
        </w:tc>
        <w:tc>
          <w:tcPr>
            <w:tcW w:w="720" w:type="dxa"/>
            <w:tcBorders>
              <w:right w:val="single" w:sz="24" w:space="0" w:color="auto"/>
            </w:tcBorders>
            <w:vAlign w:val="bottom"/>
          </w:tcPr>
          <w:p w14:paraId="5CDFFBF7" w14:textId="3B47EC0B"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vAlign w:val="bottom"/>
          </w:tcPr>
          <w:p w14:paraId="2FE567E4" w14:textId="77777777" w:rsidR="004F75AC" w:rsidRPr="003A01A9" w:rsidRDefault="004F75AC" w:rsidP="003A01A9">
            <w:pPr>
              <w:spacing w:after="0" w:line="240" w:lineRule="auto"/>
              <w:jc w:val="right"/>
              <w:rPr>
                <w:rFonts w:eastAsia="Times New Roman"/>
                <w:color w:val="000000"/>
                <w:sz w:val="18"/>
                <w:szCs w:val="18"/>
              </w:rPr>
            </w:pPr>
          </w:p>
          <w:p w14:paraId="3B6A70DA" w14:textId="0ECF6F39"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203B3C30" w14:textId="7214B7A3"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vAlign w:val="bottom"/>
          </w:tcPr>
          <w:p w14:paraId="42D751AB" w14:textId="77777777" w:rsidR="004F75AC" w:rsidRPr="003A01A9" w:rsidRDefault="004F75AC" w:rsidP="003A01A9">
            <w:pPr>
              <w:spacing w:after="0" w:line="240" w:lineRule="auto"/>
              <w:jc w:val="right"/>
              <w:rPr>
                <w:rFonts w:eastAsia="Times New Roman"/>
                <w:color w:val="000000"/>
                <w:sz w:val="18"/>
                <w:szCs w:val="18"/>
              </w:rPr>
            </w:pPr>
          </w:p>
          <w:p w14:paraId="634DFE78" w14:textId="5964F77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35BED3C6" w14:textId="37E5B45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55D58618" w14:textId="77777777" w:rsidTr="00A752A9">
        <w:trPr>
          <w:trHeight w:val="288"/>
        </w:trPr>
        <w:tc>
          <w:tcPr>
            <w:tcW w:w="720" w:type="dxa"/>
            <w:tcBorders>
              <w:right w:val="single" w:sz="24" w:space="0" w:color="auto"/>
            </w:tcBorders>
            <w:shd w:val="clear" w:color="000000" w:fill="AEAAAA"/>
            <w:noWrap/>
            <w:vAlign w:val="bottom"/>
            <w:hideMark/>
          </w:tcPr>
          <w:p w14:paraId="0DFBF501"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Veillonella</w:t>
            </w:r>
          </w:p>
        </w:tc>
        <w:tc>
          <w:tcPr>
            <w:tcW w:w="540" w:type="dxa"/>
            <w:tcBorders>
              <w:left w:val="single" w:sz="24" w:space="0" w:color="auto"/>
            </w:tcBorders>
            <w:shd w:val="clear" w:color="000000" w:fill="AEAAAA"/>
            <w:noWrap/>
            <w:vAlign w:val="bottom"/>
            <w:hideMark/>
          </w:tcPr>
          <w:p w14:paraId="15F2EC26"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000000" w:fill="AEAAAA"/>
            <w:noWrap/>
            <w:vAlign w:val="bottom"/>
            <w:hideMark/>
          </w:tcPr>
          <w:p w14:paraId="235A3DE8"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5805A76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noWrap/>
            <w:vAlign w:val="bottom"/>
            <w:hideMark/>
          </w:tcPr>
          <w:p w14:paraId="6BF4D8A3"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2B27CF77"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000000" w:fill="AEAAAA"/>
            <w:noWrap/>
            <w:vAlign w:val="bottom"/>
            <w:hideMark/>
          </w:tcPr>
          <w:p w14:paraId="314ED196"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vAlign w:val="bottom"/>
          </w:tcPr>
          <w:p w14:paraId="172833F9" w14:textId="75B42DE0"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000000" w:fill="AEAAAA"/>
            <w:noWrap/>
            <w:vAlign w:val="bottom"/>
            <w:hideMark/>
          </w:tcPr>
          <w:p w14:paraId="37CB3AAA" w14:textId="7CB71832"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shd w:val="clear" w:color="000000" w:fill="AEAAAA"/>
            <w:vAlign w:val="bottom"/>
          </w:tcPr>
          <w:p w14:paraId="0A965710"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shd w:val="clear" w:color="000000" w:fill="AEAAAA"/>
            <w:vAlign w:val="bottom"/>
          </w:tcPr>
          <w:p w14:paraId="74BC9AB8" w14:textId="50A5DF6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shd w:val="clear" w:color="000000" w:fill="AEAAAA"/>
            <w:vAlign w:val="bottom"/>
          </w:tcPr>
          <w:p w14:paraId="46EA8592" w14:textId="77777777" w:rsidR="004F75AC" w:rsidRPr="003A01A9" w:rsidRDefault="004F75AC" w:rsidP="003A01A9">
            <w:pPr>
              <w:spacing w:after="0" w:line="240" w:lineRule="auto"/>
              <w:jc w:val="right"/>
              <w:rPr>
                <w:rFonts w:eastAsia="Times New Roman"/>
                <w:color w:val="000000"/>
                <w:sz w:val="18"/>
                <w:szCs w:val="18"/>
              </w:rPr>
            </w:pPr>
          </w:p>
          <w:p w14:paraId="086662A2" w14:textId="6D8B9248"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24.1</w:t>
            </w:r>
          </w:p>
        </w:tc>
        <w:tc>
          <w:tcPr>
            <w:tcW w:w="630" w:type="dxa"/>
            <w:tcBorders>
              <w:right w:val="single" w:sz="24" w:space="0" w:color="auto"/>
            </w:tcBorders>
            <w:shd w:val="clear" w:color="000000" w:fill="AEAAAA"/>
            <w:vAlign w:val="bottom"/>
          </w:tcPr>
          <w:p w14:paraId="67B70836" w14:textId="6CEBBB0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000000" w:fill="AEAAAA"/>
            <w:vAlign w:val="bottom"/>
          </w:tcPr>
          <w:p w14:paraId="1175A097" w14:textId="77777777" w:rsidR="004F75AC" w:rsidRPr="003A01A9" w:rsidRDefault="004F75AC" w:rsidP="003A01A9">
            <w:pPr>
              <w:spacing w:after="0" w:line="240" w:lineRule="auto"/>
              <w:jc w:val="right"/>
              <w:rPr>
                <w:rFonts w:eastAsia="Times New Roman"/>
                <w:color w:val="000000"/>
                <w:sz w:val="18"/>
                <w:szCs w:val="18"/>
              </w:rPr>
            </w:pPr>
          </w:p>
          <w:p w14:paraId="17BCC27B" w14:textId="689E81F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vAlign w:val="bottom"/>
          </w:tcPr>
          <w:p w14:paraId="19BA9A07" w14:textId="3A7FCDE4"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7AA381A4" w14:textId="77777777" w:rsidTr="00A752A9">
        <w:trPr>
          <w:trHeight w:val="288"/>
        </w:trPr>
        <w:tc>
          <w:tcPr>
            <w:tcW w:w="720" w:type="dxa"/>
            <w:tcBorders>
              <w:right w:val="single" w:sz="24" w:space="0" w:color="auto"/>
            </w:tcBorders>
            <w:shd w:val="clear" w:color="auto" w:fill="auto"/>
            <w:noWrap/>
            <w:vAlign w:val="bottom"/>
            <w:hideMark/>
          </w:tcPr>
          <w:p w14:paraId="7B8618C3"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Methanobrevibacter</w:t>
            </w:r>
          </w:p>
        </w:tc>
        <w:tc>
          <w:tcPr>
            <w:tcW w:w="540" w:type="dxa"/>
            <w:tcBorders>
              <w:left w:val="single" w:sz="24" w:space="0" w:color="auto"/>
            </w:tcBorders>
            <w:shd w:val="clear" w:color="auto" w:fill="auto"/>
            <w:noWrap/>
            <w:vAlign w:val="bottom"/>
            <w:hideMark/>
          </w:tcPr>
          <w:p w14:paraId="6270ED12"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48.1</w:t>
            </w:r>
          </w:p>
        </w:tc>
        <w:tc>
          <w:tcPr>
            <w:tcW w:w="630" w:type="dxa"/>
            <w:tcBorders>
              <w:right w:val="single" w:sz="24" w:space="0" w:color="auto"/>
            </w:tcBorders>
            <w:shd w:val="clear" w:color="auto" w:fill="auto"/>
            <w:noWrap/>
            <w:vAlign w:val="bottom"/>
            <w:hideMark/>
          </w:tcPr>
          <w:p w14:paraId="2143ABA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12.0</w:t>
            </w:r>
          </w:p>
        </w:tc>
        <w:tc>
          <w:tcPr>
            <w:tcW w:w="630" w:type="dxa"/>
            <w:tcBorders>
              <w:left w:val="single" w:sz="24" w:space="0" w:color="auto"/>
            </w:tcBorders>
            <w:shd w:val="clear" w:color="auto" w:fill="auto"/>
            <w:noWrap/>
            <w:vAlign w:val="bottom"/>
            <w:hideMark/>
          </w:tcPr>
          <w:p w14:paraId="3C1DC10C"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auto" w:fill="auto"/>
            <w:noWrap/>
            <w:vAlign w:val="bottom"/>
            <w:hideMark/>
          </w:tcPr>
          <w:p w14:paraId="5C83C1D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auto" w:fill="auto"/>
            <w:noWrap/>
            <w:vAlign w:val="bottom"/>
            <w:hideMark/>
          </w:tcPr>
          <w:p w14:paraId="45B08F87"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auto" w:fill="auto"/>
            <w:noWrap/>
            <w:vAlign w:val="bottom"/>
            <w:hideMark/>
          </w:tcPr>
          <w:p w14:paraId="217F04E3"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vAlign w:val="bottom"/>
          </w:tcPr>
          <w:p w14:paraId="51E2460C" w14:textId="1C50DAF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auto" w:fill="auto"/>
            <w:noWrap/>
            <w:vAlign w:val="bottom"/>
            <w:hideMark/>
          </w:tcPr>
          <w:p w14:paraId="20EB3FF3" w14:textId="7C5E8A08"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vAlign w:val="bottom"/>
          </w:tcPr>
          <w:p w14:paraId="7C010BB0"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0.24</w:t>
            </w:r>
          </w:p>
        </w:tc>
        <w:tc>
          <w:tcPr>
            <w:tcW w:w="720" w:type="dxa"/>
            <w:tcBorders>
              <w:right w:val="single" w:sz="24" w:space="0" w:color="auto"/>
            </w:tcBorders>
            <w:vAlign w:val="bottom"/>
          </w:tcPr>
          <w:p w14:paraId="49457C0A" w14:textId="5134A496"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vAlign w:val="bottom"/>
          </w:tcPr>
          <w:p w14:paraId="299F20BA" w14:textId="77777777" w:rsidR="004F75AC" w:rsidRPr="003A01A9" w:rsidRDefault="004F75AC" w:rsidP="003A01A9">
            <w:pPr>
              <w:spacing w:after="0" w:line="240" w:lineRule="auto"/>
              <w:jc w:val="right"/>
              <w:rPr>
                <w:rFonts w:eastAsia="Times New Roman"/>
                <w:color w:val="000000"/>
                <w:sz w:val="18"/>
                <w:szCs w:val="18"/>
              </w:rPr>
            </w:pPr>
          </w:p>
          <w:p w14:paraId="42DC9B1E" w14:textId="58B73A1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29540573" w14:textId="4642AD96"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vAlign w:val="bottom"/>
          </w:tcPr>
          <w:p w14:paraId="23ECDB04" w14:textId="77777777" w:rsidR="004F75AC" w:rsidRPr="003A01A9" w:rsidRDefault="004F75AC" w:rsidP="003A01A9">
            <w:pPr>
              <w:spacing w:after="0" w:line="240" w:lineRule="auto"/>
              <w:jc w:val="right"/>
              <w:rPr>
                <w:rFonts w:eastAsia="Times New Roman"/>
                <w:color w:val="000000"/>
                <w:sz w:val="18"/>
                <w:szCs w:val="18"/>
              </w:rPr>
            </w:pPr>
          </w:p>
          <w:p w14:paraId="5412BD94" w14:textId="509AECB6"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1CCE6724" w14:textId="305EBEFD"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5360F609" w14:textId="77777777" w:rsidTr="00A752A9">
        <w:trPr>
          <w:trHeight w:val="288"/>
        </w:trPr>
        <w:tc>
          <w:tcPr>
            <w:tcW w:w="720" w:type="dxa"/>
            <w:tcBorders>
              <w:right w:val="single" w:sz="24" w:space="0" w:color="auto"/>
            </w:tcBorders>
            <w:shd w:val="clear" w:color="000000" w:fill="AEAAAA"/>
            <w:noWrap/>
            <w:vAlign w:val="bottom"/>
            <w:hideMark/>
          </w:tcPr>
          <w:p w14:paraId="6DB16B02"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Prevotella</w:t>
            </w:r>
          </w:p>
        </w:tc>
        <w:tc>
          <w:tcPr>
            <w:tcW w:w="540" w:type="dxa"/>
            <w:tcBorders>
              <w:left w:val="single" w:sz="24" w:space="0" w:color="auto"/>
            </w:tcBorders>
            <w:shd w:val="clear" w:color="000000" w:fill="AEAAAA"/>
            <w:noWrap/>
            <w:vAlign w:val="bottom"/>
            <w:hideMark/>
          </w:tcPr>
          <w:p w14:paraId="4A632470"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000000" w:fill="AEAAAA"/>
            <w:noWrap/>
            <w:vAlign w:val="bottom"/>
            <w:hideMark/>
          </w:tcPr>
          <w:p w14:paraId="5879A824"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4E34438B"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noWrap/>
            <w:vAlign w:val="bottom"/>
            <w:hideMark/>
          </w:tcPr>
          <w:p w14:paraId="46101CD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000000" w:fill="AEAAAA"/>
            <w:noWrap/>
            <w:vAlign w:val="bottom"/>
            <w:hideMark/>
          </w:tcPr>
          <w:p w14:paraId="73301D4E"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000000" w:fill="AEAAAA"/>
            <w:noWrap/>
            <w:vAlign w:val="bottom"/>
            <w:hideMark/>
          </w:tcPr>
          <w:p w14:paraId="17E11D11"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0.3</w:t>
            </w:r>
          </w:p>
        </w:tc>
        <w:tc>
          <w:tcPr>
            <w:tcW w:w="630" w:type="dxa"/>
            <w:tcBorders>
              <w:left w:val="single" w:sz="24" w:space="0" w:color="auto"/>
            </w:tcBorders>
            <w:shd w:val="clear" w:color="000000" w:fill="AEAAAA"/>
            <w:vAlign w:val="bottom"/>
          </w:tcPr>
          <w:p w14:paraId="2FFFA794" w14:textId="64EE1C69"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000000" w:fill="AEAAAA"/>
            <w:noWrap/>
            <w:vAlign w:val="bottom"/>
            <w:hideMark/>
          </w:tcPr>
          <w:p w14:paraId="3224E606" w14:textId="70A61EFC"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shd w:val="clear" w:color="000000" w:fill="AEAAAA"/>
            <w:vAlign w:val="bottom"/>
          </w:tcPr>
          <w:p w14:paraId="4C994DA5" w14:textId="6621B668"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33.5</w:t>
            </w:r>
          </w:p>
        </w:tc>
        <w:tc>
          <w:tcPr>
            <w:tcW w:w="720" w:type="dxa"/>
            <w:tcBorders>
              <w:right w:val="single" w:sz="24" w:space="0" w:color="auto"/>
            </w:tcBorders>
            <w:shd w:val="clear" w:color="000000" w:fill="AEAAAA"/>
            <w:vAlign w:val="bottom"/>
          </w:tcPr>
          <w:p w14:paraId="68246173" w14:textId="319BED5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shd w:val="clear" w:color="000000" w:fill="AEAAAA"/>
            <w:vAlign w:val="bottom"/>
          </w:tcPr>
          <w:p w14:paraId="083C58E1" w14:textId="77777777" w:rsidR="004F75AC" w:rsidRPr="003A01A9" w:rsidRDefault="004F75AC" w:rsidP="003A01A9">
            <w:pPr>
              <w:spacing w:after="0" w:line="240" w:lineRule="auto"/>
              <w:jc w:val="right"/>
              <w:rPr>
                <w:rFonts w:eastAsia="Times New Roman"/>
                <w:color w:val="000000"/>
                <w:sz w:val="18"/>
                <w:szCs w:val="18"/>
              </w:rPr>
            </w:pPr>
          </w:p>
          <w:p w14:paraId="05111C03" w14:textId="0E2A5F0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000000" w:fill="AEAAAA"/>
            <w:vAlign w:val="bottom"/>
          </w:tcPr>
          <w:p w14:paraId="50276E58" w14:textId="2A2CA210"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000000" w:fill="AEAAAA"/>
            <w:vAlign w:val="bottom"/>
          </w:tcPr>
          <w:p w14:paraId="6277EE29" w14:textId="77777777" w:rsidR="004F75AC" w:rsidRPr="003A01A9" w:rsidRDefault="004F75AC" w:rsidP="003A01A9">
            <w:pPr>
              <w:spacing w:after="0" w:line="240" w:lineRule="auto"/>
              <w:jc w:val="right"/>
              <w:rPr>
                <w:rFonts w:eastAsia="Times New Roman"/>
                <w:color w:val="000000"/>
                <w:sz w:val="18"/>
                <w:szCs w:val="18"/>
              </w:rPr>
            </w:pPr>
          </w:p>
          <w:p w14:paraId="06ADEA65" w14:textId="2DF89840"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vAlign w:val="bottom"/>
          </w:tcPr>
          <w:p w14:paraId="71DCCEEF" w14:textId="32894FB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7ADB7BB2" w14:textId="77777777" w:rsidTr="00A752A9">
        <w:trPr>
          <w:trHeight w:val="288"/>
        </w:trPr>
        <w:tc>
          <w:tcPr>
            <w:tcW w:w="720" w:type="dxa"/>
            <w:tcBorders>
              <w:right w:val="single" w:sz="24" w:space="0" w:color="auto"/>
            </w:tcBorders>
            <w:shd w:val="clear" w:color="auto" w:fill="auto"/>
            <w:noWrap/>
            <w:vAlign w:val="bottom"/>
            <w:hideMark/>
          </w:tcPr>
          <w:p w14:paraId="49CB9E12"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Mogibacteriaceae</w:t>
            </w:r>
          </w:p>
        </w:tc>
        <w:tc>
          <w:tcPr>
            <w:tcW w:w="540" w:type="dxa"/>
            <w:tcBorders>
              <w:left w:val="single" w:sz="24" w:space="0" w:color="auto"/>
            </w:tcBorders>
            <w:shd w:val="clear" w:color="auto" w:fill="auto"/>
            <w:noWrap/>
            <w:vAlign w:val="bottom"/>
            <w:hideMark/>
          </w:tcPr>
          <w:p w14:paraId="237BFA7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6644B6F1"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auto" w:fill="auto"/>
            <w:noWrap/>
            <w:vAlign w:val="bottom"/>
            <w:hideMark/>
          </w:tcPr>
          <w:p w14:paraId="752B243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auto" w:fill="auto"/>
            <w:noWrap/>
            <w:vAlign w:val="bottom"/>
            <w:hideMark/>
          </w:tcPr>
          <w:p w14:paraId="13199566"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0.3</w:t>
            </w:r>
          </w:p>
        </w:tc>
        <w:tc>
          <w:tcPr>
            <w:tcW w:w="630" w:type="dxa"/>
            <w:tcBorders>
              <w:left w:val="single" w:sz="24" w:space="0" w:color="auto"/>
            </w:tcBorders>
            <w:shd w:val="clear" w:color="auto" w:fill="auto"/>
            <w:noWrap/>
            <w:vAlign w:val="bottom"/>
            <w:hideMark/>
          </w:tcPr>
          <w:p w14:paraId="578512B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auto" w:fill="auto"/>
            <w:noWrap/>
            <w:vAlign w:val="bottom"/>
            <w:hideMark/>
          </w:tcPr>
          <w:p w14:paraId="272CCEB4"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vAlign w:val="bottom"/>
          </w:tcPr>
          <w:p w14:paraId="2E2F558A" w14:textId="1DC4D5B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auto" w:fill="auto"/>
            <w:noWrap/>
            <w:vAlign w:val="bottom"/>
            <w:hideMark/>
          </w:tcPr>
          <w:p w14:paraId="7D029465" w14:textId="7DCCA052"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vAlign w:val="bottom"/>
          </w:tcPr>
          <w:p w14:paraId="6703F20E" w14:textId="365F90EB"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59.2</w:t>
            </w:r>
          </w:p>
        </w:tc>
        <w:tc>
          <w:tcPr>
            <w:tcW w:w="720" w:type="dxa"/>
            <w:tcBorders>
              <w:right w:val="single" w:sz="24" w:space="0" w:color="auto"/>
            </w:tcBorders>
            <w:vAlign w:val="bottom"/>
          </w:tcPr>
          <w:p w14:paraId="6EBBA245" w14:textId="59F24B8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vAlign w:val="bottom"/>
          </w:tcPr>
          <w:p w14:paraId="0A8C0DE6" w14:textId="77777777" w:rsidR="004F75AC" w:rsidRPr="003A01A9" w:rsidRDefault="004F75AC" w:rsidP="003A01A9">
            <w:pPr>
              <w:spacing w:after="0" w:line="240" w:lineRule="auto"/>
              <w:jc w:val="right"/>
              <w:rPr>
                <w:rFonts w:eastAsia="Times New Roman"/>
                <w:color w:val="000000"/>
                <w:sz w:val="18"/>
                <w:szCs w:val="18"/>
              </w:rPr>
            </w:pPr>
          </w:p>
          <w:p w14:paraId="5FDF766B" w14:textId="2D83329E"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51.0</w:t>
            </w:r>
          </w:p>
        </w:tc>
        <w:tc>
          <w:tcPr>
            <w:tcW w:w="630" w:type="dxa"/>
            <w:tcBorders>
              <w:right w:val="single" w:sz="24" w:space="0" w:color="auto"/>
            </w:tcBorders>
            <w:vAlign w:val="bottom"/>
          </w:tcPr>
          <w:p w14:paraId="06328963" w14:textId="21BD4CB2"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vAlign w:val="bottom"/>
          </w:tcPr>
          <w:p w14:paraId="34F5A4AB" w14:textId="77777777" w:rsidR="004F75AC" w:rsidRPr="003A01A9" w:rsidRDefault="004F75AC" w:rsidP="003A01A9">
            <w:pPr>
              <w:spacing w:after="0" w:line="240" w:lineRule="auto"/>
              <w:jc w:val="right"/>
              <w:rPr>
                <w:rFonts w:eastAsia="Times New Roman"/>
                <w:color w:val="000000"/>
                <w:sz w:val="18"/>
                <w:szCs w:val="18"/>
              </w:rPr>
            </w:pPr>
          </w:p>
          <w:p w14:paraId="527621F2" w14:textId="4EBB10A8"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6F274CA2" w14:textId="4EB97E23"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2B588659" w14:textId="77777777" w:rsidTr="00A752A9">
        <w:trPr>
          <w:trHeight w:val="288"/>
        </w:trPr>
        <w:tc>
          <w:tcPr>
            <w:tcW w:w="720" w:type="dxa"/>
            <w:tcBorders>
              <w:right w:val="single" w:sz="24" w:space="0" w:color="auto"/>
            </w:tcBorders>
            <w:shd w:val="clear" w:color="000000" w:fill="AEAAAA"/>
            <w:noWrap/>
            <w:vAlign w:val="bottom"/>
            <w:hideMark/>
          </w:tcPr>
          <w:p w14:paraId="51254E9A"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Fusobacterium</w:t>
            </w:r>
          </w:p>
        </w:tc>
        <w:tc>
          <w:tcPr>
            <w:tcW w:w="540" w:type="dxa"/>
            <w:tcBorders>
              <w:left w:val="single" w:sz="24" w:space="0" w:color="auto"/>
            </w:tcBorders>
            <w:shd w:val="clear" w:color="000000" w:fill="AEAAAA"/>
            <w:noWrap/>
            <w:vAlign w:val="bottom"/>
            <w:hideMark/>
          </w:tcPr>
          <w:p w14:paraId="1F455C5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right w:val="single" w:sz="24" w:space="0" w:color="auto"/>
            </w:tcBorders>
            <w:shd w:val="clear" w:color="000000" w:fill="AEAAAA"/>
            <w:noWrap/>
            <w:vAlign w:val="bottom"/>
            <w:hideMark/>
          </w:tcPr>
          <w:p w14:paraId="42F51D46"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5070D6D4"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noWrap/>
            <w:vAlign w:val="bottom"/>
            <w:hideMark/>
          </w:tcPr>
          <w:p w14:paraId="13EE590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39DA75D4"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000000" w:fill="AEAAAA"/>
            <w:noWrap/>
            <w:vAlign w:val="bottom"/>
            <w:hideMark/>
          </w:tcPr>
          <w:p w14:paraId="0CE70B67"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000000" w:fill="AEAAAA"/>
            <w:vAlign w:val="bottom"/>
          </w:tcPr>
          <w:p w14:paraId="0BC01EE6" w14:textId="2346B03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000000" w:fill="AEAAAA"/>
            <w:noWrap/>
            <w:vAlign w:val="bottom"/>
            <w:hideMark/>
          </w:tcPr>
          <w:p w14:paraId="16AD298A" w14:textId="68F14A66"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shd w:val="clear" w:color="000000" w:fill="AEAAAA"/>
            <w:vAlign w:val="bottom"/>
          </w:tcPr>
          <w:p w14:paraId="0C1F52AD"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shd w:val="clear" w:color="000000" w:fill="AEAAAA"/>
            <w:vAlign w:val="bottom"/>
          </w:tcPr>
          <w:p w14:paraId="3E094597" w14:textId="54D2564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shd w:val="clear" w:color="000000" w:fill="AEAAAA"/>
            <w:vAlign w:val="bottom"/>
          </w:tcPr>
          <w:p w14:paraId="5C279851" w14:textId="77777777" w:rsidR="004F75AC" w:rsidRPr="003A01A9" w:rsidRDefault="004F75AC" w:rsidP="003A01A9">
            <w:pPr>
              <w:spacing w:after="0" w:line="240" w:lineRule="auto"/>
              <w:jc w:val="right"/>
              <w:rPr>
                <w:rFonts w:eastAsia="Times New Roman"/>
                <w:color w:val="000000"/>
                <w:sz w:val="18"/>
                <w:szCs w:val="18"/>
              </w:rPr>
            </w:pPr>
          </w:p>
          <w:p w14:paraId="0C672DE4" w14:textId="294329C9"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7.0</w:t>
            </w:r>
          </w:p>
        </w:tc>
        <w:tc>
          <w:tcPr>
            <w:tcW w:w="630" w:type="dxa"/>
            <w:tcBorders>
              <w:right w:val="single" w:sz="24" w:space="0" w:color="auto"/>
            </w:tcBorders>
            <w:shd w:val="clear" w:color="000000" w:fill="AEAAAA"/>
            <w:vAlign w:val="bottom"/>
          </w:tcPr>
          <w:p w14:paraId="0630C1C2" w14:textId="45F4C4E0"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000000" w:fill="AEAAAA"/>
            <w:vAlign w:val="bottom"/>
          </w:tcPr>
          <w:p w14:paraId="797AE361" w14:textId="77777777" w:rsidR="004F75AC" w:rsidRPr="003A01A9" w:rsidRDefault="004F75AC" w:rsidP="003A01A9">
            <w:pPr>
              <w:spacing w:after="0" w:line="240" w:lineRule="auto"/>
              <w:jc w:val="right"/>
              <w:rPr>
                <w:rFonts w:eastAsia="Times New Roman"/>
                <w:color w:val="000000"/>
                <w:sz w:val="18"/>
                <w:szCs w:val="18"/>
              </w:rPr>
            </w:pPr>
          </w:p>
          <w:p w14:paraId="5A0A742E" w14:textId="7A72051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vAlign w:val="bottom"/>
          </w:tcPr>
          <w:p w14:paraId="07ED2A78" w14:textId="65B7CAB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5FCC3D92" w14:textId="77777777" w:rsidTr="00A752A9">
        <w:trPr>
          <w:trHeight w:val="288"/>
        </w:trPr>
        <w:tc>
          <w:tcPr>
            <w:tcW w:w="720" w:type="dxa"/>
            <w:tcBorders>
              <w:right w:val="single" w:sz="24" w:space="0" w:color="auto"/>
            </w:tcBorders>
            <w:shd w:val="clear" w:color="auto" w:fill="auto"/>
            <w:noWrap/>
            <w:vAlign w:val="bottom"/>
            <w:hideMark/>
          </w:tcPr>
          <w:p w14:paraId="7E26DCD2"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Leptotrichia</w:t>
            </w:r>
          </w:p>
        </w:tc>
        <w:tc>
          <w:tcPr>
            <w:tcW w:w="540" w:type="dxa"/>
            <w:tcBorders>
              <w:left w:val="single" w:sz="24" w:space="0" w:color="auto"/>
            </w:tcBorders>
            <w:shd w:val="clear" w:color="auto" w:fill="auto"/>
            <w:noWrap/>
            <w:vAlign w:val="bottom"/>
            <w:hideMark/>
          </w:tcPr>
          <w:p w14:paraId="33F251FC"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auto" w:fill="auto"/>
            <w:noWrap/>
            <w:vAlign w:val="bottom"/>
            <w:hideMark/>
          </w:tcPr>
          <w:p w14:paraId="72400763"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auto" w:fill="auto"/>
            <w:noWrap/>
            <w:vAlign w:val="bottom"/>
            <w:hideMark/>
          </w:tcPr>
          <w:p w14:paraId="1D684ED0"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auto" w:fill="auto"/>
            <w:noWrap/>
            <w:vAlign w:val="bottom"/>
            <w:hideMark/>
          </w:tcPr>
          <w:p w14:paraId="45A44021"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auto" w:fill="auto"/>
            <w:noWrap/>
            <w:vAlign w:val="bottom"/>
            <w:hideMark/>
          </w:tcPr>
          <w:p w14:paraId="493CFF2A"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auto" w:fill="auto"/>
            <w:noWrap/>
            <w:vAlign w:val="bottom"/>
            <w:hideMark/>
          </w:tcPr>
          <w:p w14:paraId="4415CB8B"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vAlign w:val="bottom"/>
          </w:tcPr>
          <w:p w14:paraId="6C81FDBB" w14:textId="69E2B0FA"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right w:val="single" w:sz="24" w:space="0" w:color="auto"/>
            </w:tcBorders>
            <w:shd w:val="clear" w:color="auto" w:fill="auto"/>
            <w:noWrap/>
            <w:vAlign w:val="bottom"/>
            <w:hideMark/>
          </w:tcPr>
          <w:p w14:paraId="132E72CF" w14:textId="646E09FC"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vAlign w:val="bottom"/>
          </w:tcPr>
          <w:p w14:paraId="77F72478" w14:textId="346D6EFC"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vAlign w:val="bottom"/>
          </w:tcPr>
          <w:p w14:paraId="44F44B1A" w14:textId="6576D4F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vAlign w:val="bottom"/>
          </w:tcPr>
          <w:p w14:paraId="6D5CB0D9" w14:textId="7ADA8AAD"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vAlign w:val="bottom"/>
          </w:tcPr>
          <w:p w14:paraId="5F3F156A" w14:textId="476E2FA6"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vAlign w:val="bottom"/>
          </w:tcPr>
          <w:p w14:paraId="5909E279" w14:textId="525E270B"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vAlign w:val="bottom"/>
          </w:tcPr>
          <w:p w14:paraId="12256D3C" w14:textId="56E7E4FB"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6130A422" w14:textId="77777777" w:rsidTr="00A752A9">
        <w:trPr>
          <w:trHeight w:val="288"/>
        </w:trPr>
        <w:tc>
          <w:tcPr>
            <w:tcW w:w="720" w:type="dxa"/>
            <w:tcBorders>
              <w:right w:val="single" w:sz="24" w:space="0" w:color="auto"/>
            </w:tcBorders>
            <w:shd w:val="clear" w:color="000000" w:fill="AEAAAA"/>
            <w:noWrap/>
            <w:vAlign w:val="bottom"/>
            <w:hideMark/>
          </w:tcPr>
          <w:p w14:paraId="39630153"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Neisseria</w:t>
            </w:r>
          </w:p>
        </w:tc>
        <w:tc>
          <w:tcPr>
            <w:tcW w:w="540" w:type="dxa"/>
            <w:tcBorders>
              <w:left w:val="single" w:sz="24" w:space="0" w:color="auto"/>
            </w:tcBorders>
            <w:shd w:val="clear" w:color="000000" w:fill="AEAAAA"/>
            <w:noWrap/>
            <w:vAlign w:val="bottom"/>
            <w:hideMark/>
          </w:tcPr>
          <w:p w14:paraId="2636AD96"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000000" w:fill="AEAAAA"/>
            <w:noWrap/>
            <w:vAlign w:val="bottom"/>
            <w:hideMark/>
          </w:tcPr>
          <w:p w14:paraId="1AAE2491"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noWrap/>
            <w:vAlign w:val="bottom"/>
            <w:hideMark/>
          </w:tcPr>
          <w:p w14:paraId="25BD96AF"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noWrap/>
            <w:vAlign w:val="bottom"/>
            <w:hideMark/>
          </w:tcPr>
          <w:p w14:paraId="754A8067"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630" w:type="dxa"/>
            <w:tcBorders>
              <w:left w:val="single" w:sz="24" w:space="0" w:color="auto"/>
            </w:tcBorders>
            <w:shd w:val="clear" w:color="000000" w:fill="AEAAAA"/>
            <w:noWrap/>
            <w:vAlign w:val="bottom"/>
            <w:hideMark/>
          </w:tcPr>
          <w:p w14:paraId="462CDE89"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450" w:type="dxa"/>
            <w:tcBorders>
              <w:right w:val="single" w:sz="24" w:space="0" w:color="auto"/>
            </w:tcBorders>
            <w:shd w:val="clear" w:color="000000" w:fill="AEAAAA"/>
            <w:noWrap/>
            <w:vAlign w:val="bottom"/>
            <w:hideMark/>
          </w:tcPr>
          <w:p w14:paraId="426215FF"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tcBorders>
            <w:shd w:val="clear" w:color="000000" w:fill="AEAAAA"/>
            <w:vAlign w:val="bottom"/>
          </w:tcPr>
          <w:p w14:paraId="7D345DC5" w14:textId="38AC4ADA"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0.1</w:t>
            </w:r>
          </w:p>
        </w:tc>
        <w:tc>
          <w:tcPr>
            <w:tcW w:w="550" w:type="dxa"/>
            <w:tcBorders>
              <w:right w:val="single" w:sz="24" w:space="0" w:color="auto"/>
            </w:tcBorders>
            <w:shd w:val="clear" w:color="000000" w:fill="AEAAAA"/>
            <w:noWrap/>
            <w:vAlign w:val="bottom"/>
            <w:hideMark/>
          </w:tcPr>
          <w:p w14:paraId="47F2A483" w14:textId="51EFF26F"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15" w:type="dxa"/>
            <w:tcBorders>
              <w:left w:val="single" w:sz="24" w:space="0" w:color="auto"/>
            </w:tcBorders>
            <w:shd w:val="clear" w:color="000000" w:fill="AEAAAA"/>
            <w:vAlign w:val="bottom"/>
          </w:tcPr>
          <w:p w14:paraId="429E1D5E" w14:textId="65479974"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right w:val="single" w:sz="24" w:space="0" w:color="auto"/>
            </w:tcBorders>
            <w:shd w:val="clear" w:color="000000" w:fill="AEAAAA"/>
            <w:vAlign w:val="bottom"/>
          </w:tcPr>
          <w:p w14:paraId="5FCC32AA" w14:textId="698426F2"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tcBorders>
            <w:shd w:val="clear" w:color="000000" w:fill="AEAAAA"/>
            <w:vAlign w:val="bottom"/>
          </w:tcPr>
          <w:p w14:paraId="576AB342" w14:textId="2D07096F"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right w:val="single" w:sz="24" w:space="0" w:color="auto"/>
            </w:tcBorders>
            <w:shd w:val="clear" w:color="000000" w:fill="AEAAAA"/>
            <w:vAlign w:val="bottom"/>
          </w:tcPr>
          <w:p w14:paraId="46D96894" w14:textId="11454E5B"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tcBorders>
            <w:shd w:val="clear" w:color="000000" w:fill="AEAAAA"/>
            <w:vAlign w:val="bottom"/>
          </w:tcPr>
          <w:p w14:paraId="65A092DC" w14:textId="010CBAA6"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right w:val="single" w:sz="24" w:space="0" w:color="auto"/>
            </w:tcBorders>
            <w:shd w:val="clear" w:color="000000" w:fill="AEAAAA"/>
            <w:vAlign w:val="bottom"/>
          </w:tcPr>
          <w:p w14:paraId="1D8DCFE8" w14:textId="1948549E"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r>
      <w:tr w:rsidR="003A01A9" w:rsidRPr="003F5E09" w14:paraId="0CB57AF5" w14:textId="77777777" w:rsidTr="00A752A9">
        <w:trPr>
          <w:trHeight w:val="288"/>
        </w:trPr>
        <w:tc>
          <w:tcPr>
            <w:tcW w:w="720" w:type="dxa"/>
            <w:tcBorders>
              <w:right w:val="single" w:sz="24" w:space="0" w:color="auto"/>
            </w:tcBorders>
            <w:shd w:val="clear" w:color="auto" w:fill="auto"/>
            <w:noWrap/>
            <w:vAlign w:val="bottom"/>
          </w:tcPr>
          <w:p w14:paraId="2215A271" w14:textId="77777777" w:rsidR="004F75AC" w:rsidRPr="003A01A9" w:rsidRDefault="004F75AC" w:rsidP="003A01A9">
            <w:pPr>
              <w:spacing w:after="0" w:line="240" w:lineRule="auto"/>
              <w:rPr>
                <w:rFonts w:eastAsia="Times New Roman"/>
                <w:color w:val="000000"/>
                <w:sz w:val="18"/>
                <w:szCs w:val="18"/>
              </w:rPr>
            </w:pPr>
            <w:r w:rsidRPr="003A01A9">
              <w:rPr>
                <w:rFonts w:eastAsia="Times New Roman"/>
                <w:color w:val="000000"/>
                <w:sz w:val="18"/>
                <w:szCs w:val="18"/>
              </w:rPr>
              <w:t>Propionibacterium</w:t>
            </w:r>
          </w:p>
        </w:tc>
        <w:tc>
          <w:tcPr>
            <w:tcW w:w="540" w:type="dxa"/>
            <w:tcBorders>
              <w:left w:val="single" w:sz="24" w:space="0" w:color="auto"/>
              <w:bottom w:val="single" w:sz="24" w:space="0" w:color="auto"/>
            </w:tcBorders>
            <w:shd w:val="clear" w:color="auto" w:fill="auto"/>
            <w:noWrap/>
            <w:vAlign w:val="bottom"/>
          </w:tcPr>
          <w:p w14:paraId="330586B8"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2.3</w:t>
            </w:r>
          </w:p>
        </w:tc>
        <w:tc>
          <w:tcPr>
            <w:tcW w:w="630" w:type="dxa"/>
            <w:tcBorders>
              <w:bottom w:val="single" w:sz="24" w:space="0" w:color="auto"/>
              <w:right w:val="single" w:sz="24" w:space="0" w:color="auto"/>
            </w:tcBorders>
            <w:shd w:val="clear" w:color="auto" w:fill="auto"/>
            <w:noWrap/>
            <w:vAlign w:val="bottom"/>
          </w:tcPr>
          <w:p w14:paraId="760E0720"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bottom w:val="single" w:sz="24" w:space="0" w:color="auto"/>
            </w:tcBorders>
            <w:shd w:val="clear" w:color="auto" w:fill="auto"/>
            <w:noWrap/>
            <w:vAlign w:val="bottom"/>
          </w:tcPr>
          <w:p w14:paraId="13343F01" w14:textId="77777777"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15.2</w:t>
            </w:r>
          </w:p>
        </w:tc>
        <w:tc>
          <w:tcPr>
            <w:tcW w:w="540" w:type="dxa"/>
            <w:tcBorders>
              <w:bottom w:val="single" w:sz="24" w:space="0" w:color="auto"/>
              <w:right w:val="single" w:sz="24" w:space="0" w:color="auto"/>
            </w:tcBorders>
            <w:shd w:val="clear" w:color="auto" w:fill="auto"/>
            <w:noWrap/>
            <w:vAlign w:val="bottom"/>
          </w:tcPr>
          <w:p w14:paraId="5661BDE3" w14:textId="65BF344A"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bottom w:val="single" w:sz="24" w:space="0" w:color="auto"/>
            </w:tcBorders>
            <w:shd w:val="clear" w:color="auto" w:fill="auto"/>
            <w:noWrap/>
            <w:vAlign w:val="bottom"/>
          </w:tcPr>
          <w:p w14:paraId="7EBE93F7" w14:textId="6F3C2909"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7.0</w:t>
            </w:r>
          </w:p>
        </w:tc>
        <w:tc>
          <w:tcPr>
            <w:tcW w:w="450" w:type="dxa"/>
            <w:tcBorders>
              <w:bottom w:val="single" w:sz="24" w:space="0" w:color="auto"/>
              <w:right w:val="single" w:sz="24" w:space="0" w:color="auto"/>
            </w:tcBorders>
            <w:shd w:val="clear" w:color="auto" w:fill="auto"/>
            <w:noWrap/>
            <w:vAlign w:val="bottom"/>
          </w:tcPr>
          <w:p w14:paraId="703F5726" w14:textId="5DBE7931"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left w:val="single" w:sz="24" w:space="0" w:color="auto"/>
              <w:bottom w:val="single" w:sz="24" w:space="0" w:color="auto"/>
            </w:tcBorders>
            <w:vAlign w:val="bottom"/>
          </w:tcPr>
          <w:p w14:paraId="1FED7240" w14:textId="6271307A"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50" w:type="dxa"/>
            <w:tcBorders>
              <w:bottom w:val="single" w:sz="24" w:space="0" w:color="auto"/>
              <w:right w:val="single" w:sz="24" w:space="0" w:color="auto"/>
            </w:tcBorders>
            <w:shd w:val="clear" w:color="auto" w:fill="auto"/>
            <w:noWrap/>
            <w:vAlign w:val="bottom"/>
          </w:tcPr>
          <w:p w14:paraId="48FF46B6" w14:textId="0A99F3D5" w:rsidR="004F75AC" w:rsidRPr="003A01A9" w:rsidRDefault="004F75AC" w:rsidP="003A01A9">
            <w:pPr>
              <w:spacing w:after="0" w:line="240" w:lineRule="auto"/>
              <w:jc w:val="right"/>
              <w:rPr>
                <w:rFonts w:eastAsia="Times New Roman"/>
                <w:color w:val="000000"/>
                <w:sz w:val="18"/>
                <w:szCs w:val="18"/>
              </w:rPr>
            </w:pPr>
            <w:r w:rsidRPr="003A01A9">
              <w:rPr>
                <w:rFonts w:eastAsia="Times New Roman"/>
                <w:color w:val="000000"/>
                <w:sz w:val="18"/>
                <w:szCs w:val="18"/>
              </w:rPr>
              <w:t>26.4</w:t>
            </w:r>
          </w:p>
        </w:tc>
        <w:tc>
          <w:tcPr>
            <w:tcW w:w="615" w:type="dxa"/>
            <w:tcBorders>
              <w:left w:val="single" w:sz="24" w:space="0" w:color="auto"/>
              <w:bottom w:val="single" w:sz="24" w:space="0" w:color="auto"/>
            </w:tcBorders>
            <w:vAlign w:val="bottom"/>
          </w:tcPr>
          <w:p w14:paraId="0448A257" w14:textId="06D6E42A"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720" w:type="dxa"/>
            <w:tcBorders>
              <w:bottom w:val="single" w:sz="24" w:space="0" w:color="auto"/>
              <w:right w:val="single" w:sz="24" w:space="0" w:color="auto"/>
            </w:tcBorders>
            <w:vAlign w:val="bottom"/>
          </w:tcPr>
          <w:p w14:paraId="7298BA78" w14:textId="0F0CD881"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810" w:type="dxa"/>
            <w:tcBorders>
              <w:left w:val="single" w:sz="24" w:space="0" w:color="auto"/>
              <w:bottom w:val="single" w:sz="24" w:space="0" w:color="auto"/>
            </w:tcBorders>
            <w:vAlign w:val="bottom"/>
          </w:tcPr>
          <w:p w14:paraId="497B6B50" w14:textId="0201A119"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630" w:type="dxa"/>
            <w:tcBorders>
              <w:bottom w:val="single" w:sz="24" w:space="0" w:color="auto"/>
              <w:right w:val="single" w:sz="24" w:space="0" w:color="auto"/>
            </w:tcBorders>
            <w:vAlign w:val="bottom"/>
          </w:tcPr>
          <w:p w14:paraId="71889E7F" w14:textId="4B95F17D"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left w:val="single" w:sz="24" w:space="0" w:color="auto"/>
              <w:bottom w:val="single" w:sz="24" w:space="0" w:color="auto"/>
            </w:tcBorders>
            <w:vAlign w:val="bottom"/>
          </w:tcPr>
          <w:p w14:paraId="0FB3F6DB" w14:textId="60612A20"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c>
          <w:tcPr>
            <w:tcW w:w="540" w:type="dxa"/>
            <w:tcBorders>
              <w:bottom w:val="single" w:sz="24" w:space="0" w:color="auto"/>
              <w:right w:val="single" w:sz="24" w:space="0" w:color="auto"/>
            </w:tcBorders>
            <w:vAlign w:val="bottom"/>
          </w:tcPr>
          <w:p w14:paraId="21356580" w14:textId="06E2E64D" w:rsidR="004F75AC" w:rsidRPr="003A01A9" w:rsidRDefault="004F75AC" w:rsidP="003A01A9">
            <w:pPr>
              <w:keepNext/>
              <w:spacing w:after="0" w:line="240" w:lineRule="auto"/>
              <w:jc w:val="right"/>
              <w:rPr>
                <w:rFonts w:eastAsia="Times New Roman"/>
                <w:color w:val="000000"/>
                <w:sz w:val="18"/>
                <w:szCs w:val="18"/>
              </w:rPr>
            </w:pPr>
            <w:r w:rsidRPr="003A01A9">
              <w:rPr>
                <w:rFonts w:eastAsia="Times New Roman"/>
                <w:color w:val="000000"/>
                <w:sz w:val="18"/>
                <w:szCs w:val="18"/>
              </w:rPr>
              <w:t>0.0</w:t>
            </w:r>
          </w:p>
        </w:tc>
      </w:tr>
    </w:tbl>
    <w:p w14:paraId="2F4A5A70" w14:textId="2CD4AE69" w:rsidR="00E02582" w:rsidRDefault="00E02582" w:rsidP="00E02582">
      <w:pPr>
        <w:pStyle w:val="Caption"/>
        <w:rPr>
          <w:b/>
          <w:i w:val="0"/>
          <w:color w:val="auto"/>
          <w:sz w:val="24"/>
          <w:szCs w:val="24"/>
        </w:rPr>
      </w:pPr>
      <w:r w:rsidRPr="00684CD5">
        <w:rPr>
          <w:b/>
          <w:i w:val="0"/>
          <w:color w:val="auto"/>
          <w:sz w:val="24"/>
          <w:szCs w:val="24"/>
        </w:rPr>
        <w:t xml:space="preserve">Table </w:t>
      </w:r>
      <w:r w:rsidR="003A01A9">
        <w:rPr>
          <w:b/>
          <w:i w:val="0"/>
          <w:color w:val="auto"/>
          <w:sz w:val="24"/>
          <w:szCs w:val="24"/>
        </w:rPr>
        <w:t>3</w:t>
      </w:r>
      <w:r>
        <w:rPr>
          <w:b/>
          <w:i w:val="0"/>
          <w:color w:val="auto"/>
          <w:sz w:val="24"/>
          <w:szCs w:val="24"/>
        </w:rPr>
        <w:t>. Relative abundances for bacterial genera* from QIIME and MetaPhlAn within the samples</w:t>
      </w:r>
    </w:p>
    <w:p w14:paraId="3CB871F2" w14:textId="2410DD64" w:rsidR="00E02582" w:rsidRDefault="00E02582" w:rsidP="00E02582">
      <w:pPr>
        <w:jc w:val="both"/>
      </w:pPr>
      <w:r>
        <w:rPr>
          <w:b/>
          <w:sz w:val="24"/>
          <w:szCs w:val="24"/>
        </w:rPr>
        <w:t>*</w:t>
      </w:r>
      <w:r w:rsidR="00C20991">
        <w:rPr>
          <w:b/>
          <w:sz w:val="24"/>
          <w:szCs w:val="24"/>
        </w:rPr>
        <w:t xml:space="preserve">The taxa presented were at least 0.1% relative abundance in at least one sample, not including the extraction and library blanks. </w:t>
      </w:r>
    </w:p>
    <w:p w14:paraId="0AF83492" w14:textId="77777777" w:rsidR="00E02582" w:rsidRDefault="00E02582" w:rsidP="00E02582">
      <w:r>
        <w:br w:type="page"/>
      </w:r>
    </w:p>
    <w:tbl>
      <w:tblPr>
        <w:tblpPr w:leftFromText="180" w:rightFromText="180" w:vertAnchor="page" w:horzAnchor="margin" w:tblpY="18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1046"/>
        <w:gridCol w:w="1046"/>
        <w:gridCol w:w="1046"/>
        <w:gridCol w:w="1046"/>
        <w:gridCol w:w="1046"/>
        <w:gridCol w:w="1046"/>
        <w:gridCol w:w="1046"/>
      </w:tblGrid>
      <w:tr w:rsidR="00BE20C3" w:rsidRPr="00DF6930" w14:paraId="626C2E3A" w14:textId="401B0A13" w:rsidTr="00C20991">
        <w:trPr>
          <w:trHeight w:val="1095"/>
        </w:trPr>
        <w:tc>
          <w:tcPr>
            <w:tcW w:w="1676" w:type="dxa"/>
            <w:shd w:val="clear" w:color="auto" w:fill="767171" w:themeFill="background2" w:themeFillShade="80"/>
            <w:vAlign w:val="bottom"/>
            <w:hideMark/>
          </w:tcPr>
          <w:p w14:paraId="4E42E539" w14:textId="5982C475" w:rsidR="00BE20C3" w:rsidRPr="00DF6930" w:rsidRDefault="00BE20C3" w:rsidP="00BE20C3">
            <w:pPr>
              <w:spacing w:after="0" w:line="240" w:lineRule="auto"/>
              <w:rPr>
                <w:rFonts w:eastAsia="Times New Roman"/>
                <w:b/>
                <w:bCs/>
                <w:color w:val="000000"/>
                <w:sz w:val="18"/>
                <w:szCs w:val="18"/>
              </w:rPr>
            </w:pPr>
            <w:r w:rsidRPr="00DF6930">
              <w:rPr>
                <w:rFonts w:eastAsia="Times New Roman"/>
                <w:b/>
                <w:bCs/>
                <w:color w:val="000000"/>
                <w:sz w:val="18"/>
                <w:szCs w:val="18"/>
              </w:rPr>
              <w:lastRenderedPageBreak/>
              <w:t>Taxa</w:t>
            </w:r>
          </w:p>
        </w:tc>
        <w:tc>
          <w:tcPr>
            <w:tcW w:w="1046" w:type="dxa"/>
            <w:shd w:val="clear" w:color="auto" w:fill="767171" w:themeFill="background2" w:themeFillShade="80"/>
            <w:vAlign w:val="bottom"/>
          </w:tcPr>
          <w:p w14:paraId="3D443242" w14:textId="4990F20C" w:rsidR="00BE20C3" w:rsidRDefault="00BE20C3" w:rsidP="00C20991">
            <w:pPr>
              <w:spacing w:after="0" w:line="240" w:lineRule="auto"/>
              <w:jc w:val="center"/>
              <w:rPr>
                <w:rFonts w:eastAsia="Times New Roman"/>
                <w:color w:val="000000"/>
                <w:sz w:val="18"/>
                <w:szCs w:val="18"/>
              </w:rPr>
            </w:pPr>
          </w:p>
          <w:p w14:paraId="13E0CF60" w14:textId="77777777" w:rsidR="00BE20C3" w:rsidRDefault="00BE20C3" w:rsidP="00C20991">
            <w:pPr>
              <w:spacing w:after="0" w:line="240" w:lineRule="auto"/>
              <w:jc w:val="center"/>
              <w:rPr>
                <w:rFonts w:eastAsia="Times New Roman"/>
                <w:color w:val="000000"/>
                <w:sz w:val="18"/>
                <w:szCs w:val="18"/>
              </w:rPr>
            </w:pPr>
          </w:p>
          <w:p w14:paraId="022E2978" w14:textId="77777777" w:rsidR="00BE20C3" w:rsidRDefault="00BE20C3" w:rsidP="00C20991">
            <w:pPr>
              <w:spacing w:after="0" w:line="240" w:lineRule="auto"/>
              <w:jc w:val="center"/>
              <w:rPr>
                <w:rFonts w:eastAsia="Times New Roman"/>
                <w:color w:val="000000"/>
                <w:sz w:val="18"/>
                <w:szCs w:val="18"/>
              </w:rPr>
            </w:pPr>
          </w:p>
          <w:p w14:paraId="65C07C0E" w14:textId="77777777" w:rsidR="00BE20C3" w:rsidRDefault="00BE20C3" w:rsidP="00C20991">
            <w:pPr>
              <w:spacing w:after="0" w:line="240" w:lineRule="auto"/>
              <w:jc w:val="center"/>
              <w:rPr>
                <w:rFonts w:eastAsia="Times New Roman"/>
                <w:color w:val="000000"/>
                <w:sz w:val="18"/>
                <w:szCs w:val="18"/>
              </w:rPr>
            </w:pPr>
          </w:p>
          <w:p w14:paraId="685E3EDC" w14:textId="20740120" w:rsidR="00BE20C3" w:rsidRDefault="00BE20C3" w:rsidP="00C20991">
            <w:pPr>
              <w:spacing w:after="0" w:line="240" w:lineRule="auto"/>
              <w:jc w:val="center"/>
              <w:rPr>
                <w:rFonts w:eastAsia="Times New Roman"/>
                <w:color w:val="000000"/>
                <w:sz w:val="18"/>
                <w:szCs w:val="18"/>
              </w:rPr>
            </w:pPr>
            <w:r>
              <w:rPr>
                <w:rFonts w:eastAsia="Times New Roman"/>
                <w:color w:val="000000"/>
                <w:sz w:val="18"/>
                <w:szCs w:val="18"/>
              </w:rPr>
              <w:t>PPCC</w:t>
            </w:r>
          </w:p>
        </w:tc>
        <w:tc>
          <w:tcPr>
            <w:tcW w:w="1046" w:type="dxa"/>
            <w:shd w:val="clear" w:color="auto" w:fill="767171" w:themeFill="background2" w:themeFillShade="80"/>
            <w:vAlign w:val="bottom"/>
          </w:tcPr>
          <w:p w14:paraId="6B7E9BEE" w14:textId="4EDD2C60" w:rsidR="00BE20C3" w:rsidRDefault="00BE20C3" w:rsidP="00C20991">
            <w:pPr>
              <w:spacing w:after="0" w:line="240" w:lineRule="auto"/>
              <w:jc w:val="center"/>
              <w:rPr>
                <w:rFonts w:eastAsia="Times New Roman"/>
                <w:color w:val="000000"/>
                <w:sz w:val="18"/>
                <w:szCs w:val="18"/>
              </w:rPr>
            </w:pPr>
          </w:p>
          <w:p w14:paraId="35ADC58C" w14:textId="4A966867" w:rsidR="00BE20C3" w:rsidRDefault="00BE20C3" w:rsidP="00C20991">
            <w:pPr>
              <w:spacing w:after="0" w:line="240" w:lineRule="auto"/>
              <w:jc w:val="center"/>
              <w:rPr>
                <w:rFonts w:eastAsia="Times New Roman"/>
                <w:color w:val="000000"/>
                <w:sz w:val="18"/>
                <w:szCs w:val="18"/>
              </w:rPr>
            </w:pPr>
          </w:p>
          <w:p w14:paraId="65C1E198" w14:textId="4566B725" w:rsidR="00BE20C3" w:rsidRDefault="00BE20C3" w:rsidP="00C20991">
            <w:pPr>
              <w:spacing w:after="0" w:line="240" w:lineRule="auto"/>
              <w:jc w:val="center"/>
              <w:rPr>
                <w:rFonts w:eastAsia="Times New Roman"/>
                <w:color w:val="000000"/>
                <w:sz w:val="18"/>
                <w:szCs w:val="18"/>
              </w:rPr>
            </w:pPr>
          </w:p>
          <w:p w14:paraId="2D3F3D71" w14:textId="75D7D061" w:rsidR="00BE20C3" w:rsidRDefault="00BE20C3" w:rsidP="00C20991">
            <w:pPr>
              <w:spacing w:after="0" w:line="240" w:lineRule="auto"/>
              <w:jc w:val="center"/>
              <w:rPr>
                <w:rFonts w:eastAsia="Times New Roman"/>
                <w:color w:val="000000"/>
                <w:sz w:val="18"/>
                <w:szCs w:val="18"/>
              </w:rPr>
            </w:pPr>
          </w:p>
          <w:p w14:paraId="029E7476" w14:textId="3EFED84E" w:rsidR="00BE20C3" w:rsidRDefault="00BE20C3" w:rsidP="00C20991">
            <w:pPr>
              <w:spacing w:after="0" w:line="240" w:lineRule="auto"/>
              <w:jc w:val="center"/>
              <w:rPr>
                <w:rFonts w:eastAsia="Times New Roman"/>
                <w:color w:val="000000"/>
                <w:sz w:val="18"/>
                <w:szCs w:val="18"/>
              </w:rPr>
            </w:pPr>
            <w:r>
              <w:rPr>
                <w:rFonts w:eastAsia="Times New Roman"/>
                <w:color w:val="000000"/>
                <w:sz w:val="18"/>
                <w:szCs w:val="18"/>
              </w:rPr>
              <w:t>PPL 5A</w:t>
            </w:r>
          </w:p>
        </w:tc>
        <w:tc>
          <w:tcPr>
            <w:tcW w:w="1046" w:type="dxa"/>
            <w:shd w:val="clear" w:color="auto" w:fill="767171" w:themeFill="background2" w:themeFillShade="80"/>
            <w:vAlign w:val="bottom"/>
          </w:tcPr>
          <w:p w14:paraId="792355BC" w14:textId="77777777" w:rsidR="00BE20C3" w:rsidRDefault="00BE20C3" w:rsidP="00C20991">
            <w:pPr>
              <w:spacing w:after="0" w:line="240" w:lineRule="auto"/>
              <w:jc w:val="center"/>
              <w:rPr>
                <w:rFonts w:eastAsia="Times New Roman"/>
                <w:color w:val="000000"/>
                <w:sz w:val="18"/>
                <w:szCs w:val="18"/>
              </w:rPr>
            </w:pPr>
          </w:p>
          <w:p w14:paraId="30ABF563" w14:textId="77777777" w:rsidR="00BE20C3" w:rsidRDefault="00BE20C3" w:rsidP="00C20991">
            <w:pPr>
              <w:spacing w:after="0" w:line="240" w:lineRule="auto"/>
              <w:jc w:val="center"/>
              <w:rPr>
                <w:rFonts w:eastAsia="Times New Roman"/>
                <w:color w:val="000000"/>
                <w:sz w:val="18"/>
                <w:szCs w:val="18"/>
              </w:rPr>
            </w:pPr>
          </w:p>
          <w:p w14:paraId="042756E3" w14:textId="77777777" w:rsidR="00BE20C3" w:rsidRDefault="00BE20C3" w:rsidP="00C20991">
            <w:pPr>
              <w:spacing w:after="0" w:line="240" w:lineRule="auto"/>
              <w:jc w:val="center"/>
              <w:rPr>
                <w:rFonts w:eastAsia="Times New Roman"/>
                <w:color w:val="000000"/>
                <w:sz w:val="18"/>
                <w:szCs w:val="18"/>
              </w:rPr>
            </w:pPr>
          </w:p>
          <w:p w14:paraId="5F3E6C8B" w14:textId="77777777" w:rsidR="00BE20C3" w:rsidRDefault="00BE20C3" w:rsidP="00C20991">
            <w:pPr>
              <w:spacing w:after="0" w:line="240" w:lineRule="auto"/>
              <w:jc w:val="center"/>
              <w:rPr>
                <w:rFonts w:eastAsia="Times New Roman"/>
                <w:color w:val="000000"/>
                <w:sz w:val="18"/>
                <w:szCs w:val="18"/>
              </w:rPr>
            </w:pPr>
          </w:p>
          <w:p w14:paraId="22F26746" w14:textId="4B321838" w:rsidR="00BE20C3" w:rsidRDefault="00BE20C3" w:rsidP="00C20991">
            <w:pPr>
              <w:spacing w:after="0" w:line="240" w:lineRule="auto"/>
              <w:jc w:val="center"/>
              <w:rPr>
                <w:rFonts w:eastAsia="Times New Roman"/>
                <w:color w:val="000000"/>
                <w:sz w:val="18"/>
                <w:szCs w:val="18"/>
              </w:rPr>
            </w:pPr>
            <w:r>
              <w:rPr>
                <w:rFonts w:eastAsia="Times New Roman"/>
                <w:color w:val="000000"/>
                <w:sz w:val="18"/>
                <w:szCs w:val="18"/>
              </w:rPr>
              <w:t>PPL 5B</w:t>
            </w:r>
          </w:p>
        </w:tc>
        <w:tc>
          <w:tcPr>
            <w:tcW w:w="1046" w:type="dxa"/>
            <w:shd w:val="clear" w:color="auto" w:fill="767171" w:themeFill="background2" w:themeFillShade="80"/>
            <w:vAlign w:val="bottom"/>
          </w:tcPr>
          <w:p w14:paraId="067C8137" w14:textId="77777777" w:rsidR="00BE20C3" w:rsidRDefault="00BE20C3" w:rsidP="00C20991">
            <w:pPr>
              <w:spacing w:after="0" w:line="240" w:lineRule="auto"/>
              <w:jc w:val="center"/>
              <w:rPr>
                <w:rFonts w:eastAsia="Times New Roman"/>
                <w:color w:val="000000"/>
                <w:sz w:val="18"/>
                <w:szCs w:val="18"/>
              </w:rPr>
            </w:pPr>
          </w:p>
          <w:p w14:paraId="518F1861" w14:textId="77777777" w:rsidR="00BE20C3" w:rsidRDefault="00BE20C3" w:rsidP="00C20991">
            <w:pPr>
              <w:spacing w:after="0" w:line="240" w:lineRule="auto"/>
              <w:jc w:val="center"/>
              <w:rPr>
                <w:rFonts w:eastAsia="Times New Roman"/>
                <w:color w:val="000000"/>
                <w:sz w:val="18"/>
                <w:szCs w:val="18"/>
              </w:rPr>
            </w:pPr>
          </w:p>
          <w:p w14:paraId="1C1410F0" w14:textId="77777777" w:rsidR="00BE20C3" w:rsidRDefault="00BE20C3" w:rsidP="00C20991">
            <w:pPr>
              <w:spacing w:after="0" w:line="240" w:lineRule="auto"/>
              <w:jc w:val="center"/>
              <w:rPr>
                <w:rFonts w:eastAsia="Times New Roman"/>
                <w:color w:val="000000"/>
                <w:sz w:val="18"/>
                <w:szCs w:val="18"/>
              </w:rPr>
            </w:pPr>
          </w:p>
          <w:p w14:paraId="03AE7A42" w14:textId="77777777" w:rsidR="00BE20C3" w:rsidRDefault="00BE20C3" w:rsidP="00C20991">
            <w:pPr>
              <w:spacing w:after="0" w:line="240" w:lineRule="auto"/>
              <w:jc w:val="center"/>
              <w:rPr>
                <w:rFonts w:eastAsia="Times New Roman"/>
                <w:color w:val="000000"/>
                <w:sz w:val="18"/>
                <w:szCs w:val="18"/>
              </w:rPr>
            </w:pPr>
          </w:p>
          <w:p w14:paraId="13E693FC" w14:textId="4C54CC44" w:rsidR="00BE20C3" w:rsidRDefault="00BE20C3" w:rsidP="00C20991">
            <w:pPr>
              <w:spacing w:after="0" w:line="240" w:lineRule="auto"/>
              <w:jc w:val="center"/>
              <w:rPr>
                <w:rFonts w:eastAsia="Times New Roman"/>
                <w:color w:val="000000"/>
                <w:sz w:val="18"/>
                <w:szCs w:val="18"/>
              </w:rPr>
            </w:pPr>
            <w:r>
              <w:rPr>
                <w:rFonts w:eastAsia="Times New Roman"/>
                <w:color w:val="000000"/>
                <w:sz w:val="18"/>
                <w:szCs w:val="18"/>
              </w:rPr>
              <w:t>PPL 5C</w:t>
            </w:r>
          </w:p>
        </w:tc>
        <w:tc>
          <w:tcPr>
            <w:tcW w:w="1046" w:type="dxa"/>
            <w:shd w:val="clear" w:color="auto" w:fill="767171" w:themeFill="background2" w:themeFillShade="80"/>
            <w:vAlign w:val="bottom"/>
          </w:tcPr>
          <w:p w14:paraId="31ED4E9D" w14:textId="5B0F00B0"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NegExt.1</w:t>
            </w:r>
          </w:p>
        </w:tc>
        <w:tc>
          <w:tcPr>
            <w:tcW w:w="1046" w:type="dxa"/>
            <w:shd w:val="clear" w:color="auto" w:fill="767171" w:themeFill="background2" w:themeFillShade="80"/>
            <w:vAlign w:val="bottom"/>
          </w:tcPr>
          <w:p w14:paraId="77EDBB5E" w14:textId="2C41649B"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NegExt.2</w:t>
            </w:r>
          </w:p>
        </w:tc>
        <w:tc>
          <w:tcPr>
            <w:tcW w:w="1046" w:type="dxa"/>
            <w:shd w:val="clear" w:color="auto" w:fill="767171" w:themeFill="background2" w:themeFillShade="80"/>
            <w:vAlign w:val="bottom"/>
          </w:tcPr>
          <w:p w14:paraId="7639F949" w14:textId="78C803A9"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LibNeg</w:t>
            </w:r>
          </w:p>
        </w:tc>
      </w:tr>
      <w:tr w:rsidR="0064301E" w:rsidRPr="00DF6930" w14:paraId="176C77A7" w14:textId="77777777" w:rsidTr="00450446">
        <w:trPr>
          <w:trHeight w:val="273"/>
        </w:trPr>
        <w:tc>
          <w:tcPr>
            <w:tcW w:w="1676" w:type="dxa"/>
            <w:shd w:val="clear" w:color="auto" w:fill="auto"/>
            <w:noWrap/>
            <w:vAlign w:val="bottom"/>
          </w:tcPr>
          <w:p w14:paraId="23D119A5" w14:textId="105DA60A" w:rsidR="0064301E" w:rsidRDefault="0064301E" w:rsidP="0064301E">
            <w:pPr>
              <w:spacing w:after="0" w:line="240" w:lineRule="auto"/>
              <w:rPr>
                <w:rFonts w:eastAsia="Times New Roman"/>
                <w:color w:val="000000"/>
                <w:sz w:val="18"/>
                <w:szCs w:val="18"/>
              </w:rPr>
            </w:pPr>
            <w:r>
              <w:rPr>
                <w:rFonts w:eastAsia="Times New Roman"/>
                <w:color w:val="000000"/>
                <w:sz w:val="18"/>
                <w:szCs w:val="18"/>
              </w:rPr>
              <w:t>Methanobrevibacter unclassified</w:t>
            </w:r>
          </w:p>
        </w:tc>
        <w:tc>
          <w:tcPr>
            <w:tcW w:w="1046" w:type="dxa"/>
            <w:shd w:val="clear" w:color="auto" w:fill="auto"/>
          </w:tcPr>
          <w:p w14:paraId="02678A2F" w14:textId="4CB5A392" w:rsidR="0064301E" w:rsidRDefault="0064301E" w:rsidP="0064301E">
            <w:pPr>
              <w:spacing w:after="0" w:line="240" w:lineRule="auto"/>
              <w:jc w:val="center"/>
              <w:rPr>
                <w:rFonts w:eastAsia="Times New Roman"/>
                <w:color w:val="000000"/>
                <w:sz w:val="18"/>
                <w:szCs w:val="18"/>
              </w:rPr>
            </w:pPr>
          </w:p>
          <w:p w14:paraId="27D19573" w14:textId="6435E38D" w:rsidR="0064301E" w:rsidRDefault="0064301E" w:rsidP="0064301E">
            <w:pPr>
              <w:spacing w:after="0" w:line="240" w:lineRule="auto"/>
              <w:jc w:val="center"/>
              <w:rPr>
                <w:rFonts w:eastAsia="Times New Roman"/>
                <w:color w:val="000000"/>
                <w:sz w:val="18"/>
                <w:szCs w:val="18"/>
              </w:rPr>
            </w:pPr>
            <w:r w:rsidRPr="0064301E">
              <w:rPr>
                <w:rFonts w:eastAsia="Times New Roman"/>
                <w:color w:val="000000"/>
                <w:sz w:val="18"/>
                <w:szCs w:val="18"/>
              </w:rPr>
              <w:t>48.0</w:t>
            </w:r>
          </w:p>
        </w:tc>
        <w:tc>
          <w:tcPr>
            <w:tcW w:w="1046" w:type="dxa"/>
            <w:shd w:val="clear" w:color="auto" w:fill="auto"/>
          </w:tcPr>
          <w:p w14:paraId="04EF1CF0" w14:textId="1BD1FF65" w:rsidR="0064301E" w:rsidRDefault="0064301E" w:rsidP="0064301E">
            <w:pPr>
              <w:spacing w:after="0" w:line="240" w:lineRule="auto"/>
              <w:jc w:val="center"/>
              <w:rPr>
                <w:rFonts w:eastAsia="Times New Roman"/>
                <w:color w:val="000000"/>
                <w:sz w:val="18"/>
                <w:szCs w:val="18"/>
              </w:rPr>
            </w:pPr>
          </w:p>
          <w:p w14:paraId="2E5F33B2" w14:textId="051D537A"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c>
          <w:tcPr>
            <w:tcW w:w="1046" w:type="dxa"/>
            <w:shd w:val="clear" w:color="auto" w:fill="auto"/>
          </w:tcPr>
          <w:p w14:paraId="28FA3B0C" w14:textId="51BCFFDA" w:rsidR="0064301E" w:rsidRDefault="0064301E" w:rsidP="0064301E">
            <w:pPr>
              <w:spacing w:after="0" w:line="240" w:lineRule="auto"/>
              <w:jc w:val="center"/>
              <w:rPr>
                <w:rFonts w:eastAsia="Times New Roman"/>
                <w:color w:val="000000"/>
                <w:sz w:val="18"/>
                <w:szCs w:val="18"/>
              </w:rPr>
            </w:pPr>
          </w:p>
          <w:p w14:paraId="154F021E" w14:textId="5AE542AA"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c>
          <w:tcPr>
            <w:tcW w:w="1046" w:type="dxa"/>
            <w:shd w:val="clear" w:color="auto" w:fill="auto"/>
          </w:tcPr>
          <w:p w14:paraId="075D81E1" w14:textId="7F5CCA19" w:rsidR="0064301E" w:rsidRDefault="0064301E" w:rsidP="0064301E">
            <w:pPr>
              <w:spacing w:after="0" w:line="240" w:lineRule="auto"/>
              <w:jc w:val="center"/>
              <w:rPr>
                <w:rFonts w:eastAsia="Times New Roman"/>
                <w:color w:val="000000"/>
                <w:sz w:val="18"/>
                <w:szCs w:val="18"/>
              </w:rPr>
            </w:pPr>
          </w:p>
          <w:p w14:paraId="1310F332" w14:textId="22B7FC79"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c>
          <w:tcPr>
            <w:tcW w:w="1046" w:type="dxa"/>
            <w:shd w:val="clear" w:color="auto" w:fill="auto"/>
          </w:tcPr>
          <w:p w14:paraId="70FF1AAE" w14:textId="77777777" w:rsidR="0064301E" w:rsidRDefault="0064301E" w:rsidP="0064301E">
            <w:pPr>
              <w:spacing w:after="0" w:line="240" w:lineRule="auto"/>
              <w:jc w:val="center"/>
              <w:rPr>
                <w:rFonts w:eastAsia="Times New Roman"/>
                <w:color w:val="000000"/>
                <w:sz w:val="18"/>
                <w:szCs w:val="18"/>
              </w:rPr>
            </w:pPr>
          </w:p>
          <w:p w14:paraId="0C4E84C8" w14:textId="294C5900"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c>
          <w:tcPr>
            <w:tcW w:w="1046" w:type="dxa"/>
            <w:shd w:val="clear" w:color="auto" w:fill="auto"/>
          </w:tcPr>
          <w:p w14:paraId="3930CA2B" w14:textId="77777777" w:rsidR="0064301E" w:rsidRDefault="0064301E" w:rsidP="0064301E">
            <w:pPr>
              <w:spacing w:after="0" w:line="240" w:lineRule="auto"/>
              <w:jc w:val="center"/>
              <w:rPr>
                <w:rFonts w:eastAsia="Times New Roman"/>
                <w:color w:val="000000"/>
                <w:sz w:val="18"/>
                <w:szCs w:val="18"/>
              </w:rPr>
            </w:pPr>
          </w:p>
          <w:p w14:paraId="3B48A84D" w14:textId="05AF8292"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c>
          <w:tcPr>
            <w:tcW w:w="1046" w:type="dxa"/>
            <w:shd w:val="clear" w:color="auto" w:fill="auto"/>
          </w:tcPr>
          <w:p w14:paraId="722628DA" w14:textId="77777777" w:rsidR="0064301E" w:rsidRDefault="0064301E" w:rsidP="0064301E">
            <w:pPr>
              <w:spacing w:after="0" w:line="240" w:lineRule="auto"/>
              <w:jc w:val="center"/>
              <w:rPr>
                <w:rFonts w:eastAsia="Times New Roman"/>
                <w:color w:val="000000"/>
                <w:sz w:val="18"/>
                <w:szCs w:val="18"/>
              </w:rPr>
            </w:pPr>
          </w:p>
          <w:p w14:paraId="6D6D5BED" w14:textId="1FC8B721" w:rsidR="0064301E" w:rsidRDefault="0064301E" w:rsidP="0064301E">
            <w:pPr>
              <w:spacing w:after="0" w:line="240" w:lineRule="auto"/>
              <w:jc w:val="center"/>
              <w:rPr>
                <w:rFonts w:eastAsia="Times New Roman"/>
                <w:color w:val="000000"/>
                <w:sz w:val="18"/>
                <w:szCs w:val="18"/>
              </w:rPr>
            </w:pPr>
            <w:r w:rsidRPr="001D3BBD">
              <w:rPr>
                <w:rFonts w:eastAsia="Times New Roman"/>
                <w:color w:val="000000"/>
                <w:sz w:val="18"/>
                <w:szCs w:val="18"/>
              </w:rPr>
              <w:t>0.0</w:t>
            </w:r>
          </w:p>
        </w:tc>
      </w:tr>
      <w:tr w:rsidR="00BE20C3" w:rsidRPr="00DF6930" w14:paraId="15265778" w14:textId="00BA5F13" w:rsidTr="00450446">
        <w:trPr>
          <w:trHeight w:val="273"/>
        </w:trPr>
        <w:tc>
          <w:tcPr>
            <w:tcW w:w="1676" w:type="dxa"/>
            <w:shd w:val="clear" w:color="auto" w:fill="AEAAAA" w:themeFill="background2" w:themeFillShade="BF"/>
            <w:noWrap/>
            <w:vAlign w:val="bottom"/>
            <w:hideMark/>
          </w:tcPr>
          <w:p w14:paraId="6B36548A" w14:textId="77777777" w:rsidR="00BE20C3" w:rsidRPr="00DF6930" w:rsidRDefault="00BE20C3" w:rsidP="00BE20C3">
            <w:pPr>
              <w:spacing w:after="0" w:line="240" w:lineRule="auto"/>
              <w:rPr>
                <w:rFonts w:eastAsia="Times New Roman"/>
                <w:color w:val="000000"/>
                <w:sz w:val="18"/>
                <w:szCs w:val="18"/>
              </w:rPr>
            </w:pPr>
            <w:r>
              <w:rPr>
                <w:rFonts w:eastAsia="Times New Roman"/>
                <w:color w:val="000000"/>
                <w:sz w:val="18"/>
                <w:szCs w:val="18"/>
              </w:rPr>
              <w:t>Cutibacterium acnes</w:t>
            </w:r>
          </w:p>
        </w:tc>
        <w:tc>
          <w:tcPr>
            <w:tcW w:w="1046" w:type="dxa"/>
            <w:shd w:val="clear" w:color="auto" w:fill="AEAAAA" w:themeFill="background2" w:themeFillShade="BF"/>
          </w:tcPr>
          <w:p w14:paraId="31F86AFF" w14:textId="77777777" w:rsidR="00BE20C3" w:rsidRDefault="00BE20C3" w:rsidP="00BE20C3">
            <w:pPr>
              <w:spacing w:after="0" w:line="240" w:lineRule="auto"/>
              <w:jc w:val="center"/>
              <w:rPr>
                <w:rFonts w:eastAsia="Times New Roman"/>
                <w:color w:val="000000"/>
                <w:sz w:val="18"/>
                <w:szCs w:val="18"/>
              </w:rPr>
            </w:pPr>
          </w:p>
          <w:p w14:paraId="08DE1886" w14:textId="20180E3C"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2.2</w:t>
            </w:r>
          </w:p>
        </w:tc>
        <w:tc>
          <w:tcPr>
            <w:tcW w:w="1046" w:type="dxa"/>
            <w:shd w:val="clear" w:color="auto" w:fill="AEAAAA" w:themeFill="background2" w:themeFillShade="BF"/>
          </w:tcPr>
          <w:p w14:paraId="198520B1" w14:textId="77777777" w:rsidR="00BE20C3" w:rsidRDefault="00BE20C3" w:rsidP="00BE20C3">
            <w:pPr>
              <w:spacing w:after="0" w:line="240" w:lineRule="auto"/>
              <w:jc w:val="center"/>
              <w:rPr>
                <w:rFonts w:eastAsia="Times New Roman"/>
                <w:color w:val="000000"/>
                <w:sz w:val="18"/>
                <w:szCs w:val="18"/>
              </w:rPr>
            </w:pPr>
          </w:p>
          <w:p w14:paraId="4B5F7E22" w14:textId="77C0E52B"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15.1</w:t>
            </w:r>
          </w:p>
        </w:tc>
        <w:tc>
          <w:tcPr>
            <w:tcW w:w="1046" w:type="dxa"/>
            <w:shd w:val="clear" w:color="auto" w:fill="AEAAAA" w:themeFill="background2" w:themeFillShade="BF"/>
          </w:tcPr>
          <w:p w14:paraId="1C81E1AE" w14:textId="384D1AB3" w:rsidR="00BE20C3" w:rsidRDefault="00BE20C3" w:rsidP="00BE20C3">
            <w:pPr>
              <w:spacing w:after="0" w:line="240" w:lineRule="auto"/>
              <w:jc w:val="center"/>
              <w:rPr>
                <w:rFonts w:eastAsia="Times New Roman"/>
                <w:color w:val="000000"/>
                <w:sz w:val="18"/>
                <w:szCs w:val="18"/>
              </w:rPr>
            </w:pPr>
          </w:p>
          <w:p w14:paraId="26E8591D" w14:textId="7FD503BD"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7.0</w:t>
            </w:r>
          </w:p>
        </w:tc>
        <w:tc>
          <w:tcPr>
            <w:tcW w:w="1046" w:type="dxa"/>
            <w:shd w:val="clear" w:color="auto" w:fill="AEAAAA" w:themeFill="background2" w:themeFillShade="BF"/>
          </w:tcPr>
          <w:p w14:paraId="7B208607" w14:textId="00E20528" w:rsidR="00BE20C3" w:rsidRDefault="00BE20C3" w:rsidP="00BE20C3">
            <w:pPr>
              <w:spacing w:after="0" w:line="240" w:lineRule="auto"/>
              <w:jc w:val="center"/>
              <w:rPr>
                <w:rFonts w:eastAsia="Times New Roman"/>
                <w:color w:val="000000"/>
                <w:sz w:val="18"/>
                <w:szCs w:val="18"/>
              </w:rPr>
            </w:pPr>
          </w:p>
          <w:p w14:paraId="2976BF33" w14:textId="196F3EE7"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26.4</w:t>
            </w:r>
          </w:p>
        </w:tc>
        <w:tc>
          <w:tcPr>
            <w:tcW w:w="1046" w:type="dxa"/>
            <w:shd w:val="clear" w:color="auto" w:fill="AEAAAA" w:themeFill="background2" w:themeFillShade="BF"/>
            <w:vAlign w:val="bottom"/>
          </w:tcPr>
          <w:p w14:paraId="653959F5" w14:textId="4D224161" w:rsidR="00BE20C3" w:rsidRDefault="00BE20C3" w:rsidP="00BE20C3">
            <w:pPr>
              <w:spacing w:after="0" w:line="240" w:lineRule="auto"/>
              <w:jc w:val="center"/>
              <w:rPr>
                <w:rFonts w:eastAsia="Times New Roman"/>
                <w:color w:val="000000"/>
                <w:sz w:val="18"/>
                <w:szCs w:val="18"/>
              </w:rPr>
            </w:pPr>
            <w:r>
              <w:rPr>
                <w:rFonts w:eastAsia="Times New Roman"/>
                <w:color w:val="000000"/>
                <w:sz w:val="18"/>
                <w:szCs w:val="18"/>
              </w:rPr>
              <w:t>0.6</w:t>
            </w:r>
          </w:p>
        </w:tc>
        <w:tc>
          <w:tcPr>
            <w:tcW w:w="1046" w:type="dxa"/>
            <w:shd w:val="clear" w:color="auto" w:fill="AEAAAA" w:themeFill="background2" w:themeFillShade="BF"/>
          </w:tcPr>
          <w:p w14:paraId="6A4D5A3A" w14:textId="77777777" w:rsidR="00BE20C3" w:rsidRDefault="00BE20C3" w:rsidP="00BE20C3">
            <w:pPr>
              <w:spacing w:after="0" w:line="240" w:lineRule="auto"/>
              <w:jc w:val="center"/>
              <w:rPr>
                <w:rFonts w:eastAsia="Times New Roman"/>
                <w:color w:val="000000"/>
                <w:sz w:val="18"/>
                <w:szCs w:val="18"/>
              </w:rPr>
            </w:pPr>
          </w:p>
          <w:p w14:paraId="643CE95D" w14:textId="348B4CA5" w:rsidR="00BE20C3" w:rsidRDefault="00BE20C3" w:rsidP="00BE20C3">
            <w:pPr>
              <w:spacing w:after="0" w:line="240" w:lineRule="auto"/>
              <w:jc w:val="center"/>
              <w:rPr>
                <w:rFonts w:eastAsia="Times New Roman"/>
                <w:color w:val="000000"/>
                <w:sz w:val="18"/>
                <w:szCs w:val="18"/>
              </w:rPr>
            </w:pPr>
            <w:r w:rsidRPr="00C11A13">
              <w:rPr>
                <w:rFonts w:eastAsia="Times New Roman"/>
                <w:color w:val="000000"/>
                <w:sz w:val="18"/>
                <w:szCs w:val="18"/>
              </w:rPr>
              <w:t>0.0</w:t>
            </w:r>
          </w:p>
        </w:tc>
        <w:tc>
          <w:tcPr>
            <w:tcW w:w="1046" w:type="dxa"/>
            <w:shd w:val="clear" w:color="auto" w:fill="AEAAAA" w:themeFill="background2" w:themeFillShade="BF"/>
          </w:tcPr>
          <w:p w14:paraId="5F082D28" w14:textId="77777777" w:rsidR="00BE20C3" w:rsidRDefault="00BE20C3" w:rsidP="00BE20C3">
            <w:pPr>
              <w:spacing w:after="0" w:line="240" w:lineRule="auto"/>
              <w:jc w:val="center"/>
              <w:rPr>
                <w:rFonts w:eastAsia="Times New Roman"/>
                <w:color w:val="000000"/>
                <w:sz w:val="18"/>
                <w:szCs w:val="18"/>
              </w:rPr>
            </w:pPr>
          </w:p>
          <w:p w14:paraId="0FD17B11" w14:textId="57B941DA" w:rsidR="00BE20C3" w:rsidRDefault="00BE20C3" w:rsidP="00BE20C3">
            <w:pPr>
              <w:spacing w:after="0" w:line="240" w:lineRule="auto"/>
              <w:jc w:val="center"/>
              <w:rPr>
                <w:rFonts w:eastAsia="Times New Roman"/>
                <w:color w:val="000000"/>
                <w:sz w:val="18"/>
                <w:szCs w:val="18"/>
              </w:rPr>
            </w:pPr>
            <w:r w:rsidRPr="006E215B">
              <w:rPr>
                <w:rFonts w:eastAsia="Times New Roman"/>
                <w:color w:val="000000"/>
                <w:sz w:val="18"/>
                <w:szCs w:val="18"/>
              </w:rPr>
              <w:t>0.0</w:t>
            </w:r>
          </w:p>
        </w:tc>
      </w:tr>
      <w:tr w:rsidR="0064301E" w:rsidRPr="00DF6930" w14:paraId="1ABEB242" w14:textId="77777777" w:rsidTr="00450446">
        <w:trPr>
          <w:trHeight w:val="273"/>
        </w:trPr>
        <w:tc>
          <w:tcPr>
            <w:tcW w:w="1676" w:type="dxa"/>
            <w:shd w:val="clear" w:color="auto" w:fill="auto"/>
            <w:noWrap/>
            <w:vAlign w:val="bottom"/>
          </w:tcPr>
          <w:p w14:paraId="729B1BAB" w14:textId="24E0CBBF" w:rsidR="0064301E" w:rsidRDefault="0064301E" w:rsidP="0064301E">
            <w:pPr>
              <w:spacing w:after="0" w:line="240" w:lineRule="auto"/>
              <w:rPr>
                <w:rFonts w:eastAsia="Times New Roman"/>
                <w:color w:val="000000"/>
                <w:sz w:val="18"/>
                <w:szCs w:val="18"/>
              </w:rPr>
            </w:pPr>
            <w:r w:rsidRPr="00BE20C3">
              <w:rPr>
                <w:rFonts w:eastAsia="Times New Roman"/>
                <w:color w:val="000000"/>
                <w:sz w:val="18"/>
                <w:szCs w:val="18"/>
              </w:rPr>
              <w:t>Desulfobulbus</w:t>
            </w:r>
            <w:r>
              <w:rPr>
                <w:rFonts w:eastAsia="Times New Roman"/>
                <w:color w:val="000000"/>
                <w:sz w:val="18"/>
                <w:szCs w:val="18"/>
              </w:rPr>
              <w:t xml:space="preserve"> </w:t>
            </w:r>
            <w:r w:rsidRPr="00BE20C3">
              <w:rPr>
                <w:rFonts w:eastAsia="Times New Roman"/>
                <w:color w:val="000000"/>
                <w:sz w:val="18"/>
                <w:szCs w:val="18"/>
              </w:rPr>
              <w:t>sp</w:t>
            </w:r>
            <w:r>
              <w:rPr>
                <w:rFonts w:eastAsia="Times New Roman"/>
                <w:color w:val="000000"/>
                <w:sz w:val="18"/>
                <w:szCs w:val="18"/>
              </w:rPr>
              <w:t xml:space="preserve"> </w:t>
            </w:r>
            <w:r w:rsidRPr="00BE20C3">
              <w:rPr>
                <w:rFonts w:eastAsia="Times New Roman"/>
                <w:color w:val="000000"/>
                <w:sz w:val="18"/>
                <w:szCs w:val="18"/>
              </w:rPr>
              <w:t>oral</w:t>
            </w:r>
            <w:r>
              <w:rPr>
                <w:rFonts w:eastAsia="Times New Roman"/>
                <w:color w:val="000000"/>
                <w:sz w:val="18"/>
                <w:szCs w:val="18"/>
              </w:rPr>
              <w:t xml:space="preserve"> </w:t>
            </w:r>
            <w:r w:rsidRPr="00BE20C3">
              <w:rPr>
                <w:rFonts w:eastAsia="Times New Roman"/>
                <w:color w:val="000000"/>
                <w:sz w:val="18"/>
                <w:szCs w:val="18"/>
              </w:rPr>
              <w:t>taxon</w:t>
            </w:r>
            <w:r>
              <w:rPr>
                <w:rFonts w:eastAsia="Times New Roman"/>
                <w:color w:val="000000"/>
                <w:sz w:val="18"/>
                <w:szCs w:val="18"/>
              </w:rPr>
              <w:t xml:space="preserve"> </w:t>
            </w:r>
            <w:r w:rsidRPr="00BE20C3">
              <w:rPr>
                <w:rFonts w:eastAsia="Times New Roman"/>
                <w:color w:val="000000"/>
                <w:sz w:val="18"/>
                <w:szCs w:val="18"/>
              </w:rPr>
              <w:t>041</w:t>
            </w:r>
          </w:p>
        </w:tc>
        <w:tc>
          <w:tcPr>
            <w:tcW w:w="1046" w:type="dxa"/>
            <w:shd w:val="clear" w:color="auto" w:fill="auto"/>
          </w:tcPr>
          <w:p w14:paraId="5A0785DF" w14:textId="77777777" w:rsidR="0064301E" w:rsidRDefault="0064301E" w:rsidP="0064301E">
            <w:pPr>
              <w:spacing w:after="0" w:line="240" w:lineRule="auto"/>
              <w:rPr>
                <w:rFonts w:eastAsia="Times New Roman"/>
                <w:color w:val="000000"/>
                <w:sz w:val="18"/>
                <w:szCs w:val="18"/>
              </w:rPr>
            </w:pPr>
          </w:p>
          <w:p w14:paraId="43815579" w14:textId="57C38F46"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5.6</w:t>
            </w:r>
          </w:p>
        </w:tc>
        <w:tc>
          <w:tcPr>
            <w:tcW w:w="1046" w:type="dxa"/>
            <w:shd w:val="clear" w:color="auto" w:fill="auto"/>
          </w:tcPr>
          <w:p w14:paraId="1C1E4B9D" w14:textId="77777777" w:rsidR="0064301E" w:rsidRDefault="0064301E" w:rsidP="0064301E">
            <w:pPr>
              <w:spacing w:after="0" w:line="240" w:lineRule="auto"/>
              <w:jc w:val="center"/>
              <w:rPr>
                <w:rFonts w:eastAsia="Times New Roman"/>
                <w:color w:val="000000"/>
                <w:sz w:val="18"/>
                <w:szCs w:val="18"/>
              </w:rPr>
            </w:pPr>
          </w:p>
          <w:p w14:paraId="53B8E197" w14:textId="51477B89"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3E5B04C5" w14:textId="001062EA" w:rsidR="0064301E" w:rsidRDefault="0064301E" w:rsidP="0064301E">
            <w:pPr>
              <w:spacing w:after="0" w:line="240" w:lineRule="auto"/>
              <w:jc w:val="center"/>
              <w:rPr>
                <w:rFonts w:eastAsia="Times New Roman"/>
                <w:color w:val="000000"/>
                <w:sz w:val="18"/>
                <w:szCs w:val="18"/>
              </w:rPr>
            </w:pPr>
          </w:p>
          <w:p w14:paraId="76B34780" w14:textId="44D2D6C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678668A2" w14:textId="74E181B0" w:rsidR="0064301E" w:rsidRDefault="0064301E" w:rsidP="0064301E">
            <w:pPr>
              <w:spacing w:after="0" w:line="240" w:lineRule="auto"/>
              <w:jc w:val="center"/>
              <w:rPr>
                <w:rFonts w:eastAsia="Times New Roman"/>
                <w:color w:val="000000"/>
                <w:sz w:val="18"/>
                <w:szCs w:val="18"/>
              </w:rPr>
            </w:pPr>
          </w:p>
          <w:p w14:paraId="56CAFE0C" w14:textId="2A68EE9D"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5724FDDC" w14:textId="1AC41A96" w:rsidR="0064301E" w:rsidRDefault="0064301E" w:rsidP="0064301E">
            <w:pPr>
              <w:spacing w:after="0" w:line="240" w:lineRule="auto"/>
              <w:jc w:val="center"/>
              <w:rPr>
                <w:rFonts w:eastAsia="Times New Roman"/>
                <w:color w:val="000000"/>
                <w:sz w:val="18"/>
                <w:szCs w:val="18"/>
              </w:rPr>
            </w:pPr>
          </w:p>
          <w:p w14:paraId="4480F8A3" w14:textId="412BBA2A"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4591A903" w14:textId="77777777" w:rsidR="0064301E" w:rsidRDefault="0064301E" w:rsidP="0064301E">
            <w:pPr>
              <w:spacing w:after="0" w:line="240" w:lineRule="auto"/>
              <w:jc w:val="center"/>
              <w:rPr>
                <w:rFonts w:eastAsia="Times New Roman"/>
                <w:color w:val="000000"/>
                <w:sz w:val="18"/>
                <w:szCs w:val="18"/>
              </w:rPr>
            </w:pPr>
          </w:p>
          <w:p w14:paraId="22CF5CBC" w14:textId="000DA412"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265C010F" w14:textId="77777777" w:rsidR="0064301E" w:rsidRDefault="0064301E" w:rsidP="0064301E">
            <w:pPr>
              <w:spacing w:after="0" w:line="240" w:lineRule="auto"/>
              <w:jc w:val="center"/>
              <w:rPr>
                <w:rFonts w:eastAsia="Times New Roman"/>
                <w:color w:val="000000"/>
                <w:sz w:val="18"/>
                <w:szCs w:val="18"/>
              </w:rPr>
            </w:pPr>
          </w:p>
          <w:p w14:paraId="082551C5" w14:textId="32A170F9"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r>
      <w:tr w:rsidR="0064301E" w:rsidRPr="00DF6930" w14:paraId="7A20141E" w14:textId="77777777" w:rsidTr="00450446">
        <w:trPr>
          <w:trHeight w:val="273"/>
        </w:trPr>
        <w:tc>
          <w:tcPr>
            <w:tcW w:w="1676" w:type="dxa"/>
            <w:shd w:val="clear" w:color="auto" w:fill="AEAAAA" w:themeFill="background2" w:themeFillShade="BF"/>
            <w:noWrap/>
            <w:vAlign w:val="bottom"/>
          </w:tcPr>
          <w:p w14:paraId="627821B0" w14:textId="37C0C7EA" w:rsidR="0064301E" w:rsidRDefault="0064301E" w:rsidP="0064301E">
            <w:pPr>
              <w:spacing w:after="0" w:line="240" w:lineRule="auto"/>
              <w:rPr>
                <w:rFonts w:eastAsia="Times New Roman"/>
                <w:color w:val="000000"/>
                <w:sz w:val="18"/>
                <w:szCs w:val="18"/>
              </w:rPr>
            </w:pPr>
            <w:r w:rsidRPr="00BE20C3">
              <w:rPr>
                <w:rFonts w:eastAsia="Times New Roman"/>
                <w:color w:val="000000"/>
                <w:sz w:val="18"/>
                <w:szCs w:val="18"/>
              </w:rPr>
              <w:t>Bacteroidetes</w:t>
            </w:r>
            <w:r>
              <w:rPr>
                <w:rFonts w:eastAsia="Times New Roman"/>
                <w:color w:val="000000"/>
                <w:sz w:val="18"/>
                <w:szCs w:val="18"/>
              </w:rPr>
              <w:t xml:space="preserve"> </w:t>
            </w:r>
            <w:r w:rsidRPr="00BE20C3">
              <w:rPr>
                <w:rFonts w:eastAsia="Times New Roman"/>
                <w:color w:val="000000"/>
                <w:sz w:val="18"/>
                <w:szCs w:val="18"/>
              </w:rPr>
              <w:t>oral</w:t>
            </w:r>
            <w:r>
              <w:rPr>
                <w:rFonts w:eastAsia="Times New Roman"/>
                <w:color w:val="000000"/>
                <w:sz w:val="18"/>
                <w:szCs w:val="18"/>
              </w:rPr>
              <w:t xml:space="preserve"> </w:t>
            </w:r>
            <w:r w:rsidRPr="00BE20C3">
              <w:rPr>
                <w:rFonts w:eastAsia="Times New Roman"/>
                <w:color w:val="000000"/>
                <w:sz w:val="18"/>
                <w:szCs w:val="18"/>
              </w:rPr>
              <w:t>taxon_274</w:t>
            </w:r>
          </w:p>
        </w:tc>
        <w:tc>
          <w:tcPr>
            <w:tcW w:w="1046" w:type="dxa"/>
            <w:shd w:val="clear" w:color="auto" w:fill="AEAAAA" w:themeFill="background2" w:themeFillShade="BF"/>
          </w:tcPr>
          <w:p w14:paraId="66533936" w14:textId="77777777" w:rsidR="0064301E" w:rsidRDefault="0064301E" w:rsidP="0064301E">
            <w:pPr>
              <w:spacing w:after="0" w:line="240" w:lineRule="auto"/>
              <w:jc w:val="center"/>
              <w:rPr>
                <w:rFonts w:eastAsia="Times New Roman"/>
                <w:color w:val="000000"/>
                <w:sz w:val="18"/>
                <w:szCs w:val="18"/>
              </w:rPr>
            </w:pPr>
          </w:p>
          <w:p w14:paraId="35B14217" w14:textId="05B74D1A"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0.7</w:t>
            </w:r>
          </w:p>
        </w:tc>
        <w:tc>
          <w:tcPr>
            <w:tcW w:w="1046" w:type="dxa"/>
            <w:shd w:val="clear" w:color="auto" w:fill="AEAAAA" w:themeFill="background2" w:themeFillShade="BF"/>
          </w:tcPr>
          <w:p w14:paraId="1696B5C2" w14:textId="77777777" w:rsidR="0064301E" w:rsidRDefault="0064301E" w:rsidP="0064301E">
            <w:pPr>
              <w:spacing w:after="0" w:line="240" w:lineRule="auto"/>
              <w:jc w:val="center"/>
              <w:rPr>
                <w:rFonts w:eastAsia="Times New Roman"/>
                <w:color w:val="000000"/>
                <w:sz w:val="18"/>
                <w:szCs w:val="18"/>
              </w:rPr>
            </w:pPr>
          </w:p>
          <w:p w14:paraId="6C414E6F" w14:textId="2EC79A36"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3A73CF14" w14:textId="77777777" w:rsidR="0064301E" w:rsidRDefault="0064301E" w:rsidP="0064301E">
            <w:pPr>
              <w:spacing w:after="0" w:line="240" w:lineRule="auto"/>
              <w:jc w:val="center"/>
              <w:rPr>
                <w:rFonts w:eastAsia="Times New Roman"/>
                <w:color w:val="000000"/>
                <w:sz w:val="18"/>
                <w:szCs w:val="18"/>
              </w:rPr>
            </w:pPr>
          </w:p>
          <w:p w14:paraId="206AEF9D" w14:textId="07DBF45B"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1C3A027B" w14:textId="77777777" w:rsidR="0064301E" w:rsidRDefault="0064301E" w:rsidP="0064301E">
            <w:pPr>
              <w:spacing w:after="0" w:line="240" w:lineRule="auto"/>
              <w:jc w:val="center"/>
              <w:rPr>
                <w:rFonts w:eastAsia="Times New Roman"/>
                <w:color w:val="000000"/>
                <w:sz w:val="18"/>
                <w:szCs w:val="18"/>
              </w:rPr>
            </w:pPr>
          </w:p>
          <w:p w14:paraId="4177141B" w14:textId="787DDDBB"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7677BD5F" w14:textId="77777777" w:rsidR="0064301E" w:rsidRDefault="0064301E" w:rsidP="0064301E">
            <w:pPr>
              <w:spacing w:after="0" w:line="240" w:lineRule="auto"/>
              <w:jc w:val="center"/>
              <w:rPr>
                <w:rFonts w:eastAsia="Times New Roman"/>
                <w:color w:val="000000"/>
                <w:sz w:val="18"/>
                <w:szCs w:val="18"/>
              </w:rPr>
            </w:pPr>
          </w:p>
          <w:p w14:paraId="104B20E2" w14:textId="6AA8D93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6AA164BF" w14:textId="77777777" w:rsidR="0064301E" w:rsidRDefault="0064301E" w:rsidP="0064301E">
            <w:pPr>
              <w:spacing w:after="0" w:line="240" w:lineRule="auto"/>
              <w:jc w:val="center"/>
              <w:rPr>
                <w:rFonts w:eastAsia="Times New Roman"/>
                <w:color w:val="000000"/>
                <w:sz w:val="18"/>
                <w:szCs w:val="18"/>
              </w:rPr>
            </w:pPr>
          </w:p>
          <w:p w14:paraId="2D39461C" w14:textId="4CA2F0D1"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21FD5E51" w14:textId="77777777" w:rsidR="0064301E" w:rsidRDefault="0064301E" w:rsidP="0064301E">
            <w:pPr>
              <w:spacing w:after="0" w:line="240" w:lineRule="auto"/>
              <w:jc w:val="center"/>
              <w:rPr>
                <w:rFonts w:eastAsia="Times New Roman"/>
                <w:color w:val="000000"/>
                <w:sz w:val="18"/>
                <w:szCs w:val="18"/>
              </w:rPr>
            </w:pPr>
          </w:p>
          <w:p w14:paraId="09436901" w14:textId="1017FB7B"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r>
      <w:tr w:rsidR="0064301E" w:rsidRPr="00DF6930" w14:paraId="3A0BAA80" w14:textId="77777777" w:rsidTr="00450446">
        <w:trPr>
          <w:trHeight w:val="273"/>
        </w:trPr>
        <w:tc>
          <w:tcPr>
            <w:tcW w:w="1676" w:type="dxa"/>
            <w:shd w:val="clear" w:color="auto" w:fill="auto"/>
            <w:noWrap/>
            <w:vAlign w:val="bottom"/>
          </w:tcPr>
          <w:p w14:paraId="272173E4" w14:textId="619B1928" w:rsidR="0064301E" w:rsidRDefault="0064301E" w:rsidP="0064301E">
            <w:pPr>
              <w:spacing w:after="0" w:line="240" w:lineRule="auto"/>
              <w:rPr>
                <w:rFonts w:eastAsia="Times New Roman"/>
                <w:color w:val="000000"/>
                <w:sz w:val="18"/>
                <w:szCs w:val="18"/>
              </w:rPr>
            </w:pPr>
            <w:r w:rsidRPr="00BE20C3">
              <w:rPr>
                <w:rFonts w:eastAsia="Times New Roman"/>
                <w:color w:val="000000"/>
                <w:sz w:val="18"/>
                <w:szCs w:val="18"/>
              </w:rPr>
              <w:t>Treponema</w:t>
            </w:r>
            <w:r>
              <w:rPr>
                <w:rFonts w:eastAsia="Times New Roman"/>
                <w:color w:val="000000"/>
                <w:sz w:val="18"/>
                <w:szCs w:val="18"/>
              </w:rPr>
              <w:t xml:space="preserve"> </w:t>
            </w:r>
            <w:r w:rsidRPr="00BE20C3">
              <w:rPr>
                <w:rFonts w:eastAsia="Times New Roman"/>
                <w:color w:val="000000"/>
                <w:sz w:val="18"/>
                <w:szCs w:val="18"/>
              </w:rPr>
              <w:t>denticola</w:t>
            </w:r>
          </w:p>
        </w:tc>
        <w:tc>
          <w:tcPr>
            <w:tcW w:w="1046" w:type="dxa"/>
            <w:shd w:val="clear" w:color="auto" w:fill="auto"/>
          </w:tcPr>
          <w:p w14:paraId="0DF04CEF" w14:textId="77777777" w:rsidR="0064301E" w:rsidRDefault="0064301E" w:rsidP="0064301E">
            <w:pPr>
              <w:spacing w:after="0" w:line="240" w:lineRule="auto"/>
              <w:jc w:val="center"/>
              <w:rPr>
                <w:rFonts w:eastAsia="Times New Roman"/>
                <w:color w:val="000000"/>
                <w:sz w:val="18"/>
                <w:szCs w:val="18"/>
              </w:rPr>
            </w:pPr>
          </w:p>
          <w:p w14:paraId="4967B244" w14:textId="11A8A5E0"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0.7</w:t>
            </w:r>
          </w:p>
        </w:tc>
        <w:tc>
          <w:tcPr>
            <w:tcW w:w="1046" w:type="dxa"/>
            <w:shd w:val="clear" w:color="auto" w:fill="auto"/>
          </w:tcPr>
          <w:p w14:paraId="0FB03FDB" w14:textId="77777777" w:rsidR="0064301E" w:rsidRDefault="0064301E" w:rsidP="0064301E">
            <w:pPr>
              <w:spacing w:after="0" w:line="240" w:lineRule="auto"/>
              <w:jc w:val="center"/>
              <w:rPr>
                <w:rFonts w:eastAsia="Times New Roman"/>
                <w:color w:val="000000"/>
                <w:sz w:val="18"/>
                <w:szCs w:val="18"/>
              </w:rPr>
            </w:pPr>
          </w:p>
          <w:p w14:paraId="2A2EBCA3" w14:textId="778E5DD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2BB30488" w14:textId="77777777" w:rsidR="0064301E" w:rsidRDefault="0064301E" w:rsidP="0064301E">
            <w:pPr>
              <w:spacing w:after="0" w:line="240" w:lineRule="auto"/>
              <w:jc w:val="center"/>
              <w:rPr>
                <w:rFonts w:eastAsia="Times New Roman"/>
                <w:color w:val="000000"/>
                <w:sz w:val="18"/>
                <w:szCs w:val="18"/>
              </w:rPr>
            </w:pPr>
          </w:p>
          <w:p w14:paraId="5E077C33" w14:textId="0DC19FF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58226FF1" w14:textId="77777777" w:rsidR="0064301E" w:rsidRDefault="0064301E" w:rsidP="0064301E">
            <w:pPr>
              <w:spacing w:after="0" w:line="240" w:lineRule="auto"/>
              <w:jc w:val="center"/>
              <w:rPr>
                <w:rFonts w:eastAsia="Times New Roman"/>
                <w:color w:val="000000"/>
                <w:sz w:val="18"/>
                <w:szCs w:val="18"/>
              </w:rPr>
            </w:pPr>
          </w:p>
          <w:p w14:paraId="60349933" w14:textId="3C2D46A5"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03175E0D" w14:textId="77777777" w:rsidR="0064301E" w:rsidRDefault="0064301E" w:rsidP="0064301E">
            <w:pPr>
              <w:spacing w:after="0" w:line="240" w:lineRule="auto"/>
              <w:jc w:val="center"/>
              <w:rPr>
                <w:rFonts w:eastAsia="Times New Roman"/>
                <w:color w:val="000000"/>
                <w:sz w:val="18"/>
                <w:szCs w:val="18"/>
              </w:rPr>
            </w:pPr>
          </w:p>
          <w:p w14:paraId="5CE63036" w14:textId="327FCD5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6BF4B042" w14:textId="77777777" w:rsidR="0064301E" w:rsidRDefault="0064301E" w:rsidP="0064301E">
            <w:pPr>
              <w:spacing w:after="0" w:line="240" w:lineRule="auto"/>
              <w:jc w:val="center"/>
              <w:rPr>
                <w:rFonts w:eastAsia="Times New Roman"/>
                <w:color w:val="000000"/>
                <w:sz w:val="18"/>
                <w:szCs w:val="18"/>
              </w:rPr>
            </w:pPr>
          </w:p>
          <w:p w14:paraId="05D47D09" w14:textId="251AD348"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uto"/>
          </w:tcPr>
          <w:p w14:paraId="11283C03" w14:textId="77777777" w:rsidR="0064301E" w:rsidRDefault="0064301E" w:rsidP="0064301E">
            <w:pPr>
              <w:spacing w:after="0" w:line="240" w:lineRule="auto"/>
              <w:jc w:val="center"/>
              <w:rPr>
                <w:rFonts w:eastAsia="Times New Roman"/>
                <w:color w:val="000000"/>
                <w:sz w:val="18"/>
                <w:szCs w:val="18"/>
              </w:rPr>
            </w:pPr>
          </w:p>
          <w:p w14:paraId="43CD6795" w14:textId="4F93042C"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r>
      <w:tr w:rsidR="0064301E" w:rsidRPr="00DF6930" w14:paraId="69FB8A6B" w14:textId="77777777" w:rsidTr="00450446">
        <w:trPr>
          <w:trHeight w:val="273"/>
        </w:trPr>
        <w:tc>
          <w:tcPr>
            <w:tcW w:w="1676" w:type="dxa"/>
            <w:shd w:val="clear" w:color="auto" w:fill="AEAAAA" w:themeFill="background2" w:themeFillShade="BF"/>
            <w:noWrap/>
            <w:vAlign w:val="bottom"/>
          </w:tcPr>
          <w:p w14:paraId="2F40ED2C" w14:textId="4DEB81D3" w:rsidR="0064301E" w:rsidRDefault="0064301E" w:rsidP="0064301E">
            <w:pPr>
              <w:spacing w:after="0" w:line="240" w:lineRule="auto"/>
              <w:rPr>
                <w:rFonts w:eastAsia="Times New Roman"/>
                <w:color w:val="000000"/>
                <w:sz w:val="18"/>
                <w:szCs w:val="18"/>
              </w:rPr>
            </w:pPr>
            <w:r w:rsidRPr="00BE20C3">
              <w:rPr>
                <w:rFonts w:eastAsia="Times New Roman"/>
                <w:color w:val="000000"/>
                <w:sz w:val="18"/>
                <w:szCs w:val="18"/>
              </w:rPr>
              <w:t>Tannerella</w:t>
            </w:r>
            <w:r>
              <w:rPr>
                <w:rFonts w:eastAsia="Times New Roman"/>
                <w:color w:val="000000"/>
                <w:sz w:val="18"/>
                <w:szCs w:val="18"/>
              </w:rPr>
              <w:t xml:space="preserve"> </w:t>
            </w:r>
            <w:r w:rsidRPr="00BE20C3">
              <w:rPr>
                <w:rFonts w:eastAsia="Times New Roman"/>
                <w:color w:val="000000"/>
                <w:sz w:val="18"/>
                <w:szCs w:val="18"/>
              </w:rPr>
              <w:t>forsythia</w:t>
            </w:r>
          </w:p>
        </w:tc>
        <w:tc>
          <w:tcPr>
            <w:tcW w:w="1046" w:type="dxa"/>
            <w:shd w:val="clear" w:color="auto" w:fill="AEAAAA" w:themeFill="background2" w:themeFillShade="BF"/>
          </w:tcPr>
          <w:p w14:paraId="7B429A1B" w14:textId="77777777" w:rsidR="0064301E" w:rsidRDefault="0064301E" w:rsidP="0064301E">
            <w:pPr>
              <w:spacing w:after="0" w:line="240" w:lineRule="auto"/>
              <w:jc w:val="center"/>
              <w:rPr>
                <w:rFonts w:eastAsia="Times New Roman"/>
                <w:color w:val="000000"/>
                <w:sz w:val="18"/>
                <w:szCs w:val="18"/>
              </w:rPr>
            </w:pPr>
          </w:p>
          <w:p w14:paraId="68D778FD" w14:textId="7EB2128B"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3.0</w:t>
            </w:r>
          </w:p>
        </w:tc>
        <w:tc>
          <w:tcPr>
            <w:tcW w:w="1046" w:type="dxa"/>
            <w:shd w:val="clear" w:color="auto" w:fill="AEAAAA" w:themeFill="background2" w:themeFillShade="BF"/>
          </w:tcPr>
          <w:p w14:paraId="2FFBF678" w14:textId="77777777" w:rsidR="0064301E" w:rsidRDefault="0064301E" w:rsidP="0064301E">
            <w:pPr>
              <w:spacing w:after="0" w:line="240" w:lineRule="auto"/>
              <w:jc w:val="center"/>
              <w:rPr>
                <w:rFonts w:eastAsia="Times New Roman"/>
                <w:color w:val="000000"/>
                <w:sz w:val="18"/>
                <w:szCs w:val="18"/>
              </w:rPr>
            </w:pPr>
          </w:p>
          <w:p w14:paraId="2D49711B" w14:textId="702B1ADB"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40B2256A" w14:textId="77777777" w:rsidR="0064301E" w:rsidRDefault="0064301E" w:rsidP="0064301E">
            <w:pPr>
              <w:spacing w:after="0" w:line="240" w:lineRule="auto"/>
              <w:jc w:val="center"/>
              <w:rPr>
                <w:rFonts w:eastAsia="Times New Roman"/>
                <w:color w:val="000000"/>
                <w:sz w:val="18"/>
                <w:szCs w:val="18"/>
              </w:rPr>
            </w:pPr>
          </w:p>
          <w:p w14:paraId="7584E190" w14:textId="0D52360B"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25EFF201" w14:textId="77777777" w:rsidR="0064301E" w:rsidRDefault="0064301E" w:rsidP="0064301E">
            <w:pPr>
              <w:spacing w:after="0" w:line="240" w:lineRule="auto"/>
              <w:jc w:val="center"/>
              <w:rPr>
                <w:rFonts w:eastAsia="Times New Roman"/>
                <w:color w:val="000000"/>
                <w:sz w:val="18"/>
                <w:szCs w:val="18"/>
              </w:rPr>
            </w:pPr>
          </w:p>
          <w:p w14:paraId="05CE3977" w14:textId="0123D81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5613F7F4" w14:textId="77777777" w:rsidR="0064301E" w:rsidRDefault="0064301E" w:rsidP="0064301E">
            <w:pPr>
              <w:spacing w:after="0" w:line="240" w:lineRule="auto"/>
              <w:jc w:val="center"/>
              <w:rPr>
                <w:rFonts w:eastAsia="Times New Roman"/>
                <w:color w:val="000000"/>
                <w:sz w:val="18"/>
                <w:szCs w:val="18"/>
              </w:rPr>
            </w:pPr>
          </w:p>
          <w:p w14:paraId="537F504A" w14:textId="571C420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721DE014" w14:textId="77777777" w:rsidR="0064301E" w:rsidRDefault="0064301E" w:rsidP="0064301E">
            <w:pPr>
              <w:spacing w:after="0" w:line="240" w:lineRule="auto"/>
              <w:jc w:val="center"/>
              <w:rPr>
                <w:rFonts w:eastAsia="Times New Roman"/>
                <w:color w:val="000000"/>
                <w:sz w:val="18"/>
                <w:szCs w:val="18"/>
              </w:rPr>
            </w:pPr>
          </w:p>
          <w:p w14:paraId="5637FA5A" w14:textId="7F2A61CA"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17F66C69" w14:textId="77777777" w:rsidR="0064301E" w:rsidRDefault="0064301E" w:rsidP="0064301E">
            <w:pPr>
              <w:spacing w:after="0" w:line="240" w:lineRule="auto"/>
              <w:jc w:val="center"/>
              <w:rPr>
                <w:rFonts w:eastAsia="Times New Roman"/>
                <w:color w:val="000000"/>
                <w:sz w:val="18"/>
                <w:szCs w:val="18"/>
              </w:rPr>
            </w:pPr>
          </w:p>
          <w:p w14:paraId="3C8C35DF" w14:textId="63A9AC84"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r>
      <w:tr w:rsidR="0064301E" w:rsidRPr="00DF6930" w14:paraId="2B7EEA05" w14:textId="77777777" w:rsidTr="00450446">
        <w:trPr>
          <w:trHeight w:val="273"/>
        </w:trPr>
        <w:tc>
          <w:tcPr>
            <w:tcW w:w="1676" w:type="dxa"/>
            <w:shd w:val="clear" w:color="auto" w:fill="auto"/>
            <w:noWrap/>
            <w:vAlign w:val="bottom"/>
          </w:tcPr>
          <w:p w14:paraId="5AC2C72D" w14:textId="6FFA8C8D" w:rsidR="0064301E" w:rsidRPr="00BE20C3" w:rsidRDefault="0064301E" w:rsidP="0064301E">
            <w:pPr>
              <w:spacing w:after="0" w:line="240" w:lineRule="auto"/>
              <w:rPr>
                <w:rFonts w:eastAsia="Times New Roman"/>
                <w:color w:val="000000"/>
                <w:sz w:val="18"/>
                <w:szCs w:val="18"/>
              </w:rPr>
            </w:pPr>
            <w:r w:rsidRPr="0064301E">
              <w:rPr>
                <w:rFonts w:eastAsia="Times New Roman"/>
                <w:color w:val="000000"/>
                <w:sz w:val="18"/>
                <w:szCs w:val="18"/>
              </w:rPr>
              <w:t>Staphylococcus</w:t>
            </w:r>
            <w:r>
              <w:rPr>
                <w:rFonts w:eastAsia="Times New Roman"/>
                <w:color w:val="000000"/>
                <w:sz w:val="18"/>
                <w:szCs w:val="18"/>
              </w:rPr>
              <w:t xml:space="preserve"> </w:t>
            </w:r>
            <w:r w:rsidRPr="0064301E">
              <w:rPr>
                <w:rFonts w:eastAsia="Times New Roman"/>
                <w:color w:val="000000"/>
                <w:sz w:val="18"/>
                <w:szCs w:val="18"/>
              </w:rPr>
              <w:t>hominis</w:t>
            </w:r>
          </w:p>
        </w:tc>
        <w:tc>
          <w:tcPr>
            <w:tcW w:w="1046" w:type="dxa"/>
            <w:shd w:val="clear" w:color="auto" w:fill="auto"/>
          </w:tcPr>
          <w:p w14:paraId="2DD37C11" w14:textId="77777777" w:rsidR="0064301E" w:rsidRDefault="0064301E" w:rsidP="0064301E">
            <w:pPr>
              <w:spacing w:after="0" w:line="240" w:lineRule="auto"/>
              <w:jc w:val="center"/>
              <w:rPr>
                <w:rFonts w:eastAsia="Times New Roman"/>
                <w:color w:val="000000"/>
                <w:sz w:val="18"/>
                <w:szCs w:val="18"/>
              </w:rPr>
            </w:pPr>
          </w:p>
          <w:p w14:paraId="7D5FE368" w14:textId="05C57D89"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0.0</w:t>
            </w:r>
          </w:p>
        </w:tc>
        <w:tc>
          <w:tcPr>
            <w:tcW w:w="1046" w:type="dxa"/>
            <w:shd w:val="clear" w:color="auto" w:fill="auto"/>
          </w:tcPr>
          <w:p w14:paraId="56B5DF6A" w14:textId="77777777" w:rsidR="0064301E" w:rsidRDefault="0064301E" w:rsidP="0064301E">
            <w:pPr>
              <w:spacing w:after="0" w:line="240" w:lineRule="auto"/>
              <w:jc w:val="center"/>
              <w:rPr>
                <w:rFonts w:eastAsia="Times New Roman"/>
                <w:color w:val="000000"/>
                <w:sz w:val="18"/>
                <w:szCs w:val="18"/>
              </w:rPr>
            </w:pPr>
          </w:p>
          <w:p w14:paraId="62A419B8" w14:textId="0F2F03F0"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28.3</w:t>
            </w:r>
          </w:p>
        </w:tc>
        <w:tc>
          <w:tcPr>
            <w:tcW w:w="1046" w:type="dxa"/>
            <w:shd w:val="clear" w:color="auto" w:fill="auto"/>
          </w:tcPr>
          <w:p w14:paraId="6A84BD19" w14:textId="77777777" w:rsidR="0064301E" w:rsidRDefault="0064301E" w:rsidP="0064301E">
            <w:pPr>
              <w:spacing w:after="0" w:line="240" w:lineRule="auto"/>
              <w:jc w:val="center"/>
              <w:rPr>
                <w:rFonts w:eastAsia="Times New Roman"/>
                <w:color w:val="000000"/>
                <w:sz w:val="18"/>
                <w:szCs w:val="18"/>
              </w:rPr>
            </w:pPr>
          </w:p>
          <w:p w14:paraId="4C7B9B4F" w14:textId="5C4F5535"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uto"/>
          </w:tcPr>
          <w:p w14:paraId="29B3A7CE" w14:textId="77777777" w:rsidR="0064301E" w:rsidRDefault="0064301E" w:rsidP="0064301E">
            <w:pPr>
              <w:spacing w:after="0" w:line="240" w:lineRule="auto"/>
              <w:jc w:val="center"/>
              <w:rPr>
                <w:rFonts w:eastAsia="Times New Roman"/>
                <w:color w:val="000000"/>
                <w:sz w:val="18"/>
                <w:szCs w:val="18"/>
              </w:rPr>
            </w:pPr>
          </w:p>
          <w:p w14:paraId="3D01FC04" w14:textId="2D47772C"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uto"/>
          </w:tcPr>
          <w:p w14:paraId="6E7E4EDD" w14:textId="77777777" w:rsidR="0064301E" w:rsidRDefault="0064301E" w:rsidP="0064301E">
            <w:pPr>
              <w:spacing w:after="0" w:line="240" w:lineRule="auto"/>
              <w:jc w:val="center"/>
              <w:rPr>
                <w:rFonts w:eastAsia="Times New Roman"/>
                <w:color w:val="000000"/>
                <w:sz w:val="18"/>
                <w:szCs w:val="18"/>
              </w:rPr>
            </w:pPr>
          </w:p>
          <w:p w14:paraId="102E08E3" w14:textId="6C3954FD"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uto"/>
          </w:tcPr>
          <w:p w14:paraId="66DCF8AB" w14:textId="77777777" w:rsidR="0064301E" w:rsidRDefault="0064301E" w:rsidP="0064301E">
            <w:pPr>
              <w:spacing w:after="0" w:line="240" w:lineRule="auto"/>
              <w:jc w:val="center"/>
              <w:rPr>
                <w:rFonts w:eastAsia="Times New Roman"/>
                <w:color w:val="000000"/>
                <w:sz w:val="18"/>
                <w:szCs w:val="18"/>
              </w:rPr>
            </w:pPr>
          </w:p>
          <w:p w14:paraId="5117A15D" w14:textId="5FD41957"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uto"/>
          </w:tcPr>
          <w:p w14:paraId="1DBC2BD8" w14:textId="77777777" w:rsidR="0064301E" w:rsidRDefault="0064301E" w:rsidP="0064301E">
            <w:pPr>
              <w:spacing w:after="0" w:line="240" w:lineRule="auto"/>
              <w:jc w:val="center"/>
              <w:rPr>
                <w:rFonts w:eastAsia="Times New Roman"/>
                <w:color w:val="000000"/>
                <w:sz w:val="18"/>
                <w:szCs w:val="18"/>
              </w:rPr>
            </w:pPr>
          </w:p>
          <w:p w14:paraId="12964FC5" w14:textId="07107744"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r>
      <w:tr w:rsidR="0064301E" w:rsidRPr="00DF6930" w14:paraId="2AC3DBA5" w14:textId="77777777" w:rsidTr="00450446">
        <w:trPr>
          <w:trHeight w:val="273"/>
        </w:trPr>
        <w:tc>
          <w:tcPr>
            <w:tcW w:w="1676" w:type="dxa"/>
            <w:shd w:val="clear" w:color="auto" w:fill="AEAAAA" w:themeFill="background2" w:themeFillShade="BF"/>
            <w:noWrap/>
            <w:vAlign w:val="bottom"/>
          </w:tcPr>
          <w:p w14:paraId="7B5840EF" w14:textId="77ED3DC8" w:rsidR="0064301E" w:rsidRPr="00BE20C3" w:rsidRDefault="0064301E" w:rsidP="0064301E">
            <w:pPr>
              <w:spacing w:after="0" w:line="240" w:lineRule="auto"/>
              <w:rPr>
                <w:rFonts w:eastAsia="Times New Roman"/>
                <w:color w:val="000000"/>
                <w:sz w:val="18"/>
                <w:szCs w:val="18"/>
              </w:rPr>
            </w:pPr>
            <w:r>
              <w:rPr>
                <w:rFonts w:eastAsia="Times New Roman"/>
                <w:color w:val="000000"/>
                <w:sz w:val="18"/>
                <w:szCs w:val="18"/>
              </w:rPr>
              <w:t>Streptococcus anginosus</w:t>
            </w:r>
          </w:p>
        </w:tc>
        <w:tc>
          <w:tcPr>
            <w:tcW w:w="1046" w:type="dxa"/>
            <w:shd w:val="clear" w:color="auto" w:fill="AEAAAA" w:themeFill="background2" w:themeFillShade="BF"/>
          </w:tcPr>
          <w:p w14:paraId="7FDDB88D" w14:textId="77777777" w:rsidR="0064301E" w:rsidRDefault="0064301E" w:rsidP="0064301E">
            <w:pPr>
              <w:spacing w:after="0" w:line="240" w:lineRule="auto"/>
              <w:jc w:val="center"/>
              <w:rPr>
                <w:rFonts w:eastAsia="Times New Roman"/>
                <w:color w:val="000000"/>
                <w:sz w:val="18"/>
                <w:szCs w:val="18"/>
              </w:rPr>
            </w:pPr>
          </w:p>
          <w:p w14:paraId="03C0135A" w14:textId="6C12CCAF"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7.0</w:t>
            </w:r>
          </w:p>
        </w:tc>
        <w:tc>
          <w:tcPr>
            <w:tcW w:w="1046" w:type="dxa"/>
            <w:shd w:val="clear" w:color="auto" w:fill="AEAAAA" w:themeFill="background2" w:themeFillShade="BF"/>
          </w:tcPr>
          <w:p w14:paraId="120575E2" w14:textId="77777777" w:rsidR="0064301E" w:rsidRDefault="0064301E" w:rsidP="0064301E">
            <w:pPr>
              <w:spacing w:after="0" w:line="240" w:lineRule="auto"/>
              <w:jc w:val="center"/>
              <w:rPr>
                <w:rFonts w:eastAsia="Times New Roman"/>
                <w:color w:val="000000"/>
                <w:sz w:val="18"/>
                <w:szCs w:val="18"/>
              </w:rPr>
            </w:pPr>
          </w:p>
          <w:p w14:paraId="7AB3275A" w14:textId="43C6E91E"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16.0</w:t>
            </w:r>
          </w:p>
        </w:tc>
        <w:tc>
          <w:tcPr>
            <w:tcW w:w="1046" w:type="dxa"/>
            <w:shd w:val="clear" w:color="auto" w:fill="AEAAAA" w:themeFill="background2" w:themeFillShade="BF"/>
          </w:tcPr>
          <w:p w14:paraId="116548E7" w14:textId="77777777" w:rsidR="0064301E" w:rsidRDefault="0064301E" w:rsidP="0064301E">
            <w:pPr>
              <w:spacing w:after="0" w:line="240" w:lineRule="auto"/>
              <w:jc w:val="center"/>
              <w:rPr>
                <w:rFonts w:eastAsia="Times New Roman"/>
                <w:color w:val="000000"/>
                <w:sz w:val="18"/>
                <w:szCs w:val="18"/>
              </w:rPr>
            </w:pPr>
          </w:p>
          <w:p w14:paraId="45F9A8B9" w14:textId="0157690A"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EAAAA" w:themeFill="background2" w:themeFillShade="BF"/>
          </w:tcPr>
          <w:p w14:paraId="27817A8F" w14:textId="77777777" w:rsidR="0064301E" w:rsidRDefault="0064301E" w:rsidP="0064301E">
            <w:pPr>
              <w:spacing w:after="0" w:line="240" w:lineRule="auto"/>
              <w:jc w:val="center"/>
              <w:rPr>
                <w:rFonts w:eastAsia="Times New Roman"/>
                <w:color w:val="000000"/>
                <w:sz w:val="18"/>
                <w:szCs w:val="18"/>
              </w:rPr>
            </w:pPr>
          </w:p>
          <w:p w14:paraId="15CA92F5" w14:textId="75AA7618"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EAAAA" w:themeFill="background2" w:themeFillShade="BF"/>
          </w:tcPr>
          <w:p w14:paraId="065AAE0F" w14:textId="77777777" w:rsidR="0064301E" w:rsidRDefault="0064301E" w:rsidP="0064301E">
            <w:pPr>
              <w:spacing w:after="0" w:line="240" w:lineRule="auto"/>
              <w:jc w:val="center"/>
              <w:rPr>
                <w:rFonts w:eastAsia="Times New Roman"/>
                <w:color w:val="000000"/>
                <w:sz w:val="18"/>
                <w:szCs w:val="18"/>
              </w:rPr>
            </w:pPr>
          </w:p>
          <w:p w14:paraId="17747B00" w14:textId="7EA47648"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EAAAA" w:themeFill="background2" w:themeFillShade="BF"/>
          </w:tcPr>
          <w:p w14:paraId="1EA1060E" w14:textId="77777777" w:rsidR="0064301E" w:rsidRDefault="0064301E" w:rsidP="0064301E">
            <w:pPr>
              <w:spacing w:after="0" w:line="240" w:lineRule="auto"/>
              <w:jc w:val="center"/>
              <w:rPr>
                <w:rFonts w:eastAsia="Times New Roman"/>
                <w:color w:val="000000"/>
                <w:sz w:val="18"/>
                <w:szCs w:val="18"/>
              </w:rPr>
            </w:pPr>
          </w:p>
          <w:p w14:paraId="6A9F791A" w14:textId="463C9EB3"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c>
          <w:tcPr>
            <w:tcW w:w="1046" w:type="dxa"/>
            <w:shd w:val="clear" w:color="auto" w:fill="AEAAAA" w:themeFill="background2" w:themeFillShade="BF"/>
          </w:tcPr>
          <w:p w14:paraId="0DD387E1" w14:textId="77777777" w:rsidR="0064301E" w:rsidRDefault="0064301E" w:rsidP="0064301E">
            <w:pPr>
              <w:spacing w:after="0" w:line="240" w:lineRule="auto"/>
              <w:jc w:val="center"/>
              <w:rPr>
                <w:rFonts w:eastAsia="Times New Roman"/>
                <w:color w:val="000000"/>
                <w:sz w:val="18"/>
                <w:szCs w:val="18"/>
              </w:rPr>
            </w:pPr>
          </w:p>
          <w:p w14:paraId="02F5CCF1" w14:textId="22721670" w:rsidR="0064301E" w:rsidRDefault="0064301E" w:rsidP="0064301E">
            <w:pPr>
              <w:spacing w:after="0" w:line="240" w:lineRule="auto"/>
              <w:jc w:val="center"/>
              <w:rPr>
                <w:rFonts w:eastAsia="Times New Roman"/>
                <w:color w:val="000000"/>
                <w:sz w:val="18"/>
                <w:szCs w:val="18"/>
              </w:rPr>
            </w:pPr>
            <w:r w:rsidRPr="004A2DFC">
              <w:rPr>
                <w:rFonts w:eastAsia="Times New Roman"/>
                <w:color w:val="000000"/>
                <w:sz w:val="18"/>
                <w:szCs w:val="18"/>
              </w:rPr>
              <w:t>0.0</w:t>
            </w:r>
          </w:p>
        </w:tc>
      </w:tr>
      <w:tr w:rsidR="0064301E" w:rsidRPr="00DF6930" w14:paraId="2A3F2B69" w14:textId="324F750F" w:rsidTr="00450446">
        <w:trPr>
          <w:trHeight w:val="273"/>
        </w:trPr>
        <w:tc>
          <w:tcPr>
            <w:tcW w:w="1676" w:type="dxa"/>
            <w:shd w:val="clear" w:color="auto" w:fill="auto"/>
            <w:noWrap/>
            <w:vAlign w:val="bottom"/>
            <w:hideMark/>
          </w:tcPr>
          <w:p w14:paraId="7AF6615E" w14:textId="77777777" w:rsidR="0064301E" w:rsidRPr="00DF6930" w:rsidRDefault="0064301E" w:rsidP="0064301E">
            <w:pPr>
              <w:spacing w:after="0" w:line="240" w:lineRule="auto"/>
              <w:rPr>
                <w:rFonts w:eastAsia="Times New Roman"/>
                <w:color w:val="000000"/>
                <w:sz w:val="18"/>
                <w:szCs w:val="18"/>
              </w:rPr>
            </w:pPr>
            <w:r>
              <w:rPr>
                <w:rFonts w:eastAsia="Times New Roman"/>
                <w:color w:val="000000"/>
                <w:sz w:val="18"/>
                <w:szCs w:val="18"/>
              </w:rPr>
              <w:t>Bifobacterium pseudolongum</w:t>
            </w:r>
          </w:p>
        </w:tc>
        <w:tc>
          <w:tcPr>
            <w:tcW w:w="1046" w:type="dxa"/>
          </w:tcPr>
          <w:p w14:paraId="6EA85BE6" w14:textId="77777777" w:rsidR="0064301E" w:rsidRDefault="0064301E" w:rsidP="0064301E">
            <w:pPr>
              <w:spacing w:after="0" w:line="240" w:lineRule="auto"/>
              <w:jc w:val="center"/>
              <w:rPr>
                <w:rFonts w:eastAsia="Times New Roman"/>
                <w:color w:val="000000"/>
                <w:sz w:val="18"/>
                <w:szCs w:val="18"/>
              </w:rPr>
            </w:pPr>
          </w:p>
          <w:p w14:paraId="2D4A9C76" w14:textId="083B86A0"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76AF922D" w14:textId="77777777" w:rsidR="0064301E" w:rsidRDefault="0064301E" w:rsidP="0064301E">
            <w:pPr>
              <w:spacing w:after="0" w:line="240" w:lineRule="auto"/>
              <w:jc w:val="center"/>
              <w:rPr>
                <w:rFonts w:eastAsia="Times New Roman"/>
                <w:color w:val="000000"/>
                <w:sz w:val="18"/>
                <w:szCs w:val="18"/>
              </w:rPr>
            </w:pPr>
          </w:p>
          <w:p w14:paraId="226136CE" w14:textId="1698959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3A21419F" w14:textId="77777777" w:rsidR="0064301E" w:rsidRDefault="0064301E" w:rsidP="0064301E">
            <w:pPr>
              <w:spacing w:after="0" w:line="240" w:lineRule="auto"/>
              <w:jc w:val="center"/>
              <w:rPr>
                <w:rFonts w:eastAsia="Times New Roman"/>
                <w:color w:val="000000"/>
                <w:sz w:val="18"/>
                <w:szCs w:val="18"/>
              </w:rPr>
            </w:pPr>
          </w:p>
          <w:p w14:paraId="7873BBDE" w14:textId="3F83B0C5"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72837EAC" w14:textId="77777777" w:rsidR="0064301E" w:rsidRDefault="0064301E" w:rsidP="0064301E">
            <w:pPr>
              <w:spacing w:after="0" w:line="240" w:lineRule="auto"/>
              <w:jc w:val="center"/>
              <w:rPr>
                <w:rFonts w:eastAsia="Times New Roman"/>
                <w:color w:val="000000"/>
                <w:sz w:val="18"/>
                <w:szCs w:val="18"/>
              </w:rPr>
            </w:pPr>
          </w:p>
          <w:p w14:paraId="068051CF" w14:textId="14328E2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vAlign w:val="bottom"/>
          </w:tcPr>
          <w:p w14:paraId="0AF9325A" w14:textId="79203EBB"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0.0</w:t>
            </w:r>
          </w:p>
        </w:tc>
        <w:tc>
          <w:tcPr>
            <w:tcW w:w="1046" w:type="dxa"/>
          </w:tcPr>
          <w:p w14:paraId="65137368" w14:textId="77777777" w:rsidR="0064301E" w:rsidRDefault="0064301E" w:rsidP="0064301E">
            <w:pPr>
              <w:spacing w:after="0" w:line="240" w:lineRule="auto"/>
              <w:jc w:val="center"/>
              <w:rPr>
                <w:rFonts w:eastAsia="Times New Roman"/>
                <w:color w:val="000000"/>
                <w:sz w:val="18"/>
                <w:szCs w:val="18"/>
              </w:rPr>
            </w:pPr>
          </w:p>
          <w:p w14:paraId="150D6676" w14:textId="363F5724"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24.1</w:t>
            </w:r>
          </w:p>
        </w:tc>
        <w:tc>
          <w:tcPr>
            <w:tcW w:w="1046" w:type="dxa"/>
          </w:tcPr>
          <w:p w14:paraId="36FECB4F" w14:textId="77777777" w:rsidR="0064301E" w:rsidRDefault="0064301E" w:rsidP="0064301E">
            <w:pPr>
              <w:spacing w:after="0" w:line="240" w:lineRule="auto"/>
              <w:jc w:val="center"/>
              <w:rPr>
                <w:rFonts w:eastAsia="Times New Roman"/>
                <w:color w:val="000000"/>
                <w:sz w:val="18"/>
                <w:szCs w:val="18"/>
              </w:rPr>
            </w:pPr>
          </w:p>
          <w:p w14:paraId="3E208672" w14:textId="67CA5742" w:rsidR="0064301E" w:rsidRDefault="0064301E" w:rsidP="0064301E">
            <w:pPr>
              <w:spacing w:after="0" w:line="240" w:lineRule="auto"/>
              <w:jc w:val="center"/>
              <w:rPr>
                <w:rFonts w:eastAsia="Times New Roman"/>
                <w:color w:val="000000"/>
                <w:sz w:val="18"/>
                <w:szCs w:val="18"/>
              </w:rPr>
            </w:pPr>
            <w:r w:rsidRPr="006E215B">
              <w:rPr>
                <w:rFonts w:eastAsia="Times New Roman"/>
                <w:color w:val="000000"/>
                <w:sz w:val="18"/>
                <w:szCs w:val="18"/>
              </w:rPr>
              <w:t>0.0</w:t>
            </w:r>
          </w:p>
        </w:tc>
      </w:tr>
      <w:tr w:rsidR="0064301E" w:rsidRPr="00DF6930" w14:paraId="360E2795" w14:textId="3CC870D0" w:rsidTr="00450446">
        <w:trPr>
          <w:trHeight w:val="273"/>
        </w:trPr>
        <w:tc>
          <w:tcPr>
            <w:tcW w:w="1676" w:type="dxa"/>
            <w:shd w:val="clear" w:color="auto" w:fill="AEAAAA" w:themeFill="background2" w:themeFillShade="BF"/>
            <w:noWrap/>
            <w:vAlign w:val="bottom"/>
            <w:hideMark/>
          </w:tcPr>
          <w:p w14:paraId="547124F3" w14:textId="77777777" w:rsidR="0064301E" w:rsidRPr="00DF6930" w:rsidRDefault="0064301E" w:rsidP="0064301E">
            <w:pPr>
              <w:spacing w:after="0" w:line="240" w:lineRule="auto"/>
              <w:rPr>
                <w:rFonts w:eastAsia="Times New Roman"/>
                <w:color w:val="000000"/>
                <w:sz w:val="18"/>
                <w:szCs w:val="18"/>
              </w:rPr>
            </w:pPr>
            <w:r>
              <w:rPr>
                <w:rFonts w:eastAsia="Times New Roman"/>
                <w:color w:val="000000"/>
                <w:sz w:val="18"/>
                <w:szCs w:val="18"/>
              </w:rPr>
              <w:t>Rhodopseudomonas palustris</w:t>
            </w:r>
          </w:p>
        </w:tc>
        <w:tc>
          <w:tcPr>
            <w:tcW w:w="1046" w:type="dxa"/>
            <w:shd w:val="clear" w:color="auto" w:fill="AEAAAA" w:themeFill="background2" w:themeFillShade="BF"/>
          </w:tcPr>
          <w:p w14:paraId="1A16EEB7" w14:textId="77777777" w:rsidR="0064301E" w:rsidRDefault="0064301E" w:rsidP="0064301E">
            <w:pPr>
              <w:spacing w:after="0" w:line="240" w:lineRule="auto"/>
              <w:jc w:val="center"/>
              <w:rPr>
                <w:rFonts w:eastAsia="Times New Roman"/>
                <w:color w:val="000000"/>
                <w:sz w:val="18"/>
                <w:szCs w:val="18"/>
              </w:rPr>
            </w:pPr>
          </w:p>
          <w:p w14:paraId="709CB7CC" w14:textId="4BDA8B18"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1A87AD98" w14:textId="77777777" w:rsidR="0064301E" w:rsidRDefault="0064301E" w:rsidP="0064301E">
            <w:pPr>
              <w:spacing w:after="0" w:line="240" w:lineRule="auto"/>
              <w:jc w:val="center"/>
              <w:rPr>
                <w:rFonts w:eastAsia="Times New Roman"/>
                <w:color w:val="000000"/>
                <w:sz w:val="18"/>
                <w:szCs w:val="18"/>
              </w:rPr>
            </w:pPr>
          </w:p>
          <w:p w14:paraId="4743FDF4" w14:textId="4887BDC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159791A7" w14:textId="77777777" w:rsidR="0064301E" w:rsidRDefault="0064301E" w:rsidP="0064301E">
            <w:pPr>
              <w:spacing w:after="0" w:line="240" w:lineRule="auto"/>
              <w:jc w:val="center"/>
              <w:rPr>
                <w:rFonts w:eastAsia="Times New Roman"/>
                <w:color w:val="000000"/>
                <w:sz w:val="18"/>
                <w:szCs w:val="18"/>
              </w:rPr>
            </w:pPr>
          </w:p>
          <w:p w14:paraId="5F354438" w14:textId="28DF3240"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3747204F" w14:textId="77777777" w:rsidR="0064301E" w:rsidRDefault="0064301E" w:rsidP="0064301E">
            <w:pPr>
              <w:spacing w:after="0" w:line="240" w:lineRule="auto"/>
              <w:jc w:val="center"/>
              <w:rPr>
                <w:rFonts w:eastAsia="Times New Roman"/>
                <w:color w:val="000000"/>
                <w:sz w:val="18"/>
                <w:szCs w:val="18"/>
              </w:rPr>
            </w:pPr>
          </w:p>
          <w:p w14:paraId="16724266" w14:textId="399F81E6"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vAlign w:val="bottom"/>
          </w:tcPr>
          <w:p w14:paraId="2D09BFB7" w14:textId="58827CB4"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0.0</w:t>
            </w:r>
          </w:p>
        </w:tc>
        <w:tc>
          <w:tcPr>
            <w:tcW w:w="1046" w:type="dxa"/>
            <w:shd w:val="clear" w:color="auto" w:fill="AEAAAA" w:themeFill="background2" w:themeFillShade="BF"/>
          </w:tcPr>
          <w:p w14:paraId="20F6FDA7" w14:textId="77777777" w:rsidR="0064301E" w:rsidRDefault="0064301E" w:rsidP="0064301E">
            <w:pPr>
              <w:spacing w:after="0" w:line="240" w:lineRule="auto"/>
              <w:jc w:val="center"/>
              <w:rPr>
                <w:rFonts w:eastAsia="Times New Roman"/>
                <w:color w:val="000000"/>
                <w:sz w:val="18"/>
                <w:szCs w:val="18"/>
              </w:rPr>
            </w:pPr>
          </w:p>
          <w:p w14:paraId="6A0C9922" w14:textId="3E6DB799"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6.9</w:t>
            </w:r>
          </w:p>
        </w:tc>
        <w:tc>
          <w:tcPr>
            <w:tcW w:w="1046" w:type="dxa"/>
            <w:shd w:val="clear" w:color="auto" w:fill="AEAAAA" w:themeFill="background2" w:themeFillShade="BF"/>
          </w:tcPr>
          <w:p w14:paraId="122950CF" w14:textId="77777777" w:rsidR="0064301E" w:rsidRDefault="0064301E" w:rsidP="0064301E">
            <w:pPr>
              <w:spacing w:after="0" w:line="240" w:lineRule="auto"/>
              <w:jc w:val="center"/>
              <w:rPr>
                <w:rFonts w:eastAsia="Times New Roman"/>
                <w:color w:val="000000"/>
                <w:sz w:val="18"/>
                <w:szCs w:val="18"/>
              </w:rPr>
            </w:pPr>
          </w:p>
          <w:p w14:paraId="005BA7E7" w14:textId="560DE213" w:rsidR="0064301E" w:rsidRDefault="0064301E" w:rsidP="0064301E">
            <w:pPr>
              <w:spacing w:after="0" w:line="240" w:lineRule="auto"/>
              <w:jc w:val="center"/>
              <w:rPr>
                <w:rFonts w:eastAsia="Times New Roman"/>
                <w:color w:val="000000"/>
                <w:sz w:val="18"/>
                <w:szCs w:val="18"/>
              </w:rPr>
            </w:pPr>
            <w:r w:rsidRPr="006E215B">
              <w:rPr>
                <w:rFonts w:eastAsia="Times New Roman"/>
                <w:color w:val="000000"/>
                <w:sz w:val="18"/>
                <w:szCs w:val="18"/>
              </w:rPr>
              <w:t>0.0</w:t>
            </w:r>
          </w:p>
        </w:tc>
      </w:tr>
      <w:tr w:rsidR="0064301E" w:rsidRPr="00DF6930" w14:paraId="31F200A7" w14:textId="56489860" w:rsidTr="00450446">
        <w:trPr>
          <w:trHeight w:val="273"/>
        </w:trPr>
        <w:tc>
          <w:tcPr>
            <w:tcW w:w="1676" w:type="dxa"/>
            <w:shd w:val="clear" w:color="auto" w:fill="auto"/>
            <w:noWrap/>
            <w:vAlign w:val="bottom"/>
            <w:hideMark/>
          </w:tcPr>
          <w:p w14:paraId="58115CF0" w14:textId="77777777" w:rsidR="0064301E" w:rsidRPr="00DF6930" w:rsidRDefault="0064301E" w:rsidP="0064301E">
            <w:pPr>
              <w:spacing w:after="0" w:line="240" w:lineRule="auto"/>
              <w:rPr>
                <w:rFonts w:eastAsia="Times New Roman"/>
                <w:color w:val="000000"/>
                <w:sz w:val="18"/>
                <w:szCs w:val="18"/>
              </w:rPr>
            </w:pPr>
            <w:r>
              <w:rPr>
                <w:rFonts w:eastAsia="Times New Roman"/>
                <w:color w:val="000000"/>
                <w:sz w:val="18"/>
                <w:szCs w:val="18"/>
              </w:rPr>
              <w:t xml:space="preserve">Bukholderia spp. </w:t>
            </w:r>
          </w:p>
        </w:tc>
        <w:tc>
          <w:tcPr>
            <w:tcW w:w="1046" w:type="dxa"/>
          </w:tcPr>
          <w:p w14:paraId="686C114E" w14:textId="77777777" w:rsidR="0064301E" w:rsidRDefault="0064301E" w:rsidP="0064301E">
            <w:pPr>
              <w:spacing w:after="0" w:line="240" w:lineRule="auto"/>
              <w:jc w:val="center"/>
              <w:rPr>
                <w:rFonts w:eastAsia="Times New Roman"/>
                <w:color w:val="000000"/>
                <w:sz w:val="18"/>
                <w:szCs w:val="18"/>
              </w:rPr>
            </w:pPr>
          </w:p>
          <w:p w14:paraId="3A0A86C6" w14:textId="7CD09188"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51129B0C" w14:textId="77777777" w:rsidR="0064301E" w:rsidRDefault="0064301E" w:rsidP="0064301E">
            <w:pPr>
              <w:spacing w:after="0" w:line="240" w:lineRule="auto"/>
              <w:jc w:val="center"/>
              <w:rPr>
                <w:rFonts w:eastAsia="Times New Roman"/>
                <w:color w:val="000000"/>
                <w:sz w:val="18"/>
                <w:szCs w:val="18"/>
              </w:rPr>
            </w:pPr>
          </w:p>
          <w:p w14:paraId="40E122FC" w14:textId="621B6C32"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19DE2EB6" w14:textId="77777777" w:rsidR="0064301E" w:rsidRDefault="0064301E" w:rsidP="0064301E">
            <w:pPr>
              <w:spacing w:after="0" w:line="240" w:lineRule="auto"/>
              <w:jc w:val="center"/>
              <w:rPr>
                <w:rFonts w:eastAsia="Times New Roman"/>
                <w:color w:val="000000"/>
                <w:sz w:val="18"/>
                <w:szCs w:val="18"/>
              </w:rPr>
            </w:pPr>
          </w:p>
          <w:p w14:paraId="69986026" w14:textId="72BB6352"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649DC7BA" w14:textId="77777777" w:rsidR="0064301E" w:rsidRDefault="0064301E" w:rsidP="0064301E">
            <w:pPr>
              <w:spacing w:after="0" w:line="240" w:lineRule="auto"/>
              <w:jc w:val="center"/>
              <w:rPr>
                <w:rFonts w:eastAsia="Times New Roman"/>
                <w:color w:val="000000"/>
                <w:sz w:val="18"/>
                <w:szCs w:val="18"/>
              </w:rPr>
            </w:pPr>
          </w:p>
          <w:p w14:paraId="1807FB36" w14:textId="3EAF42AD"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vAlign w:val="bottom"/>
          </w:tcPr>
          <w:p w14:paraId="0A1DFCB1" w14:textId="6DA6DAAD"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59.2</w:t>
            </w:r>
          </w:p>
        </w:tc>
        <w:tc>
          <w:tcPr>
            <w:tcW w:w="1046" w:type="dxa"/>
          </w:tcPr>
          <w:p w14:paraId="35200EA4" w14:textId="77777777" w:rsidR="0064301E" w:rsidRDefault="0064301E" w:rsidP="0064301E">
            <w:pPr>
              <w:spacing w:after="0" w:line="240" w:lineRule="auto"/>
              <w:jc w:val="center"/>
              <w:rPr>
                <w:rFonts w:eastAsia="Times New Roman"/>
                <w:color w:val="000000"/>
                <w:sz w:val="18"/>
                <w:szCs w:val="18"/>
              </w:rPr>
            </w:pPr>
          </w:p>
          <w:p w14:paraId="3B73C182" w14:textId="29DE83B8"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51.0</w:t>
            </w:r>
          </w:p>
        </w:tc>
        <w:tc>
          <w:tcPr>
            <w:tcW w:w="1046" w:type="dxa"/>
          </w:tcPr>
          <w:p w14:paraId="586FF106" w14:textId="77777777" w:rsidR="0064301E" w:rsidRDefault="0064301E" w:rsidP="0064301E">
            <w:pPr>
              <w:spacing w:after="0" w:line="240" w:lineRule="auto"/>
              <w:jc w:val="center"/>
              <w:rPr>
                <w:rFonts w:eastAsia="Times New Roman"/>
                <w:color w:val="000000"/>
                <w:sz w:val="18"/>
                <w:szCs w:val="18"/>
              </w:rPr>
            </w:pPr>
          </w:p>
          <w:p w14:paraId="62D35C56" w14:textId="597E6272" w:rsidR="0064301E" w:rsidRDefault="0064301E" w:rsidP="0064301E">
            <w:pPr>
              <w:spacing w:after="0" w:line="240" w:lineRule="auto"/>
              <w:jc w:val="center"/>
              <w:rPr>
                <w:rFonts w:eastAsia="Times New Roman"/>
                <w:color w:val="000000"/>
                <w:sz w:val="18"/>
                <w:szCs w:val="18"/>
              </w:rPr>
            </w:pPr>
            <w:r w:rsidRPr="006E215B">
              <w:rPr>
                <w:rFonts w:eastAsia="Times New Roman"/>
                <w:color w:val="000000"/>
                <w:sz w:val="18"/>
                <w:szCs w:val="18"/>
              </w:rPr>
              <w:t>0.0</w:t>
            </w:r>
          </w:p>
        </w:tc>
      </w:tr>
      <w:tr w:rsidR="0064301E" w:rsidRPr="00DF6930" w14:paraId="31554062" w14:textId="0F9DF908" w:rsidTr="00450446">
        <w:trPr>
          <w:trHeight w:val="63"/>
        </w:trPr>
        <w:tc>
          <w:tcPr>
            <w:tcW w:w="1676" w:type="dxa"/>
            <w:shd w:val="clear" w:color="auto" w:fill="AEAAAA" w:themeFill="background2" w:themeFillShade="BF"/>
            <w:noWrap/>
            <w:vAlign w:val="bottom"/>
            <w:hideMark/>
          </w:tcPr>
          <w:p w14:paraId="2C0FCEAD" w14:textId="77777777" w:rsidR="0064301E" w:rsidRPr="00DF6930" w:rsidRDefault="0064301E" w:rsidP="0064301E">
            <w:pPr>
              <w:spacing w:after="0" w:line="240" w:lineRule="auto"/>
              <w:rPr>
                <w:rFonts w:eastAsia="Times New Roman"/>
                <w:color w:val="000000"/>
                <w:sz w:val="18"/>
                <w:szCs w:val="18"/>
              </w:rPr>
            </w:pPr>
            <w:r>
              <w:rPr>
                <w:rFonts w:eastAsia="Times New Roman"/>
                <w:color w:val="000000"/>
                <w:sz w:val="18"/>
                <w:szCs w:val="18"/>
              </w:rPr>
              <w:t xml:space="preserve">Polynucleobacter necessaries </w:t>
            </w:r>
          </w:p>
        </w:tc>
        <w:tc>
          <w:tcPr>
            <w:tcW w:w="1046" w:type="dxa"/>
            <w:shd w:val="clear" w:color="auto" w:fill="AEAAAA" w:themeFill="background2" w:themeFillShade="BF"/>
          </w:tcPr>
          <w:p w14:paraId="0DC2F54C" w14:textId="77777777" w:rsidR="0064301E" w:rsidRDefault="0064301E" w:rsidP="0064301E">
            <w:pPr>
              <w:spacing w:after="0" w:line="240" w:lineRule="auto"/>
              <w:jc w:val="center"/>
              <w:rPr>
                <w:rFonts w:eastAsia="Times New Roman"/>
                <w:color w:val="000000"/>
                <w:sz w:val="18"/>
                <w:szCs w:val="18"/>
              </w:rPr>
            </w:pPr>
          </w:p>
          <w:p w14:paraId="3A6762E0" w14:textId="14E0C3C4"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24496062" w14:textId="77777777" w:rsidR="0064301E" w:rsidRDefault="0064301E" w:rsidP="0064301E">
            <w:pPr>
              <w:spacing w:after="0" w:line="240" w:lineRule="auto"/>
              <w:jc w:val="center"/>
              <w:rPr>
                <w:rFonts w:eastAsia="Times New Roman"/>
                <w:color w:val="000000"/>
                <w:sz w:val="18"/>
                <w:szCs w:val="18"/>
              </w:rPr>
            </w:pPr>
          </w:p>
          <w:p w14:paraId="2B490358" w14:textId="51D2EFE1"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13B90CDB" w14:textId="77777777" w:rsidR="0064301E" w:rsidRDefault="0064301E" w:rsidP="0064301E">
            <w:pPr>
              <w:spacing w:after="0" w:line="240" w:lineRule="auto"/>
              <w:jc w:val="center"/>
              <w:rPr>
                <w:rFonts w:eastAsia="Times New Roman"/>
                <w:color w:val="000000"/>
                <w:sz w:val="18"/>
                <w:szCs w:val="18"/>
              </w:rPr>
            </w:pPr>
          </w:p>
          <w:p w14:paraId="3BF5A8DC" w14:textId="7BB2C193"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tcPr>
          <w:p w14:paraId="7E1DA8C8" w14:textId="77777777" w:rsidR="0064301E" w:rsidRDefault="0064301E" w:rsidP="0064301E">
            <w:pPr>
              <w:spacing w:after="0" w:line="240" w:lineRule="auto"/>
              <w:jc w:val="center"/>
              <w:rPr>
                <w:rFonts w:eastAsia="Times New Roman"/>
                <w:color w:val="000000"/>
                <w:sz w:val="18"/>
                <w:szCs w:val="18"/>
              </w:rPr>
            </w:pPr>
          </w:p>
          <w:p w14:paraId="2B1203E3" w14:textId="14042575"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shd w:val="clear" w:color="auto" w:fill="AEAAAA" w:themeFill="background2" w:themeFillShade="BF"/>
            <w:vAlign w:val="bottom"/>
          </w:tcPr>
          <w:p w14:paraId="0CFAB4EF" w14:textId="6093A580"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0.2</w:t>
            </w:r>
          </w:p>
        </w:tc>
        <w:tc>
          <w:tcPr>
            <w:tcW w:w="1046" w:type="dxa"/>
            <w:shd w:val="clear" w:color="auto" w:fill="AEAAAA" w:themeFill="background2" w:themeFillShade="BF"/>
          </w:tcPr>
          <w:p w14:paraId="1B410388" w14:textId="77777777" w:rsidR="0064301E" w:rsidRDefault="0064301E" w:rsidP="0064301E">
            <w:pPr>
              <w:spacing w:after="0" w:line="240" w:lineRule="auto"/>
              <w:jc w:val="center"/>
              <w:rPr>
                <w:rFonts w:eastAsia="Times New Roman"/>
                <w:color w:val="000000"/>
                <w:sz w:val="18"/>
                <w:szCs w:val="18"/>
              </w:rPr>
            </w:pPr>
          </w:p>
          <w:p w14:paraId="08FBE322" w14:textId="28313EB1" w:rsidR="0064301E" w:rsidRDefault="0064301E" w:rsidP="0064301E">
            <w:pPr>
              <w:spacing w:after="0" w:line="240" w:lineRule="auto"/>
              <w:jc w:val="center"/>
              <w:rPr>
                <w:rFonts w:eastAsia="Times New Roman"/>
                <w:color w:val="000000"/>
                <w:sz w:val="18"/>
                <w:szCs w:val="18"/>
              </w:rPr>
            </w:pPr>
            <w:r w:rsidRPr="00C11A13">
              <w:rPr>
                <w:rFonts w:eastAsia="Times New Roman"/>
                <w:color w:val="000000"/>
                <w:sz w:val="18"/>
                <w:szCs w:val="18"/>
              </w:rPr>
              <w:t>0.0</w:t>
            </w:r>
          </w:p>
        </w:tc>
        <w:tc>
          <w:tcPr>
            <w:tcW w:w="1046" w:type="dxa"/>
            <w:shd w:val="clear" w:color="auto" w:fill="AEAAAA" w:themeFill="background2" w:themeFillShade="BF"/>
          </w:tcPr>
          <w:p w14:paraId="043ECE51" w14:textId="77777777" w:rsidR="0064301E" w:rsidRDefault="0064301E" w:rsidP="0064301E">
            <w:pPr>
              <w:spacing w:after="0" w:line="240" w:lineRule="auto"/>
              <w:jc w:val="center"/>
              <w:rPr>
                <w:rFonts w:eastAsia="Times New Roman"/>
                <w:color w:val="000000"/>
                <w:sz w:val="18"/>
                <w:szCs w:val="18"/>
              </w:rPr>
            </w:pPr>
          </w:p>
          <w:p w14:paraId="42454C91" w14:textId="787DADDF" w:rsidR="0064301E" w:rsidRDefault="0064301E" w:rsidP="0064301E">
            <w:pPr>
              <w:spacing w:after="0" w:line="240" w:lineRule="auto"/>
              <w:jc w:val="center"/>
              <w:rPr>
                <w:rFonts w:eastAsia="Times New Roman"/>
                <w:color w:val="000000"/>
                <w:sz w:val="18"/>
                <w:szCs w:val="18"/>
              </w:rPr>
            </w:pPr>
            <w:r w:rsidRPr="006E215B">
              <w:rPr>
                <w:rFonts w:eastAsia="Times New Roman"/>
                <w:color w:val="000000"/>
                <w:sz w:val="18"/>
                <w:szCs w:val="18"/>
              </w:rPr>
              <w:t>0.0</w:t>
            </w:r>
          </w:p>
        </w:tc>
      </w:tr>
      <w:tr w:rsidR="0064301E" w:rsidRPr="00DF6930" w14:paraId="6F41D519" w14:textId="488E789B" w:rsidTr="00450446">
        <w:trPr>
          <w:trHeight w:val="273"/>
        </w:trPr>
        <w:tc>
          <w:tcPr>
            <w:tcW w:w="1676" w:type="dxa"/>
            <w:shd w:val="clear" w:color="auto" w:fill="auto"/>
            <w:noWrap/>
            <w:vAlign w:val="bottom"/>
            <w:hideMark/>
          </w:tcPr>
          <w:p w14:paraId="2E93C9BE" w14:textId="77777777" w:rsidR="0064301E" w:rsidRPr="00DF6930" w:rsidRDefault="0064301E" w:rsidP="0064301E">
            <w:pPr>
              <w:spacing w:after="0" w:line="240" w:lineRule="auto"/>
              <w:rPr>
                <w:rFonts w:eastAsia="Times New Roman"/>
                <w:color w:val="000000"/>
                <w:sz w:val="18"/>
                <w:szCs w:val="18"/>
              </w:rPr>
            </w:pPr>
            <w:r>
              <w:rPr>
                <w:rFonts w:eastAsia="Times New Roman"/>
                <w:color w:val="000000"/>
                <w:sz w:val="18"/>
                <w:szCs w:val="18"/>
              </w:rPr>
              <w:t xml:space="preserve">Pseudomonas spp. </w:t>
            </w:r>
          </w:p>
        </w:tc>
        <w:tc>
          <w:tcPr>
            <w:tcW w:w="1046" w:type="dxa"/>
          </w:tcPr>
          <w:p w14:paraId="0DD7998C" w14:textId="77777777" w:rsidR="0064301E" w:rsidRDefault="0064301E" w:rsidP="0064301E">
            <w:pPr>
              <w:spacing w:after="0" w:line="240" w:lineRule="auto"/>
              <w:jc w:val="center"/>
              <w:rPr>
                <w:rFonts w:eastAsia="Times New Roman"/>
                <w:color w:val="000000"/>
                <w:sz w:val="18"/>
                <w:szCs w:val="18"/>
              </w:rPr>
            </w:pPr>
          </w:p>
          <w:p w14:paraId="1CB5A974" w14:textId="0B4915D7"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289C7DF3" w14:textId="77777777" w:rsidR="0064301E" w:rsidRDefault="0064301E" w:rsidP="0064301E">
            <w:pPr>
              <w:spacing w:after="0" w:line="240" w:lineRule="auto"/>
              <w:jc w:val="center"/>
              <w:rPr>
                <w:rFonts w:eastAsia="Times New Roman"/>
                <w:color w:val="000000"/>
                <w:sz w:val="18"/>
                <w:szCs w:val="18"/>
              </w:rPr>
            </w:pPr>
          </w:p>
          <w:p w14:paraId="00328423" w14:textId="232A4B6E"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4BB259F9" w14:textId="77777777" w:rsidR="0064301E" w:rsidRDefault="0064301E" w:rsidP="0064301E">
            <w:pPr>
              <w:spacing w:after="0" w:line="240" w:lineRule="auto"/>
              <w:jc w:val="center"/>
              <w:rPr>
                <w:rFonts w:eastAsia="Times New Roman"/>
                <w:color w:val="000000"/>
                <w:sz w:val="18"/>
                <w:szCs w:val="18"/>
              </w:rPr>
            </w:pPr>
          </w:p>
          <w:p w14:paraId="107602C0" w14:textId="3D2EE921"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tcPr>
          <w:p w14:paraId="1AB48339" w14:textId="77777777" w:rsidR="0064301E" w:rsidRDefault="0064301E" w:rsidP="0064301E">
            <w:pPr>
              <w:spacing w:after="0" w:line="240" w:lineRule="auto"/>
              <w:jc w:val="center"/>
              <w:rPr>
                <w:rFonts w:eastAsia="Times New Roman"/>
                <w:color w:val="000000"/>
                <w:sz w:val="18"/>
                <w:szCs w:val="18"/>
              </w:rPr>
            </w:pPr>
          </w:p>
          <w:p w14:paraId="2D03E0A6" w14:textId="52E0F219" w:rsidR="0064301E" w:rsidRDefault="0064301E" w:rsidP="0064301E">
            <w:pPr>
              <w:spacing w:after="0" w:line="240" w:lineRule="auto"/>
              <w:jc w:val="center"/>
              <w:rPr>
                <w:rFonts w:eastAsia="Times New Roman"/>
                <w:color w:val="000000"/>
                <w:sz w:val="18"/>
                <w:szCs w:val="18"/>
              </w:rPr>
            </w:pPr>
            <w:r w:rsidRPr="00786A5F">
              <w:rPr>
                <w:rFonts w:eastAsia="Times New Roman"/>
                <w:color w:val="000000"/>
                <w:sz w:val="18"/>
                <w:szCs w:val="18"/>
              </w:rPr>
              <w:t>0.0</w:t>
            </w:r>
          </w:p>
        </w:tc>
        <w:tc>
          <w:tcPr>
            <w:tcW w:w="1046" w:type="dxa"/>
            <w:vAlign w:val="bottom"/>
          </w:tcPr>
          <w:p w14:paraId="007A4F1E" w14:textId="088449EA" w:rsidR="0064301E" w:rsidRDefault="0064301E" w:rsidP="0064301E">
            <w:pPr>
              <w:spacing w:after="0" w:line="240" w:lineRule="auto"/>
              <w:jc w:val="center"/>
              <w:rPr>
                <w:rFonts w:eastAsia="Times New Roman"/>
                <w:color w:val="000000"/>
                <w:sz w:val="18"/>
                <w:szCs w:val="18"/>
              </w:rPr>
            </w:pPr>
            <w:r>
              <w:rPr>
                <w:rFonts w:eastAsia="Times New Roman"/>
                <w:color w:val="000000"/>
                <w:sz w:val="18"/>
                <w:szCs w:val="18"/>
              </w:rPr>
              <w:t>33.6</w:t>
            </w:r>
          </w:p>
        </w:tc>
        <w:tc>
          <w:tcPr>
            <w:tcW w:w="1046" w:type="dxa"/>
          </w:tcPr>
          <w:p w14:paraId="561439E6" w14:textId="77777777" w:rsidR="0064301E" w:rsidRDefault="0064301E" w:rsidP="0064301E">
            <w:pPr>
              <w:spacing w:after="0" w:line="240" w:lineRule="auto"/>
              <w:jc w:val="center"/>
              <w:rPr>
                <w:rFonts w:eastAsia="Times New Roman"/>
                <w:color w:val="000000"/>
                <w:sz w:val="18"/>
                <w:szCs w:val="18"/>
              </w:rPr>
            </w:pPr>
          </w:p>
          <w:p w14:paraId="6F39E42C" w14:textId="60FE069E" w:rsidR="0064301E" w:rsidRDefault="0064301E" w:rsidP="0064301E">
            <w:pPr>
              <w:spacing w:after="0" w:line="240" w:lineRule="auto"/>
              <w:jc w:val="center"/>
              <w:rPr>
                <w:rFonts w:eastAsia="Times New Roman"/>
                <w:color w:val="000000"/>
                <w:sz w:val="18"/>
                <w:szCs w:val="18"/>
              </w:rPr>
            </w:pPr>
            <w:r w:rsidRPr="00C11A13">
              <w:rPr>
                <w:rFonts w:eastAsia="Times New Roman"/>
                <w:color w:val="000000"/>
                <w:sz w:val="18"/>
                <w:szCs w:val="18"/>
              </w:rPr>
              <w:t>0.0</w:t>
            </w:r>
          </w:p>
        </w:tc>
        <w:tc>
          <w:tcPr>
            <w:tcW w:w="1046" w:type="dxa"/>
          </w:tcPr>
          <w:p w14:paraId="0C50C1FB" w14:textId="77777777" w:rsidR="0064301E" w:rsidRDefault="0064301E" w:rsidP="0064301E">
            <w:pPr>
              <w:spacing w:after="0" w:line="240" w:lineRule="auto"/>
              <w:jc w:val="center"/>
              <w:rPr>
                <w:rFonts w:eastAsia="Times New Roman"/>
                <w:color w:val="000000"/>
                <w:sz w:val="18"/>
                <w:szCs w:val="18"/>
              </w:rPr>
            </w:pPr>
          </w:p>
          <w:p w14:paraId="1AF3679F" w14:textId="112E60DA" w:rsidR="0064301E" w:rsidRDefault="0064301E" w:rsidP="0064301E">
            <w:pPr>
              <w:spacing w:after="0" w:line="240" w:lineRule="auto"/>
              <w:jc w:val="center"/>
              <w:rPr>
                <w:rFonts w:eastAsia="Times New Roman"/>
                <w:color w:val="000000"/>
                <w:sz w:val="18"/>
                <w:szCs w:val="18"/>
              </w:rPr>
            </w:pPr>
            <w:r w:rsidRPr="006E215B">
              <w:rPr>
                <w:rFonts w:eastAsia="Times New Roman"/>
                <w:color w:val="000000"/>
                <w:sz w:val="18"/>
                <w:szCs w:val="18"/>
              </w:rPr>
              <w:t>0.0</w:t>
            </w:r>
          </w:p>
        </w:tc>
      </w:tr>
    </w:tbl>
    <w:p w14:paraId="0FF2294C" w14:textId="0C2AA7D1" w:rsidR="00E02582" w:rsidRDefault="00E02582" w:rsidP="00E02582">
      <w:pPr>
        <w:pStyle w:val="Caption"/>
        <w:rPr>
          <w:b/>
          <w:i w:val="0"/>
          <w:color w:val="auto"/>
          <w:sz w:val="24"/>
          <w:szCs w:val="24"/>
        </w:rPr>
      </w:pPr>
      <w:r w:rsidRPr="00684CD5">
        <w:rPr>
          <w:b/>
          <w:i w:val="0"/>
          <w:color w:val="auto"/>
          <w:sz w:val="24"/>
          <w:szCs w:val="24"/>
        </w:rPr>
        <w:t xml:space="preserve">Table </w:t>
      </w:r>
      <w:r w:rsidR="007471E8">
        <w:rPr>
          <w:b/>
          <w:i w:val="0"/>
          <w:color w:val="auto"/>
          <w:sz w:val="24"/>
          <w:szCs w:val="24"/>
        </w:rPr>
        <w:t>4</w:t>
      </w:r>
      <w:r>
        <w:rPr>
          <w:b/>
          <w:i w:val="0"/>
          <w:color w:val="auto"/>
          <w:sz w:val="24"/>
          <w:szCs w:val="24"/>
        </w:rPr>
        <w:t xml:space="preserve">. Relative abundances for bacterial species* from MetaPhlAn </w:t>
      </w:r>
    </w:p>
    <w:p w14:paraId="799F6F00" w14:textId="2D50D0CB" w:rsidR="00D67760" w:rsidRDefault="00E02582" w:rsidP="00E02582">
      <w:pPr>
        <w:pStyle w:val="Caption"/>
        <w:keepNext/>
        <w:rPr>
          <w:b/>
          <w:i w:val="0"/>
          <w:color w:val="auto"/>
          <w:sz w:val="24"/>
          <w:szCs w:val="24"/>
        </w:rPr>
      </w:pPr>
      <w:r w:rsidRPr="003560F0">
        <w:rPr>
          <w:b/>
          <w:i w:val="0"/>
          <w:color w:val="auto"/>
          <w:sz w:val="24"/>
          <w:szCs w:val="24"/>
        </w:rPr>
        <w:t>*The</w:t>
      </w:r>
      <w:r w:rsidR="0064301E">
        <w:rPr>
          <w:b/>
          <w:i w:val="0"/>
          <w:color w:val="auto"/>
          <w:sz w:val="24"/>
          <w:szCs w:val="24"/>
        </w:rPr>
        <w:t xml:space="preserve"> top 6 most abundant species within the PPCC sample, top </w:t>
      </w:r>
      <w:r w:rsidR="00950BCE">
        <w:rPr>
          <w:b/>
          <w:i w:val="0"/>
          <w:color w:val="auto"/>
          <w:sz w:val="24"/>
          <w:szCs w:val="24"/>
        </w:rPr>
        <w:t>3 in the PPL 5A, top 1 in the PPL 5B and 5C samples</w:t>
      </w:r>
      <w:r w:rsidRPr="003560F0">
        <w:rPr>
          <w:b/>
          <w:i w:val="0"/>
          <w:color w:val="auto"/>
          <w:sz w:val="24"/>
          <w:szCs w:val="24"/>
        </w:rPr>
        <w:t xml:space="preserve">. </w:t>
      </w:r>
    </w:p>
    <w:p w14:paraId="1066CAA6" w14:textId="77777777" w:rsidR="00D67760" w:rsidRDefault="00D67760">
      <w:pPr>
        <w:rPr>
          <w:b/>
          <w:iCs/>
          <w:sz w:val="24"/>
          <w:szCs w:val="24"/>
        </w:rPr>
      </w:pPr>
      <w:r>
        <w:rPr>
          <w:b/>
          <w:i/>
          <w:sz w:val="24"/>
          <w:szCs w:val="24"/>
        </w:rPr>
        <w:br w:type="page"/>
      </w:r>
    </w:p>
    <w:p w14:paraId="5279000B" w14:textId="77777777" w:rsidR="00D67760" w:rsidRPr="00E55FA5" w:rsidRDefault="00D67760" w:rsidP="00D67760">
      <w:pPr>
        <w:pStyle w:val="Caption"/>
        <w:rPr>
          <w:b/>
          <w:i w:val="0"/>
          <w:color w:val="auto"/>
          <w:sz w:val="24"/>
          <w:szCs w:val="24"/>
        </w:rPr>
      </w:pPr>
      <w:r w:rsidRPr="00E55FA5">
        <w:rPr>
          <w:b/>
          <w:i w:val="0"/>
          <w:color w:val="auto"/>
          <w:sz w:val="24"/>
          <w:szCs w:val="24"/>
        </w:rPr>
        <w:lastRenderedPageBreak/>
        <w:t xml:space="preserve">Table </w:t>
      </w:r>
      <w:r>
        <w:rPr>
          <w:b/>
          <w:i w:val="0"/>
          <w:color w:val="auto"/>
          <w:sz w:val="24"/>
          <w:szCs w:val="24"/>
        </w:rPr>
        <w:t xml:space="preserve">5. Median Fragment Lengths (bp) </w:t>
      </w:r>
    </w:p>
    <w:tbl>
      <w:tblPr>
        <w:tblpPr w:leftFromText="180" w:rightFromText="180" w:horzAnchor="margin" w:tblpY="468"/>
        <w:tblW w:w="6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960"/>
        <w:gridCol w:w="974"/>
        <w:gridCol w:w="962"/>
        <w:gridCol w:w="962"/>
      </w:tblGrid>
      <w:tr w:rsidR="00D67760" w:rsidRPr="00FB047D" w14:paraId="42750D2D" w14:textId="77777777" w:rsidTr="0060745C">
        <w:trPr>
          <w:trHeight w:val="456"/>
        </w:trPr>
        <w:tc>
          <w:tcPr>
            <w:tcW w:w="2840" w:type="dxa"/>
            <w:shd w:val="clear" w:color="000000" w:fill="757171"/>
            <w:noWrap/>
            <w:vAlign w:val="bottom"/>
            <w:hideMark/>
          </w:tcPr>
          <w:p w14:paraId="5ACA8C53" w14:textId="77777777" w:rsidR="00D67760" w:rsidRPr="00FB047D" w:rsidRDefault="00D67760" w:rsidP="0060745C">
            <w:pPr>
              <w:spacing w:after="0" w:line="240" w:lineRule="auto"/>
              <w:rPr>
                <w:rFonts w:eastAsia="Times New Roman"/>
                <w:color w:val="000000"/>
                <w:sz w:val="36"/>
                <w:szCs w:val="36"/>
              </w:rPr>
            </w:pPr>
            <w:r w:rsidRPr="00FB047D">
              <w:rPr>
                <w:rFonts w:eastAsia="Times New Roman"/>
                <w:color w:val="000000"/>
                <w:sz w:val="36"/>
                <w:szCs w:val="36"/>
              </w:rPr>
              <w:t> </w:t>
            </w:r>
          </w:p>
        </w:tc>
        <w:tc>
          <w:tcPr>
            <w:tcW w:w="960" w:type="dxa"/>
            <w:shd w:val="clear" w:color="000000" w:fill="757171"/>
            <w:noWrap/>
            <w:vAlign w:val="bottom"/>
            <w:hideMark/>
          </w:tcPr>
          <w:p w14:paraId="27764550" w14:textId="77777777" w:rsidR="00D67760" w:rsidRPr="00FB047D" w:rsidRDefault="00D67760" w:rsidP="0060745C">
            <w:pPr>
              <w:spacing w:after="0" w:line="240" w:lineRule="auto"/>
              <w:rPr>
                <w:rFonts w:eastAsia="Times New Roman"/>
                <w:color w:val="000000"/>
              </w:rPr>
            </w:pPr>
            <w:r w:rsidRPr="00FB047D">
              <w:rPr>
                <w:rFonts w:eastAsia="Times New Roman"/>
                <w:color w:val="000000"/>
              </w:rPr>
              <w:t>PPCC</w:t>
            </w:r>
          </w:p>
        </w:tc>
        <w:tc>
          <w:tcPr>
            <w:tcW w:w="974" w:type="dxa"/>
            <w:shd w:val="clear" w:color="000000" w:fill="757171"/>
            <w:noWrap/>
            <w:vAlign w:val="bottom"/>
            <w:hideMark/>
          </w:tcPr>
          <w:p w14:paraId="7F4DDCE2" w14:textId="1B46DE46" w:rsidR="00D67760" w:rsidRPr="00FB047D" w:rsidRDefault="00746AFD" w:rsidP="0060745C">
            <w:pPr>
              <w:spacing w:after="0" w:line="240" w:lineRule="auto"/>
              <w:rPr>
                <w:rFonts w:eastAsia="Times New Roman"/>
                <w:color w:val="000000"/>
              </w:rPr>
            </w:pPr>
            <w:r>
              <w:rPr>
                <w:rFonts w:eastAsia="Times New Roman"/>
                <w:color w:val="000000"/>
              </w:rPr>
              <w:t>PPL 5A</w:t>
            </w:r>
          </w:p>
        </w:tc>
        <w:tc>
          <w:tcPr>
            <w:tcW w:w="962" w:type="dxa"/>
            <w:shd w:val="clear" w:color="000000" w:fill="757171"/>
            <w:noWrap/>
            <w:vAlign w:val="bottom"/>
            <w:hideMark/>
          </w:tcPr>
          <w:p w14:paraId="691FCD99" w14:textId="6C8D4B72" w:rsidR="00D67760" w:rsidRPr="00FB047D" w:rsidRDefault="00746AFD" w:rsidP="0060745C">
            <w:pPr>
              <w:spacing w:after="0" w:line="240" w:lineRule="auto"/>
              <w:rPr>
                <w:rFonts w:eastAsia="Times New Roman"/>
                <w:color w:val="000000"/>
              </w:rPr>
            </w:pPr>
            <w:r>
              <w:rPr>
                <w:rFonts w:eastAsia="Times New Roman"/>
                <w:color w:val="000000"/>
              </w:rPr>
              <w:t>PPL 5B</w:t>
            </w:r>
          </w:p>
        </w:tc>
        <w:tc>
          <w:tcPr>
            <w:tcW w:w="962" w:type="dxa"/>
            <w:shd w:val="clear" w:color="000000" w:fill="757171"/>
            <w:noWrap/>
            <w:vAlign w:val="bottom"/>
            <w:hideMark/>
          </w:tcPr>
          <w:p w14:paraId="041F5E65" w14:textId="0B6B0984" w:rsidR="00D67760" w:rsidRPr="00FB047D" w:rsidRDefault="00746AFD" w:rsidP="0060745C">
            <w:pPr>
              <w:spacing w:after="0" w:line="240" w:lineRule="auto"/>
              <w:rPr>
                <w:rFonts w:eastAsia="Times New Roman"/>
                <w:color w:val="000000"/>
              </w:rPr>
            </w:pPr>
            <w:r>
              <w:rPr>
                <w:rFonts w:eastAsia="Times New Roman"/>
                <w:color w:val="000000"/>
              </w:rPr>
              <w:t>PPL 5C</w:t>
            </w:r>
          </w:p>
        </w:tc>
      </w:tr>
      <w:tr w:rsidR="00D67760" w:rsidRPr="00FB047D" w14:paraId="1FDFFB95" w14:textId="77777777" w:rsidTr="0060745C">
        <w:trPr>
          <w:trHeight w:val="288"/>
        </w:trPr>
        <w:tc>
          <w:tcPr>
            <w:tcW w:w="2840" w:type="dxa"/>
            <w:shd w:val="clear" w:color="auto" w:fill="auto"/>
            <w:noWrap/>
            <w:vAlign w:val="bottom"/>
            <w:hideMark/>
          </w:tcPr>
          <w:p w14:paraId="1F8751F0" w14:textId="77777777" w:rsidR="00D67760" w:rsidRPr="003E03E8" w:rsidRDefault="00D67760" w:rsidP="0060745C">
            <w:pPr>
              <w:spacing w:after="0" w:line="240" w:lineRule="auto"/>
              <w:rPr>
                <w:rFonts w:eastAsia="Times New Roman"/>
                <w:color w:val="000000"/>
              </w:rPr>
            </w:pPr>
            <w:r w:rsidRPr="003E03E8">
              <w:rPr>
                <w:rFonts w:eastAsia="Times New Roman"/>
                <w:color w:val="000000"/>
              </w:rPr>
              <w:t>Human</w:t>
            </w:r>
          </w:p>
        </w:tc>
        <w:tc>
          <w:tcPr>
            <w:tcW w:w="960" w:type="dxa"/>
            <w:shd w:val="clear" w:color="auto" w:fill="auto"/>
            <w:noWrap/>
            <w:vAlign w:val="bottom"/>
            <w:hideMark/>
          </w:tcPr>
          <w:p w14:paraId="255F2ED1" w14:textId="77777777" w:rsidR="00D67760" w:rsidRPr="00FB047D" w:rsidRDefault="00D67760" w:rsidP="0060745C">
            <w:pPr>
              <w:spacing w:after="0" w:line="240" w:lineRule="auto"/>
              <w:jc w:val="right"/>
              <w:rPr>
                <w:rFonts w:eastAsia="Times New Roman"/>
                <w:color w:val="000000"/>
              </w:rPr>
            </w:pPr>
            <w:r>
              <w:rPr>
                <w:rFonts w:eastAsia="Times New Roman"/>
                <w:color w:val="000000"/>
              </w:rPr>
              <w:t>55</w:t>
            </w:r>
          </w:p>
        </w:tc>
        <w:tc>
          <w:tcPr>
            <w:tcW w:w="974" w:type="dxa"/>
            <w:shd w:val="clear" w:color="auto" w:fill="auto"/>
            <w:noWrap/>
            <w:vAlign w:val="bottom"/>
            <w:hideMark/>
          </w:tcPr>
          <w:p w14:paraId="4F93DE78" w14:textId="77777777" w:rsidR="00D67760" w:rsidRPr="00FB047D" w:rsidRDefault="00D67760" w:rsidP="0060745C">
            <w:pPr>
              <w:spacing w:after="0" w:line="240" w:lineRule="auto"/>
              <w:jc w:val="right"/>
              <w:rPr>
                <w:rFonts w:eastAsia="Times New Roman"/>
                <w:color w:val="000000"/>
              </w:rPr>
            </w:pPr>
            <w:r>
              <w:rPr>
                <w:rFonts w:eastAsia="Times New Roman"/>
                <w:color w:val="000000"/>
              </w:rPr>
              <w:t>79</w:t>
            </w:r>
          </w:p>
        </w:tc>
        <w:tc>
          <w:tcPr>
            <w:tcW w:w="962" w:type="dxa"/>
            <w:shd w:val="clear" w:color="auto" w:fill="auto"/>
            <w:noWrap/>
            <w:vAlign w:val="bottom"/>
            <w:hideMark/>
          </w:tcPr>
          <w:p w14:paraId="76CA7390" w14:textId="77777777" w:rsidR="00D67760" w:rsidRPr="00FB047D" w:rsidRDefault="00D67760" w:rsidP="0060745C">
            <w:pPr>
              <w:spacing w:after="0" w:line="240" w:lineRule="auto"/>
              <w:jc w:val="right"/>
              <w:rPr>
                <w:rFonts w:eastAsia="Times New Roman"/>
                <w:color w:val="000000"/>
              </w:rPr>
            </w:pPr>
            <w:r>
              <w:rPr>
                <w:rFonts w:eastAsia="Times New Roman"/>
                <w:color w:val="000000"/>
              </w:rPr>
              <w:t>64</w:t>
            </w:r>
          </w:p>
        </w:tc>
        <w:tc>
          <w:tcPr>
            <w:tcW w:w="962" w:type="dxa"/>
            <w:shd w:val="clear" w:color="auto" w:fill="auto"/>
            <w:noWrap/>
            <w:vAlign w:val="bottom"/>
            <w:hideMark/>
          </w:tcPr>
          <w:p w14:paraId="4FC05093" w14:textId="77777777" w:rsidR="00D67760" w:rsidRPr="00FB047D" w:rsidRDefault="00D67760" w:rsidP="0060745C">
            <w:pPr>
              <w:spacing w:after="0" w:line="240" w:lineRule="auto"/>
              <w:jc w:val="right"/>
              <w:rPr>
                <w:rFonts w:eastAsia="Times New Roman"/>
                <w:color w:val="000000"/>
              </w:rPr>
            </w:pPr>
            <w:r>
              <w:rPr>
                <w:rFonts w:eastAsia="Times New Roman"/>
                <w:color w:val="000000"/>
              </w:rPr>
              <w:t>73</w:t>
            </w:r>
          </w:p>
        </w:tc>
      </w:tr>
      <w:tr w:rsidR="00D67760" w:rsidRPr="00FB047D" w14:paraId="566B9C8F" w14:textId="77777777" w:rsidTr="0060745C">
        <w:trPr>
          <w:trHeight w:val="288"/>
        </w:trPr>
        <w:tc>
          <w:tcPr>
            <w:tcW w:w="2840" w:type="dxa"/>
            <w:shd w:val="clear" w:color="000000" w:fill="AEAAAA"/>
            <w:noWrap/>
            <w:vAlign w:val="bottom"/>
            <w:hideMark/>
          </w:tcPr>
          <w:p w14:paraId="6EC35759" w14:textId="77777777" w:rsidR="00D67760" w:rsidRPr="0033069B" w:rsidRDefault="00D67760" w:rsidP="0060745C">
            <w:pPr>
              <w:spacing w:after="0" w:line="240" w:lineRule="auto"/>
              <w:rPr>
                <w:rFonts w:eastAsia="Times New Roman"/>
                <w:i/>
                <w:color w:val="000000"/>
              </w:rPr>
            </w:pPr>
            <w:r w:rsidRPr="0033069B">
              <w:rPr>
                <w:rFonts w:eastAsia="Times New Roman"/>
                <w:i/>
                <w:color w:val="000000"/>
              </w:rPr>
              <w:t>Methanobrevibacter oralis</w:t>
            </w:r>
          </w:p>
        </w:tc>
        <w:tc>
          <w:tcPr>
            <w:tcW w:w="960" w:type="dxa"/>
            <w:shd w:val="clear" w:color="000000" w:fill="AEAAAA"/>
            <w:noWrap/>
            <w:vAlign w:val="bottom"/>
            <w:hideMark/>
          </w:tcPr>
          <w:p w14:paraId="56FAD177" w14:textId="77777777" w:rsidR="00D67760" w:rsidRPr="00FB047D" w:rsidRDefault="00D67760" w:rsidP="0060745C">
            <w:pPr>
              <w:spacing w:after="0" w:line="240" w:lineRule="auto"/>
              <w:jc w:val="right"/>
              <w:rPr>
                <w:rFonts w:eastAsia="Times New Roman"/>
                <w:color w:val="000000"/>
              </w:rPr>
            </w:pPr>
            <w:r>
              <w:rPr>
                <w:rFonts w:eastAsia="Times New Roman"/>
                <w:color w:val="000000"/>
              </w:rPr>
              <w:t>93</w:t>
            </w:r>
          </w:p>
        </w:tc>
        <w:tc>
          <w:tcPr>
            <w:tcW w:w="974" w:type="dxa"/>
            <w:shd w:val="clear" w:color="000000" w:fill="AEAAAA"/>
            <w:noWrap/>
            <w:vAlign w:val="bottom"/>
            <w:hideMark/>
          </w:tcPr>
          <w:p w14:paraId="6F429DDD" w14:textId="77777777" w:rsidR="00D67760" w:rsidRPr="00FB047D" w:rsidRDefault="00D67760" w:rsidP="0060745C">
            <w:pPr>
              <w:spacing w:after="0" w:line="240" w:lineRule="auto"/>
              <w:jc w:val="right"/>
              <w:rPr>
                <w:rFonts w:eastAsia="Times New Roman"/>
                <w:color w:val="000000"/>
              </w:rPr>
            </w:pPr>
            <w:r>
              <w:rPr>
                <w:rFonts w:eastAsia="Times New Roman"/>
                <w:color w:val="000000"/>
              </w:rPr>
              <w:t>66</w:t>
            </w:r>
          </w:p>
        </w:tc>
        <w:tc>
          <w:tcPr>
            <w:tcW w:w="962" w:type="dxa"/>
            <w:shd w:val="clear" w:color="000000" w:fill="AEAAAA"/>
            <w:noWrap/>
            <w:vAlign w:val="bottom"/>
            <w:hideMark/>
          </w:tcPr>
          <w:p w14:paraId="69AF2D1B" w14:textId="77777777" w:rsidR="00D67760" w:rsidRPr="00FB047D" w:rsidRDefault="00D67760" w:rsidP="0060745C">
            <w:pPr>
              <w:spacing w:after="0" w:line="240" w:lineRule="auto"/>
              <w:jc w:val="right"/>
              <w:rPr>
                <w:rFonts w:eastAsia="Times New Roman"/>
                <w:color w:val="000000"/>
              </w:rPr>
            </w:pPr>
            <w:r>
              <w:rPr>
                <w:rFonts w:eastAsia="Times New Roman"/>
                <w:color w:val="000000"/>
              </w:rPr>
              <w:t>48</w:t>
            </w:r>
          </w:p>
        </w:tc>
        <w:tc>
          <w:tcPr>
            <w:tcW w:w="962" w:type="dxa"/>
            <w:shd w:val="clear" w:color="000000" w:fill="AEAAAA"/>
            <w:noWrap/>
            <w:vAlign w:val="bottom"/>
            <w:hideMark/>
          </w:tcPr>
          <w:p w14:paraId="00624E89" w14:textId="77777777" w:rsidR="00D67760" w:rsidRPr="00FB047D" w:rsidRDefault="00D67760" w:rsidP="0060745C">
            <w:pPr>
              <w:spacing w:after="0" w:line="240" w:lineRule="auto"/>
              <w:jc w:val="right"/>
              <w:rPr>
                <w:rFonts w:eastAsia="Times New Roman"/>
                <w:color w:val="000000"/>
              </w:rPr>
            </w:pPr>
            <w:r w:rsidRPr="00FB047D">
              <w:rPr>
                <w:rFonts w:eastAsia="Times New Roman"/>
                <w:color w:val="000000"/>
              </w:rPr>
              <w:t>5</w:t>
            </w:r>
            <w:r>
              <w:rPr>
                <w:rFonts w:eastAsia="Times New Roman"/>
                <w:color w:val="000000"/>
              </w:rPr>
              <w:t>0</w:t>
            </w:r>
          </w:p>
        </w:tc>
      </w:tr>
      <w:tr w:rsidR="00D67760" w:rsidRPr="00FB047D" w14:paraId="3DF14592" w14:textId="77777777" w:rsidTr="0060745C">
        <w:trPr>
          <w:trHeight w:val="288"/>
        </w:trPr>
        <w:tc>
          <w:tcPr>
            <w:tcW w:w="2840" w:type="dxa"/>
            <w:shd w:val="clear" w:color="auto" w:fill="auto"/>
            <w:noWrap/>
            <w:vAlign w:val="bottom"/>
          </w:tcPr>
          <w:p w14:paraId="7961FC07" w14:textId="77777777" w:rsidR="00D67760" w:rsidRPr="0033069B" w:rsidRDefault="00D67760" w:rsidP="0060745C">
            <w:pPr>
              <w:spacing w:after="0" w:line="240" w:lineRule="auto"/>
              <w:rPr>
                <w:rFonts w:eastAsia="Times New Roman"/>
                <w:i/>
                <w:color w:val="000000"/>
              </w:rPr>
            </w:pPr>
            <w:r w:rsidRPr="0033069B">
              <w:rPr>
                <w:rFonts w:eastAsia="Times New Roman"/>
                <w:i/>
                <w:color w:val="000000"/>
              </w:rPr>
              <w:t>Streptococcus anginosus</w:t>
            </w:r>
          </w:p>
        </w:tc>
        <w:tc>
          <w:tcPr>
            <w:tcW w:w="960" w:type="dxa"/>
            <w:shd w:val="clear" w:color="auto" w:fill="auto"/>
            <w:noWrap/>
            <w:vAlign w:val="bottom"/>
          </w:tcPr>
          <w:p w14:paraId="3F0E9E37" w14:textId="77777777" w:rsidR="00D67760" w:rsidRDefault="00D67760" w:rsidP="0060745C">
            <w:pPr>
              <w:spacing w:after="0" w:line="240" w:lineRule="auto"/>
              <w:jc w:val="right"/>
              <w:rPr>
                <w:rFonts w:eastAsia="Times New Roman"/>
                <w:color w:val="000000"/>
              </w:rPr>
            </w:pPr>
            <w:r>
              <w:rPr>
                <w:rFonts w:eastAsia="Times New Roman"/>
                <w:color w:val="000000"/>
              </w:rPr>
              <w:t>72</w:t>
            </w:r>
          </w:p>
        </w:tc>
        <w:tc>
          <w:tcPr>
            <w:tcW w:w="974" w:type="dxa"/>
            <w:shd w:val="clear" w:color="auto" w:fill="auto"/>
            <w:noWrap/>
            <w:vAlign w:val="bottom"/>
          </w:tcPr>
          <w:p w14:paraId="2ED87F9F" w14:textId="77777777" w:rsidR="00D67760" w:rsidRDefault="00D67760" w:rsidP="0060745C">
            <w:pPr>
              <w:spacing w:after="0" w:line="240" w:lineRule="auto"/>
              <w:jc w:val="right"/>
              <w:rPr>
                <w:rFonts w:eastAsia="Times New Roman"/>
                <w:color w:val="000000"/>
              </w:rPr>
            </w:pPr>
            <w:r>
              <w:rPr>
                <w:rFonts w:eastAsia="Times New Roman"/>
                <w:color w:val="000000"/>
              </w:rPr>
              <w:t>64</w:t>
            </w:r>
          </w:p>
        </w:tc>
        <w:tc>
          <w:tcPr>
            <w:tcW w:w="962" w:type="dxa"/>
            <w:shd w:val="clear" w:color="auto" w:fill="auto"/>
            <w:noWrap/>
            <w:vAlign w:val="bottom"/>
          </w:tcPr>
          <w:p w14:paraId="42A4AFDB" w14:textId="77777777" w:rsidR="00D67760" w:rsidRDefault="00D67760" w:rsidP="0060745C">
            <w:pPr>
              <w:spacing w:after="0" w:line="240" w:lineRule="auto"/>
              <w:jc w:val="right"/>
              <w:rPr>
                <w:rFonts w:eastAsia="Times New Roman"/>
                <w:color w:val="000000"/>
              </w:rPr>
            </w:pPr>
            <w:r>
              <w:rPr>
                <w:rFonts w:eastAsia="Times New Roman"/>
                <w:color w:val="000000"/>
              </w:rPr>
              <w:t>42.5</w:t>
            </w:r>
          </w:p>
        </w:tc>
        <w:tc>
          <w:tcPr>
            <w:tcW w:w="962" w:type="dxa"/>
            <w:shd w:val="clear" w:color="auto" w:fill="auto"/>
            <w:noWrap/>
            <w:vAlign w:val="bottom"/>
          </w:tcPr>
          <w:p w14:paraId="42FB4E22" w14:textId="77777777" w:rsidR="00D67760" w:rsidRPr="00FB047D" w:rsidRDefault="00D67760" w:rsidP="0060745C">
            <w:pPr>
              <w:spacing w:after="0" w:line="240" w:lineRule="auto"/>
              <w:jc w:val="right"/>
              <w:rPr>
                <w:rFonts w:eastAsia="Times New Roman"/>
                <w:color w:val="000000"/>
              </w:rPr>
            </w:pPr>
            <w:r>
              <w:rPr>
                <w:rFonts w:eastAsia="Times New Roman"/>
                <w:color w:val="000000"/>
              </w:rPr>
              <w:t>59.5</w:t>
            </w:r>
          </w:p>
        </w:tc>
      </w:tr>
      <w:tr w:rsidR="00D67760" w:rsidRPr="00FB047D" w14:paraId="03424009" w14:textId="77777777" w:rsidTr="0060745C">
        <w:trPr>
          <w:trHeight w:val="288"/>
        </w:trPr>
        <w:tc>
          <w:tcPr>
            <w:tcW w:w="2840" w:type="dxa"/>
            <w:shd w:val="clear" w:color="auto" w:fill="AEAAAA" w:themeFill="background2" w:themeFillShade="BF"/>
            <w:noWrap/>
            <w:vAlign w:val="bottom"/>
            <w:hideMark/>
          </w:tcPr>
          <w:p w14:paraId="6C06B5FF" w14:textId="77777777" w:rsidR="00D67760" w:rsidRPr="0033069B" w:rsidRDefault="00D67760" w:rsidP="0060745C">
            <w:pPr>
              <w:spacing w:after="0" w:line="240" w:lineRule="auto"/>
              <w:rPr>
                <w:rFonts w:eastAsia="Times New Roman"/>
                <w:i/>
                <w:color w:val="000000"/>
              </w:rPr>
            </w:pPr>
            <w:r w:rsidRPr="0033069B">
              <w:rPr>
                <w:rFonts w:eastAsia="Times New Roman"/>
                <w:i/>
                <w:color w:val="000000"/>
              </w:rPr>
              <w:t>Cutibacterium acnes</w:t>
            </w:r>
          </w:p>
        </w:tc>
        <w:tc>
          <w:tcPr>
            <w:tcW w:w="960" w:type="dxa"/>
            <w:shd w:val="clear" w:color="auto" w:fill="AEAAAA" w:themeFill="background2" w:themeFillShade="BF"/>
            <w:noWrap/>
            <w:vAlign w:val="bottom"/>
            <w:hideMark/>
          </w:tcPr>
          <w:p w14:paraId="5880EE2C" w14:textId="77777777" w:rsidR="00D67760" w:rsidRPr="00FB047D" w:rsidRDefault="00D67760" w:rsidP="0060745C">
            <w:pPr>
              <w:spacing w:after="0" w:line="240" w:lineRule="auto"/>
              <w:jc w:val="right"/>
              <w:rPr>
                <w:rFonts w:eastAsia="Times New Roman"/>
                <w:color w:val="000000"/>
              </w:rPr>
            </w:pPr>
            <w:r w:rsidRPr="00FB047D">
              <w:rPr>
                <w:rFonts w:eastAsia="Times New Roman"/>
                <w:color w:val="000000"/>
              </w:rPr>
              <w:t>4</w:t>
            </w:r>
            <w:r>
              <w:rPr>
                <w:rFonts w:eastAsia="Times New Roman"/>
                <w:color w:val="000000"/>
              </w:rPr>
              <w:t>4</w:t>
            </w:r>
          </w:p>
        </w:tc>
        <w:tc>
          <w:tcPr>
            <w:tcW w:w="974" w:type="dxa"/>
            <w:shd w:val="clear" w:color="auto" w:fill="AEAAAA" w:themeFill="background2" w:themeFillShade="BF"/>
            <w:noWrap/>
            <w:vAlign w:val="bottom"/>
            <w:hideMark/>
          </w:tcPr>
          <w:p w14:paraId="653DF59C" w14:textId="77777777" w:rsidR="00D67760" w:rsidRPr="00FB047D" w:rsidRDefault="00D67760" w:rsidP="0060745C">
            <w:pPr>
              <w:spacing w:after="0" w:line="240" w:lineRule="auto"/>
              <w:jc w:val="right"/>
              <w:rPr>
                <w:rFonts w:eastAsia="Times New Roman"/>
                <w:color w:val="000000"/>
              </w:rPr>
            </w:pPr>
            <w:r>
              <w:rPr>
                <w:rFonts w:eastAsia="Times New Roman"/>
                <w:color w:val="000000"/>
              </w:rPr>
              <w:t>70</w:t>
            </w:r>
          </w:p>
        </w:tc>
        <w:tc>
          <w:tcPr>
            <w:tcW w:w="962" w:type="dxa"/>
            <w:shd w:val="clear" w:color="auto" w:fill="AEAAAA" w:themeFill="background2" w:themeFillShade="BF"/>
            <w:noWrap/>
            <w:vAlign w:val="bottom"/>
            <w:hideMark/>
          </w:tcPr>
          <w:p w14:paraId="15044388" w14:textId="77777777" w:rsidR="00D67760" w:rsidRPr="00FB047D" w:rsidRDefault="00D67760" w:rsidP="0060745C">
            <w:pPr>
              <w:spacing w:after="0" w:line="240" w:lineRule="auto"/>
              <w:jc w:val="right"/>
              <w:rPr>
                <w:rFonts w:eastAsia="Times New Roman"/>
                <w:color w:val="000000"/>
              </w:rPr>
            </w:pPr>
            <w:r>
              <w:rPr>
                <w:rFonts w:eastAsia="Times New Roman"/>
                <w:color w:val="000000"/>
              </w:rPr>
              <w:t>62</w:t>
            </w:r>
          </w:p>
        </w:tc>
        <w:tc>
          <w:tcPr>
            <w:tcW w:w="962" w:type="dxa"/>
            <w:shd w:val="clear" w:color="auto" w:fill="AEAAAA" w:themeFill="background2" w:themeFillShade="BF"/>
            <w:noWrap/>
            <w:vAlign w:val="bottom"/>
            <w:hideMark/>
          </w:tcPr>
          <w:p w14:paraId="5F9F746C" w14:textId="77777777" w:rsidR="00D67760" w:rsidRPr="00FB047D" w:rsidRDefault="00D67760" w:rsidP="0060745C">
            <w:pPr>
              <w:spacing w:after="0" w:line="240" w:lineRule="auto"/>
              <w:jc w:val="right"/>
              <w:rPr>
                <w:rFonts w:eastAsia="Times New Roman"/>
                <w:color w:val="000000"/>
              </w:rPr>
            </w:pPr>
            <w:r>
              <w:rPr>
                <w:rFonts w:eastAsia="Times New Roman"/>
                <w:color w:val="000000"/>
              </w:rPr>
              <w:t>61</w:t>
            </w:r>
          </w:p>
        </w:tc>
      </w:tr>
    </w:tbl>
    <w:p w14:paraId="0703999D" w14:textId="77777777" w:rsidR="00D67760" w:rsidRDefault="00D67760" w:rsidP="00D67760"/>
    <w:p w14:paraId="3028D9ED" w14:textId="77777777" w:rsidR="00D67760" w:rsidRDefault="00D67760" w:rsidP="00D67760"/>
    <w:p w14:paraId="2A3D3449" w14:textId="77777777" w:rsidR="00D67760" w:rsidRDefault="00D67760" w:rsidP="00D67760"/>
    <w:p w14:paraId="3AA028FA" w14:textId="1F9F42DB" w:rsidR="00D67760" w:rsidRDefault="00D67760">
      <w:pPr>
        <w:rPr>
          <w:iCs/>
          <w:sz w:val="18"/>
          <w:szCs w:val="18"/>
        </w:rPr>
      </w:pPr>
      <w:r>
        <w:rPr>
          <w:i/>
        </w:rPr>
        <w:br w:type="page"/>
      </w:r>
    </w:p>
    <w:p w14:paraId="4777972A" w14:textId="72FA37E9" w:rsidR="00736647" w:rsidRPr="00736647" w:rsidRDefault="00A07440" w:rsidP="00736647">
      <w:r>
        <w:rPr>
          <w:noProof/>
        </w:rPr>
        <w:lastRenderedPageBreak/>
        <w:drawing>
          <wp:inline distT="0" distB="0" distL="0" distR="0" wp14:anchorId="601D5B92" wp14:editId="1130A97E">
            <wp:extent cx="5943600" cy="55378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37835"/>
                    </a:xfrm>
                    <a:prstGeom prst="rect">
                      <a:avLst/>
                    </a:prstGeom>
                    <a:noFill/>
                    <a:ln>
                      <a:noFill/>
                    </a:ln>
                  </pic:spPr>
                </pic:pic>
              </a:graphicData>
            </a:graphic>
          </wp:inline>
        </w:drawing>
      </w:r>
    </w:p>
    <w:p w14:paraId="14F71103" w14:textId="2C4DFC63" w:rsidR="00686F47" w:rsidRDefault="006F1834" w:rsidP="006F1834">
      <w:pPr>
        <w:pStyle w:val="Caption"/>
        <w:rPr>
          <w:color w:val="auto"/>
          <w:sz w:val="24"/>
          <w:szCs w:val="24"/>
        </w:rPr>
      </w:pPr>
      <w:r w:rsidRPr="00AE5E73">
        <w:rPr>
          <w:b/>
          <w:i w:val="0"/>
          <w:color w:val="auto"/>
          <w:sz w:val="24"/>
          <w:szCs w:val="24"/>
        </w:rPr>
        <w:t xml:space="preserve">Figure </w:t>
      </w:r>
      <w:r w:rsidR="0045169B">
        <w:rPr>
          <w:b/>
          <w:i w:val="0"/>
          <w:color w:val="auto"/>
          <w:sz w:val="24"/>
          <w:szCs w:val="24"/>
        </w:rPr>
        <w:t>3</w:t>
      </w:r>
      <w:r>
        <w:rPr>
          <w:b/>
          <w:i w:val="0"/>
          <w:color w:val="auto"/>
          <w:sz w:val="24"/>
          <w:szCs w:val="24"/>
        </w:rPr>
        <w:t xml:space="preserve">. </w:t>
      </w:r>
      <w:r w:rsidR="005F340A">
        <w:rPr>
          <w:b/>
          <w:i w:val="0"/>
          <w:color w:val="auto"/>
          <w:sz w:val="24"/>
          <w:szCs w:val="24"/>
        </w:rPr>
        <w:t>Log transformed r</w:t>
      </w:r>
      <w:r w:rsidR="00E4583B">
        <w:rPr>
          <w:b/>
          <w:i w:val="0"/>
          <w:color w:val="auto"/>
          <w:sz w:val="24"/>
          <w:szCs w:val="24"/>
        </w:rPr>
        <w:t xml:space="preserve">elative abundances of phyla identified by QIIME. </w:t>
      </w:r>
      <w:r w:rsidR="00094513">
        <w:rPr>
          <w:b/>
          <w:i w:val="0"/>
          <w:color w:val="auto"/>
          <w:sz w:val="24"/>
          <w:szCs w:val="24"/>
        </w:rPr>
        <w:t xml:space="preserve">High abundant taxa are in gradients for red </w:t>
      </w:r>
      <w:r w:rsidR="006D3B43">
        <w:rPr>
          <w:b/>
          <w:i w:val="0"/>
          <w:color w:val="auto"/>
          <w:sz w:val="24"/>
          <w:szCs w:val="24"/>
        </w:rPr>
        <w:t xml:space="preserve">while less abundant taxa are white and blue. </w:t>
      </w:r>
      <w:r w:rsidR="00E4583B">
        <w:rPr>
          <w:b/>
          <w:i w:val="0"/>
          <w:color w:val="auto"/>
          <w:sz w:val="24"/>
          <w:szCs w:val="24"/>
        </w:rPr>
        <w:t>T</w:t>
      </w:r>
      <w:r w:rsidR="00BC23A5">
        <w:rPr>
          <w:b/>
          <w:i w:val="0"/>
          <w:color w:val="auto"/>
          <w:sz w:val="24"/>
          <w:szCs w:val="24"/>
        </w:rPr>
        <w:t xml:space="preserve">he </w:t>
      </w:r>
      <w:r w:rsidR="0060745C">
        <w:rPr>
          <w:b/>
          <w:i w:val="0"/>
          <w:color w:val="auto"/>
          <w:sz w:val="24"/>
          <w:szCs w:val="24"/>
        </w:rPr>
        <w:t>microbial</w:t>
      </w:r>
      <w:r w:rsidR="00BC23A5">
        <w:rPr>
          <w:b/>
          <w:i w:val="0"/>
          <w:color w:val="auto"/>
          <w:sz w:val="24"/>
          <w:szCs w:val="24"/>
        </w:rPr>
        <w:t xml:space="preserve"> communities </w:t>
      </w:r>
      <w:r w:rsidR="00E4583B">
        <w:rPr>
          <w:b/>
          <w:i w:val="0"/>
          <w:color w:val="auto"/>
          <w:sz w:val="24"/>
          <w:szCs w:val="24"/>
        </w:rPr>
        <w:t xml:space="preserve">depicted are </w:t>
      </w:r>
      <w:r w:rsidR="00BC23A5">
        <w:rPr>
          <w:b/>
          <w:i w:val="0"/>
          <w:color w:val="auto"/>
          <w:sz w:val="24"/>
          <w:szCs w:val="24"/>
        </w:rPr>
        <w:t xml:space="preserve">from </w:t>
      </w:r>
      <w:r w:rsidR="00BC23A5">
        <w:rPr>
          <w:b/>
          <w:i w:val="0"/>
          <w:noProof/>
          <w:color w:val="auto"/>
          <w:sz w:val="24"/>
          <w:szCs w:val="24"/>
        </w:rPr>
        <w:t>the</w:t>
      </w:r>
      <w:r>
        <w:rPr>
          <w:b/>
          <w:i w:val="0"/>
          <w:noProof/>
          <w:color w:val="auto"/>
          <w:sz w:val="24"/>
          <w:szCs w:val="24"/>
        </w:rPr>
        <w:t xml:space="preserve"> Plaza of the Columns sample (PPCC), Moon Pyramid samples (PPL 5A-C, n=3),</w:t>
      </w:r>
      <w:r w:rsidR="00956B04">
        <w:rPr>
          <w:b/>
          <w:i w:val="0"/>
          <w:noProof/>
          <w:color w:val="auto"/>
          <w:sz w:val="24"/>
          <w:szCs w:val="24"/>
        </w:rPr>
        <w:t xml:space="preserve"> </w:t>
      </w:r>
      <w:r w:rsidR="00BC23A5">
        <w:rPr>
          <w:b/>
          <w:i w:val="0"/>
          <w:noProof/>
          <w:color w:val="auto"/>
          <w:sz w:val="24"/>
          <w:szCs w:val="24"/>
        </w:rPr>
        <w:t xml:space="preserve">Neanderthals (n=3, </w:t>
      </w:r>
      <w:r w:rsidR="00956B04">
        <w:rPr>
          <w:b/>
          <w:i w:val="0"/>
          <w:noProof/>
          <w:color w:val="auto"/>
          <w:sz w:val="24"/>
          <w:szCs w:val="24"/>
        </w:rPr>
        <w:t>Weyrich et al.</w:t>
      </w:r>
      <w:r w:rsidR="00BC23A5">
        <w:rPr>
          <w:b/>
          <w:i w:val="0"/>
          <w:noProof/>
          <w:color w:val="auto"/>
          <w:sz w:val="24"/>
          <w:szCs w:val="24"/>
        </w:rPr>
        <w:t xml:space="preserve">, </w:t>
      </w:r>
      <w:r w:rsidR="00956B04">
        <w:rPr>
          <w:b/>
          <w:i w:val="0"/>
          <w:noProof/>
          <w:color w:val="auto"/>
          <w:sz w:val="24"/>
          <w:szCs w:val="24"/>
        </w:rPr>
        <w:t xml:space="preserve">2017), </w:t>
      </w:r>
      <w:r w:rsidR="00BC23A5">
        <w:rPr>
          <w:b/>
          <w:i w:val="0"/>
          <w:noProof/>
          <w:color w:val="auto"/>
          <w:sz w:val="24"/>
          <w:szCs w:val="24"/>
        </w:rPr>
        <w:t xml:space="preserve">various archaeological contexts (n=59, </w:t>
      </w:r>
      <w:r w:rsidR="00956B04">
        <w:rPr>
          <w:b/>
          <w:i w:val="0"/>
          <w:noProof/>
          <w:color w:val="auto"/>
          <w:sz w:val="24"/>
          <w:szCs w:val="24"/>
        </w:rPr>
        <w:t>Mann et al.</w:t>
      </w:r>
      <w:r w:rsidR="00BC23A5">
        <w:rPr>
          <w:b/>
          <w:i w:val="0"/>
          <w:noProof/>
          <w:color w:val="auto"/>
          <w:sz w:val="24"/>
          <w:szCs w:val="24"/>
        </w:rPr>
        <w:t>,</w:t>
      </w:r>
      <w:r w:rsidR="00956B04">
        <w:rPr>
          <w:b/>
          <w:i w:val="0"/>
          <w:noProof/>
          <w:color w:val="auto"/>
          <w:sz w:val="24"/>
          <w:szCs w:val="24"/>
        </w:rPr>
        <w:t xml:space="preserve"> 2018),</w:t>
      </w:r>
      <w:r>
        <w:rPr>
          <w:b/>
          <w:i w:val="0"/>
          <w:noProof/>
          <w:color w:val="auto"/>
          <w:sz w:val="24"/>
          <w:szCs w:val="24"/>
        </w:rPr>
        <w:t xml:space="preserve"> </w:t>
      </w:r>
      <w:r w:rsidR="00143070">
        <w:rPr>
          <w:b/>
          <w:i w:val="0"/>
          <w:noProof/>
          <w:color w:val="auto"/>
          <w:sz w:val="24"/>
          <w:szCs w:val="24"/>
        </w:rPr>
        <w:t xml:space="preserve">and </w:t>
      </w:r>
      <w:r>
        <w:rPr>
          <w:b/>
          <w:i w:val="0"/>
          <w:noProof/>
          <w:color w:val="auto"/>
          <w:sz w:val="24"/>
          <w:szCs w:val="24"/>
        </w:rPr>
        <w:t>Hunter Gatherers from the Phillipines (n=2</w:t>
      </w:r>
      <w:r w:rsidR="00170451">
        <w:rPr>
          <w:b/>
          <w:i w:val="0"/>
          <w:noProof/>
          <w:color w:val="auto"/>
          <w:sz w:val="24"/>
          <w:szCs w:val="24"/>
        </w:rPr>
        <w:t xml:space="preserve">, </w:t>
      </w:r>
      <w:r w:rsidR="00170451" w:rsidRPr="00170451">
        <w:rPr>
          <w:b/>
          <w:i w:val="0"/>
          <w:noProof/>
          <w:color w:val="auto"/>
          <w:sz w:val="24"/>
          <w:szCs w:val="24"/>
        </w:rPr>
        <w:fldChar w:fldCharType="begin"/>
      </w:r>
      <w:r w:rsidR="000E042E">
        <w:rPr>
          <w:b/>
          <w:i w:val="0"/>
          <w:noProof/>
          <w:color w:val="auto"/>
          <w:sz w:val="24"/>
          <w:szCs w:val="24"/>
        </w:rPr>
        <w:instrText xml:space="preserve"> ADDIN ZOTERO_ITEM CSL_CITATION {"citationID":"7A3iw9ym","properties":{"formattedCitation":"(Lassalle et al., 2018)","plainCitation":"(Lassalle et al., 2018)","dontUpdate":true,"noteIndex":0},"citationItems":[{"id":940,"uris":["http://zotero.org/users/4461938/items/JCLIPAG9"],"uri":["http://zotero.org/users/4461938/items/JCLIPAG9"],"itemData":{"id":940,"type":"article-journal","title":"Oral microbiomes from hunter‐gatherers and traditional farmers reveal shifts in commensal balance and pathogen load linked to diet","container-title":"Molecular ecology","page":"182-195","volume":"27","issue":"1","author":[{"family":"Lassalle","given":"Florent"},{"family":"Spagnoletti","given":"Matteo"},{"family":"Fumagalli","given":"Matteo"},{"family":"Shaw","given":"Liam"},{"family":"Dyble","given":"Mark"},{"family":"Walker","given":"Catherine"},{"family":"Thomas","given":"Mark G."},{"family":"Bamberg Migliano","given":"Andrea"},{"family":"Balloux","given":"Francois"}],"issued":{"date-parts":[["2018"]]}}}],"schema":"https://github.com/citation-style-language/schema/raw/master/csl-citation.json"} </w:instrText>
      </w:r>
      <w:r w:rsidR="00170451" w:rsidRPr="00170451">
        <w:rPr>
          <w:b/>
          <w:i w:val="0"/>
          <w:noProof/>
          <w:color w:val="auto"/>
          <w:sz w:val="24"/>
          <w:szCs w:val="24"/>
        </w:rPr>
        <w:fldChar w:fldCharType="separate"/>
      </w:r>
      <w:r w:rsidR="00170451" w:rsidRPr="00170451">
        <w:rPr>
          <w:b/>
          <w:i w:val="0"/>
          <w:color w:val="auto"/>
          <w:sz w:val="24"/>
        </w:rPr>
        <w:t>Lassalle et al., 2018</w:t>
      </w:r>
      <w:r w:rsidR="00170451" w:rsidRPr="00170451">
        <w:rPr>
          <w:b/>
          <w:i w:val="0"/>
          <w:noProof/>
          <w:color w:val="auto"/>
          <w:sz w:val="24"/>
          <w:szCs w:val="24"/>
        </w:rPr>
        <w:fldChar w:fldCharType="end"/>
      </w:r>
      <w:r w:rsidRPr="00170451">
        <w:rPr>
          <w:b/>
          <w:i w:val="0"/>
          <w:noProof/>
          <w:color w:val="auto"/>
          <w:sz w:val="24"/>
          <w:szCs w:val="24"/>
        </w:rPr>
        <w:t>)</w:t>
      </w:r>
      <w:r w:rsidRPr="00956B04">
        <w:rPr>
          <w:b/>
          <w:i w:val="0"/>
          <w:noProof/>
          <w:color w:val="auto"/>
          <w:sz w:val="24"/>
          <w:szCs w:val="24"/>
        </w:rPr>
        <w:t xml:space="preserve">. </w:t>
      </w:r>
      <w:r w:rsidR="00603FDA" w:rsidRPr="00603FDA">
        <w:rPr>
          <w:b/>
          <w:i w:val="0"/>
          <w:color w:val="auto"/>
          <w:sz w:val="24"/>
          <w:szCs w:val="24"/>
        </w:rPr>
        <w:t xml:space="preserve">The 14 phyla were present in at </w:t>
      </w:r>
      <w:r w:rsidR="005F340A">
        <w:rPr>
          <w:b/>
          <w:i w:val="0"/>
          <w:color w:val="auto"/>
          <w:sz w:val="24"/>
          <w:szCs w:val="24"/>
        </w:rPr>
        <w:t xml:space="preserve">least </w:t>
      </w:r>
      <w:r w:rsidR="006B0E36">
        <w:rPr>
          <w:b/>
          <w:i w:val="0"/>
          <w:color w:val="auto"/>
          <w:sz w:val="24"/>
          <w:szCs w:val="24"/>
        </w:rPr>
        <w:t xml:space="preserve">10% of </w:t>
      </w:r>
      <w:r w:rsidR="00603FDA" w:rsidRPr="00603FDA">
        <w:rPr>
          <w:b/>
          <w:i w:val="0"/>
          <w:color w:val="auto"/>
          <w:sz w:val="24"/>
          <w:szCs w:val="24"/>
        </w:rPr>
        <w:t>samples within this study</w:t>
      </w:r>
      <w:r w:rsidR="00A82D6E">
        <w:rPr>
          <w:b/>
          <w:i w:val="0"/>
          <w:color w:val="auto"/>
          <w:sz w:val="24"/>
          <w:szCs w:val="24"/>
        </w:rPr>
        <w:t xml:space="preserve"> with a relative abundance of at least 0.5%</w:t>
      </w:r>
      <w:r w:rsidR="00603FDA" w:rsidRPr="00603FDA">
        <w:rPr>
          <w:b/>
          <w:i w:val="0"/>
          <w:color w:val="auto"/>
          <w:sz w:val="24"/>
          <w:szCs w:val="24"/>
        </w:rPr>
        <w:t>.</w:t>
      </w:r>
      <w:r w:rsidR="00603FDA" w:rsidRPr="00603FDA">
        <w:rPr>
          <w:color w:val="auto"/>
          <w:sz w:val="24"/>
          <w:szCs w:val="24"/>
        </w:rPr>
        <w:t xml:space="preserve"> </w:t>
      </w:r>
    </w:p>
    <w:p w14:paraId="03C6A4AB" w14:textId="5DB5B144" w:rsidR="00686F47" w:rsidRDefault="00686F47">
      <w:pPr>
        <w:rPr>
          <w:sz w:val="24"/>
          <w:szCs w:val="24"/>
        </w:rPr>
      </w:pPr>
      <w:r>
        <w:rPr>
          <w:sz w:val="24"/>
          <w:szCs w:val="24"/>
        </w:rPr>
        <w:br w:type="page"/>
      </w:r>
      <w:r w:rsidR="00A07440">
        <w:rPr>
          <w:noProof/>
        </w:rPr>
        <w:lastRenderedPageBreak/>
        <w:drawing>
          <wp:inline distT="0" distB="0" distL="0" distR="0" wp14:anchorId="710322A6" wp14:editId="600BB023">
            <wp:extent cx="5943600" cy="50634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063490"/>
                    </a:xfrm>
                    <a:prstGeom prst="rect">
                      <a:avLst/>
                    </a:prstGeom>
                    <a:noFill/>
                    <a:ln>
                      <a:noFill/>
                    </a:ln>
                  </pic:spPr>
                </pic:pic>
              </a:graphicData>
            </a:graphic>
          </wp:inline>
        </w:drawing>
      </w:r>
    </w:p>
    <w:p w14:paraId="6DADF9EE" w14:textId="72393519" w:rsidR="00686F47" w:rsidRDefault="00686F47" w:rsidP="00686F47">
      <w:pPr>
        <w:pStyle w:val="Caption"/>
        <w:rPr>
          <w:b/>
          <w:i w:val="0"/>
          <w:color w:val="auto"/>
          <w:sz w:val="24"/>
          <w:szCs w:val="24"/>
        </w:rPr>
      </w:pPr>
      <w:r w:rsidRPr="006B55E2">
        <w:rPr>
          <w:b/>
          <w:i w:val="0"/>
          <w:color w:val="auto"/>
          <w:sz w:val="24"/>
          <w:szCs w:val="24"/>
        </w:rPr>
        <w:t xml:space="preserve">Figure </w:t>
      </w:r>
      <w:r w:rsidR="00EC4BE6">
        <w:rPr>
          <w:b/>
          <w:i w:val="0"/>
          <w:color w:val="auto"/>
          <w:sz w:val="24"/>
          <w:szCs w:val="24"/>
        </w:rPr>
        <w:t>4</w:t>
      </w:r>
      <w:r>
        <w:rPr>
          <w:b/>
          <w:i w:val="0"/>
          <w:color w:val="auto"/>
          <w:sz w:val="24"/>
          <w:szCs w:val="24"/>
        </w:rPr>
        <w:t xml:space="preserve">. Log transformed relative abundances of genera identified by QIIME. </w:t>
      </w:r>
      <w:r w:rsidRPr="00603FDA">
        <w:rPr>
          <w:b/>
          <w:i w:val="0"/>
          <w:color w:val="auto"/>
          <w:sz w:val="24"/>
          <w:szCs w:val="24"/>
        </w:rPr>
        <w:t xml:space="preserve">The </w:t>
      </w:r>
      <w:r>
        <w:rPr>
          <w:b/>
          <w:i w:val="0"/>
          <w:color w:val="auto"/>
          <w:sz w:val="24"/>
          <w:szCs w:val="24"/>
        </w:rPr>
        <w:t>1</w:t>
      </w:r>
      <w:r w:rsidRPr="00603FDA">
        <w:rPr>
          <w:b/>
          <w:i w:val="0"/>
          <w:color w:val="auto"/>
          <w:sz w:val="24"/>
          <w:szCs w:val="24"/>
        </w:rPr>
        <w:t xml:space="preserve">9 genera had a relative abundance of at least 0.5% and were present in at least </w:t>
      </w:r>
      <w:r>
        <w:rPr>
          <w:b/>
          <w:i w:val="0"/>
          <w:color w:val="auto"/>
          <w:sz w:val="24"/>
          <w:szCs w:val="24"/>
        </w:rPr>
        <w:t>10% of samples</w:t>
      </w:r>
      <w:r w:rsidRPr="00603FDA">
        <w:rPr>
          <w:sz w:val="24"/>
          <w:szCs w:val="24"/>
        </w:rPr>
        <w:t>.</w:t>
      </w:r>
    </w:p>
    <w:p w14:paraId="2B4C96C8" w14:textId="77777777" w:rsidR="00686F47" w:rsidRDefault="00686F47">
      <w:pPr>
        <w:rPr>
          <w:i/>
          <w:iCs/>
          <w:sz w:val="24"/>
          <w:szCs w:val="24"/>
        </w:rPr>
      </w:pPr>
    </w:p>
    <w:p w14:paraId="07266180" w14:textId="77777777" w:rsidR="006F1834" w:rsidRPr="00686F47" w:rsidRDefault="006F1834" w:rsidP="006F1834">
      <w:pPr>
        <w:pStyle w:val="Caption"/>
        <w:rPr>
          <w:i w:val="0"/>
          <w:color w:val="auto"/>
          <w:sz w:val="24"/>
          <w:szCs w:val="24"/>
        </w:rPr>
      </w:pPr>
    </w:p>
    <w:p w14:paraId="42100AB9" w14:textId="77777777" w:rsidR="00E02582" w:rsidRPr="00E02582" w:rsidRDefault="00E02582" w:rsidP="00E02582"/>
    <w:p w14:paraId="7C782635" w14:textId="4D7E65B6" w:rsidR="00E02582" w:rsidRDefault="00E02582" w:rsidP="00E02582">
      <w:pPr>
        <w:keepNext/>
      </w:pPr>
    </w:p>
    <w:p w14:paraId="488380F9" w14:textId="15AD00D8" w:rsidR="00922D53" w:rsidRDefault="00E64D6A" w:rsidP="00E02582">
      <w:pPr>
        <w:pStyle w:val="Caption"/>
        <w:rPr>
          <w:b/>
          <w:i w:val="0"/>
          <w:color w:val="auto"/>
          <w:sz w:val="24"/>
          <w:szCs w:val="24"/>
        </w:rPr>
      </w:pPr>
      <w:r>
        <w:rPr>
          <w:noProof/>
        </w:rPr>
        <w:drawing>
          <wp:inline distT="0" distB="0" distL="0" distR="0" wp14:anchorId="414B5888" wp14:editId="45570481">
            <wp:extent cx="5943600" cy="5722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722620"/>
                    </a:xfrm>
                    <a:prstGeom prst="rect">
                      <a:avLst/>
                    </a:prstGeom>
                    <a:noFill/>
                    <a:ln>
                      <a:noFill/>
                    </a:ln>
                  </pic:spPr>
                </pic:pic>
              </a:graphicData>
            </a:graphic>
          </wp:inline>
        </w:drawing>
      </w:r>
    </w:p>
    <w:p w14:paraId="285EB8A4" w14:textId="00564E96" w:rsidR="00686F47" w:rsidRDefault="00E02582" w:rsidP="00E02582">
      <w:pPr>
        <w:pStyle w:val="Caption"/>
        <w:rPr>
          <w:b/>
          <w:i w:val="0"/>
          <w:color w:val="auto"/>
          <w:sz w:val="24"/>
          <w:szCs w:val="24"/>
        </w:rPr>
      </w:pPr>
      <w:r w:rsidRPr="006B55E2">
        <w:rPr>
          <w:b/>
          <w:i w:val="0"/>
          <w:color w:val="auto"/>
          <w:sz w:val="24"/>
          <w:szCs w:val="24"/>
        </w:rPr>
        <w:t xml:space="preserve">Figure </w:t>
      </w:r>
      <w:r w:rsidR="00EC4BE6">
        <w:rPr>
          <w:b/>
          <w:i w:val="0"/>
          <w:color w:val="auto"/>
          <w:sz w:val="24"/>
          <w:szCs w:val="24"/>
        </w:rPr>
        <w:t>5</w:t>
      </w:r>
      <w:r>
        <w:rPr>
          <w:b/>
          <w:i w:val="0"/>
          <w:noProof/>
          <w:color w:val="auto"/>
          <w:sz w:val="24"/>
          <w:szCs w:val="24"/>
        </w:rPr>
        <w:t>. Log transformed r</w:t>
      </w:r>
      <w:r>
        <w:rPr>
          <w:b/>
          <w:i w:val="0"/>
          <w:color w:val="auto"/>
          <w:sz w:val="24"/>
          <w:szCs w:val="24"/>
        </w:rPr>
        <w:t xml:space="preserve">elative abundances of phyla identified by MetaPhlAn. </w:t>
      </w:r>
      <w:r w:rsidRPr="00603FDA">
        <w:rPr>
          <w:b/>
          <w:i w:val="0"/>
          <w:color w:val="auto"/>
          <w:sz w:val="24"/>
          <w:szCs w:val="24"/>
        </w:rPr>
        <w:t xml:space="preserve">The 13 phyla </w:t>
      </w:r>
      <w:r>
        <w:rPr>
          <w:b/>
          <w:i w:val="0"/>
          <w:color w:val="auto"/>
          <w:sz w:val="24"/>
          <w:szCs w:val="24"/>
        </w:rPr>
        <w:t xml:space="preserve">had </w:t>
      </w:r>
      <w:r w:rsidRPr="00603FDA">
        <w:rPr>
          <w:b/>
          <w:i w:val="0"/>
          <w:color w:val="auto"/>
          <w:sz w:val="24"/>
          <w:szCs w:val="24"/>
        </w:rPr>
        <w:t xml:space="preserve">a relative abundance of at least 0.5% were present in at least </w:t>
      </w:r>
      <w:r>
        <w:rPr>
          <w:b/>
          <w:i w:val="0"/>
          <w:color w:val="auto"/>
          <w:sz w:val="24"/>
          <w:szCs w:val="24"/>
        </w:rPr>
        <w:t>10%</w:t>
      </w:r>
      <w:r w:rsidRPr="00603FDA">
        <w:rPr>
          <w:b/>
          <w:i w:val="0"/>
          <w:color w:val="auto"/>
          <w:sz w:val="24"/>
          <w:szCs w:val="24"/>
        </w:rPr>
        <w:t xml:space="preserve"> </w:t>
      </w:r>
      <w:r>
        <w:rPr>
          <w:b/>
          <w:i w:val="0"/>
          <w:color w:val="auto"/>
          <w:sz w:val="24"/>
          <w:szCs w:val="24"/>
        </w:rPr>
        <w:t xml:space="preserve">of </w:t>
      </w:r>
      <w:r w:rsidRPr="00603FDA">
        <w:rPr>
          <w:b/>
          <w:i w:val="0"/>
          <w:color w:val="auto"/>
          <w:sz w:val="24"/>
          <w:szCs w:val="24"/>
        </w:rPr>
        <w:t>samples.</w:t>
      </w:r>
      <w:r>
        <w:rPr>
          <w:b/>
          <w:i w:val="0"/>
          <w:color w:val="auto"/>
          <w:sz w:val="24"/>
          <w:szCs w:val="24"/>
        </w:rPr>
        <w:t xml:space="preserve"> </w:t>
      </w:r>
    </w:p>
    <w:p w14:paraId="2E62F1C0" w14:textId="77777777" w:rsidR="00686F47" w:rsidRDefault="00686F47">
      <w:pPr>
        <w:rPr>
          <w:b/>
          <w:iCs/>
          <w:sz w:val="24"/>
          <w:szCs w:val="24"/>
        </w:rPr>
      </w:pPr>
      <w:r>
        <w:rPr>
          <w:b/>
          <w:i/>
          <w:sz w:val="24"/>
          <w:szCs w:val="24"/>
        </w:rPr>
        <w:br w:type="page"/>
      </w:r>
    </w:p>
    <w:p w14:paraId="2FD348CD" w14:textId="4F1A42DF" w:rsidR="00E02582" w:rsidRDefault="00E64D6A" w:rsidP="00E02582">
      <w:pPr>
        <w:pStyle w:val="Caption"/>
        <w:rPr>
          <w:b/>
          <w:i w:val="0"/>
          <w:color w:val="auto"/>
          <w:sz w:val="24"/>
          <w:szCs w:val="24"/>
        </w:rPr>
      </w:pPr>
      <w:r>
        <w:rPr>
          <w:noProof/>
        </w:rPr>
        <w:lastRenderedPageBreak/>
        <w:drawing>
          <wp:inline distT="0" distB="0" distL="0" distR="0" wp14:anchorId="2F6E34DB" wp14:editId="5187E5ED">
            <wp:extent cx="5943600" cy="48501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850130"/>
                    </a:xfrm>
                    <a:prstGeom prst="rect">
                      <a:avLst/>
                    </a:prstGeom>
                    <a:noFill/>
                    <a:ln>
                      <a:noFill/>
                    </a:ln>
                  </pic:spPr>
                </pic:pic>
              </a:graphicData>
            </a:graphic>
          </wp:inline>
        </w:drawing>
      </w:r>
    </w:p>
    <w:p w14:paraId="5059A225" w14:textId="741EE539" w:rsidR="00686F47" w:rsidRPr="00C51D5B" w:rsidRDefault="00686F47" w:rsidP="00686F47">
      <w:pPr>
        <w:pStyle w:val="Caption"/>
        <w:rPr>
          <w:b/>
          <w:i w:val="0"/>
          <w:color w:val="auto"/>
          <w:sz w:val="24"/>
          <w:szCs w:val="24"/>
        </w:rPr>
      </w:pPr>
      <w:r w:rsidRPr="002C2265">
        <w:rPr>
          <w:b/>
          <w:i w:val="0"/>
          <w:color w:val="auto"/>
          <w:sz w:val="24"/>
          <w:szCs w:val="24"/>
        </w:rPr>
        <w:t xml:space="preserve">Figure </w:t>
      </w:r>
      <w:r w:rsidR="00EC4BE6">
        <w:rPr>
          <w:b/>
          <w:i w:val="0"/>
          <w:color w:val="auto"/>
          <w:sz w:val="24"/>
          <w:szCs w:val="24"/>
        </w:rPr>
        <w:t>6</w:t>
      </w:r>
      <w:r>
        <w:rPr>
          <w:b/>
          <w:i w:val="0"/>
          <w:noProof/>
          <w:color w:val="auto"/>
          <w:sz w:val="24"/>
          <w:szCs w:val="24"/>
        </w:rPr>
        <w:t>. Log transformed r</w:t>
      </w:r>
      <w:r>
        <w:rPr>
          <w:b/>
          <w:i w:val="0"/>
          <w:color w:val="auto"/>
          <w:sz w:val="24"/>
          <w:szCs w:val="24"/>
        </w:rPr>
        <w:t xml:space="preserve">elative abundances of genera identified by MetaPhlAn. </w:t>
      </w:r>
      <w:r w:rsidRPr="003F23FD">
        <w:rPr>
          <w:b/>
          <w:i w:val="0"/>
          <w:color w:val="auto"/>
          <w:sz w:val="24"/>
          <w:szCs w:val="24"/>
        </w:rPr>
        <w:t xml:space="preserve">The 18 genera had at least 0.5% relative abundance and were present in </w:t>
      </w:r>
      <w:r>
        <w:rPr>
          <w:b/>
          <w:i w:val="0"/>
          <w:color w:val="auto"/>
          <w:sz w:val="24"/>
          <w:szCs w:val="24"/>
        </w:rPr>
        <w:t>at least 10% of samples</w:t>
      </w:r>
      <w:r w:rsidRPr="003F23FD">
        <w:rPr>
          <w:b/>
          <w:i w:val="0"/>
          <w:color w:val="auto"/>
          <w:sz w:val="24"/>
          <w:szCs w:val="24"/>
        </w:rPr>
        <w:t>.</w:t>
      </w:r>
      <w:r w:rsidR="00291173">
        <w:rPr>
          <w:b/>
          <w:i w:val="0"/>
          <w:color w:val="auto"/>
          <w:sz w:val="24"/>
          <w:szCs w:val="24"/>
        </w:rPr>
        <w:t xml:space="preserve"> Note that the PPL samples have different microbial profiles with other dental </w:t>
      </w:r>
      <w:r w:rsidR="00291173" w:rsidRPr="00EC4BE6">
        <w:rPr>
          <w:b/>
          <w:i w:val="0"/>
          <w:color w:val="auto"/>
          <w:sz w:val="24"/>
          <w:szCs w:val="24"/>
        </w:rPr>
        <w:t>calculus samples.</w:t>
      </w:r>
      <w:r w:rsidR="00291173">
        <w:rPr>
          <w:b/>
          <w:i w:val="0"/>
          <w:color w:val="auto"/>
          <w:sz w:val="24"/>
          <w:szCs w:val="24"/>
        </w:rPr>
        <w:t xml:space="preserve"> </w:t>
      </w:r>
      <w:r w:rsidR="00C51D5B">
        <w:rPr>
          <w:b/>
          <w:i w:val="0"/>
          <w:color w:val="auto"/>
          <w:sz w:val="24"/>
          <w:szCs w:val="24"/>
        </w:rPr>
        <w:t xml:space="preserve">One notable taxon is </w:t>
      </w:r>
      <w:r w:rsidR="00C51D5B">
        <w:rPr>
          <w:b/>
          <w:color w:val="auto"/>
          <w:sz w:val="24"/>
          <w:szCs w:val="24"/>
        </w:rPr>
        <w:t xml:space="preserve">Streptococcus anginosus </w:t>
      </w:r>
      <w:r w:rsidR="00C51D5B">
        <w:rPr>
          <w:b/>
          <w:i w:val="0"/>
          <w:color w:val="auto"/>
          <w:sz w:val="24"/>
          <w:szCs w:val="24"/>
        </w:rPr>
        <w:t xml:space="preserve">and its high abundance in the PPL 5A sample. As a result, this taxon </w:t>
      </w:r>
      <w:r w:rsidR="00C51D5B">
        <w:rPr>
          <w:b/>
          <w:color w:val="auto"/>
          <w:sz w:val="24"/>
          <w:szCs w:val="24"/>
        </w:rPr>
        <w:t xml:space="preserve">S. anginosus </w:t>
      </w:r>
      <w:r w:rsidR="00C51D5B">
        <w:rPr>
          <w:b/>
          <w:i w:val="0"/>
          <w:color w:val="auto"/>
          <w:sz w:val="24"/>
          <w:szCs w:val="24"/>
        </w:rPr>
        <w:t xml:space="preserve">was used as reference for downstream analyses.  </w:t>
      </w:r>
    </w:p>
    <w:p w14:paraId="00261754" w14:textId="048B75A8" w:rsidR="00686F47" w:rsidRDefault="00686F47" w:rsidP="00686F47"/>
    <w:p w14:paraId="752D573D" w14:textId="6778BB9D" w:rsidR="00EC4BE6" w:rsidRDefault="00EC4BE6" w:rsidP="00686F47"/>
    <w:p w14:paraId="1DC26B00" w14:textId="468FA73B" w:rsidR="00EC4BE6" w:rsidRDefault="00EC4BE6" w:rsidP="00686F47"/>
    <w:p w14:paraId="100F602C" w14:textId="38E93461" w:rsidR="00EC4BE6" w:rsidRDefault="00EC4BE6" w:rsidP="00686F47"/>
    <w:p w14:paraId="658B3026" w14:textId="27C30383" w:rsidR="00EC4BE6" w:rsidRDefault="00EC4BE6" w:rsidP="00686F47"/>
    <w:p w14:paraId="7F6A8D08" w14:textId="518F719F" w:rsidR="00EC4BE6" w:rsidRPr="00686F47" w:rsidRDefault="00A07440" w:rsidP="00686F47">
      <w:r>
        <w:rPr>
          <w:noProof/>
        </w:rPr>
        <w:lastRenderedPageBreak/>
        <w:drawing>
          <wp:inline distT="0" distB="0" distL="0" distR="0" wp14:anchorId="4990CE1F" wp14:editId="678BCE9C">
            <wp:extent cx="5943600" cy="47574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757420"/>
                    </a:xfrm>
                    <a:prstGeom prst="rect">
                      <a:avLst/>
                    </a:prstGeom>
                    <a:noFill/>
                    <a:ln>
                      <a:noFill/>
                    </a:ln>
                  </pic:spPr>
                </pic:pic>
              </a:graphicData>
            </a:graphic>
          </wp:inline>
        </w:drawing>
      </w:r>
    </w:p>
    <w:p w14:paraId="6A1FC813" w14:textId="18445A1D" w:rsidR="00F22E9E" w:rsidRDefault="00EC4BE6" w:rsidP="00EC4BE6">
      <w:pPr>
        <w:pStyle w:val="Caption"/>
        <w:rPr>
          <w:b/>
          <w:i w:val="0"/>
          <w:color w:val="auto"/>
          <w:sz w:val="24"/>
          <w:szCs w:val="24"/>
        </w:rPr>
      </w:pPr>
      <w:r w:rsidRPr="002C2265">
        <w:rPr>
          <w:b/>
          <w:i w:val="0"/>
          <w:color w:val="auto"/>
          <w:sz w:val="24"/>
          <w:szCs w:val="24"/>
        </w:rPr>
        <w:t xml:space="preserve">Figure </w:t>
      </w:r>
      <w:r>
        <w:rPr>
          <w:b/>
          <w:i w:val="0"/>
          <w:color w:val="auto"/>
          <w:sz w:val="24"/>
          <w:szCs w:val="24"/>
        </w:rPr>
        <w:t>7.</w:t>
      </w:r>
      <w:r>
        <w:rPr>
          <w:b/>
          <w:i w:val="0"/>
          <w:noProof/>
          <w:color w:val="auto"/>
          <w:sz w:val="24"/>
          <w:szCs w:val="24"/>
        </w:rPr>
        <w:t xml:space="preserve"> </w:t>
      </w:r>
      <w:r>
        <w:rPr>
          <w:b/>
          <w:i w:val="0"/>
          <w:color w:val="auto"/>
          <w:sz w:val="24"/>
          <w:szCs w:val="24"/>
        </w:rPr>
        <w:t xml:space="preserve">Log transformed relative abundances of species identified by MetaPhlAn. </w:t>
      </w:r>
      <w:r w:rsidRPr="003F23FD">
        <w:rPr>
          <w:b/>
          <w:i w:val="0"/>
          <w:color w:val="auto"/>
          <w:sz w:val="24"/>
          <w:szCs w:val="24"/>
        </w:rPr>
        <w:t xml:space="preserve">The </w:t>
      </w:r>
      <w:r>
        <w:rPr>
          <w:b/>
          <w:i w:val="0"/>
          <w:color w:val="auto"/>
          <w:sz w:val="24"/>
          <w:szCs w:val="24"/>
        </w:rPr>
        <w:t>20</w:t>
      </w:r>
      <w:r w:rsidRPr="003F23FD">
        <w:rPr>
          <w:b/>
          <w:i w:val="0"/>
          <w:color w:val="auto"/>
          <w:sz w:val="24"/>
          <w:szCs w:val="24"/>
        </w:rPr>
        <w:t xml:space="preserve"> species had a relative abundance of at least 0.5%</w:t>
      </w:r>
      <w:r>
        <w:rPr>
          <w:b/>
          <w:i w:val="0"/>
          <w:color w:val="auto"/>
          <w:sz w:val="24"/>
          <w:szCs w:val="24"/>
        </w:rPr>
        <w:t xml:space="preserve"> and were in at least 10% of samples. Note that the PPL samples </w:t>
      </w:r>
      <w:r w:rsidR="00291173">
        <w:rPr>
          <w:b/>
          <w:i w:val="0"/>
          <w:color w:val="auto"/>
          <w:sz w:val="24"/>
          <w:szCs w:val="24"/>
        </w:rPr>
        <w:t>have different microbial profiles</w:t>
      </w:r>
      <w:r>
        <w:rPr>
          <w:b/>
          <w:i w:val="0"/>
          <w:color w:val="auto"/>
          <w:sz w:val="24"/>
          <w:szCs w:val="24"/>
        </w:rPr>
        <w:t xml:space="preserve"> with other dental </w:t>
      </w:r>
      <w:r w:rsidRPr="00EC4BE6">
        <w:rPr>
          <w:b/>
          <w:i w:val="0"/>
          <w:color w:val="auto"/>
          <w:sz w:val="24"/>
          <w:szCs w:val="24"/>
        </w:rPr>
        <w:t>calculus samples.</w:t>
      </w:r>
      <w:r>
        <w:rPr>
          <w:b/>
          <w:i w:val="0"/>
          <w:color w:val="auto"/>
          <w:sz w:val="24"/>
          <w:szCs w:val="24"/>
        </w:rPr>
        <w:t xml:space="preserve"> </w:t>
      </w:r>
    </w:p>
    <w:p w14:paraId="3860DE26" w14:textId="77777777" w:rsidR="00F22E9E" w:rsidRDefault="00F22E9E">
      <w:pPr>
        <w:rPr>
          <w:b/>
          <w:iCs/>
          <w:sz w:val="24"/>
          <w:szCs w:val="24"/>
        </w:rPr>
      </w:pPr>
      <w:r>
        <w:rPr>
          <w:b/>
          <w:i/>
          <w:sz w:val="24"/>
          <w:szCs w:val="24"/>
        </w:rPr>
        <w:br w:type="page"/>
      </w:r>
    </w:p>
    <w:p w14:paraId="27770BAA" w14:textId="267BD385" w:rsidR="00D64F94" w:rsidRDefault="00F22E9E" w:rsidP="00EC4BE6">
      <w:pPr>
        <w:pStyle w:val="Caption"/>
        <w:rPr>
          <w:b/>
          <w:i w:val="0"/>
          <w:noProof/>
          <w:color w:val="auto"/>
          <w:sz w:val="24"/>
          <w:szCs w:val="24"/>
        </w:rPr>
      </w:pPr>
      <w:r>
        <w:rPr>
          <w:noProof/>
        </w:rPr>
        <w:lastRenderedPageBreak/>
        <w:drawing>
          <wp:inline distT="0" distB="0" distL="0" distR="0" wp14:anchorId="7DFFB74B" wp14:editId="19EB751C">
            <wp:extent cx="5943600" cy="4457700"/>
            <wp:effectExtent l="38100" t="38100" r="38100" b="381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457700"/>
                    </a:xfrm>
                    <a:prstGeom prst="rect">
                      <a:avLst/>
                    </a:prstGeom>
                    <a:ln w="38100">
                      <a:solidFill>
                        <a:schemeClr val="tx1"/>
                      </a:solidFill>
                    </a:ln>
                  </pic:spPr>
                </pic:pic>
              </a:graphicData>
            </a:graphic>
          </wp:inline>
        </w:drawing>
      </w:r>
    </w:p>
    <w:p w14:paraId="776E6C28" w14:textId="144E776C" w:rsidR="00D64F94" w:rsidRDefault="00D64F94" w:rsidP="00D64F94">
      <w:pPr>
        <w:pStyle w:val="Caption"/>
        <w:rPr>
          <w:b/>
          <w:iCs w:val="0"/>
          <w:noProof/>
          <w:sz w:val="24"/>
          <w:szCs w:val="24"/>
        </w:rPr>
      </w:pPr>
      <w:r w:rsidRPr="009961A5">
        <w:rPr>
          <w:b/>
          <w:i w:val="0"/>
          <w:color w:val="auto"/>
          <w:sz w:val="24"/>
          <w:szCs w:val="24"/>
        </w:rPr>
        <w:t xml:space="preserve">Figure </w:t>
      </w:r>
      <w:r>
        <w:rPr>
          <w:b/>
          <w:i w:val="0"/>
          <w:color w:val="auto"/>
          <w:sz w:val="24"/>
          <w:szCs w:val="24"/>
        </w:rPr>
        <w:t xml:space="preserve">8. MapDamage results for </w:t>
      </w:r>
      <w:r>
        <w:rPr>
          <w:b/>
          <w:color w:val="auto"/>
          <w:sz w:val="24"/>
          <w:szCs w:val="24"/>
        </w:rPr>
        <w:t xml:space="preserve">M. </w:t>
      </w:r>
      <w:r w:rsidRPr="00D64F94">
        <w:rPr>
          <w:b/>
          <w:color w:val="auto"/>
          <w:sz w:val="24"/>
          <w:szCs w:val="24"/>
        </w:rPr>
        <w:t>oralis</w:t>
      </w:r>
      <w:r w:rsidRPr="007533C3">
        <w:rPr>
          <w:b/>
          <w:color w:val="auto"/>
          <w:sz w:val="24"/>
          <w:szCs w:val="24"/>
        </w:rPr>
        <w:t>.</w:t>
      </w:r>
      <w:r>
        <w:rPr>
          <w:b/>
          <w:color w:val="auto"/>
          <w:sz w:val="24"/>
          <w:szCs w:val="24"/>
        </w:rPr>
        <w:t xml:space="preserve"> </w:t>
      </w:r>
      <w:r>
        <w:rPr>
          <w:b/>
          <w:i w:val="0"/>
          <w:color w:val="auto"/>
          <w:sz w:val="24"/>
          <w:szCs w:val="24"/>
        </w:rPr>
        <w:t xml:space="preserve">The PPCC, PPL 5A, and PPL 5B samples exhibit expected damage patterns for aDNA, while PPL 5C does not. </w:t>
      </w:r>
      <w:r w:rsidR="00207FA2">
        <w:rPr>
          <w:b/>
          <w:i w:val="0"/>
          <w:color w:val="auto"/>
          <w:sz w:val="24"/>
          <w:szCs w:val="24"/>
        </w:rPr>
        <w:t xml:space="preserve">Unique read counts for each sample: PPCC: 1,064,306; PPL 5A: 612; PPL 5B: 1,550; PPL 5C: 71. </w:t>
      </w:r>
      <w:r>
        <w:rPr>
          <w:b/>
          <w:i w:val="0"/>
          <w:noProof/>
          <w:color w:val="auto"/>
          <w:sz w:val="24"/>
          <w:szCs w:val="24"/>
        </w:rPr>
        <w:br w:type="page"/>
      </w:r>
    </w:p>
    <w:p w14:paraId="14FC19F0" w14:textId="347366DF" w:rsidR="00F22E9E" w:rsidRDefault="00D64F94" w:rsidP="00EC4BE6">
      <w:pPr>
        <w:pStyle w:val="Caption"/>
        <w:rPr>
          <w:b/>
          <w:i w:val="0"/>
          <w:noProof/>
          <w:color w:val="auto"/>
          <w:sz w:val="24"/>
          <w:szCs w:val="24"/>
        </w:rPr>
      </w:pPr>
      <w:r>
        <w:rPr>
          <w:noProof/>
        </w:rPr>
        <w:lastRenderedPageBreak/>
        <w:drawing>
          <wp:inline distT="0" distB="0" distL="0" distR="0" wp14:anchorId="4A3E4F2E" wp14:editId="02695490">
            <wp:extent cx="5943600" cy="4457700"/>
            <wp:effectExtent l="38100" t="38100" r="38100" b="381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457700"/>
                    </a:xfrm>
                    <a:prstGeom prst="rect">
                      <a:avLst/>
                    </a:prstGeom>
                    <a:ln w="38100">
                      <a:solidFill>
                        <a:schemeClr val="tx1"/>
                      </a:solidFill>
                    </a:ln>
                  </pic:spPr>
                </pic:pic>
              </a:graphicData>
            </a:graphic>
          </wp:inline>
        </w:drawing>
      </w:r>
    </w:p>
    <w:p w14:paraId="21029BF3" w14:textId="395BDABC" w:rsidR="00F22E9E" w:rsidRPr="00D64F94" w:rsidRDefault="00D64F94">
      <w:pPr>
        <w:rPr>
          <w:b/>
          <w:iCs/>
          <w:noProof/>
          <w:sz w:val="24"/>
          <w:szCs w:val="24"/>
        </w:rPr>
      </w:pPr>
      <w:r w:rsidRPr="00D64F94">
        <w:rPr>
          <w:b/>
          <w:sz w:val="24"/>
          <w:szCs w:val="24"/>
        </w:rPr>
        <w:t xml:space="preserve">Figure </w:t>
      </w:r>
      <w:r>
        <w:rPr>
          <w:b/>
          <w:sz w:val="24"/>
          <w:szCs w:val="24"/>
        </w:rPr>
        <w:t>9</w:t>
      </w:r>
      <w:r w:rsidRPr="00D64F94">
        <w:rPr>
          <w:b/>
          <w:sz w:val="24"/>
          <w:szCs w:val="24"/>
        </w:rPr>
        <w:t xml:space="preserve">. MapDamage results for </w:t>
      </w:r>
      <w:r>
        <w:rPr>
          <w:b/>
          <w:i/>
          <w:sz w:val="24"/>
          <w:szCs w:val="24"/>
        </w:rPr>
        <w:t>S. anginosus</w:t>
      </w:r>
      <w:r w:rsidRPr="00D64F94">
        <w:rPr>
          <w:b/>
          <w:sz w:val="24"/>
          <w:szCs w:val="24"/>
        </w:rPr>
        <w:t>. The PPCC</w:t>
      </w:r>
      <w:r>
        <w:rPr>
          <w:b/>
          <w:sz w:val="24"/>
          <w:szCs w:val="24"/>
        </w:rPr>
        <w:t xml:space="preserve"> and</w:t>
      </w:r>
      <w:r w:rsidRPr="00D64F94">
        <w:rPr>
          <w:b/>
          <w:sz w:val="24"/>
          <w:szCs w:val="24"/>
        </w:rPr>
        <w:t xml:space="preserve"> PPL 5A</w:t>
      </w:r>
      <w:r>
        <w:rPr>
          <w:b/>
          <w:sz w:val="24"/>
          <w:szCs w:val="24"/>
        </w:rPr>
        <w:t xml:space="preserve"> samples</w:t>
      </w:r>
      <w:r w:rsidRPr="00D64F94">
        <w:rPr>
          <w:b/>
          <w:sz w:val="24"/>
          <w:szCs w:val="24"/>
        </w:rPr>
        <w:t xml:space="preserve"> exhibit expected damage patterns for aDNA, while </w:t>
      </w:r>
      <w:r>
        <w:rPr>
          <w:b/>
          <w:sz w:val="24"/>
          <w:szCs w:val="24"/>
        </w:rPr>
        <w:t xml:space="preserve">PPL 5B and </w:t>
      </w:r>
      <w:r w:rsidRPr="00D64F94">
        <w:rPr>
          <w:b/>
          <w:sz w:val="24"/>
          <w:szCs w:val="24"/>
        </w:rPr>
        <w:t>PPL 5C does not.</w:t>
      </w:r>
      <w:r w:rsidR="00207FA2">
        <w:rPr>
          <w:b/>
          <w:sz w:val="24"/>
          <w:szCs w:val="24"/>
        </w:rPr>
        <w:t xml:space="preserve"> </w:t>
      </w:r>
      <w:r w:rsidR="00207FA2" w:rsidRPr="00207FA2">
        <w:rPr>
          <w:b/>
          <w:sz w:val="24"/>
          <w:szCs w:val="24"/>
        </w:rPr>
        <w:t xml:space="preserve">Unique read counts for each sample: PPCC: </w:t>
      </w:r>
      <w:r w:rsidR="00207FA2">
        <w:rPr>
          <w:b/>
          <w:sz w:val="24"/>
          <w:szCs w:val="24"/>
        </w:rPr>
        <w:t>44,689</w:t>
      </w:r>
      <w:r w:rsidR="00207FA2" w:rsidRPr="00207FA2">
        <w:rPr>
          <w:b/>
          <w:sz w:val="24"/>
          <w:szCs w:val="24"/>
        </w:rPr>
        <w:t xml:space="preserve">; PPL 5A: </w:t>
      </w:r>
      <w:r w:rsidR="00207FA2">
        <w:rPr>
          <w:b/>
          <w:sz w:val="24"/>
          <w:szCs w:val="24"/>
        </w:rPr>
        <w:t>3,531</w:t>
      </w:r>
      <w:r w:rsidR="00207FA2" w:rsidRPr="00207FA2">
        <w:rPr>
          <w:b/>
          <w:sz w:val="24"/>
          <w:szCs w:val="24"/>
        </w:rPr>
        <w:t>; PPL 5B:</w:t>
      </w:r>
      <w:r w:rsidR="00207FA2">
        <w:rPr>
          <w:b/>
          <w:sz w:val="24"/>
          <w:szCs w:val="24"/>
        </w:rPr>
        <w:t xml:space="preserve"> 10</w:t>
      </w:r>
      <w:r w:rsidR="00207FA2" w:rsidRPr="00207FA2">
        <w:rPr>
          <w:b/>
          <w:sz w:val="24"/>
          <w:szCs w:val="24"/>
        </w:rPr>
        <w:t xml:space="preserve">; PPL 5C: </w:t>
      </w:r>
      <w:r w:rsidR="00207FA2">
        <w:rPr>
          <w:b/>
          <w:sz w:val="24"/>
          <w:szCs w:val="24"/>
        </w:rPr>
        <w:t>4</w:t>
      </w:r>
      <w:r w:rsidR="00207FA2" w:rsidRPr="00207FA2">
        <w:rPr>
          <w:b/>
          <w:sz w:val="24"/>
          <w:szCs w:val="24"/>
        </w:rPr>
        <w:t>.</w:t>
      </w:r>
    </w:p>
    <w:p w14:paraId="6C358989" w14:textId="79A25D88" w:rsidR="00F22E9E" w:rsidRDefault="00F22E9E" w:rsidP="00EC4BE6">
      <w:pPr>
        <w:pStyle w:val="Caption"/>
        <w:rPr>
          <w:b/>
          <w:i w:val="0"/>
          <w:noProof/>
          <w:color w:val="auto"/>
          <w:sz w:val="24"/>
          <w:szCs w:val="24"/>
        </w:rPr>
      </w:pPr>
      <w:r>
        <w:rPr>
          <w:noProof/>
        </w:rPr>
        <w:lastRenderedPageBreak/>
        <w:drawing>
          <wp:inline distT="0" distB="0" distL="0" distR="0" wp14:anchorId="64EB1A46" wp14:editId="5A4697F0">
            <wp:extent cx="5943600" cy="4457700"/>
            <wp:effectExtent l="38100" t="38100" r="38100" b="381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457700"/>
                    </a:xfrm>
                    <a:prstGeom prst="rect">
                      <a:avLst/>
                    </a:prstGeom>
                    <a:ln w="38100">
                      <a:solidFill>
                        <a:schemeClr val="tx1"/>
                      </a:solidFill>
                    </a:ln>
                  </pic:spPr>
                </pic:pic>
              </a:graphicData>
            </a:graphic>
          </wp:inline>
        </w:drawing>
      </w:r>
    </w:p>
    <w:p w14:paraId="67104DE7" w14:textId="009D86C5" w:rsidR="00F22E9E" w:rsidRPr="00D64F94" w:rsidRDefault="00D64F94">
      <w:pPr>
        <w:rPr>
          <w:b/>
          <w:iCs/>
          <w:noProof/>
          <w:sz w:val="24"/>
          <w:szCs w:val="24"/>
        </w:rPr>
      </w:pPr>
      <w:r w:rsidRPr="00D64F94">
        <w:rPr>
          <w:b/>
          <w:sz w:val="24"/>
          <w:szCs w:val="24"/>
        </w:rPr>
        <w:t xml:space="preserve">Figure </w:t>
      </w:r>
      <w:r>
        <w:rPr>
          <w:b/>
          <w:sz w:val="24"/>
          <w:szCs w:val="24"/>
        </w:rPr>
        <w:t>10</w:t>
      </w:r>
      <w:r w:rsidRPr="00D64F94">
        <w:rPr>
          <w:b/>
          <w:sz w:val="24"/>
          <w:szCs w:val="24"/>
        </w:rPr>
        <w:t xml:space="preserve">. MapDamage results for </w:t>
      </w:r>
      <w:r>
        <w:rPr>
          <w:b/>
          <w:i/>
          <w:sz w:val="24"/>
          <w:szCs w:val="24"/>
        </w:rPr>
        <w:t>C. acnes</w:t>
      </w:r>
      <w:r w:rsidRPr="00D64F94">
        <w:rPr>
          <w:b/>
          <w:sz w:val="24"/>
          <w:szCs w:val="24"/>
        </w:rPr>
        <w:t xml:space="preserve">. </w:t>
      </w:r>
      <w:r>
        <w:rPr>
          <w:b/>
          <w:sz w:val="24"/>
          <w:szCs w:val="24"/>
        </w:rPr>
        <w:t>None of the Teotihuacan samples exhibit damage patterns expected for aDNA</w:t>
      </w:r>
      <w:r w:rsidRPr="00D64F94">
        <w:rPr>
          <w:b/>
          <w:sz w:val="24"/>
          <w:szCs w:val="24"/>
        </w:rPr>
        <w:t>.</w:t>
      </w:r>
      <w:r w:rsidR="00FF6424">
        <w:rPr>
          <w:b/>
          <w:sz w:val="24"/>
          <w:szCs w:val="24"/>
        </w:rPr>
        <w:t xml:space="preserve"> </w:t>
      </w:r>
      <w:r w:rsidR="00FF6424" w:rsidRPr="00FF6424">
        <w:rPr>
          <w:b/>
          <w:sz w:val="24"/>
          <w:szCs w:val="24"/>
        </w:rPr>
        <w:t xml:space="preserve">Unique read counts for each sample: PPCC: </w:t>
      </w:r>
      <w:r w:rsidR="00FF6424">
        <w:rPr>
          <w:b/>
          <w:sz w:val="24"/>
          <w:szCs w:val="24"/>
        </w:rPr>
        <w:t>1,318</w:t>
      </w:r>
      <w:r w:rsidR="00FF6424" w:rsidRPr="00FF6424">
        <w:rPr>
          <w:b/>
          <w:sz w:val="24"/>
          <w:szCs w:val="24"/>
        </w:rPr>
        <w:t xml:space="preserve">; PPL 5A: </w:t>
      </w:r>
      <w:r w:rsidR="00FF6424">
        <w:rPr>
          <w:b/>
          <w:sz w:val="24"/>
          <w:szCs w:val="24"/>
        </w:rPr>
        <w:t>6,665</w:t>
      </w:r>
      <w:r w:rsidR="00FF6424" w:rsidRPr="00FF6424">
        <w:rPr>
          <w:b/>
          <w:sz w:val="24"/>
          <w:szCs w:val="24"/>
        </w:rPr>
        <w:t xml:space="preserve">; PPL 5B: </w:t>
      </w:r>
      <w:r w:rsidR="00FF6424">
        <w:rPr>
          <w:b/>
          <w:sz w:val="24"/>
          <w:szCs w:val="24"/>
        </w:rPr>
        <w:t>4,901</w:t>
      </w:r>
      <w:r w:rsidR="00FF6424" w:rsidRPr="00FF6424">
        <w:rPr>
          <w:b/>
          <w:sz w:val="24"/>
          <w:szCs w:val="24"/>
        </w:rPr>
        <w:t xml:space="preserve">; PPL 5C: </w:t>
      </w:r>
      <w:r w:rsidR="00FF6424">
        <w:rPr>
          <w:b/>
          <w:sz w:val="24"/>
          <w:szCs w:val="24"/>
        </w:rPr>
        <w:t>3,184</w:t>
      </w:r>
      <w:r w:rsidR="00FF6424" w:rsidRPr="00FF6424">
        <w:rPr>
          <w:b/>
          <w:sz w:val="24"/>
          <w:szCs w:val="24"/>
        </w:rPr>
        <w:t>.</w:t>
      </w:r>
      <w:r w:rsidR="00FF6424">
        <w:rPr>
          <w:b/>
          <w:sz w:val="24"/>
          <w:szCs w:val="24"/>
        </w:rPr>
        <w:t xml:space="preserve"> </w:t>
      </w:r>
    </w:p>
    <w:p w14:paraId="7D823203" w14:textId="77777777" w:rsidR="00EC4BE6" w:rsidRPr="003F23FD" w:rsidRDefault="00EC4BE6" w:rsidP="00EC4BE6">
      <w:pPr>
        <w:pStyle w:val="Caption"/>
        <w:rPr>
          <w:b/>
          <w:i w:val="0"/>
          <w:noProof/>
          <w:color w:val="auto"/>
          <w:sz w:val="24"/>
          <w:szCs w:val="24"/>
        </w:rPr>
      </w:pPr>
    </w:p>
    <w:p w14:paraId="275B8CAB" w14:textId="77372EB8" w:rsidR="00EC4BE6" w:rsidRDefault="00EC4BE6"/>
    <w:p w14:paraId="5E09EBF7" w14:textId="02CCF18C" w:rsidR="00E02582" w:rsidRDefault="00EC4BE6" w:rsidP="00E02582">
      <w:pPr>
        <w:keepNext/>
      </w:pPr>
      <w:r>
        <w:rPr>
          <w:noProof/>
        </w:rPr>
        <w:lastRenderedPageBreak/>
        <w:drawing>
          <wp:inline distT="0" distB="0" distL="0" distR="0" wp14:anchorId="0B5B37D1" wp14:editId="398EEAD0">
            <wp:extent cx="5943600" cy="41649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164965"/>
                    </a:xfrm>
                    <a:prstGeom prst="rect">
                      <a:avLst/>
                    </a:prstGeom>
                  </pic:spPr>
                </pic:pic>
              </a:graphicData>
            </a:graphic>
          </wp:inline>
        </w:drawing>
      </w:r>
    </w:p>
    <w:p w14:paraId="1FF3F93A" w14:textId="6587069A" w:rsidR="00F22E9E" w:rsidRDefault="00EC4BE6" w:rsidP="00EC4BE6">
      <w:pPr>
        <w:pStyle w:val="Caption"/>
        <w:rPr>
          <w:b/>
          <w:i w:val="0"/>
          <w:color w:val="auto"/>
          <w:sz w:val="24"/>
          <w:szCs w:val="24"/>
        </w:rPr>
      </w:pPr>
      <w:r w:rsidRPr="009961A5">
        <w:rPr>
          <w:b/>
          <w:i w:val="0"/>
          <w:color w:val="auto"/>
          <w:sz w:val="24"/>
          <w:szCs w:val="24"/>
        </w:rPr>
        <w:t xml:space="preserve">Figure </w:t>
      </w:r>
      <w:r w:rsidR="00D64F94">
        <w:rPr>
          <w:b/>
          <w:i w:val="0"/>
          <w:color w:val="auto"/>
          <w:sz w:val="24"/>
          <w:szCs w:val="24"/>
        </w:rPr>
        <w:t>11</w:t>
      </w:r>
      <w:r>
        <w:rPr>
          <w:b/>
          <w:i w:val="0"/>
          <w:color w:val="auto"/>
          <w:sz w:val="24"/>
          <w:szCs w:val="24"/>
        </w:rPr>
        <w:t xml:space="preserve">. Fragment length distributions for the four samples when mapped to the </w:t>
      </w:r>
      <w:r w:rsidRPr="00DE745E">
        <w:rPr>
          <w:b/>
          <w:color w:val="auto"/>
          <w:sz w:val="24"/>
          <w:szCs w:val="24"/>
        </w:rPr>
        <w:t xml:space="preserve">M. oralis </w:t>
      </w:r>
      <w:r>
        <w:rPr>
          <w:b/>
          <w:i w:val="0"/>
          <w:color w:val="auto"/>
          <w:sz w:val="24"/>
          <w:szCs w:val="24"/>
        </w:rPr>
        <w:t>reference genome. Note that the PPL samples are also included in this graph but because of their scale, the</w:t>
      </w:r>
      <w:r w:rsidR="00F148D4">
        <w:rPr>
          <w:b/>
          <w:i w:val="0"/>
          <w:color w:val="auto"/>
          <w:sz w:val="24"/>
          <w:szCs w:val="24"/>
        </w:rPr>
        <w:t xml:space="preserve"> </w:t>
      </w:r>
      <w:r>
        <w:rPr>
          <w:b/>
          <w:i w:val="0"/>
          <w:color w:val="auto"/>
          <w:sz w:val="24"/>
          <w:szCs w:val="24"/>
        </w:rPr>
        <w:t>line appear</w:t>
      </w:r>
      <w:r w:rsidR="00F148D4">
        <w:rPr>
          <w:b/>
          <w:i w:val="0"/>
          <w:color w:val="auto"/>
          <w:sz w:val="24"/>
          <w:szCs w:val="24"/>
        </w:rPr>
        <w:t>s</w:t>
      </w:r>
      <w:r>
        <w:rPr>
          <w:b/>
          <w:i w:val="0"/>
          <w:color w:val="auto"/>
          <w:sz w:val="24"/>
          <w:szCs w:val="24"/>
        </w:rPr>
        <w:t xml:space="preserve"> to be flat. </w:t>
      </w:r>
      <w:r w:rsidR="00FF6424">
        <w:rPr>
          <w:b/>
          <w:i w:val="0"/>
          <w:color w:val="auto"/>
          <w:sz w:val="24"/>
          <w:szCs w:val="24"/>
        </w:rPr>
        <w:t>Unique read counts for each sample: PPCC: 1,064,306; PPL 5A: 612; PPL 5B: 1,550; PPL 5C: 71.</w:t>
      </w:r>
    </w:p>
    <w:p w14:paraId="7343D93A" w14:textId="77777777" w:rsidR="00F22E9E" w:rsidRDefault="00F22E9E">
      <w:pPr>
        <w:rPr>
          <w:b/>
          <w:iCs/>
          <w:sz w:val="24"/>
          <w:szCs w:val="24"/>
        </w:rPr>
      </w:pPr>
      <w:r>
        <w:rPr>
          <w:b/>
          <w:i/>
          <w:sz w:val="24"/>
          <w:szCs w:val="24"/>
        </w:rPr>
        <w:br w:type="page"/>
      </w:r>
    </w:p>
    <w:p w14:paraId="1AF5BDE0" w14:textId="77777777" w:rsidR="00EC4BE6" w:rsidRDefault="00EC4BE6" w:rsidP="00EC4BE6">
      <w:pPr>
        <w:pStyle w:val="Caption"/>
        <w:rPr>
          <w:b/>
          <w:i w:val="0"/>
          <w:color w:val="auto"/>
          <w:sz w:val="24"/>
          <w:szCs w:val="24"/>
        </w:rPr>
      </w:pPr>
    </w:p>
    <w:p w14:paraId="1BCA7EB3" w14:textId="482E974C" w:rsidR="00EC4BE6" w:rsidRDefault="00EC4BE6" w:rsidP="00E02582">
      <w:pPr>
        <w:keepNext/>
      </w:pPr>
      <w:r>
        <w:rPr>
          <w:noProof/>
        </w:rPr>
        <w:drawing>
          <wp:inline distT="0" distB="0" distL="0" distR="0" wp14:anchorId="3E6F0DCF" wp14:editId="1AC6458C">
            <wp:extent cx="5943600" cy="4457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457700"/>
                    </a:xfrm>
                    <a:prstGeom prst="rect">
                      <a:avLst/>
                    </a:prstGeom>
                  </pic:spPr>
                </pic:pic>
              </a:graphicData>
            </a:graphic>
          </wp:inline>
        </w:drawing>
      </w:r>
    </w:p>
    <w:p w14:paraId="3D357DFD" w14:textId="02B47376" w:rsidR="00F22E9E" w:rsidRDefault="00F22E9E" w:rsidP="00F22E9E">
      <w:pPr>
        <w:pStyle w:val="Caption"/>
        <w:rPr>
          <w:b/>
          <w:i w:val="0"/>
          <w:color w:val="auto"/>
          <w:sz w:val="24"/>
          <w:szCs w:val="24"/>
        </w:rPr>
      </w:pPr>
      <w:r w:rsidRPr="009961A5">
        <w:rPr>
          <w:b/>
          <w:i w:val="0"/>
          <w:color w:val="auto"/>
          <w:sz w:val="24"/>
          <w:szCs w:val="24"/>
        </w:rPr>
        <w:t xml:space="preserve">Figure </w:t>
      </w:r>
      <w:r w:rsidR="00D64F94">
        <w:rPr>
          <w:b/>
          <w:i w:val="0"/>
          <w:color w:val="auto"/>
          <w:sz w:val="24"/>
          <w:szCs w:val="24"/>
        </w:rPr>
        <w:t>12</w:t>
      </w:r>
      <w:r>
        <w:rPr>
          <w:b/>
          <w:i w:val="0"/>
          <w:color w:val="auto"/>
          <w:sz w:val="24"/>
          <w:szCs w:val="24"/>
        </w:rPr>
        <w:t xml:space="preserve">. Fragment length distributions for the four samples when mapped to the </w:t>
      </w:r>
      <w:r>
        <w:rPr>
          <w:b/>
          <w:color w:val="auto"/>
          <w:sz w:val="24"/>
          <w:szCs w:val="24"/>
        </w:rPr>
        <w:t>S. anginosus</w:t>
      </w:r>
      <w:r w:rsidRPr="00DE745E">
        <w:rPr>
          <w:b/>
          <w:color w:val="auto"/>
          <w:sz w:val="24"/>
          <w:szCs w:val="24"/>
        </w:rPr>
        <w:t xml:space="preserve"> </w:t>
      </w:r>
      <w:r>
        <w:rPr>
          <w:b/>
          <w:i w:val="0"/>
          <w:color w:val="auto"/>
          <w:sz w:val="24"/>
          <w:szCs w:val="24"/>
        </w:rPr>
        <w:t xml:space="preserve">reference genome. Note that the PPL </w:t>
      </w:r>
      <w:r w:rsidR="00F148D4">
        <w:rPr>
          <w:b/>
          <w:i w:val="0"/>
          <w:color w:val="auto"/>
          <w:sz w:val="24"/>
          <w:szCs w:val="24"/>
        </w:rPr>
        <w:t xml:space="preserve">5B </w:t>
      </w:r>
      <w:r>
        <w:rPr>
          <w:b/>
          <w:i w:val="0"/>
          <w:color w:val="auto"/>
          <w:sz w:val="24"/>
          <w:szCs w:val="24"/>
        </w:rPr>
        <w:t xml:space="preserve">sample </w:t>
      </w:r>
      <w:r w:rsidR="00F148D4">
        <w:rPr>
          <w:b/>
          <w:i w:val="0"/>
          <w:color w:val="auto"/>
          <w:sz w:val="24"/>
          <w:szCs w:val="24"/>
        </w:rPr>
        <w:t>is</w:t>
      </w:r>
      <w:r>
        <w:rPr>
          <w:b/>
          <w:i w:val="0"/>
          <w:color w:val="auto"/>
          <w:sz w:val="24"/>
          <w:szCs w:val="24"/>
        </w:rPr>
        <w:t xml:space="preserve"> also included in this graph but because of their scale, their lines appear to be flat. </w:t>
      </w:r>
      <w:r w:rsidR="00FF6424" w:rsidRPr="00FF6424">
        <w:rPr>
          <w:b/>
          <w:i w:val="0"/>
          <w:color w:val="auto"/>
          <w:sz w:val="24"/>
          <w:szCs w:val="24"/>
        </w:rPr>
        <w:t xml:space="preserve">Unique read counts for each sample: </w:t>
      </w:r>
      <w:r w:rsidR="00FF6424" w:rsidRPr="0066563C">
        <w:rPr>
          <w:b/>
          <w:i w:val="0"/>
          <w:color w:val="auto"/>
          <w:sz w:val="24"/>
          <w:szCs w:val="24"/>
        </w:rPr>
        <w:t>PPCC: 44,689; PPL 5A: 3,531; PPL 5B: 10; PPL 5C: 4.</w:t>
      </w:r>
    </w:p>
    <w:p w14:paraId="42EB851B" w14:textId="77777777" w:rsidR="00F22E9E" w:rsidRDefault="00F22E9E">
      <w:pPr>
        <w:rPr>
          <w:b/>
          <w:iCs/>
          <w:sz w:val="24"/>
          <w:szCs w:val="24"/>
        </w:rPr>
      </w:pPr>
      <w:r>
        <w:rPr>
          <w:b/>
          <w:i/>
          <w:sz w:val="24"/>
          <w:szCs w:val="24"/>
        </w:rPr>
        <w:br w:type="page"/>
      </w:r>
    </w:p>
    <w:p w14:paraId="6A67BB22" w14:textId="77777777" w:rsidR="00F22E9E" w:rsidRDefault="00F22E9E" w:rsidP="00F22E9E">
      <w:pPr>
        <w:pStyle w:val="Caption"/>
        <w:rPr>
          <w:b/>
          <w:i w:val="0"/>
          <w:color w:val="auto"/>
          <w:sz w:val="24"/>
          <w:szCs w:val="24"/>
        </w:rPr>
      </w:pPr>
    </w:p>
    <w:p w14:paraId="3C45432B" w14:textId="7A0936D7" w:rsidR="00EC4BE6" w:rsidRDefault="00EC4BE6" w:rsidP="00E02582">
      <w:pPr>
        <w:keepNext/>
      </w:pPr>
      <w:r>
        <w:rPr>
          <w:noProof/>
        </w:rPr>
        <w:drawing>
          <wp:inline distT="0" distB="0" distL="0" distR="0" wp14:anchorId="4E89DA94" wp14:editId="0812EEC5">
            <wp:extent cx="5943600" cy="416496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4164965"/>
                    </a:xfrm>
                    <a:prstGeom prst="rect">
                      <a:avLst/>
                    </a:prstGeom>
                  </pic:spPr>
                </pic:pic>
              </a:graphicData>
            </a:graphic>
          </wp:inline>
        </w:drawing>
      </w:r>
    </w:p>
    <w:p w14:paraId="5BEFFF96" w14:textId="717D48AB" w:rsidR="00EC4BE6" w:rsidRPr="003B5606" w:rsidRDefault="00EC4BE6" w:rsidP="00EC4BE6">
      <w:pPr>
        <w:pStyle w:val="Caption"/>
        <w:rPr>
          <w:b/>
          <w:i w:val="0"/>
          <w:color w:val="auto"/>
          <w:sz w:val="24"/>
          <w:szCs w:val="24"/>
        </w:rPr>
      </w:pPr>
      <w:r w:rsidRPr="009961A5">
        <w:rPr>
          <w:b/>
          <w:i w:val="0"/>
          <w:color w:val="auto"/>
          <w:sz w:val="24"/>
          <w:szCs w:val="24"/>
        </w:rPr>
        <w:t xml:space="preserve">Figure </w:t>
      </w:r>
      <w:r>
        <w:rPr>
          <w:b/>
          <w:i w:val="0"/>
          <w:color w:val="auto"/>
          <w:sz w:val="24"/>
          <w:szCs w:val="24"/>
        </w:rPr>
        <w:t>1</w:t>
      </w:r>
      <w:r w:rsidR="00D64F94">
        <w:rPr>
          <w:b/>
          <w:i w:val="0"/>
          <w:color w:val="auto"/>
          <w:sz w:val="24"/>
          <w:szCs w:val="24"/>
        </w:rPr>
        <w:t>3</w:t>
      </w:r>
      <w:r w:rsidRPr="009961A5">
        <w:rPr>
          <w:b/>
          <w:i w:val="0"/>
          <w:color w:val="auto"/>
          <w:sz w:val="24"/>
          <w:szCs w:val="24"/>
        </w:rPr>
        <w:t>.</w:t>
      </w:r>
      <w:r>
        <w:rPr>
          <w:b/>
          <w:i w:val="0"/>
          <w:color w:val="auto"/>
          <w:sz w:val="24"/>
          <w:szCs w:val="24"/>
        </w:rPr>
        <w:t xml:space="preserve"> Fragment length distributions for the four samples when mapped to </w:t>
      </w:r>
      <w:r>
        <w:rPr>
          <w:b/>
          <w:color w:val="auto"/>
          <w:sz w:val="24"/>
          <w:szCs w:val="24"/>
        </w:rPr>
        <w:t>C. acnes</w:t>
      </w:r>
      <w:r>
        <w:rPr>
          <w:b/>
          <w:i w:val="0"/>
          <w:color w:val="auto"/>
          <w:sz w:val="24"/>
          <w:szCs w:val="24"/>
        </w:rPr>
        <w:t xml:space="preserve">. Note that the PPCC had few DNA sequences mapped to </w:t>
      </w:r>
      <w:r>
        <w:rPr>
          <w:b/>
          <w:color w:val="auto"/>
          <w:sz w:val="24"/>
          <w:szCs w:val="24"/>
        </w:rPr>
        <w:t xml:space="preserve">C. acnes </w:t>
      </w:r>
      <w:r>
        <w:rPr>
          <w:b/>
          <w:i w:val="0"/>
          <w:color w:val="auto"/>
          <w:sz w:val="24"/>
          <w:szCs w:val="24"/>
        </w:rPr>
        <w:t xml:space="preserve">while the PPL samples had more than </w:t>
      </w:r>
      <w:r w:rsidRPr="0066563C">
        <w:rPr>
          <w:b/>
          <w:i w:val="0"/>
          <w:color w:val="auto"/>
          <w:sz w:val="24"/>
          <w:szCs w:val="24"/>
        </w:rPr>
        <w:t xml:space="preserve">500. </w:t>
      </w:r>
      <w:r w:rsidR="00FF6424" w:rsidRPr="0066563C">
        <w:rPr>
          <w:b/>
          <w:i w:val="0"/>
          <w:color w:val="auto"/>
          <w:sz w:val="24"/>
          <w:szCs w:val="24"/>
        </w:rPr>
        <w:t>Unique read counts for each sample: PPCC: 1,318; PPL 5A: 6,665; PPL 5B: 4,901; PPL 5C: 3,184.</w:t>
      </w:r>
    </w:p>
    <w:p w14:paraId="5955EACA" w14:textId="501D1D40" w:rsidR="00EC4BE6" w:rsidRDefault="00EC4BE6" w:rsidP="00E02582">
      <w:pPr>
        <w:keepNext/>
      </w:pPr>
    </w:p>
    <w:p w14:paraId="07F8003D" w14:textId="77777777" w:rsidR="00EC4BE6" w:rsidRDefault="00EC4BE6" w:rsidP="00E02582">
      <w:pPr>
        <w:keepNext/>
      </w:pPr>
    </w:p>
    <w:p w14:paraId="616D522A" w14:textId="627853EC" w:rsidR="00104053" w:rsidRDefault="00104053">
      <w:pPr>
        <w:rPr>
          <w:i/>
        </w:rPr>
      </w:pPr>
      <w:r>
        <w:rPr>
          <w:i/>
        </w:rPr>
        <w:br w:type="page"/>
      </w:r>
    </w:p>
    <w:p w14:paraId="115FB273" w14:textId="420B48F1" w:rsidR="00907773" w:rsidRDefault="00B96908" w:rsidP="00F330A8">
      <w:r>
        <w:rPr>
          <w:noProof/>
        </w:rPr>
        <w:lastRenderedPageBreak/>
        <w:object w:dxaOrig="1440" w:dyaOrig="1440" w14:anchorId="43266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0.35pt;margin-top:0;width:280.35pt;height:375pt;z-index:251668480">
            <v:imagedata r:id="rId29" o:title="" croptop="7105f" cropleft="2958f" cropright="9444f"/>
            <w10:wrap type="square" side="right"/>
          </v:shape>
          <o:OLEObject Type="Embed" ProgID="AcroExch.Document.DC" ShapeID="_x0000_s1028" DrawAspect="Content" ObjectID="_1619017464" r:id="rId30"/>
        </w:object>
      </w:r>
    </w:p>
    <w:p w14:paraId="7DA153EE" w14:textId="45FA156D" w:rsidR="00907773" w:rsidRDefault="00907773" w:rsidP="00F330A8"/>
    <w:p w14:paraId="2614C234" w14:textId="056B02EF" w:rsidR="00907773" w:rsidRDefault="00907773" w:rsidP="00F330A8"/>
    <w:p w14:paraId="755C4D95" w14:textId="71194742" w:rsidR="00907773" w:rsidRDefault="00907773" w:rsidP="00F330A8"/>
    <w:p w14:paraId="71CFB22C" w14:textId="47F34449" w:rsidR="00907773" w:rsidRDefault="00907773" w:rsidP="00F330A8"/>
    <w:p w14:paraId="5A8F7990" w14:textId="4D37695F" w:rsidR="00907773" w:rsidRDefault="00907773" w:rsidP="00F330A8"/>
    <w:p w14:paraId="61D2361B" w14:textId="5872866B" w:rsidR="00907773" w:rsidRDefault="00907773" w:rsidP="00F330A8"/>
    <w:p w14:paraId="3C9BA431" w14:textId="39F6C62A" w:rsidR="00907773" w:rsidRDefault="00907773" w:rsidP="00F330A8"/>
    <w:p w14:paraId="4B1D1558" w14:textId="35C8B3E0" w:rsidR="00907773" w:rsidRDefault="00907773" w:rsidP="00F330A8"/>
    <w:p w14:paraId="6FA96938" w14:textId="5136892C" w:rsidR="00907773" w:rsidRDefault="00907773" w:rsidP="00F330A8"/>
    <w:p w14:paraId="34393254" w14:textId="114C9616" w:rsidR="00907773" w:rsidRDefault="00907773" w:rsidP="00F330A8"/>
    <w:p w14:paraId="42268E1A" w14:textId="5C26598E" w:rsidR="00907773" w:rsidRDefault="00907773" w:rsidP="00F330A8"/>
    <w:p w14:paraId="46467BD2" w14:textId="1908FBF6" w:rsidR="00907773" w:rsidRDefault="00907773" w:rsidP="00F330A8"/>
    <w:p w14:paraId="08B6C996" w14:textId="67604253" w:rsidR="00907773" w:rsidRDefault="00907773" w:rsidP="00F330A8"/>
    <w:p w14:paraId="72DD6B40" w14:textId="3368752E" w:rsidR="00907773" w:rsidRDefault="00907773" w:rsidP="00F330A8"/>
    <w:p w14:paraId="49643429" w14:textId="2431E98E" w:rsidR="00907773" w:rsidRDefault="00907773" w:rsidP="00F330A8"/>
    <w:p w14:paraId="29D9AC34" w14:textId="1EB00289" w:rsidR="00907773" w:rsidRDefault="00907773" w:rsidP="00F330A8"/>
    <w:p w14:paraId="615E0BB9" w14:textId="6FF49CC2" w:rsidR="00907773" w:rsidRDefault="00907773" w:rsidP="00F330A8"/>
    <w:p w14:paraId="18F73ABD" w14:textId="1D0506E6" w:rsidR="00907773" w:rsidRDefault="00907773" w:rsidP="00907773">
      <w:pPr>
        <w:pStyle w:val="Caption"/>
        <w:rPr>
          <w:b/>
          <w:i w:val="0"/>
          <w:noProof/>
          <w:color w:val="auto"/>
          <w:sz w:val="24"/>
          <w:szCs w:val="24"/>
        </w:rPr>
      </w:pPr>
      <w:r w:rsidRPr="002C2265">
        <w:rPr>
          <w:b/>
          <w:i w:val="0"/>
          <w:color w:val="auto"/>
          <w:sz w:val="24"/>
          <w:szCs w:val="24"/>
        </w:rPr>
        <w:t xml:space="preserve">Figure </w:t>
      </w:r>
      <w:r>
        <w:rPr>
          <w:b/>
          <w:i w:val="0"/>
          <w:color w:val="auto"/>
          <w:sz w:val="24"/>
          <w:szCs w:val="24"/>
        </w:rPr>
        <w:t>1</w:t>
      </w:r>
      <w:r w:rsidR="00DD213C">
        <w:rPr>
          <w:b/>
          <w:i w:val="0"/>
          <w:color w:val="auto"/>
          <w:sz w:val="24"/>
          <w:szCs w:val="24"/>
        </w:rPr>
        <w:t>4</w:t>
      </w:r>
      <w:r>
        <w:rPr>
          <w:b/>
          <w:i w:val="0"/>
          <w:noProof/>
          <w:color w:val="auto"/>
          <w:sz w:val="24"/>
          <w:szCs w:val="24"/>
        </w:rPr>
        <w:t xml:space="preserve">. Bayesian source-tracking results at the genus-level for ancient dental calculus and extraction blank samples. The PPCC sample almost entirely assigns to dental calculus sources from Neanderthals </w:t>
      </w:r>
      <w:r w:rsidRPr="005110B6">
        <w:rPr>
          <w:b/>
          <w:i w:val="0"/>
          <w:noProof/>
          <w:color w:val="auto"/>
          <w:sz w:val="24"/>
          <w:szCs w:val="24"/>
        </w:rPr>
        <w:fldChar w:fldCharType="begin"/>
      </w:r>
      <w:r w:rsidRPr="005110B6">
        <w:rPr>
          <w:b/>
          <w:i w:val="0"/>
          <w:noProof/>
          <w:color w:val="auto"/>
          <w:sz w:val="24"/>
          <w:szCs w:val="24"/>
        </w:rPr>
        <w:instrText xml:space="preserve"> ADDIN ZOTERO_ITEM CSL_CITATION {"citationID":"YvaKPibo","properties":{"formattedCitation":"(Weyrich et al., 2017)","plainCitation":"(Weyrich et al., 2017)","noteIndex":0},"citationItems":[{"id":773,"uris":["http://zotero.org/users/4461938/items/GIQWRB8M"],"uri":["http://zotero.org/users/4461938/items/GIQWRB8M"],"itemData":{"id":773,"type":"article-journal","title":"Neanderthal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Pr="005110B6">
        <w:rPr>
          <w:b/>
          <w:i w:val="0"/>
          <w:noProof/>
          <w:color w:val="auto"/>
          <w:sz w:val="24"/>
          <w:szCs w:val="24"/>
        </w:rPr>
        <w:fldChar w:fldCharType="separate"/>
      </w:r>
      <w:r w:rsidRPr="005110B6">
        <w:rPr>
          <w:b/>
          <w:i w:val="0"/>
          <w:color w:val="auto"/>
          <w:sz w:val="24"/>
        </w:rPr>
        <w:t>(Weyrich et al., 2017)</w:t>
      </w:r>
      <w:r w:rsidRPr="005110B6">
        <w:rPr>
          <w:b/>
          <w:i w:val="0"/>
          <w:noProof/>
          <w:color w:val="auto"/>
          <w:sz w:val="24"/>
          <w:szCs w:val="24"/>
        </w:rPr>
        <w:fldChar w:fldCharType="end"/>
      </w:r>
      <w:r>
        <w:rPr>
          <w:b/>
          <w:i w:val="0"/>
          <w:noProof/>
          <w:color w:val="auto"/>
          <w:sz w:val="24"/>
          <w:szCs w:val="24"/>
        </w:rPr>
        <w:t xml:space="preserve"> and a global dental calculus dataset (Mann et al., 2018). The PPL samples assign partially to skin sources (DOE Joint Genome Institute, 2017). </w:t>
      </w:r>
    </w:p>
    <w:p w14:paraId="2A3F770B" w14:textId="77777777" w:rsidR="00907773" w:rsidRDefault="00907773">
      <w:pPr>
        <w:rPr>
          <w:b/>
          <w:iCs/>
          <w:noProof/>
          <w:sz w:val="24"/>
          <w:szCs w:val="24"/>
        </w:rPr>
      </w:pPr>
      <w:r>
        <w:rPr>
          <w:b/>
          <w:i/>
          <w:noProof/>
          <w:sz w:val="24"/>
          <w:szCs w:val="24"/>
        </w:rPr>
        <w:br w:type="page"/>
      </w:r>
    </w:p>
    <w:p w14:paraId="629BA9F0" w14:textId="77777777" w:rsidR="00907773" w:rsidRDefault="00907773" w:rsidP="00907773">
      <w:pPr>
        <w:pStyle w:val="Caption"/>
        <w:rPr>
          <w:b/>
          <w:i w:val="0"/>
          <w:noProof/>
          <w:color w:val="auto"/>
          <w:sz w:val="24"/>
          <w:szCs w:val="24"/>
        </w:rPr>
      </w:pPr>
    </w:p>
    <w:p w14:paraId="7B5867C3" w14:textId="5478CBC1" w:rsidR="00F330A8" w:rsidRDefault="003961B9" w:rsidP="00F330A8">
      <w:r w:rsidRPr="003961B9">
        <w:rPr>
          <w:noProof/>
        </w:rPr>
        <w:drawing>
          <wp:inline distT="0" distB="0" distL="0" distR="0" wp14:anchorId="392D8720" wp14:editId="3169088E">
            <wp:extent cx="5943600" cy="2934970"/>
            <wp:effectExtent l="0" t="0" r="0" b="0"/>
            <wp:docPr id="5" name="Picture 4">
              <a:extLst xmlns:a="http://schemas.openxmlformats.org/drawingml/2006/main">
                <a:ext uri="{FF2B5EF4-FFF2-40B4-BE49-F238E27FC236}">
                  <a16:creationId xmlns:a16="http://schemas.microsoft.com/office/drawing/2014/main" id="{2668F837-FB75-4DC4-9D2B-947E31D85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68F837-FB75-4DC4-9D2B-947E31D85685}"/>
                        </a:ext>
                      </a:extLst>
                    </pic:cNvPr>
                    <pic:cNvPicPr>
                      <a:picLocks noChangeAspect="1"/>
                    </pic:cNvPicPr>
                  </pic:nvPicPr>
                  <pic:blipFill>
                    <a:blip r:embed="rId31"/>
                    <a:stretch>
                      <a:fillRect/>
                    </a:stretch>
                  </pic:blipFill>
                  <pic:spPr>
                    <a:xfrm>
                      <a:off x="0" y="0"/>
                      <a:ext cx="5943600" cy="2934970"/>
                    </a:xfrm>
                    <a:prstGeom prst="rect">
                      <a:avLst/>
                    </a:prstGeom>
                  </pic:spPr>
                </pic:pic>
              </a:graphicData>
            </a:graphic>
          </wp:inline>
        </w:drawing>
      </w:r>
    </w:p>
    <w:p w14:paraId="09919BCE" w14:textId="340F9D91" w:rsidR="00F330A8" w:rsidRDefault="00F330A8" w:rsidP="00F330A8">
      <w:pPr>
        <w:pStyle w:val="Caption"/>
        <w:rPr>
          <w:b/>
          <w:i w:val="0"/>
          <w:color w:val="auto"/>
          <w:sz w:val="24"/>
          <w:szCs w:val="24"/>
        </w:rPr>
      </w:pPr>
      <w:r w:rsidRPr="009961A5">
        <w:rPr>
          <w:b/>
          <w:i w:val="0"/>
          <w:color w:val="auto"/>
          <w:sz w:val="24"/>
          <w:szCs w:val="24"/>
        </w:rPr>
        <w:t xml:space="preserve">Figure </w:t>
      </w:r>
      <w:r w:rsidR="00907773">
        <w:rPr>
          <w:b/>
          <w:i w:val="0"/>
          <w:color w:val="auto"/>
          <w:sz w:val="24"/>
          <w:szCs w:val="24"/>
        </w:rPr>
        <w:t>1</w:t>
      </w:r>
      <w:r w:rsidR="00DD213C">
        <w:rPr>
          <w:b/>
          <w:i w:val="0"/>
          <w:color w:val="auto"/>
          <w:sz w:val="24"/>
          <w:szCs w:val="24"/>
        </w:rPr>
        <w:t>5</w:t>
      </w:r>
      <w:r>
        <w:rPr>
          <w:b/>
          <w:i w:val="0"/>
          <w:color w:val="auto"/>
          <w:sz w:val="24"/>
          <w:szCs w:val="24"/>
        </w:rPr>
        <w:t>. Percent of human endogenous content among dental calculus samples. The data has been transformed. The four Teotihuacan samples are highlighted in teal while the dental calculus samples from Mann et al. (2018) are depicted in salmon. Note that the Ext</w:t>
      </w:r>
      <w:r w:rsidR="00EE4157">
        <w:rPr>
          <w:b/>
          <w:i w:val="0"/>
          <w:color w:val="auto"/>
          <w:sz w:val="24"/>
          <w:szCs w:val="24"/>
        </w:rPr>
        <w:t>Neg.</w:t>
      </w:r>
      <w:r>
        <w:rPr>
          <w:b/>
          <w:i w:val="0"/>
          <w:color w:val="auto"/>
          <w:sz w:val="24"/>
          <w:szCs w:val="24"/>
        </w:rPr>
        <w:t xml:space="preserve">2 sample has a much higher proportion of human </w:t>
      </w:r>
      <w:r w:rsidR="00DE6C97">
        <w:rPr>
          <w:b/>
          <w:i w:val="0"/>
          <w:color w:val="auto"/>
          <w:sz w:val="24"/>
          <w:szCs w:val="24"/>
        </w:rPr>
        <w:t xml:space="preserve">reads </w:t>
      </w:r>
      <w:r>
        <w:rPr>
          <w:b/>
          <w:i w:val="0"/>
          <w:color w:val="auto"/>
          <w:sz w:val="24"/>
          <w:szCs w:val="24"/>
        </w:rPr>
        <w:t xml:space="preserve">than any other sample included in this study. The </w:t>
      </w:r>
      <w:r w:rsidR="00746AFD">
        <w:rPr>
          <w:b/>
          <w:i w:val="0"/>
          <w:color w:val="auto"/>
          <w:sz w:val="24"/>
          <w:szCs w:val="24"/>
        </w:rPr>
        <w:t>PPL 5B</w:t>
      </w:r>
      <w:r>
        <w:rPr>
          <w:b/>
          <w:i w:val="0"/>
          <w:color w:val="auto"/>
          <w:sz w:val="24"/>
          <w:szCs w:val="24"/>
        </w:rPr>
        <w:t xml:space="preserve"> and </w:t>
      </w:r>
      <w:r w:rsidR="00746AFD">
        <w:rPr>
          <w:b/>
          <w:i w:val="0"/>
          <w:color w:val="auto"/>
          <w:sz w:val="24"/>
          <w:szCs w:val="24"/>
        </w:rPr>
        <w:t>PPL 5C</w:t>
      </w:r>
      <w:r>
        <w:rPr>
          <w:b/>
          <w:i w:val="0"/>
          <w:color w:val="auto"/>
          <w:sz w:val="24"/>
          <w:szCs w:val="24"/>
        </w:rPr>
        <w:t xml:space="preserve"> also had a considerable proportion of human DNA</w:t>
      </w:r>
      <w:r w:rsidR="00EE4157">
        <w:rPr>
          <w:b/>
          <w:i w:val="0"/>
          <w:color w:val="auto"/>
          <w:sz w:val="24"/>
          <w:szCs w:val="24"/>
        </w:rPr>
        <w:t>,</w:t>
      </w:r>
      <w:r>
        <w:rPr>
          <w:b/>
          <w:i w:val="0"/>
          <w:color w:val="auto"/>
          <w:sz w:val="24"/>
          <w:szCs w:val="24"/>
        </w:rPr>
        <w:t xml:space="preserve"> which has not yet been demonstrated in previous calculus studies. While standard precautions to minimize contamination were observed, human contamination seem</w:t>
      </w:r>
      <w:r w:rsidR="00EE4157">
        <w:rPr>
          <w:b/>
          <w:i w:val="0"/>
          <w:color w:val="auto"/>
          <w:sz w:val="24"/>
          <w:szCs w:val="24"/>
        </w:rPr>
        <w:t>s</w:t>
      </w:r>
      <w:r>
        <w:rPr>
          <w:b/>
          <w:i w:val="0"/>
          <w:color w:val="auto"/>
          <w:sz w:val="24"/>
          <w:szCs w:val="24"/>
        </w:rPr>
        <w:t xml:space="preserve"> to be an issue. </w:t>
      </w:r>
    </w:p>
    <w:p w14:paraId="52F77BE2" w14:textId="77777777" w:rsidR="00F330A8" w:rsidRDefault="00F330A8" w:rsidP="00E02582">
      <w:pPr>
        <w:keepNext/>
      </w:pPr>
    </w:p>
    <w:p w14:paraId="036BF455" w14:textId="77777777" w:rsidR="00922D53" w:rsidRDefault="00922D53" w:rsidP="00E02582">
      <w:pPr>
        <w:keepNext/>
      </w:pPr>
    </w:p>
    <w:p w14:paraId="27B0E650" w14:textId="0BFAC35F" w:rsidR="00922D53" w:rsidRDefault="00922D53" w:rsidP="00E02582">
      <w:pPr>
        <w:keepNext/>
      </w:pPr>
    </w:p>
    <w:p w14:paraId="1D8A2847" w14:textId="0510CECA" w:rsidR="00E02582" w:rsidRDefault="00E02582" w:rsidP="00E02582">
      <w:pPr>
        <w:keepNext/>
      </w:pPr>
    </w:p>
    <w:p w14:paraId="4037C039" w14:textId="6C1E7F68" w:rsidR="006F1834" w:rsidRDefault="006F1834" w:rsidP="006F1834">
      <w:pPr>
        <w:keepNext/>
      </w:pPr>
    </w:p>
    <w:p w14:paraId="510F872F" w14:textId="14749039" w:rsidR="00922D53" w:rsidRDefault="00922D53" w:rsidP="006F1834">
      <w:pPr>
        <w:pStyle w:val="Caption"/>
        <w:rPr>
          <w:b/>
          <w:i w:val="0"/>
          <w:color w:val="auto"/>
          <w:sz w:val="24"/>
          <w:szCs w:val="24"/>
        </w:rPr>
      </w:pPr>
    </w:p>
    <w:p w14:paraId="3D014ABF" w14:textId="3EE9832E" w:rsidR="006C793F" w:rsidRPr="006C793F" w:rsidRDefault="006C793F" w:rsidP="006C793F"/>
    <w:p w14:paraId="78681AFD" w14:textId="5B9FFCE1" w:rsidR="006F1834" w:rsidRDefault="00DD213C" w:rsidP="006F1834">
      <w:pPr>
        <w:keepNext/>
      </w:pPr>
      <w:r>
        <w:rPr>
          <w:noProof/>
        </w:rPr>
        <w:lastRenderedPageBreak/>
        <w:drawing>
          <wp:inline distT="0" distB="0" distL="0" distR="0" wp14:anchorId="1B9A3EDA" wp14:editId="3B4EDDCE">
            <wp:extent cx="5943600" cy="4457700"/>
            <wp:effectExtent l="38100" t="38100" r="38100" b="381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457700"/>
                    </a:xfrm>
                    <a:prstGeom prst="rect">
                      <a:avLst/>
                    </a:prstGeom>
                    <a:ln w="38100">
                      <a:solidFill>
                        <a:schemeClr val="tx1"/>
                      </a:solidFill>
                    </a:ln>
                  </pic:spPr>
                </pic:pic>
              </a:graphicData>
            </a:graphic>
          </wp:inline>
        </w:drawing>
      </w:r>
    </w:p>
    <w:p w14:paraId="6A8C7051" w14:textId="2DC81FC8" w:rsidR="00DD213C" w:rsidRPr="00D64F94" w:rsidRDefault="00DD213C" w:rsidP="00DD213C">
      <w:pPr>
        <w:rPr>
          <w:b/>
          <w:iCs/>
          <w:noProof/>
          <w:sz w:val="24"/>
          <w:szCs w:val="24"/>
        </w:rPr>
      </w:pPr>
      <w:r w:rsidRPr="00D64F94">
        <w:rPr>
          <w:b/>
          <w:sz w:val="24"/>
          <w:szCs w:val="24"/>
        </w:rPr>
        <w:t xml:space="preserve">Figure </w:t>
      </w:r>
      <w:r>
        <w:rPr>
          <w:b/>
          <w:sz w:val="24"/>
          <w:szCs w:val="24"/>
        </w:rPr>
        <w:t>16</w:t>
      </w:r>
      <w:r w:rsidRPr="00D64F94">
        <w:rPr>
          <w:b/>
          <w:sz w:val="24"/>
          <w:szCs w:val="24"/>
        </w:rPr>
        <w:t xml:space="preserve">. MapDamage results for </w:t>
      </w:r>
      <w:r>
        <w:rPr>
          <w:b/>
          <w:sz w:val="24"/>
          <w:szCs w:val="24"/>
        </w:rPr>
        <w:t>the human genome</w:t>
      </w:r>
      <w:r w:rsidRPr="00D64F94">
        <w:rPr>
          <w:b/>
          <w:sz w:val="24"/>
          <w:szCs w:val="24"/>
        </w:rPr>
        <w:t>. The PPCC</w:t>
      </w:r>
      <w:r>
        <w:rPr>
          <w:b/>
          <w:sz w:val="24"/>
          <w:szCs w:val="24"/>
        </w:rPr>
        <w:t xml:space="preserve"> </w:t>
      </w:r>
      <w:r w:rsidRPr="00D64F94">
        <w:rPr>
          <w:b/>
          <w:sz w:val="24"/>
          <w:szCs w:val="24"/>
        </w:rPr>
        <w:t xml:space="preserve">exhibit expected damage patterns for aDNA, while </w:t>
      </w:r>
      <w:r>
        <w:rPr>
          <w:b/>
          <w:sz w:val="24"/>
          <w:szCs w:val="24"/>
        </w:rPr>
        <w:t xml:space="preserve">PPL 5A, PPL 5B and </w:t>
      </w:r>
      <w:r w:rsidRPr="00D64F94">
        <w:rPr>
          <w:b/>
          <w:sz w:val="24"/>
          <w:szCs w:val="24"/>
        </w:rPr>
        <w:t>PPL 5C do not.</w:t>
      </w:r>
      <w:r w:rsidR="00BF3CDC">
        <w:rPr>
          <w:b/>
          <w:sz w:val="24"/>
          <w:szCs w:val="24"/>
        </w:rPr>
        <w:t xml:space="preserve"> Unique read counts for each sample: PPCC: 1,593; PPL 5A: 59,334; PPL 5B: 32,770; PPL 5C 9,449. </w:t>
      </w:r>
    </w:p>
    <w:p w14:paraId="23B523CC" w14:textId="77777777" w:rsidR="00DD213C" w:rsidRDefault="00DD213C" w:rsidP="006F1834">
      <w:pPr>
        <w:keepNext/>
      </w:pPr>
    </w:p>
    <w:p w14:paraId="5298B875" w14:textId="67A4F2FD" w:rsidR="00493093" w:rsidRDefault="00493093"/>
    <w:p w14:paraId="7830FFD3" w14:textId="6E9D8B7D" w:rsidR="006F1834" w:rsidRDefault="006F1834" w:rsidP="00DF6FD0">
      <w:r>
        <w:lastRenderedPageBreak/>
        <w:t xml:space="preserve"> </w:t>
      </w:r>
      <w:r w:rsidR="000558FA">
        <w:rPr>
          <w:noProof/>
        </w:rPr>
        <w:drawing>
          <wp:inline distT="0" distB="0" distL="0" distR="0" wp14:anchorId="44CDEEC7" wp14:editId="5951B3F4">
            <wp:extent cx="5943600" cy="416496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164965"/>
                    </a:xfrm>
                    <a:prstGeom prst="rect">
                      <a:avLst/>
                    </a:prstGeom>
                  </pic:spPr>
                </pic:pic>
              </a:graphicData>
            </a:graphic>
          </wp:inline>
        </w:drawing>
      </w:r>
    </w:p>
    <w:p w14:paraId="0AD334BF" w14:textId="5ED9C59A" w:rsidR="006F1834" w:rsidRDefault="006F1834" w:rsidP="006F1834">
      <w:pPr>
        <w:pStyle w:val="Caption"/>
        <w:rPr>
          <w:b/>
          <w:i w:val="0"/>
          <w:color w:val="auto"/>
          <w:sz w:val="24"/>
          <w:szCs w:val="24"/>
        </w:rPr>
      </w:pPr>
      <w:r w:rsidRPr="009961A5">
        <w:rPr>
          <w:b/>
          <w:i w:val="0"/>
          <w:color w:val="auto"/>
          <w:sz w:val="24"/>
          <w:szCs w:val="24"/>
        </w:rPr>
        <w:t xml:space="preserve">Figure </w:t>
      </w:r>
      <w:r w:rsidR="002469CC">
        <w:rPr>
          <w:b/>
          <w:i w:val="0"/>
          <w:color w:val="auto"/>
          <w:sz w:val="24"/>
          <w:szCs w:val="24"/>
        </w:rPr>
        <w:t>1</w:t>
      </w:r>
      <w:r w:rsidR="00B20B7F">
        <w:rPr>
          <w:b/>
          <w:i w:val="0"/>
          <w:color w:val="auto"/>
          <w:sz w:val="24"/>
          <w:szCs w:val="24"/>
        </w:rPr>
        <w:t>7</w:t>
      </w:r>
      <w:r w:rsidRPr="009961A5">
        <w:rPr>
          <w:b/>
          <w:i w:val="0"/>
          <w:color w:val="auto"/>
          <w:sz w:val="24"/>
          <w:szCs w:val="24"/>
        </w:rPr>
        <w:t>.</w:t>
      </w:r>
      <w:r>
        <w:rPr>
          <w:b/>
          <w:i w:val="0"/>
          <w:color w:val="auto"/>
          <w:sz w:val="24"/>
          <w:szCs w:val="24"/>
        </w:rPr>
        <w:t xml:space="preserve"> </w:t>
      </w:r>
      <w:r w:rsidR="00DE745E">
        <w:rPr>
          <w:b/>
          <w:i w:val="0"/>
          <w:color w:val="auto"/>
          <w:sz w:val="24"/>
          <w:szCs w:val="24"/>
        </w:rPr>
        <w:t>Fragment</w:t>
      </w:r>
      <w:r>
        <w:rPr>
          <w:b/>
          <w:i w:val="0"/>
          <w:color w:val="auto"/>
          <w:sz w:val="24"/>
          <w:szCs w:val="24"/>
        </w:rPr>
        <w:t xml:space="preserve"> length distribution</w:t>
      </w:r>
      <w:r w:rsidR="00DE745E">
        <w:rPr>
          <w:b/>
          <w:i w:val="0"/>
          <w:color w:val="auto"/>
          <w:sz w:val="24"/>
          <w:szCs w:val="24"/>
        </w:rPr>
        <w:t>s</w:t>
      </w:r>
      <w:r>
        <w:rPr>
          <w:b/>
          <w:i w:val="0"/>
          <w:color w:val="auto"/>
          <w:sz w:val="24"/>
          <w:szCs w:val="24"/>
        </w:rPr>
        <w:t xml:space="preserve"> for the four samples when mapped to the human reference genome.</w:t>
      </w:r>
      <w:r w:rsidR="00BB5027">
        <w:rPr>
          <w:b/>
          <w:i w:val="0"/>
          <w:color w:val="auto"/>
          <w:sz w:val="24"/>
          <w:szCs w:val="24"/>
        </w:rPr>
        <w:t xml:space="preserve"> </w:t>
      </w:r>
      <w:r w:rsidR="00BF3CDC" w:rsidRPr="00BF3CDC">
        <w:rPr>
          <w:b/>
          <w:i w:val="0"/>
          <w:color w:val="auto"/>
          <w:sz w:val="24"/>
          <w:szCs w:val="24"/>
        </w:rPr>
        <w:t>Unique read counts for each sample: PPCC: 1,593; PPL 5A: 59,334; PPL 5B: 32,770; PPL 5C 9,449.</w:t>
      </w:r>
      <w:r w:rsidR="00BF3CDC" w:rsidRPr="00BF3CDC">
        <w:rPr>
          <w:b/>
          <w:color w:val="auto"/>
          <w:sz w:val="24"/>
          <w:szCs w:val="24"/>
        </w:rPr>
        <w:t xml:space="preserve"> </w:t>
      </w:r>
      <w:r w:rsidR="00BB5027">
        <w:rPr>
          <w:b/>
          <w:i w:val="0"/>
          <w:color w:val="auto"/>
          <w:sz w:val="24"/>
          <w:szCs w:val="24"/>
        </w:rPr>
        <w:t>Although these patterns are consistent with previous aDNA samples, their damage patterns indicate that they are modern contaminants</w:t>
      </w:r>
      <w:r w:rsidR="00B35474">
        <w:rPr>
          <w:b/>
          <w:i w:val="0"/>
          <w:color w:val="auto"/>
          <w:sz w:val="24"/>
          <w:szCs w:val="24"/>
        </w:rPr>
        <w:t xml:space="preserve"> (Figure 16)</w:t>
      </w:r>
      <w:r w:rsidR="00BB5027">
        <w:rPr>
          <w:b/>
          <w:i w:val="0"/>
          <w:color w:val="auto"/>
          <w:sz w:val="24"/>
          <w:szCs w:val="24"/>
        </w:rPr>
        <w:t xml:space="preserve">. </w:t>
      </w:r>
    </w:p>
    <w:p w14:paraId="6F823DFE" w14:textId="77777777" w:rsidR="00F447FE" w:rsidRPr="00F447FE" w:rsidRDefault="00F447FE" w:rsidP="00F447FE"/>
    <w:p w14:paraId="639B36DC" w14:textId="77777777" w:rsidR="006F1834" w:rsidRDefault="006F1834" w:rsidP="006F1834"/>
    <w:p w14:paraId="151A40FF" w14:textId="6412369A" w:rsidR="00301FBB" w:rsidRDefault="00F447FE">
      <w:pPr>
        <w:rPr>
          <w:noProof/>
        </w:rPr>
      </w:pPr>
      <w:r>
        <w:rPr>
          <w:noProof/>
        </w:rPr>
        <w:br w:type="page"/>
      </w:r>
    </w:p>
    <w:p w14:paraId="6D6C09DB" w14:textId="434B6162" w:rsidR="001526F2" w:rsidRPr="00FF7447" w:rsidRDefault="004D5E93" w:rsidP="00FF7447">
      <w:pPr>
        <w:pStyle w:val="Heading1"/>
        <w:rPr>
          <w:rFonts w:ascii="Times New Roman" w:hAnsi="Times New Roman" w:cs="Times New Roman"/>
          <w:b/>
          <w:color w:val="auto"/>
          <w:sz w:val="28"/>
          <w:szCs w:val="28"/>
        </w:rPr>
      </w:pPr>
      <w:bookmarkStart w:id="30" w:name="_Toc8404641"/>
      <w:r>
        <w:rPr>
          <w:rFonts w:ascii="Times New Roman" w:hAnsi="Times New Roman" w:cs="Times New Roman"/>
          <w:b/>
          <w:color w:val="auto"/>
          <w:sz w:val="28"/>
          <w:szCs w:val="28"/>
        </w:rPr>
        <w:lastRenderedPageBreak/>
        <w:t>Discussion</w:t>
      </w:r>
      <w:bookmarkEnd w:id="30"/>
      <w:r w:rsidR="001526F2">
        <w:rPr>
          <w:sz w:val="24"/>
          <w:szCs w:val="24"/>
        </w:rPr>
        <w:t xml:space="preserve"> </w:t>
      </w:r>
    </w:p>
    <w:p w14:paraId="50567596" w14:textId="77FBB6FE" w:rsidR="001009EA" w:rsidRPr="00373A32" w:rsidRDefault="003961B9" w:rsidP="00D91B47">
      <w:pPr>
        <w:spacing w:line="480" w:lineRule="auto"/>
        <w:ind w:firstLine="720"/>
        <w:rPr>
          <w:sz w:val="24"/>
          <w:szCs w:val="24"/>
        </w:rPr>
      </w:pPr>
      <w:r>
        <w:rPr>
          <w:sz w:val="24"/>
          <w:szCs w:val="24"/>
        </w:rPr>
        <w:t>An</w:t>
      </w:r>
      <w:r w:rsidR="00D91B47">
        <w:rPr>
          <w:sz w:val="24"/>
          <w:szCs w:val="24"/>
        </w:rPr>
        <w:t xml:space="preserve"> initial aim of this study was to determine whether it was possible to estimate genetic ancestry </w:t>
      </w:r>
      <w:r w:rsidR="00BE7DD8">
        <w:rPr>
          <w:sz w:val="24"/>
          <w:szCs w:val="24"/>
        </w:rPr>
        <w:t xml:space="preserve">from Mesoamerican dental calculus samples. </w:t>
      </w:r>
      <w:r w:rsidR="00D91B47">
        <w:rPr>
          <w:sz w:val="24"/>
          <w:szCs w:val="24"/>
        </w:rPr>
        <w:t xml:space="preserve">The results presented here were unable to recover </w:t>
      </w:r>
      <w:r w:rsidR="00FC6D5E">
        <w:rPr>
          <w:sz w:val="24"/>
          <w:szCs w:val="24"/>
        </w:rPr>
        <w:t xml:space="preserve">a </w:t>
      </w:r>
      <w:r w:rsidR="00D91B47">
        <w:rPr>
          <w:sz w:val="24"/>
          <w:szCs w:val="24"/>
        </w:rPr>
        <w:t>sufficient amount of data to address this question. Nevertheless, this study was able to provide empirical data about DNA preservation of dental calculus in Mesoamerica,</w:t>
      </w:r>
      <w:r w:rsidR="0017205F">
        <w:rPr>
          <w:sz w:val="24"/>
          <w:szCs w:val="24"/>
        </w:rPr>
        <w:t xml:space="preserve"> </w:t>
      </w:r>
      <w:r w:rsidR="00FC6D5E">
        <w:rPr>
          <w:sz w:val="24"/>
          <w:szCs w:val="24"/>
        </w:rPr>
        <w:t xml:space="preserve">an </w:t>
      </w:r>
      <w:r w:rsidR="00BE7DD8">
        <w:rPr>
          <w:sz w:val="24"/>
          <w:szCs w:val="24"/>
        </w:rPr>
        <w:t xml:space="preserve">archaeological context </w:t>
      </w:r>
      <w:r w:rsidR="00D91B47">
        <w:rPr>
          <w:sz w:val="24"/>
          <w:szCs w:val="24"/>
        </w:rPr>
        <w:t xml:space="preserve">unrepresented in previous dental calculus studies </w:t>
      </w:r>
      <w:r w:rsidR="00D91B47">
        <w:rPr>
          <w:sz w:val="24"/>
          <w:szCs w:val="24"/>
        </w:rPr>
        <w:fldChar w:fldCharType="begin"/>
      </w:r>
      <w:r w:rsidR="00D91B47">
        <w:rPr>
          <w:sz w:val="24"/>
          <w:szCs w:val="24"/>
        </w:rPr>
        <w:instrText xml:space="preserve"> ADDIN ZOTERO_ITEM CSL_CITATION {"citationID":"uusWqNP4","properties":{"formattedCitation":"(Mann et al., 2018; Warinner et al., 2014; Weyrich et al., 2017)","plainCitation":"(Mann et al., 2018; Warinner et al., 2014;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D91B47">
        <w:rPr>
          <w:sz w:val="24"/>
          <w:szCs w:val="24"/>
        </w:rPr>
        <w:fldChar w:fldCharType="separate"/>
      </w:r>
      <w:r w:rsidR="00D91B47" w:rsidRPr="00D91B47">
        <w:rPr>
          <w:sz w:val="24"/>
        </w:rPr>
        <w:t>(Mann et al., 2018; Warinner et al., 2014; Weyrich et al., 2017)</w:t>
      </w:r>
      <w:r w:rsidR="00D91B47">
        <w:rPr>
          <w:sz w:val="24"/>
          <w:szCs w:val="24"/>
        </w:rPr>
        <w:fldChar w:fldCharType="end"/>
      </w:r>
      <w:r w:rsidR="00D91B47">
        <w:rPr>
          <w:sz w:val="24"/>
          <w:szCs w:val="24"/>
        </w:rPr>
        <w:t xml:space="preserve">. </w:t>
      </w:r>
      <w:r w:rsidR="00BE7DD8">
        <w:rPr>
          <w:sz w:val="24"/>
          <w:szCs w:val="24"/>
        </w:rPr>
        <w:t xml:space="preserve">Using several different approaches, we found that </w:t>
      </w:r>
      <w:r w:rsidR="0017205F">
        <w:rPr>
          <w:sz w:val="24"/>
          <w:szCs w:val="24"/>
        </w:rPr>
        <w:t>the preservation and contamination of</w:t>
      </w:r>
      <w:r w:rsidR="00BE7DD8">
        <w:rPr>
          <w:sz w:val="24"/>
          <w:szCs w:val="24"/>
        </w:rPr>
        <w:t xml:space="preserve"> microbial and human </w:t>
      </w:r>
      <w:r w:rsidR="006332A2">
        <w:rPr>
          <w:sz w:val="24"/>
          <w:szCs w:val="24"/>
        </w:rPr>
        <w:t xml:space="preserve">DNA </w:t>
      </w:r>
      <w:r w:rsidR="00BE7DD8">
        <w:rPr>
          <w:sz w:val="24"/>
          <w:szCs w:val="24"/>
        </w:rPr>
        <w:t>i</w:t>
      </w:r>
      <w:r w:rsidR="006332A2">
        <w:rPr>
          <w:sz w:val="24"/>
          <w:szCs w:val="24"/>
        </w:rPr>
        <w:t>n</w:t>
      </w:r>
      <w:r w:rsidR="00CA0975">
        <w:rPr>
          <w:sz w:val="24"/>
          <w:szCs w:val="24"/>
        </w:rPr>
        <w:t xml:space="preserve"> </w:t>
      </w:r>
      <w:r w:rsidR="006332A2">
        <w:rPr>
          <w:sz w:val="24"/>
          <w:szCs w:val="24"/>
        </w:rPr>
        <w:t xml:space="preserve">dental calculus differs between </w:t>
      </w:r>
      <w:r w:rsidR="00BE7DD8">
        <w:rPr>
          <w:sz w:val="24"/>
          <w:szCs w:val="24"/>
        </w:rPr>
        <w:t>the</w:t>
      </w:r>
      <w:r w:rsidR="006332A2">
        <w:rPr>
          <w:sz w:val="24"/>
          <w:szCs w:val="24"/>
        </w:rPr>
        <w:t xml:space="preserve"> samples </w:t>
      </w:r>
      <w:r w:rsidR="00FC6D5E">
        <w:rPr>
          <w:sz w:val="24"/>
          <w:szCs w:val="24"/>
        </w:rPr>
        <w:t>from</w:t>
      </w:r>
      <w:r w:rsidR="006332A2">
        <w:rPr>
          <w:sz w:val="24"/>
          <w:szCs w:val="24"/>
        </w:rPr>
        <w:t xml:space="preserve"> the Moon Pyramid and the Plaza of the Columns Complex. </w:t>
      </w:r>
    </w:p>
    <w:p w14:paraId="697F7D8C" w14:textId="50951010" w:rsidR="00BF4BBD" w:rsidRPr="001526F2" w:rsidRDefault="009F6586" w:rsidP="001526F2">
      <w:pPr>
        <w:pStyle w:val="Heading2"/>
        <w:rPr>
          <w:rFonts w:ascii="Times New Roman" w:hAnsi="Times New Roman" w:cs="Times New Roman"/>
          <w:i/>
          <w:color w:val="auto"/>
          <w:sz w:val="24"/>
          <w:szCs w:val="24"/>
        </w:rPr>
      </w:pPr>
      <w:bookmarkStart w:id="31" w:name="_Toc8404642"/>
      <w:r>
        <w:rPr>
          <w:rFonts w:ascii="Times New Roman" w:hAnsi="Times New Roman" w:cs="Times New Roman"/>
          <w:i/>
          <w:color w:val="auto"/>
          <w:sz w:val="24"/>
          <w:szCs w:val="24"/>
        </w:rPr>
        <w:t xml:space="preserve">Identification of oral, skin, and soil microbes </w:t>
      </w:r>
      <w:r w:rsidR="00CC130A">
        <w:rPr>
          <w:rFonts w:ascii="Times New Roman" w:hAnsi="Times New Roman" w:cs="Times New Roman"/>
          <w:i/>
          <w:color w:val="auto"/>
          <w:sz w:val="24"/>
          <w:szCs w:val="24"/>
        </w:rPr>
        <w:t>in the Teotihuacan samples</w:t>
      </w:r>
      <w:bookmarkEnd w:id="31"/>
      <w:r w:rsidR="004A0A8F">
        <w:rPr>
          <w:rFonts w:ascii="Times New Roman" w:hAnsi="Times New Roman" w:cs="Times New Roman"/>
          <w:i/>
          <w:color w:val="auto"/>
          <w:sz w:val="24"/>
          <w:szCs w:val="24"/>
        </w:rPr>
        <w:t xml:space="preserve"> </w:t>
      </w:r>
    </w:p>
    <w:p w14:paraId="12486038" w14:textId="6D6DFF8E" w:rsidR="00746AFD" w:rsidRDefault="00CD1AAF" w:rsidP="00C341C9">
      <w:pPr>
        <w:spacing w:line="480" w:lineRule="auto"/>
        <w:ind w:firstLine="720"/>
        <w:rPr>
          <w:sz w:val="24"/>
          <w:szCs w:val="24"/>
        </w:rPr>
      </w:pPr>
      <w:r>
        <w:rPr>
          <w:sz w:val="24"/>
          <w:szCs w:val="24"/>
        </w:rPr>
        <w:t xml:space="preserve">As a result of the rapid development of software for metataxonomic classification, two different programs were </w:t>
      </w:r>
      <w:r w:rsidR="0017205F">
        <w:rPr>
          <w:sz w:val="24"/>
          <w:szCs w:val="24"/>
        </w:rPr>
        <w:t xml:space="preserve">utilized </w:t>
      </w:r>
      <w:r>
        <w:rPr>
          <w:sz w:val="24"/>
          <w:szCs w:val="24"/>
        </w:rPr>
        <w:t>in this study</w:t>
      </w:r>
      <w:r w:rsidR="00C341C9">
        <w:rPr>
          <w:sz w:val="24"/>
          <w:szCs w:val="24"/>
        </w:rPr>
        <w:t>—QIIME and MetaPhlAn</w:t>
      </w:r>
      <w:r>
        <w:rPr>
          <w:sz w:val="24"/>
          <w:szCs w:val="24"/>
        </w:rPr>
        <w:t xml:space="preserve">. </w:t>
      </w:r>
      <w:r w:rsidR="00C341C9">
        <w:rPr>
          <w:sz w:val="24"/>
          <w:szCs w:val="24"/>
        </w:rPr>
        <w:t xml:space="preserve">Both programs have been tested </w:t>
      </w:r>
      <w:r w:rsidR="00C341C9" w:rsidRPr="00C341C9">
        <w:rPr>
          <w:i/>
          <w:sz w:val="24"/>
          <w:szCs w:val="24"/>
        </w:rPr>
        <w:t>in silico</w:t>
      </w:r>
      <w:r w:rsidR="00C341C9">
        <w:rPr>
          <w:sz w:val="24"/>
          <w:szCs w:val="24"/>
        </w:rPr>
        <w:t xml:space="preserve"> mock communities with typical aDNA patterns and each has been shown to have advantages and disadvantages in profiling microbial communities </w:t>
      </w:r>
      <w:r w:rsidR="00C341C9">
        <w:rPr>
          <w:sz w:val="24"/>
          <w:szCs w:val="24"/>
        </w:rPr>
        <w:fldChar w:fldCharType="begin"/>
      </w:r>
      <w:r w:rsidR="00C341C9">
        <w:rPr>
          <w:sz w:val="24"/>
          <w:szCs w:val="24"/>
        </w:rPr>
        <w:instrText xml:space="preserve"> ADDIN ZOTERO_ITEM CSL_CITATION {"citationID":"Xv22A2eV","properties":{"formattedCitation":"(Velsko et al., 2018)","plainCitation":"(Velsko et al., 2018)","noteIndex":0},"citationItems":[{"id":1162,"uris":["http://zotero.org/users/4461938/items/PM9FHPWG"],"uri":["http://zotero.org/users/4461938/items/PM9FHPWG"],"itemData":{"id":1162,"type":"article-journal","title":"Selection of Appropriate Metagenome Taxonomic Classifiers for Ancient Microbiome Research","container-title":"mSystems","page":"e00080-18","volume":"3","issue":"4","source":"msystems.asm.org","abstract":"Metagenomics enables the study of complex microbial communities from myriad sources, including the remains of oral and gut microbiota preserved in archaeological dental calculus and paleofeces, respectively. While accurate taxonomic assignment is essential to this process, DNA damage characteristic of ancient samples (e.g., reduction in fragment size and cytosine deamination) may reduce the accuracy of read taxonomic assignment. Using a set of in silico-generated metagenomic data sets, we investigated how the addition of ancient DNA (aDNA) damage patterns influences microbial taxonomic assignment by five widely used profilers: QIIME/UCLUST, MetaPhlAn2, MIDAS, CLARK-S, and MALT. In silico-generated data sets were designed to mimic dental plaque, consisting of 40, 100, and 200 microbial species/strains, both with and without simulated aDNA damage patterns. Following taxonomic assignment, the profiles were evaluated for species presence/absence, relative abundance, alpha diversity, beta diversity, and specific taxonomic assignment biases. Unifrac metrics indicated that both MIDAS and MetaPhlAn2 reconstructed the most accurate community structure. QIIME/UCLUST, CLARK-S, and MALT had the highest number of inaccurate taxonomic assignments; false-positive rates were highest by CLARK-S and QIIME/UCLUST. Filtering out species present at &lt;0.1% abundance greatly increased the accuracy of CLARK-S and MALT. All programs except CLARK-S failed to detect some species from the input file that were in their databases. The addition of ancient DNA damage resulted in minimal differences in species detection and relative abundance between simulated ancient and modern data sets for most programs. Overall, taxonomic profiling biases are program specific rather than damage dependent, and the choice of taxonomic classification program should be tailored to specific research questions.\nIMPORTANCE Ancient biomolecules from oral and gut microbiome samples have been shown to be preserved in the archaeological record. Studying ancient microbiome communities using metagenomic techniques offers a unique opportunity to reconstruct the evolutionary trajectories of microbial communities through time. DNA accumulates specific damage over time, which could potentially affect taxonomic classification and our ability to accurately reconstruct community assemblages. It is therefore necessary to assess whether ancient DNA (aDNA) damage patterns affect metagenomic taxonomic profiling. Here, we assessed biases in community structure, diversity, species detection, and relative abundance estimates by five popular metagenomic taxonomic classification programs using in silico-generated data sets with and without aDNA damage. Damage patterns had minimal impact on the taxonomic profiles produced by each program, while false-positive rates and biases were intrinsic to each program. Therefore, the most appropriate classification program is one that minimizes the biases related to the questions being addressed.","DOI":"10.1128/mSystems.00080-18","ISSN":"2379-5077","language":"en","author":[{"family":"Velsko","given":"Irina M."},{"family":"Frantz","given":"Laurent A. F."},{"family":"Herbig","given":"Alexander"},{"family":"Larson","given":"Greger"},{"family":"Warinner","given":"Christina"}],"issued":{"date-parts":[["2018",8,28]]}}}],"schema":"https://github.com/citation-style-language/schema/raw/master/csl-citation.json"} </w:instrText>
      </w:r>
      <w:r w:rsidR="00C341C9">
        <w:rPr>
          <w:sz w:val="24"/>
          <w:szCs w:val="24"/>
        </w:rPr>
        <w:fldChar w:fldCharType="separate"/>
      </w:r>
      <w:r w:rsidR="00C341C9" w:rsidRPr="00C341C9">
        <w:rPr>
          <w:sz w:val="24"/>
        </w:rPr>
        <w:t>(Velsko et al., 2018)</w:t>
      </w:r>
      <w:r w:rsidR="00C341C9">
        <w:rPr>
          <w:sz w:val="24"/>
          <w:szCs w:val="24"/>
        </w:rPr>
        <w:fldChar w:fldCharType="end"/>
      </w:r>
      <w:r w:rsidR="00C341C9">
        <w:rPr>
          <w:sz w:val="24"/>
          <w:szCs w:val="24"/>
        </w:rPr>
        <w:t xml:space="preserve">. </w:t>
      </w:r>
      <w:r w:rsidR="001179AF">
        <w:rPr>
          <w:sz w:val="24"/>
          <w:szCs w:val="24"/>
        </w:rPr>
        <w:t xml:space="preserve">For instance, MetaPhlAn underestimates the presence of Chloroflexi within a sample in comparison to other pipelines based on results from mock communities </w:t>
      </w:r>
      <w:r w:rsidR="001179AF">
        <w:rPr>
          <w:sz w:val="24"/>
          <w:szCs w:val="24"/>
        </w:rPr>
        <w:fldChar w:fldCharType="begin"/>
      </w:r>
      <w:r w:rsidR="001179AF">
        <w:rPr>
          <w:sz w:val="24"/>
          <w:szCs w:val="24"/>
        </w:rPr>
        <w:instrText xml:space="preserve"> ADDIN ZOTERO_ITEM CSL_CITATION {"citationID":"UXh1OxIo","properties":{"formattedCitation":"(Lindner and Renard, 2015)","plainCitation":"(Lindner and Renard, 2015)","noteIndex":0},"citationItems":[{"id":1301,"uris":["http://zotero.org/users/4461938/items/5GXIBSXY"],"uri":["http://zotero.org/users/4461938/items/5GXIBSXY"],"itemData":{"id":1301,"type":"article-journal","title":"Metagenomic profiling of known and unknown microbes with MicrobeGPS","container-title":"PloS one","page":"e0117711","volume":"10","issue":"2","author":[{"family":"Lindner","given":"Martin S."},{"family":"Renard","given":"Bernhard Y."}],"issued":{"date-parts":[["2015"]]}}}],"schema":"https://github.com/citation-style-language/schema/raw/master/csl-citation.json"} </w:instrText>
      </w:r>
      <w:r w:rsidR="001179AF">
        <w:rPr>
          <w:sz w:val="24"/>
          <w:szCs w:val="24"/>
        </w:rPr>
        <w:fldChar w:fldCharType="separate"/>
      </w:r>
      <w:r w:rsidR="001179AF" w:rsidRPr="001179AF">
        <w:rPr>
          <w:sz w:val="24"/>
        </w:rPr>
        <w:t>(Lindner and Renard, 2015)</w:t>
      </w:r>
      <w:r w:rsidR="001179AF">
        <w:rPr>
          <w:sz w:val="24"/>
          <w:szCs w:val="24"/>
        </w:rPr>
        <w:fldChar w:fldCharType="end"/>
      </w:r>
      <w:r w:rsidR="001179AF">
        <w:rPr>
          <w:sz w:val="24"/>
          <w:szCs w:val="24"/>
        </w:rPr>
        <w:t>. MetaPhlAn</w:t>
      </w:r>
      <w:r w:rsidR="00746AFD">
        <w:rPr>
          <w:sz w:val="24"/>
          <w:szCs w:val="24"/>
        </w:rPr>
        <w:t xml:space="preserve"> also</w:t>
      </w:r>
      <w:r w:rsidR="001179AF">
        <w:rPr>
          <w:sz w:val="24"/>
          <w:szCs w:val="24"/>
        </w:rPr>
        <w:t xml:space="preserve"> has far fewer number of references (~17,000) in comparison to QIIME (~1,000,000). </w:t>
      </w:r>
      <w:r w:rsidR="00746AFD">
        <w:rPr>
          <w:sz w:val="24"/>
          <w:szCs w:val="24"/>
        </w:rPr>
        <w:t xml:space="preserve">However, </w:t>
      </w:r>
      <w:r w:rsidR="00DE6C97">
        <w:rPr>
          <w:sz w:val="24"/>
          <w:szCs w:val="24"/>
        </w:rPr>
        <w:t>the database of MetaPhlAn enables the identification of several species s</w:t>
      </w:r>
      <w:r w:rsidR="00746AFD">
        <w:rPr>
          <w:sz w:val="24"/>
          <w:szCs w:val="24"/>
        </w:rPr>
        <w:t xml:space="preserve">ince it </w:t>
      </w:r>
      <w:r w:rsidR="00BF3CDC">
        <w:rPr>
          <w:sz w:val="24"/>
          <w:szCs w:val="24"/>
        </w:rPr>
        <w:t>uses specific clade markers</w:t>
      </w:r>
      <w:r w:rsidR="00DE6C97">
        <w:rPr>
          <w:sz w:val="24"/>
          <w:szCs w:val="24"/>
        </w:rPr>
        <w:t xml:space="preserve"> to identify taxa</w:t>
      </w:r>
      <w:r w:rsidR="00BF3CDC">
        <w:rPr>
          <w:sz w:val="24"/>
          <w:szCs w:val="24"/>
        </w:rPr>
        <w:t xml:space="preserve">. </w:t>
      </w:r>
      <w:r w:rsidR="001179AF">
        <w:rPr>
          <w:sz w:val="24"/>
          <w:szCs w:val="24"/>
        </w:rPr>
        <w:t xml:space="preserve">Thus, </w:t>
      </w:r>
      <w:r w:rsidR="004602B3">
        <w:rPr>
          <w:sz w:val="24"/>
          <w:szCs w:val="24"/>
        </w:rPr>
        <w:t xml:space="preserve">each program is susceptible to false positive and false negatives and applying more than </w:t>
      </w:r>
      <w:r w:rsidR="00BE7DD8">
        <w:rPr>
          <w:sz w:val="24"/>
          <w:szCs w:val="24"/>
        </w:rPr>
        <w:t>one</w:t>
      </w:r>
      <w:r w:rsidR="004602B3">
        <w:rPr>
          <w:sz w:val="24"/>
          <w:szCs w:val="24"/>
        </w:rPr>
        <w:t xml:space="preserve"> method </w:t>
      </w:r>
      <w:r w:rsidR="001179AF">
        <w:rPr>
          <w:sz w:val="24"/>
          <w:szCs w:val="24"/>
        </w:rPr>
        <w:t>is needed to v</w:t>
      </w:r>
      <w:r w:rsidR="004602B3">
        <w:rPr>
          <w:sz w:val="24"/>
          <w:szCs w:val="24"/>
        </w:rPr>
        <w:t xml:space="preserve">erify results. </w:t>
      </w:r>
    </w:p>
    <w:p w14:paraId="63250E3B" w14:textId="2FF1D73C" w:rsidR="005B2940" w:rsidRDefault="00C341C9" w:rsidP="00C341C9">
      <w:pPr>
        <w:spacing w:line="480" w:lineRule="auto"/>
        <w:ind w:firstLine="720"/>
        <w:rPr>
          <w:sz w:val="24"/>
          <w:szCs w:val="24"/>
        </w:rPr>
      </w:pPr>
      <w:r>
        <w:rPr>
          <w:sz w:val="24"/>
          <w:szCs w:val="24"/>
        </w:rPr>
        <w:t xml:space="preserve">In the Teotihuacan samples, </w:t>
      </w:r>
      <w:r w:rsidR="00AF00AE">
        <w:rPr>
          <w:sz w:val="24"/>
          <w:szCs w:val="24"/>
        </w:rPr>
        <w:t xml:space="preserve">both </w:t>
      </w:r>
      <w:r w:rsidR="00630A6B">
        <w:rPr>
          <w:sz w:val="24"/>
          <w:szCs w:val="24"/>
        </w:rPr>
        <w:t>programs</w:t>
      </w:r>
      <w:r w:rsidR="008B1C80">
        <w:rPr>
          <w:sz w:val="24"/>
          <w:szCs w:val="24"/>
        </w:rPr>
        <w:t xml:space="preserve"> </w:t>
      </w:r>
      <w:r w:rsidR="00935785">
        <w:rPr>
          <w:sz w:val="24"/>
          <w:szCs w:val="24"/>
        </w:rPr>
        <w:t>identified</w:t>
      </w:r>
      <w:r w:rsidR="00F2732B" w:rsidRPr="00FB2F5B">
        <w:rPr>
          <w:sz w:val="24"/>
          <w:szCs w:val="24"/>
        </w:rPr>
        <w:t xml:space="preserve"> </w:t>
      </w:r>
      <w:r w:rsidR="00214BA9">
        <w:rPr>
          <w:sz w:val="24"/>
          <w:szCs w:val="24"/>
        </w:rPr>
        <w:t>similar taxa at the phylum- and genus- level in all four sample</w:t>
      </w:r>
      <w:r w:rsidR="001D1A3B">
        <w:rPr>
          <w:sz w:val="24"/>
          <w:szCs w:val="24"/>
        </w:rPr>
        <w:t>s</w:t>
      </w:r>
      <w:r w:rsidR="00E1157E">
        <w:rPr>
          <w:sz w:val="24"/>
          <w:szCs w:val="24"/>
        </w:rPr>
        <w:t>—oral taxa for the PPCC sample and soil and skin taxa for the PPL samples</w:t>
      </w:r>
      <w:r w:rsidR="00630A6B">
        <w:rPr>
          <w:sz w:val="24"/>
          <w:szCs w:val="24"/>
        </w:rPr>
        <w:t xml:space="preserve">. </w:t>
      </w:r>
      <w:r w:rsidR="0017205F">
        <w:rPr>
          <w:sz w:val="24"/>
          <w:szCs w:val="24"/>
        </w:rPr>
        <w:t>Previous research has suggested that 16S rRNA gene sequencing is more reliable in identification</w:t>
      </w:r>
      <w:r w:rsidR="007D33B7">
        <w:rPr>
          <w:sz w:val="24"/>
          <w:szCs w:val="24"/>
        </w:rPr>
        <w:t xml:space="preserve"> of genera</w:t>
      </w:r>
      <w:r w:rsidR="0017205F">
        <w:rPr>
          <w:sz w:val="24"/>
          <w:szCs w:val="24"/>
        </w:rPr>
        <w:t xml:space="preserve"> (&gt;90%) </w:t>
      </w:r>
      <w:r w:rsidR="007D33B7">
        <w:rPr>
          <w:sz w:val="24"/>
          <w:szCs w:val="24"/>
        </w:rPr>
        <w:t xml:space="preserve">rather </w:t>
      </w:r>
      <w:r w:rsidR="0017205F">
        <w:rPr>
          <w:sz w:val="24"/>
          <w:szCs w:val="24"/>
        </w:rPr>
        <w:t xml:space="preserve">than in species (65 to 83%) </w:t>
      </w:r>
      <w:r w:rsidR="0017205F">
        <w:rPr>
          <w:sz w:val="24"/>
          <w:szCs w:val="24"/>
        </w:rPr>
        <w:fldChar w:fldCharType="begin"/>
      </w:r>
      <w:r w:rsidR="0017205F">
        <w:rPr>
          <w:sz w:val="24"/>
          <w:szCs w:val="24"/>
        </w:rPr>
        <w:instrText xml:space="preserve"> ADDIN ZOTERO_ITEM CSL_CITATION {"citationID":"8eHBbvNT","properties":{"formattedCitation":"(Janda and Abbott, 2007)","plainCitation":"(Janda and Abbott, 2007)","noteIndex":0},"citationItems":[{"id":1264,"uris":["http://zotero.org/users/4461938/items/MNPFQ5ZC"],"uri":["http://zotero.org/users/4461938/items/MNPFQ5ZC"],"itemData":{"id":1264,"type":"article-journal","title":"16S rRNA Gene Sequencing for Bacterial Identification in the Diagnostic Laboratory: Pluses, Perils, and Pitfalls","container-title":"Journal of Clinical Microbiology","page":"2761-2764","volume":"45","issue":"9","source":"jcm.asm.org","abstract":"The use of 16S rRNA gene sequences to study bacterial phylogeny and taxonomy has been by far the most common housekeeping genetic marker used for a number of reasons. These reasons include (i) its presence in almost all bacteria, often existing as a multigene family, or operons; (ii) the function of","DOI":"10.1128/JCM.01228-07","ISSN":"0095-1137, 1098-660X","note":"PMID: 17626177","title-short":"16S rRNA Gene Sequencing for Bacterial Identification in the Diagnostic Laboratory","language":"en","author":[{"family":"Janda","given":"J. Michael"},{"family":"Abbott","given":"Sharon L."}],"issued":{"date-parts":[["2007",9,1]]}}}],"schema":"https://github.com/citation-style-language/schema/raw/master/csl-citation.json"} </w:instrText>
      </w:r>
      <w:r w:rsidR="0017205F">
        <w:rPr>
          <w:sz w:val="24"/>
          <w:szCs w:val="24"/>
        </w:rPr>
        <w:fldChar w:fldCharType="separate"/>
      </w:r>
      <w:r w:rsidR="0017205F" w:rsidRPr="0017205F">
        <w:rPr>
          <w:sz w:val="24"/>
        </w:rPr>
        <w:t>(Janda and Abbott, 2007)</w:t>
      </w:r>
      <w:r w:rsidR="0017205F">
        <w:rPr>
          <w:sz w:val="24"/>
          <w:szCs w:val="24"/>
        </w:rPr>
        <w:fldChar w:fldCharType="end"/>
      </w:r>
      <w:r w:rsidR="0017205F">
        <w:rPr>
          <w:sz w:val="24"/>
          <w:szCs w:val="24"/>
        </w:rPr>
        <w:t xml:space="preserve">. </w:t>
      </w:r>
      <w:r w:rsidR="0017205F">
        <w:rPr>
          <w:sz w:val="24"/>
          <w:szCs w:val="24"/>
        </w:rPr>
        <w:lastRenderedPageBreak/>
        <w:t>For this reason</w:t>
      </w:r>
      <w:r w:rsidR="001D1A3B">
        <w:rPr>
          <w:sz w:val="24"/>
          <w:szCs w:val="24"/>
        </w:rPr>
        <w:t xml:space="preserve">, </w:t>
      </w:r>
      <w:r w:rsidR="0017205F">
        <w:rPr>
          <w:sz w:val="24"/>
          <w:szCs w:val="24"/>
        </w:rPr>
        <w:t xml:space="preserve">only </w:t>
      </w:r>
      <w:r w:rsidR="001D1A3B">
        <w:rPr>
          <w:sz w:val="24"/>
          <w:szCs w:val="24"/>
        </w:rPr>
        <w:t>MetaPhlAn was</w:t>
      </w:r>
      <w:r w:rsidR="00722A82">
        <w:rPr>
          <w:sz w:val="24"/>
          <w:szCs w:val="24"/>
        </w:rPr>
        <w:t xml:space="preserve"> </w:t>
      </w:r>
      <w:r w:rsidR="0017205F">
        <w:rPr>
          <w:sz w:val="24"/>
          <w:szCs w:val="24"/>
        </w:rPr>
        <w:t xml:space="preserve">used </w:t>
      </w:r>
      <w:r w:rsidR="001D1A3B">
        <w:rPr>
          <w:sz w:val="24"/>
          <w:szCs w:val="24"/>
        </w:rPr>
        <w:t>to identify species</w:t>
      </w:r>
      <w:r w:rsidR="0017205F">
        <w:rPr>
          <w:sz w:val="24"/>
          <w:szCs w:val="24"/>
        </w:rPr>
        <w:t xml:space="preserve"> in the dental calculus samples. In </w:t>
      </w:r>
      <w:r w:rsidR="001D1A3B">
        <w:rPr>
          <w:sz w:val="24"/>
          <w:szCs w:val="24"/>
        </w:rPr>
        <w:t xml:space="preserve">the PPCC sample, </w:t>
      </w:r>
      <w:r w:rsidR="0017205F">
        <w:rPr>
          <w:sz w:val="24"/>
          <w:szCs w:val="24"/>
        </w:rPr>
        <w:t xml:space="preserve">MetaPhlAn identified several oral species, </w:t>
      </w:r>
      <w:r w:rsidR="001D1A3B">
        <w:rPr>
          <w:sz w:val="24"/>
          <w:szCs w:val="24"/>
        </w:rPr>
        <w:t xml:space="preserve">including </w:t>
      </w:r>
      <w:r w:rsidR="001D1A3B" w:rsidRPr="009943B2">
        <w:rPr>
          <w:i/>
          <w:sz w:val="24"/>
          <w:szCs w:val="24"/>
        </w:rPr>
        <w:t xml:space="preserve">Tannerella </w:t>
      </w:r>
      <w:r w:rsidR="001D1A3B">
        <w:rPr>
          <w:i/>
          <w:sz w:val="24"/>
          <w:szCs w:val="24"/>
        </w:rPr>
        <w:t>f</w:t>
      </w:r>
      <w:r w:rsidR="001D1A3B" w:rsidRPr="009943B2">
        <w:rPr>
          <w:i/>
          <w:sz w:val="24"/>
          <w:szCs w:val="24"/>
        </w:rPr>
        <w:t>orsythia</w:t>
      </w:r>
      <w:r w:rsidR="001D1A3B">
        <w:rPr>
          <w:sz w:val="24"/>
          <w:szCs w:val="24"/>
        </w:rPr>
        <w:t xml:space="preserve">, </w:t>
      </w:r>
      <w:r w:rsidR="001D1A3B">
        <w:rPr>
          <w:i/>
          <w:sz w:val="24"/>
          <w:szCs w:val="24"/>
        </w:rPr>
        <w:t>Methanobrevibacter sp</w:t>
      </w:r>
      <w:r w:rsidR="009B7AA6">
        <w:rPr>
          <w:i/>
          <w:sz w:val="24"/>
          <w:szCs w:val="24"/>
        </w:rPr>
        <w:t>p</w:t>
      </w:r>
      <w:r w:rsidR="001D1A3B">
        <w:rPr>
          <w:i/>
          <w:sz w:val="24"/>
          <w:szCs w:val="24"/>
        </w:rPr>
        <w:t xml:space="preserve">., </w:t>
      </w:r>
      <w:r>
        <w:rPr>
          <w:sz w:val="24"/>
          <w:szCs w:val="24"/>
        </w:rPr>
        <w:t xml:space="preserve">and </w:t>
      </w:r>
      <w:r w:rsidR="001D1A3B" w:rsidRPr="009943B2">
        <w:rPr>
          <w:i/>
          <w:sz w:val="24"/>
          <w:szCs w:val="24"/>
        </w:rPr>
        <w:t>Desulfobulbus</w:t>
      </w:r>
      <w:r w:rsidR="001D1A3B">
        <w:rPr>
          <w:sz w:val="24"/>
          <w:szCs w:val="24"/>
        </w:rPr>
        <w:t xml:space="preserve"> oral taxon 041</w:t>
      </w:r>
      <w:r>
        <w:rPr>
          <w:sz w:val="24"/>
          <w:szCs w:val="24"/>
        </w:rPr>
        <w:t xml:space="preserve"> </w:t>
      </w:r>
      <w:r w:rsidR="001D1A3B">
        <w:rPr>
          <w:sz w:val="24"/>
          <w:szCs w:val="24"/>
        </w:rPr>
        <w:t xml:space="preserve">(Figure </w:t>
      </w:r>
      <w:r w:rsidR="00F330A8">
        <w:rPr>
          <w:sz w:val="24"/>
          <w:szCs w:val="24"/>
        </w:rPr>
        <w:t>13</w:t>
      </w:r>
      <w:r w:rsidR="001D1A3B">
        <w:rPr>
          <w:sz w:val="24"/>
          <w:szCs w:val="24"/>
        </w:rPr>
        <w:t>)</w:t>
      </w:r>
      <w:r w:rsidR="001D1A3B">
        <w:rPr>
          <w:i/>
          <w:sz w:val="24"/>
          <w:szCs w:val="24"/>
        </w:rPr>
        <w:t>.</w:t>
      </w:r>
      <w:r w:rsidR="001D1A3B">
        <w:rPr>
          <w:sz w:val="24"/>
          <w:szCs w:val="24"/>
        </w:rPr>
        <w:t xml:space="preserve"> </w:t>
      </w:r>
      <w:r w:rsidR="005B2940">
        <w:rPr>
          <w:sz w:val="24"/>
          <w:szCs w:val="24"/>
        </w:rPr>
        <w:t xml:space="preserve">It is well known that both </w:t>
      </w:r>
      <w:r w:rsidR="005B2940">
        <w:rPr>
          <w:i/>
          <w:sz w:val="24"/>
          <w:szCs w:val="24"/>
        </w:rPr>
        <w:t xml:space="preserve">T. forsythia </w:t>
      </w:r>
      <w:r w:rsidR="005B2940">
        <w:rPr>
          <w:sz w:val="24"/>
          <w:szCs w:val="24"/>
        </w:rPr>
        <w:t xml:space="preserve">and </w:t>
      </w:r>
      <w:r w:rsidR="005B2940">
        <w:rPr>
          <w:i/>
          <w:sz w:val="24"/>
          <w:szCs w:val="24"/>
        </w:rPr>
        <w:t xml:space="preserve">M. oralis </w:t>
      </w:r>
      <w:r w:rsidR="005B2940">
        <w:rPr>
          <w:sz w:val="24"/>
          <w:szCs w:val="24"/>
        </w:rPr>
        <w:t xml:space="preserve">have been associated with periodontitis in past and modern populations </w:t>
      </w:r>
      <w:r w:rsidR="005B2940">
        <w:rPr>
          <w:sz w:val="24"/>
          <w:szCs w:val="24"/>
        </w:rPr>
        <w:fldChar w:fldCharType="begin"/>
      </w:r>
      <w:r w:rsidR="005B2940">
        <w:rPr>
          <w:sz w:val="24"/>
          <w:szCs w:val="24"/>
        </w:rPr>
        <w:instrText xml:space="preserve"> ADDIN ZOTERO_ITEM CSL_CITATION {"citationID":"hD00zTRh","properties":{"formattedCitation":"(Huynh et al., 2015; Warinner et al., 2014; Weyrich et al., 2017)","plainCitation":"(Huynh et al., 2015; Warinner et al., 2014; Weyrich et al., 2017)","noteIndex":0},"citationItems":[{"id":1173,"uris":["http://zotero.org/users/4461938/items/RPD54DAF"],"uri":["http://zotero.org/users/4461938/items/RPD54DAF"],"itemData":{"id":1173,"type":"article-journal","title":"Genetic variants of dental plaque Methanobrevibacter oralis","container-title":"European Journal of Clinical Microbiology &amp; Infectious Diseases","page":"1097-1101","volume":"34","issue":"6","source":"Springer Link","abstract":"Methanobrevibacter oralis is the major methanogenic archaea found in the oral cavity. It has been implicated in periodontitis, including the severe form. It is unknown whether certain M. oralis genetic variants are associated with severe periodontitis. Here, we developed multispacer sequence typing (MST) as a sequencing-based genotyping method for the assessment of M. oralis. The sequencing of four intergenic spacers from a collection of 17 dental plaque M. oralis isolates obtained from seven individuals revealed 482 genetic polymorphisms, including 401 single nucleotide polymorphisms (83.2 %), 55 deletions (11.4 %) and 26 insertions (5.4 %). Concatenation of the four spacers yielded nine genotypes, which were clustered into six groups with an index of discrimination of 0.919. One periodontitis patient may have harboured up to three genetic variants of M. oralis, revealing the previously unknown diversity of this archaea. MST will allow for the study of the dynamics of M. oralis populations, including inter-individual transmission and any correlations with the severity of periodontitis.","DOI":"10.1007/s10096-015-2325-x","ISSN":"1435-4373","journalAbbreviation":"Eur J Clin Microbiol Infect Dis","language":"en","author":[{"family":"Huynh","given":"H. T. T."},{"family":"Nkamga","given":"V. D."},{"family":"Drancourt","given":"M."},{"family":"Aboudharam","given":"G."}],"issued":{"date-parts":[["2015",6,1]]}}},{"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5B2940">
        <w:rPr>
          <w:sz w:val="24"/>
          <w:szCs w:val="24"/>
        </w:rPr>
        <w:fldChar w:fldCharType="separate"/>
      </w:r>
      <w:r w:rsidR="005B2940" w:rsidRPr="00B83F3F">
        <w:rPr>
          <w:sz w:val="24"/>
        </w:rPr>
        <w:t>(Huynh et al., 2015; Warinner et al., 2014; Weyrich et al., 2017)</w:t>
      </w:r>
      <w:r w:rsidR="005B2940">
        <w:rPr>
          <w:sz w:val="24"/>
          <w:szCs w:val="24"/>
        </w:rPr>
        <w:fldChar w:fldCharType="end"/>
      </w:r>
      <w:r w:rsidR="005B2940">
        <w:rPr>
          <w:sz w:val="24"/>
          <w:szCs w:val="24"/>
        </w:rPr>
        <w:t xml:space="preserve">. </w:t>
      </w:r>
    </w:p>
    <w:p w14:paraId="25F8FF63" w14:textId="38FACA8F" w:rsidR="00005CCD" w:rsidRDefault="007C6994" w:rsidP="001D1A3B">
      <w:pPr>
        <w:spacing w:line="480" w:lineRule="auto"/>
        <w:ind w:firstLine="720"/>
        <w:rPr>
          <w:sz w:val="24"/>
          <w:szCs w:val="24"/>
        </w:rPr>
      </w:pPr>
      <w:r>
        <w:rPr>
          <w:sz w:val="24"/>
          <w:szCs w:val="24"/>
        </w:rPr>
        <w:t>It should be noted that the p</w:t>
      </w:r>
      <w:r w:rsidR="005B2940">
        <w:rPr>
          <w:sz w:val="24"/>
          <w:szCs w:val="24"/>
        </w:rPr>
        <w:t xml:space="preserve">roportional relative abundance observed in dental calculus is not necessarily reflective of the relative abundance </w:t>
      </w:r>
      <w:r w:rsidR="005B2940" w:rsidRPr="00D17324">
        <w:rPr>
          <w:i/>
          <w:sz w:val="24"/>
          <w:szCs w:val="24"/>
        </w:rPr>
        <w:t>antemortem</w:t>
      </w:r>
      <w:r>
        <w:rPr>
          <w:sz w:val="24"/>
          <w:szCs w:val="24"/>
        </w:rPr>
        <w:t>. Nevertheless,</w:t>
      </w:r>
      <w:r w:rsidR="005B2940">
        <w:rPr>
          <w:sz w:val="24"/>
          <w:szCs w:val="24"/>
        </w:rPr>
        <w:t xml:space="preserve"> </w:t>
      </w:r>
      <w:r w:rsidR="00DE6C97">
        <w:rPr>
          <w:sz w:val="24"/>
          <w:szCs w:val="24"/>
        </w:rPr>
        <w:t xml:space="preserve">in the </w:t>
      </w:r>
      <w:r w:rsidR="00600EE3">
        <w:rPr>
          <w:sz w:val="24"/>
          <w:szCs w:val="24"/>
        </w:rPr>
        <w:t xml:space="preserve">MetaPhlan </w:t>
      </w:r>
      <w:r w:rsidR="00DE6C97">
        <w:rPr>
          <w:sz w:val="24"/>
          <w:szCs w:val="24"/>
        </w:rPr>
        <w:t xml:space="preserve">analysis, </w:t>
      </w:r>
      <w:r w:rsidR="00880109">
        <w:rPr>
          <w:i/>
          <w:sz w:val="24"/>
          <w:szCs w:val="24"/>
        </w:rPr>
        <w:t xml:space="preserve">Methanobrevibacter </w:t>
      </w:r>
      <w:r w:rsidR="00BE7DD8">
        <w:rPr>
          <w:sz w:val="24"/>
          <w:szCs w:val="24"/>
        </w:rPr>
        <w:t>w</w:t>
      </w:r>
      <w:r w:rsidR="00880109">
        <w:rPr>
          <w:sz w:val="24"/>
          <w:szCs w:val="24"/>
        </w:rPr>
        <w:t>as the most abundant organism in the PPCC sample</w:t>
      </w:r>
      <w:r w:rsidR="00DE6C97">
        <w:rPr>
          <w:sz w:val="24"/>
          <w:szCs w:val="24"/>
        </w:rPr>
        <w:t xml:space="preserve"> (48.11%)</w:t>
      </w:r>
      <w:r w:rsidR="00D9477C">
        <w:rPr>
          <w:sz w:val="24"/>
          <w:szCs w:val="24"/>
        </w:rPr>
        <w:t xml:space="preserve">. </w:t>
      </w:r>
      <w:r w:rsidR="00293162">
        <w:rPr>
          <w:sz w:val="24"/>
          <w:szCs w:val="24"/>
        </w:rPr>
        <w:t xml:space="preserve">In the QIIME analysis, </w:t>
      </w:r>
      <w:r w:rsidR="00293162">
        <w:rPr>
          <w:i/>
          <w:sz w:val="24"/>
          <w:szCs w:val="24"/>
        </w:rPr>
        <w:t xml:space="preserve">Methanobrevibacter </w:t>
      </w:r>
      <w:r w:rsidR="00293162">
        <w:rPr>
          <w:sz w:val="24"/>
          <w:szCs w:val="24"/>
        </w:rPr>
        <w:t xml:space="preserve">was the second most abundant in the PPCC sample (12.0%) following </w:t>
      </w:r>
      <w:r w:rsidR="00293162">
        <w:rPr>
          <w:i/>
          <w:sz w:val="24"/>
          <w:szCs w:val="24"/>
        </w:rPr>
        <w:t xml:space="preserve">Actinomyces </w:t>
      </w:r>
      <w:r w:rsidR="00293162">
        <w:rPr>
          <w:sz w:val="24"/>
          <w:szCs w:val="24"/>
        </w:rPr>
        <w:t>(16.0%)</w:t>
      </w:r>
      <w:r w:rsidR="00293162">
        <w:rPr>
          <w:i/>
          <w:sz w:val="24"/>
          <w:szCs w:val="24"/>
        </w:rPr>
        <w:t xml:space="preserve">. </w:t>
      </w:r>
      <w:r>
        <w:rPr>
          <w:sz w:val="24"/>
          <w:szCs w:val="24"/>
        </w:rPr>
        <w:t xml:space="preserve">In fact, </w:t>
      </w:r>
      <w:r w:rsidR="00F50176">
        <w:rPr>
          <w:sz w:val="24"/>
          <w:szCs w:val="24"/>
        </w:rPr>
        <w:t xml:space="preserve">based on the MetaPhlAn results, the PPCC sample </w:t>
      </w:r>
      <w:r>
        <w:rPr>
          <w:sz w:val="24"/>
          <w:szCs w:val="24"/>
        </w:rPr>
        <w:t xml:space="preserve">had a higher relative abundance of </w:t>
      </w:r>
      <w:r w:rsidR="00BE7023">
        <w:rPr>
          <w:i/>
          <w:sz w:val="24"/>
          <w:szCs w:val="24"/>
        </w:rPr>
        <w:t xml:space="preserve">Methanobrevibacter </w:t>
      </w:r>
      <w:r>
        <w:rPr>
          <w:sz w:val="24"/>
          <w:szCs w:val="24"/>
        </w:rPr>
        <w:t xml:space="preserve">than </w:t>
      </w:r>
      <w:r w:rsidR="00F50176">
        <w:rPr>
          <w:sz w:val="24"/>
          <w:szCs w:val="24"/>
        </w:rPr>
        <w:t>any sample from Mann et al. (2018) and Weyrich et al. (2017)</w:t>
      </w:r>
      <w:r>
        <w:rPr>
          <w:sz w:val="24"/>
          <w:szCs w:val="24"/>
        </w:rPr>
        <w:t xml:space="preserve">. </w:t>
      </w:r>
      <w:r w:rsidR="00C67740">
        <w:rPr>
          <w:sz w:val="24"/>
          <w:szCs w:val="24"/>
        </w:rPr>
        <w:t xml:space="preserve">Furthermore, the only other sample that had </w:t>
      </w:r>
      <w:r w:rsidR="00C67740">
        <w:rPr>
          <w:i/>
          <w:sz w:val="24"/>
          <w:szCs w:val="24"/>
        </w:rPr>
        <w:t xml:space="preserve">Methanobrevibacter </w:t>
      </w:r>
      <w:r w:rsidR="00C67740">
        <w:rPr>
          <w:sz w:val="24"/>
          <w:szCs w:val="24"/>
        </w:rPr>
        <w:t xml:space="preserve">spp. as the most abundant species was SRR6877288 which is a dental calculus sample from the Caribbean </w:t>
      </w:r>
      <w:r w:rsidR="00005CCD">
        <w:rPr>
          <w:sz w:val="24"/>
          <w:szCs w:val="24"/>
        </w:rPr>
        <w:t xml:space="preserve">that also dates to prior to European contact. </w:t>
      </w:r>
      <w:r w:rsidR="00DE6C97">
        <w:rPr>
          <w:sz w:val="24"/>
          <w:szCs w:val="24"/>
        </w:rPr>
        <w:t xml:space="preserve">However, </w:t>
      </w:r>
      <w:r w:rsidR="00293162">
        <w:rPr>
          <w:sz w:val="24"/>
          <w:szCs w:val="24"/>
        </w:rPr>
        <w:t xml:space="preserve">only </w:t>
      </w:r>
      <w:r w:rsidR="00DE6C97">
        <w:rPr>
          <w:sz w:val="24"/>
          <w:szCs w:val="24"/>
        </w:rPr>
        <w:t xml:space="preserve">11% of the reads in the PPCC sample map to the </w:t>
      </w:r>
      <w:r w:rsidR="00DE6C97">
        <w:rPr>
          <w:i/>
          <w:sz w:val="24"/>
          <w:szCs w:val="24"/>
        </w:rPr>
        <w:t xml:space="preserve">Methanobrevibacter oralis </w:t>
      </w:r>
      <w:r w:rsidR="00DE6C97">
        <w:rPr>
          <w:sz w:val="24"/>
          <w:szCs w:val="24"/>
        </w:rPr>
        <w:t>reference genome</w:t>
      </w:r>
      <w:r w:rsidR="00293162">
        <w:rPr>
          <w:sz w:val="24"/>
          <w:szCs w:val="24"/>
        </w:rPr>
        <w:t xml:space="preserve">. Mapping the PPCC sample to other </w:t>
      </w:r>
      <w:r w:rsidR="00293162">
        <w:rPr>
          <w:i/>
          <w:sz w:val="24"/>
          <w:szCs w:val="24"/>
        </w:rPr>
        <w:t xml:space="preserve">Methanobrevibacter </w:t>
      </w:r>
      <w:r w:rsidR="00293162">
        <w:rPr>
          <w:sz w:val="24"/>
          <w:szCs w:val="24"/>
        </w:rPr>
        <w:t xml:space="preserve">references may reveal a more accurate estimation of the relative abundance for </w:t>
      </w:r>
      <w:r w:rsidR="00293162">
        <w:rPr>
          <w:i/>
          <w:sz w:val="24"/>
          <w:szCs w:val="24"/>
        </w:rPr>
        <w:t xml:space="preserve">Methanobrevibacter </w:t>
      </w:r>
      <w:r w:rsidR="00293162">
        <w:rPr>
          <w:sz w:val="24"/>
          <w:szCs w:val="24"/>
        </w:rPr>
        <w:t xml:space="preserve">in the sample. Together these data suggest that there are differences between analytical pipelines. </w:t>
      </w:r>
      <w:r w:rsidR="003961B9">
        <w:rPr>
          <w:sz w:val="24"/>
          <w:szCs w:val="24"/>
        </w:rPr>
        <w:t>More information is needed</w:t>
      </w:r>
      <w:r w:rsidR="00F50176">
        <w:rPr>
          <w:sz w:val="24"/>
          <w:szCs w:val="24"/>
        </w:rPr>
        <w:t xml:space="preserve"> to determine whether this finding </w:t>
      </w:r>
      <w:r w:rsidR="00005CCD">
        <w:rPr>
          <w:sz w:val="24"/>
          <w:szCs w:val="24"/>
        </w:rPr>
        <w:t xml:space="preserve">in the two samples </w:t>
      </w:r>
      <w:r w:rsidR="00F50176">
        <w:rPr>
          <w:sz w:val="24"/>
          <w:szCs w:val="24"/>
        </w:rPr>
        <w:t xml:space="preserve">is due to a biological </w:t>
      </w:r>
      <w:r w:rsidR="00545EB4">
        <w:rPr>
          <w:sz w:val="24"/>
          <w:szCs w:val="24"/>
        </w:rPr>
        <w:t xml:space="preserve">process </w:t>
      </w:r>
      <w:r w:rsidR="00005CCD">
        <w:rPr>
          <w:sz w:val="24"/>
          <w:szCs w:val="24"/>
        </w:rPr>
        <w:t xml:space="preserve">that could be associated with lifestyles in the regions </w:t>
      </w:r>
      <w:r w:rsidR="00545EB4">
        <w:rPr>
          <w:sz w:val="24"/>
          <w:szCs w:val="24"/>
        </w:rPr>
        <w:t xml:space="preserve">or </w:t>
      </w:r>
      <w:r w:rsidR="00005CCD">
        <w:rPr>
          <w:sz w:val="24"/>
          <w:szCs w:val="24"/>
        </w:rPr>
        <w:t xml:space="preserve">they are the products </w:t>
      </w:r>
      <w:r w:rsidR="00545EB4">
        <w:rPr>
          <w:sz w:val="24"/>
          <w:szCs w:val="24"/>
        </w:rPr>
        <w:t xml:space="preserve">taphonomic </w:t>
      </w:r>
      <w:r w:rsidR="00005CCD">
        <w:rPr>
          <w:sz w:val="24"/>
          <w:szCs w:val="24"/>
        </w:rPr>
        <w:t>influences</w:t>
      </w:r>
      <w:r w:rsidR="00F50176">
        <w:rPr>
          <w:sz w:val="24"/>
          <w:szCs w:val="24"/>
        </w:rPr>
        <w:t xml:space="preserve">. </w:t>
      </w:r>
    </w:p>
    <w:p w14:paraId="4496E8F7" w14:textId="2F4DC46F" w:rsidR="00600EE3" w:rsidRPr="00761FEF" w:rsidRDefault="00005CCD" w:rsidP="001D1A3B">
      <w:pPr>
        <w:spacing w:line="480" w:lineRule="auto"/>
        <w:ind w:firstLine="720"/>
        <w:rPr>
          <w:sz w:val="24"/>
          <w:szCs w:val="24"/>
        </w:rPr>
      </w:pPr>
      <w:r>
        <w:rPr>
          <w:sz w:val="24"/>
          <w:szCs w:val="24"/>
        </w:rPr>
        <w:t>The</w:t>
      </w:r>
      <w:r w:rsidR="00880109">
        <w:rPr>
          <w:sz w:val="24"/>
          <w:szCs w:val="24"/>
        </w:rPr>
        <w:t xml:space="preserve"> finding </w:t>
      </w:r>
      <w:r>
        <w:rPr>
          <w:sz w:val="24"/>
          <w:szCs w:val="24"/>
        </w:rPr>
        <w:t xml:space="preserve">of high abundance of </w:t>
      </w:r>
      <w:r>
        <w:rPr>
          <w:i/>
          <w:sz w:val="24"/>
          <w:szCs w:val="24"/>
        </w:rPr>
        <w:t xml:space="preserve">Methanobrevibacter </w:t>
      </w:r>
      <w:r>
        <w:rPr>
          <w:sz w:val="24"/>
          <w:szCs w:val="24"/>
        </w:rPr>
        <w:t>may come as a surprise. T</w:t>
      </w:r>
      <w:r w:rsidR="00880109">
        <w:rPr>
          <w:sz w:val="24"/>
          <w:szCs w:val="24"/>
        </w:rPr>
        <w:t xml:space="preserve">axa with lower GC content genomes </w:t>
      </w:r>
      <w:r w:rsidR="00161A56">
        <w:rPr>
          <w:sz w:val="24"/>
          <w:szCs w:val="24"/>
        </w:rPr>
        <w:t xml:space="preserve">are more susceptible to denaturation because of their lower melting point </w:t>
      </w:r>
      <w:r w:rsidR="00161A56">
        <w:rPr>
          <w:sz w:val="24"/>
          <w:szCs w:val="24"/>
        </w:rPr>
        <w:fldChar w:fldCharType="begin"/>
      </w:r>
      <w:r w:rsidR="00161A56">
        <w:rPr>
          <w:sz w:val="24"/>
          <w:szCs w:val="24"/>
        </w:rPr>
        <w:instrText xml:space="preserve"> ADDIN ZOTERO_ITEM CSL_CITATION {"citationID":"ox2mXNsp","properties":{"formattedCitation":"(Mann et al., 2018)","plainCitation":"(Mann et al., 2018)","noteIndex":0},"citationItems":[{"id":428,"uris":["http://zotero.org/users/4461938/items/WVIA9HQ4"],"uri":["http://zotero.org/users/4461938/items/WVIA9HQ4"],"itemData":{"id":428,"type":"article-journal","title":"Differential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I."},{"family":"Warinner","given":"Christina"}],"issued":{"date-parts":[["2018",6,29]]}}}],"schema":"https://github.com/citation-style-language/schema/raw/master/csl-citation.json"} </w:instrText>
      </w:r>
      <w:r w:rsidR="00161A56">
        <w:rPr>
          <w:sz w:val="24"/>
          <w:szCs w:val="24"/>
        </w:rPr>
        <w:fldChar w:fldCharType="separate"/>
      </w:r>
      <w:r w:rsidR="00161A56" w:rsidRPr="00161A56">
        <w:rPr>
          <w:sz w:val="24"/>
        </w:rPr>
        <w:t>(Mann et al., 2018)</w:t>
      </w:r>
      <w:r w:rsidR="00161A56">
        <w:rPr>
          <w:sz w:val="24"/>
          <w:szCs w:val="24"/>
        </w:rPr>
        <w:fldChar w:fldCharType="end"/>
      </w:r>
      <w:r w:rsidR="00161A56">
        <w:rPr>
          <w:sz w:val="24"/>
          <w:szCs w:val="24"/>
        </w:rPr>
        <w:t xml:space="preserve">. </w:t>
      </w:r>
      <w:r w:rsidR="00D43654" w:rsidRPr="00D43654">
        <w:rPr>
          <w:i/>
          <w:sz w:val="24"/>
          <w:szCs w:val="24"/>
        </w:rPr>
        <w:t>Methanobrevibacter</w:t>
      </w:r>
      <w:r w:rsidR="00D43654">
        <w:rPr>
          <w:sz w:val="24"/>
          <w:szCs w:val="24"/>
        </w:rPr>
        <w:t xml:space="preserve"> has a low GC content of 27.78%. </w:t>
      </w:r>
      <w:r w:rsidR="00D17324">
        <w:rPr>
          <w:sz w:val="24"/>
          <w:szCs w:val="24"/>
        </w:rPr>
        <w:t xml:space="preserve">This </w:t>
      </w:r>
      <w:r w:rsidR="00D17324">
        <w:rPr>
          <w:sz w:val="24"/>
          <w:szCs w:val="24"/>
        </w:rPr>
        <w:lastRenderedPageBreak/>
        <w:t xml:space="preserve">preservation bias </w:t>
      </w:r>
      <w:r w:rsidR="00B50F68">
        <w:rPr>
          <w:sz w:val="24"/>
          <w:szCs w:val="24"/>
        </w:rPr>
        <w:t>for</w:t>
      </w:r>
      <w:r w:rsidR="00D17324">
        <w:rPr>
          <w:sz w:val="24"/>
          <w:szCs w:val="24"/>
        </w:rPr>
        <w:t xml:space="preserve"> </w:t>
      </w:r>
      <w:r w:rsidR="00161A56">
        <w:rPr>
          <w:i/>
          <w:sz w:val="24"/>
          <w:szCs w:val="24"/>
        </w:rPr>
        <w:t xml:space="preserve">Methanobrevibacter </w:t>
      </w:r>
      <w:r w:rsidR="00D17324">
        <w:rPr>
          <w:sz w:val="24"/>
          <w:szCs w:val="24"/>
        </w:rPr>
        <w:t xml:space="preserve">may be </w:t>
      </w:r>
      <w:r w:rsidR="00545EB4">
        <w:rPr>
          <w:sz w:val="24"/>
          <w:szCs w:val="24"/>
        </w:rPr>
        <w:t>a result of</w:t>
      </w:r>
      <w:r w:rsidR="00161A56">
        <w:rPr>
          <w:sz w:val="24"/>
          <w:szCs w:val="24"/>
        </w:rPr>
        <w:t xml:space="preserve"> archaea</w:t>
      </w:r>
      <w:r w:rsidR="00545EB4">
        <w:rPr>
          <w:sz w:val="24"/>
          <w:szCs w:val="24"/>
        </w:rPr>
        <w:t xml:space="preserve"> </w:t>
      </w:r>
      <w:r w:rsidR="00BB5027">
        <w:rPr>
          <w:sz w:val="24"/>
          <w:szCs w:val="24"/>
        </w:rPr>
        <w:t>having</w:t>
      </w:r>
      <w:r w:rsidR="00545EB4">
        <w:rPr>
          <w:sz w:val="24"/>
          <w:szCs w:val="24"/>
        </w:rPr>
        <w:t xml:space="preserve"> different cell wall </w:t>
      </w:r>
      <w:r w:rsidR="009B7AA6">
        <w:rPr>
          <w:sz w:val="24"/>
          <w:szCs w:val="24"/>
        </w:rPr>
        <w:t xml:space="preserve">properties than bacteria </w:t>
      </w:r>
      <w:r w:rsidR="00545EB4">
        <w:rPr>
          <w:sz w:val="24"/>
          <w:szCs w:val="24"/>
        </w:rPr>
        <w:fldChar w:fldCharType="begin"/>
      </w:r>
      <w:r w:rsidR="00545EB4">
        <w:rPr>
          <w:sz w:val="24"/>
          <w:szCs w:val="24"/>
        </w:rPr>
        <w:instrText xml:space="preserve"> ADDIN ZOTERO_ITEM CSL_CITATION {"citationID":"1VFiXNzc","properties":{"formattedCitation":"(Schleifer, 2009)","plainCitation":"(Schleifer, 2009)","noteIndex":0},"citationItems":[{"id":1201,"uris":["http://zotero.org/users/4461938/items/NV82UW5M"],"uri":["http://zotero.org/users/4461938/items/NV82UW5M"],"itemData":{"id":1201,"type":"article-journal","title":"Classification of Bacteria and Archaea: Past, present and future","container-title":"Systematic and Applied Microbiology","page":"533-542","volume":"32","issue":"8","source":"ScienceDirect","abstract":"The late 19th century was the beginning of bacterial taxonomy and bacteria were classified on the basis of phenotypic markers. The distinction of prokaryotes and eukaryotes was introduced in the 1960s. Numerical taxonomy improved phenotypic identification but provided little information on the phylogenetic relationships of prokaryotes. Later on, chemotaxonomic and genotypic methods were widely used for a more satisfactory classification. Archaea were first classified as a separate group of prokaryotes in 1977. The current classification of Bacteria and Archaea is based on an operational-based model, the so-called polyphasic approach, comprised of phenotypic, chemotaxonomic and genotypic data, as well as phylogenetic information. The provisional status Candidatus has been established for describing uncultured prokaryotic cells for which their phylogenetic relationship has been determined and their authenticity revealed by in situ probing. The ultimate goal is to achieve a theory-based classification system based on a phylogenetic/evolutionary concept. However, there are currently two contradictory opinions about the future classification of Bacteria and Archaea. A group of mostly molecular biologists posits that the yet-unclear effect of gene flow, in particular lateral gene transfer, makes the line of descent difficult, if not impossible, to describe. However, even in the face of genomic fluidity it seems that the typical geno- and phenotypic characteristics of a taxon are still maintained, and are sufficient for reliable classification and identification of Bacteria and Archaea. There are many well-defined genotypic clusters that are congruent with known species delineated by polyphasic approaches. Comparative sequence analysis of certain core genes, including rRNA genes, may be useful for the characterization of higher taxa, whereas various character genes may be suitable as phylogenetic markers for the delineation of lower taxa. Nevertheless, there may still be a few organisms which escape a reliable classification.","DOI":"10.1016/j.syapm.2009.09.002","ISSN":"0723-2020","title-short":"Classification of Bacteria and Archaea","journalAbbreviation":"Systematic and Applied Microbiology","author":[{"family":"Schleifer","given":"Karl Heinz"}],"issued":{"date-parts":[["2009",12,1]]}}}],"schema":"https://github.com/citation-style-language/schema/raw/master/csl-citation.json"} </w:instrText>
      </w:r>
      <w:r w:rsidR="00545EB4">
        <w:rPr>
          <w:sz w:val="24"/>
          <w:szCs w:val="24"/>
        </w:rPr>
        <w:fldChar w:fldCharType="separate"/>
      </w:r>
      <w:r w:rsidR="00545EB4" w:rsidRPr="00545EB4">
        <w:rPr>
          <w:sz w:val="24"/>
        </w:rPr>
        <w:t>(Schleifer, 2009)</w:t>
      </w:r>
      <w:r w:rsidR="00545EB4">
        <w:rPr>
          <w:sz w:val="24"/>
          <w:szCs w:val="24"/>
        </w:rPr>
        <w:fldChar w:fldCharType="end"/>
      </w:r>
      <w:r w:rsidR="00545EB4">
        <w:rPr>
          <w:sz w:val="24"/>
          <w:szCs w:val="24"/>
        </w:rPr>
        <w:t xml:space="preserve">. These properties </w:t>
      </w:r>
      <w:r w:rsidR="00B50F68">
        <w:rPr>
          <w:sz w:val="24"/>
          <w:szCs w:val="24"/>
        </w:rPr>
        <w:t>of</w:t>
      </w:r>
      <w:r w:rsidR="00545EB4">
        <w:rPr>
          <w:sz w:val="24"/>
          <w:szCs w:val="24"/>
        </w:rPr>
        <w:t xml:space="preserve"> archaea </w:t>
      </w:r>
      <w:r w:rsidR="00B50F68">
        <w:rPr>
          <w:sz w:val="24"/>
          <w:szCs w:val="24"/>
        </w:rPr>
        <w:t xml:space="preserve">are potentially </w:t>
      </w:r>
      <w:r w:rsidR="009B7AA6">
        <w:rPr>
          <w:sz w:val="24"/>
          <w:szCs w:val="24"/>
        </w:rPr>
        <w:t xml:space="preserve">adaptive </w:t>
      </w:r>
      <w:r w:rsidR="00B50F68">
        <w:rPr>
          <w:sz w:val="24"/>
          <w:szCs w:val="24"/>
        </w:rPr>
        <w:t>responses to</w:t>
      </w:r>
      <w:r w:rsidR="009B7AA6">
        <w:rPr>
          <w:sz w:val="24"/>
          <w:szCs w:val="24"/>
        </w:rPr>
        <w:t xml:space="preserve"> </w:t>
      </w:r>
      <w:r w:rsidR="00161A56">
        <w:rPr>
          <w:sz w:val="24"/>
          <w:szCs w:val="24"/>
        </w:rPr>
        <w:t xml:space="preserve">harsh environments </w:t>
      </w:r>
      <w:r w:rsidR="00D17324">
        <w:rPr>
          <w:sz w:val="24"/>
          <w:szCs w:val="24"/>
        </w:rPr>
        <w:t>such as permafrost</w:t>
      </w:r>
      <w:r w:rsidR="00545EB4">
        <w:rPr>
          <w:sz w:val="24"/>
          <w:szCs w:val="24"/>
        </w:rPr>
        <w:t xml:space="preserve"> and volcanoes</w:t>
      </w:r>
      <w:r w:rsidR="00BF3CDC">
        <w:rPr>
          <w:sz w:val="24"/>
          <w:szCs w:val="24"/>
        </w:rPr>
        <w:t xml:space="preserve"> and may explain their robust preservation within dental calculus</w:t>
      </w:r>
      <w:r w:rsidR="00D17324">
        <w:rPr>
          <w:sz w:val="24"/>
          <w:szCs w:val="24"/>
        </w:rPr>
        <w:t xml:space="preserve"> </w:t>
      </w:r>
      <w:r w:rsidR="00161A56">
        <w:rPr>
          <w:sz w:val="24"/>
          <w:szCs w:val="24"/>
        </w:rPr>
        <w:fldChar w:fldCharType="begin"/>
      </w:r>
      <w:r w:rsidR="00545EB4">
        <w:rPr>
          <w:sz w:val="24"/>
          <w:szCs w:val="24"/>
        </w:rPr>
        <w:instrText xml:space="preserve"> ADDIN ZOTERO_ITEM CSL_CITATION {"citationID":"ffME4Y7m","properties":{"formattedCitation":"(Konings et al., 2002; Steven et al., 2009)","plainCitation":"(Konings et al., 2002; Steven et al., 2009)","noteIndex":0},"citationItems":[{"id":1204,"uris":["http://zotero.org/users/4461938/items/5NLKDH9W"],"uri":["http://zotero.org/users/4461938/items/5NLKDH9W"],"itemData":{"id":1204,"type":"article-journal","title":"The cell membrane plays a crucial role in survival of bacteria and archaea in extreme environments","container-title":"Antonie van Leeuwenhoek","page":"61-72","volume":"81","issue":"1","source":"Springer Link","abstract":"The cytoplasmic membrane of bacteria and archaea determine to a large extent the composition of the cytoplasm. Since the ion and in particular the proton and/or the sodium ion electrochemical gradients across the membranes are crucial for the bioenergetic conditions of these microorganisms, strategies are needed to restrict the permeation of these ions across their cytoplasmic membrane. The proton and sodium permeabilities of all biological membranes increase with the temperature. Psychrophilic and mesophilic bacteria, and mesophilic, (hyper)thermophilic and halophilic archaea are capable of adjusting the lipid composition of their membranes in such a way that the proton permeability at the respective growth temperature remains low and constant (homeo-proton permeability). Thermophilic bacteria, however, have more difficulties to restrict the proton permeation across their membrane at high temperatures and these organisms have to rely on the less permeable sodium ions for maintaining a high sodium-motive force for driving their energy requiring membrane-bound processes. Transport of solutes across the bacterial and archaeal membrane is mainly catalyzed by primary ATP driven transport systems or by proton or sodium motive force driven secondary transport systems. Unlike most bacteria, hyperthermophilic bacteria and archaea prefer primary ATP-driven uptake systems for their carbon and energy sources. Several high-affinity ABC transporters for sugars from hyperthermophiles have been identified and characterized. The activities of these ABC transporters allow these organisms to thrive in their nutrient-poor environments.","DOI":"10.1023/A:1020573408652","ISSN":"1572-9699","journalAbbreviation":"Antonie Van Leeuwenhoek","language":"en","author":[{"family":"Konings","given":"Wil N."},{"family":"Albers","given":"Sonja-Verena"},{"family":"Koning","given":"Sonja"},{"family":"Driessen","given":"Arnold J.M."}],"issued":{"date-parts":[["2002",12,1]]}}},{"id":1175,"uris":["http://zotero.org/users/4461938/items/K645K5IY"],"uri":["http://zotero.org/users/4461938/items/K645K5IY"],"itemData":{"id":1175,"type":"chapter","title":"Bacterial and Archaeal Diversity in Permafrost","container-title":"Permafrost Soils","collection-title":"Soil Biology","publisher":"Springer Berlin Heidelberg","publisher-place":"Berlin, Heidelberg","page":"59-72","source":"Springer Link","event-place":"Berlin, Heidelberg","abstract":"Considerable numbers of both Bacteria and Archaea are routinely recovered from up to 3 million year old permafrost. The phylogenetic and phenotypic characteristics of these isolates reflect the unique and extreme conditions of the permafrost environment. Most studies have indicated that cultured microbial isolates only account for a small proportion (0.001-10%) of the total microbial population. Recent applications of modern culture-independent technologies to the study of permafrost have greatly expanded the number and diversity of microbial groups associated with permafrost, leading to a more comprehensive description of permafrost microbial populations. In this chapter, we review studies describing the abundance and diversity of the Archaea and Bacteria communities in permafrost and what these studies have contributed to our understanding of the functioning and biogeography of permafrost microbial ecosystems.","URL":"https://doi.org/10.1007/978-3-540-69371-0_5","ISBN":"978-3-540-69371-0","note":"DOI: 10.1007/978-3-540-69371-0_5","language":"en","author":[{"family":"Steven","given":"Blaire"},{"family":"Niederberger","given":"Thomas D."},{"family":"Whyte","given":"Lyle G."}],"editor":[{"family":"Margesin","given":"Rosa"}],"issued":{"date-parts":[["2009"]]},"accessed":{"date-parts":[["2019",4,20]]}}}],"schema":"https://github.com/citation-style-language/schema/raw/master/csl-citation.json"} </w:instrText>
      </w:r>
      <w:r w:rsidR="00161A56">
        <w:rPr>
          <w:sz w:val="24"/>
          <w:szCs w:val="24"/>
        </w:rPr>
        <w:fldChar w:fldCharType="separate"/>
      </w:r>
      <w:r w:rsidR="00545EB4" w:rsidRPr="00545EB4">
        <w:rPr>
          <w:sz w:val="24"/>
        </w:rPr>
        <w:t>(Konings et al., 2002; Steven et al., 2009)</w:t>
      </w:r>
      <w:r w:rsidR="00161A56">
        <w:rPr>
          <w:sz w:val="24"/>
          <w:szCs w:val="24"/>
        </w:rPr>
        <w:fldChar w:fldCharType="end"/>
      </w:r>
      <w:r w:rsidR="00BF3CDC">
        <w:rPr>
          <w:sz w:val="24"/>
          <w:szCs w:val="24"/>
        </w:rPr>
        <w:t>.</w:t>
      </w:r>
      <w:r w:rsidR="00BB5027">
        <w:rPr>
          <w:sz w:val="24"/>
          <w:szCs w:val="24"/>
        </w:rPr>
        <w:t xml:space="preserve"> </w:t>
      </w:r>
    </w:p>
    <w:p w14:paraId="6311CFB6" w14:textId="00BB520A" w:rsidR="009B7AA6" w:rsidRPr="00FC68F8" w:rsidRDefault="00F80E31" w:rsidP="00FC68F8">
      <w:pPr>
        <w:spacing w:line="480" w:lineRule="auto"/>
        <w:ind w:firstLine="720"/>
        <w:rPr>
          <w:sz w:val="24"/>
          <w:szCs w:val="24"/>
        </w:rPr>
      </w:pPr>
      <w:r>
        <w:rPr>
          <w:sz w:val="24"/>
          <w:szCs w:val="24"/>
        </w:rPr>
        <w:t xml:space="preserve">The identification </w:t>
      </w:r>
      <w:r w:rsidR="00CD58A7">
        <w:rPr>
          <w:sz w:val="24"/>
          <w:szCs w:val="24"/>
        </w:rPr>
        <w:t xml:space="preserve">of </w:t>
      </w:r>
      <w:r>
        <w:rPr>
          <w:sz w:val="24"/>
          <w:szCs w:val="24"/>
        </w:rPr>
        <w:t xml:space="preserve">soil </w:t>
      </w:r>
      <w:r w:rsidR="009B7AA6">
        <w:rPr>
          <w:sz w:val="24"/>
          <w:szCs w:val="24"/>
        </w:rPr>
        <w:t xml:space="preserve">taxa </w:t>
      </w:r>
      <w:r w:rsidR="00CD58A7">
        <w:rPr>
          <w:sz w:val="24"/>
          <w:szCs w:val="24"/>
        </w:rPr>
        <w:t xml:space="preserve">(e.g. Acidobacteria representatives), </w:t>
      </w:r>
      <w:r>
        <w:rPr>
          <w:sz w:val="24"/>
          <w:szCs w:val="24"/>
        </w:rPr>
        <w:t xml:space="preserve">and skin </w:t>
      </w:r>
      <w:r w:rsidR="009B7AA6">
        <w:rPr>
          <w:sz w:val="24"/>
          <w:szCs w:val="24"/>
        </w:rPr>
        <w:t xml:space="preserve">taxa </w:t>
      </w:r>
      <w:r w:rsidR="00CD58A7">
        <w:rPr>
          <w:sz w:val="24"/>
          <w:szCs w:val="24"/>
        </w:rPr>
        <w:t>(</w:t>
      </w:r>
      <w:r w:rsidR="00CD58A7">
        <w:rPr>
          <w:i/>
          <w:sz w:val="24"/>
          <w:szCs w:val="24"/>
        </w:rPr>
        <w:t xml:space="preserve">Cutibacterium acnes, Staphylococcus hominis, </w:t>
      </w:r>
      <w:r w:rsidR="00CD58A7">
        <w:rPr>
          <w:sz w:val="24"/>
          <w:szCs w:val="24"/>
        </w:rPr>
        <w:t xml:space="preserve">and </w:t>
      </w:r>
      <w:r w:rsidR="00CD58A7">
        <w:rPr>
          <w:i/>
          <w:sz w:val="24"/>
          <w:szCs w:val="24"/>
        </w:rPr>
        <w:t xml:space="preserve">Staphyloccus </w:t>
      </w:r>
      <w:r w:rsidR="00CD58A7" w:rsidRPr="00CD58A7">
        <w:rPr>
          <w:i/>
          <w:sz w:val="24"/>
          <w:szCs w:val="24"/>
        </w:rPr>
        <w:t>epidermidis</w:t>
      </w:r>
      <w:r w:rsidR="00CD58A7">
        <w:rPr>
          <w:sz w:val="24"/>
          <w:szCs w:val="24"/>
        </w:rPr>
        <w:t>)</w:t>
      </w:r>
      <w:r w:rsidR="00CD58A7">
        <w:rPr>
          <w:i/>
          <w:sz w:val="24"/>
          <w:szCs w:val="24"/>
        </w:rPr>
        <w:t xml:space="preserve"> </w:t>
      </w:r>
      <w:r>
        <w:rPr>
          <w:sz w:val="24"/>
          <w:szCs w:val="24"/>
        </w:rPr>
        <w:t xml:space="preserve">in the </w:t>
      </w:r>
      <w:r w:rsidR="006E4B38">
        <w:rPr>
          <w:sz w:val="24"/>
          <w:szCs w:val="24"/>
        </w:rPr>
        <w:t xml:space="preserve">PPL </w:t>
      </w:r>
      <w:r>
        <w:rPr>
          <w:sz w:val="24"/>
          <w:szCs w:val="24"/>
        </w:rPr>
        <w:t xml:space="preserve">samples </w:t>
      </w:r>
      <w:r w:rsidR="009B7AA6">
        <w:rPr>
          <w:sz w:val="24"/>
          <w:szCs w:val="24"/>
        </w:rPr>
        <w:t>is problematic since</w:t>
      </w:r>
      <w:r w:rsidR="00FE158C">
        <w:rPr>
          <w:sz w:val="24"/>
          <w:szCs w:val="24"/>
        </w:rPr>
        <w:t xml:space="preserve"> </w:t>
      </w:r>
      <w:r w:rsidR="00287DAE">
        <w:rPr>
          <w:sz w:val="24"/>
          <w:szCs w:val="24"/>
        </w:rPr>
        <w:t xml:space="preserve">their origin remains unclear. </w:t>
      </w:r>
      <w:r w:rsidR="000C40C3">
        <w:rPr>
          <w:sz w:val="24"/>
          <w:szCs w:val="24"/>
        </w:rPr>
        <w:t xml:space="preserve">However, the curation history for the PPL samples may provide some insight. </w:t>
      </w:r>
      <w:r w:rsidR="009B7AA6">
        <w:rPr>
          <w:sz w:val="24"/>
          <w:szCs w:val="24"/>
        </w:rPr>
        <w:t>For instance, t</w:t>
      </w:r>
      <w:r w:rsidR="00F2732B" w:rsidRPr="00FB2F5B">
        <w:rPr>
          <w:sz w:val="24"/>
          <w:szCs w:val="24"/>
        </w:rPr>
        <w:t>he</w:t>
      </w:r>
      <w:r w:rsidR="00320966">
        <w:rPr>
          <w:sz w:val="24"/>
          <w:szCs w:val="24"/>
        </w:rPr>
        <w:t>se samples</w:t>
      </w:r>
      <w:r w:rsidR="00F2732B" w:rsidRPr="00FB2F5B">
        <w:rPr>
          <w:sz w:val="24"/>
          <w:szCs w:val="24"/>
        </w:rPr>
        <w:t xml:space="preserve"> have been handled for archaeological</w:t>
      </w:r>
      <w:r>
        <w:rPr>
          <w:sz w:val="24"/>
          <w:szCs w:val="24"/>
        </w:rPr>
        <w:t>,</w:t>
      </w:r>
      <w:r w:rsidR="00F2732B" w:rsidRPr="00FB2F5B">
        <w:rPr>
          <w:sz w:val="24"/>
          <w:szCs w:val="24"/>
        </w:rPr>
        <w:t xml:space="preserve"> osteological</w:t>
      </w:r>
      <w:r>
        <w:rPr>
          <w:sz w:val="24"/>
          <w:szCs w:val="24"/>
        </w:rPr>
        <w:t>, and isotopic</w:t>
      </w:r>
      <w:r w:rsidR="00F2732B" w:rsidRPr="00FB2F5B">
        <w:rPr>
          <w:sz w:val="24"/>
          <w:szCs w:val="24"/>
        </w:rPr>
        <w:t xml:space="preserve"> analyses </w:t>
      </w:r>
      <w:r w:rsidR="00F2732B" w:rsidRPr="00FB2F5B">
        <w:rPr>
          <w:sz w:val="24"/>
          <w:szCs w:val="24"/>
        </w:rPr>
        <w:fldChar w:fldCharType="begin"/>
      </w:r>
      <w:r w:rsidR="009E7FE4">
        <w:rPr>
          <w:sz w:val="24"/>
          <w:szCs w:val="24"/>
        </w:rPr>
        <w:instrText xml:space="preserve"> ADDIN ZOTERO_ITEM CSL_CITATION {"citationID":"gXhYEPuh","properties":{"formattedCitation":"(Spence and Pereira 2007; Sugiyama, Cabrera, and L\\uc0\\u243{}pez 2004; Sugiyama, Somerville, and Schoeninger 2015)","plainCitation":"(Spence and Pereira 2007; Sugiyama, Cabrera, and López 2004; Sugiyama, Somerville, and Schoeninger 2015)","dontUpdate":true,"noteIndex":0},"citationItems":[{"id":600,"uris":["http://zotero.org/users/4461938/items/G8VJDWTK"],"uri":["http://zotero.org/users/4461938/items/G8VJDWTK"],"itemData":{"id":600,"type":"article-journal","title":"The human skeletal remains of the Moon Pyramid, Teotihuacan","container-title":"Ancient Mesoamerica","page":"147-157","volume":"18","issue":"1","author":[{"family":"Spence","given":"Michael W."},{"family":"Pereira","given":"Grégory"}],"issued":{"date-parts":[["2007"]]}}},{"id":394,"uris":["http://zotero.org/users/4461938/items/4I7H6PMV"],"uri":["http://zotero.org/users/4461938/items/4I7H6PMV"],"itemData":{"id":394,"type":"article-journal","title":"The Moon Pyramid Burials","container-title":"Voyage to the Center of the Moon Pyramid: Recent Discoveries in Teotihuacan","page":"20-30","author":[{"family":"Sugiyama","given":"Saburo"},{"family":"Cabrera","given":"R."},{"family":"López","given":"L."}],"issued":{"date-parts":[["2004"]]}}},{"id":259,"uris":["http://zotero.org/users/4461938/items/EZEQ7BTK"],"uri":["http://zotero.org/users/4461938/items/EZEQ7BTK"],"itemData":{"id":259,"type":"article-journal","title":"Stable isotopes and zooarchaeology at Teotihuacan, Mexico reveal earliest evidence of wild carnivore management in Mesoamerica","container-title":"PloS one","page":"e0135635","volume":"10","issue":"9","ISSN":"1932-6203","journalAbbreviation":"PloS one","author":[{"family":"Sugiyama","given":"Nawa"},{"family":"Somerville","given":"Andrew D"},{"family":"Schoeninger","given":"Margaret J"}],"issued":{"date-parts":[["2015"]]}}}],"schema":"https://github.com/citation-style-language/schema/raw/master/csl-citation.json"} </w:instrText>
      </w:r>
      <w:r w:rsidR="00F2732B" w:rsidRPr="00FB2F5B">
        <w:rPr>
          <w:sz w:val="24"/>
          <w:szCs w:val="24"/>
        </w:rPr>
        <w:fldChar w:fldCharType="separate"/>
      </w:r>
      <w:r w:rsidR="00F2732B" w:rsidRPr="00FB2F5B">
        <w:rPr>
          <w:sz w:val="24"/>
          <w:szCs w:val="24"/>
        </w:rPr>
        <w:t>(Spence and Pereira 2007; Sugiyama et al. 2004; Sugiyama et al. 2015)</w:t>
      </w:r>
      <w:r w:rsidR="00F2732B" w:rsidRPr="00FB2F5B">
        <w:rPr>
          <w:sz w:val="24"/>
          <w:szCs w:val="24"/>
        </w:rPr>
        <w:fldChar w:fldCharType="end"/>
      </w:r>
      <w:r w:rsidR="00F2732B" w:rsidRPr="00FB2F5B">
        <w:rPr>
          <w:sz w:val="24"/>
          <w:szCs w:val="24"/>
        </w:rPr>
        <w:t xml:space="preserve">. </w:t>
      </w:r>
      <w:r w:rsidR="001D57B9">
        <w:rPr>
          <w:sz w:val="24"/>
          <w:szCs w:val="24"/>
        </w:rPr>
        <w:t xml:space="preserve">Each analysis exposed the dental calculus </w:t>
      </w:r>
      <w:r w:rsidR="000C40C3">
        <w:rPr>
          <w:sz w:val="24"/>
          <w:szCs w:val="24"/>
        </w:rPr>
        <w:t>enhancing their chances of acquiring contaminants</w:t>
      </w:r>
      <w:r w:rsidR="001D57B9">
        <w:rPr>
          <w:sz w:val="24"/>
          <w:szCs w:val="24"/>
        </w:rPr>
        <w:t xml:space="preserve">. </w:t>
      </w:r>
      <w:r w:rsidR="00672D78">
        <w:rPr>
          <w:sz w:val="24"/>
          <w:szCs w:val="24"/>
        </w:rPr>
        <w:t xml:space="preserve">The samples were treated with UV irradiation </w:t>
      </w:r>
      <w:r w:rsidR="00293162">
        <w:rPr>
          <w:sz w:val="24"/>
          <w:szCs w:val="24"/>
        </w:rPr>
        <w:t xml:space="preserve">in the lab </w:t>
      </w:r>
      <w:r w:rsidR="00672D78">
        <w:rPr>
          <w:sz w:val="24"/>
          <w:szCs w:val="24"/>
        </w:rPr>
        <w:t xml:space="preserve">but research has shown that this method as well as HCl treatment fails to completely eliminate contamination </w:t>
      </w:r>
      <w:r w:rsidR="00672D78">
        <w:rPr>
          <w:sz w:val="24"/>
          <w:szCs w:val="24"/>
        </w:rPr>
        <w:fldChar w:fldCharType="begin"/>
      </w:r>
      <w:r w:rsidR="00672D78">
        <w:rPr>
          <w:sz w:val="24"/>
          <w:szCs w:val="24"/>
        </w:rPr>
        <w:instrText xml:space="preserve"> ADDIN ZOTERO_ITEM CSL_CITATION {"citationID":"NCd3F4BG","properties":{"formattedCitation":"(Malmstr\\uc0\\u246{}m et al., 2005)","plainCitation":"(Malmström et al., 2005)","noteIndex":0},"citationItems":[{"id":1183,"uris":["http://zotero.org/users/4461938/items/WIHT8KM2"],"uri":["http://zotero.org/users/4461938/items/WIHT8KM2"],"itemData":{"id":1183,"type":"article-journal","title":"Extensive Human DNA Contamination in Extracts from Ancient Dog Bones and Teeth","container-title":"Molecular Biology and Evolution","page":"2040-2047","volume":"22","issue":"10","source":"academic.oup.com","abstract":"Abstract.  Ancient DNA (aDNA) sequences, especially those of human origin, are notoriously difficult to analyze due to molecular damage and exogenous DNA contam","DOI":"10.1093/molbev/msi195","ISSN":"0737-4038","journalAbbreviation":"Mol Biol Evol","language":"en","author":[{"family":"Malmström","given":"Helena"},{"family":"Storå","given":"Jan"},{"family":"Dalén","given":"Love"},{"family":"Holmlund","given":"Gunilla"},{"family":"Götherström","given":"Anders"}],"issued":{"date-parts":[["2005",10,1]]}}}],"schema":"https://github.com/citation-style-language/schema/raw/master/csl-citation.json"} </w:instrText>
      </w:r>
      <w:r w:rsidR="00672D78">
        <w:rPr>
          <w:sz w:val="24"/>
          <w:szCs w:val="24"/>
        </w:rPr>
        <w:fldChar w:fldCharType="separate"/>
      </w:r>
      <w:r w:rsidR="00672D78" w:rsidRPr="00672D78">
        <w:rPr>
          <w:sz w:val="24"/>
          <w:szCs w:val="24"/>
        </w:rPr>
        <w:t>(Malmström et al., 2005)</w:t>
      </w:r>
      <w:r w:rsidR="00672D78">
        <w:rPr>
          <w:sz w:val="24"/>
          <w:szCs w:val="24"/>
        </w:rPr>
        <w:fldChar w:fldCharType="end"/>
      </w:r>
      <w:r w:rsidR="00672D78">
        <w:rPr>
          <w:sz w:val="24"/>
          <w:szCs w:val="24"/>
        </w:rPr>
        <w:t xml:space="preserve">. </w:t>
      </w:r>
      <w:r w:rsidR="00CD58A7">
        <w:rPr>
          <w:sz w:val="24"/>
          <w:szCs w:val="24"/>
        </w:rPr>
        <w:t>T</w:t>
      </w:r>
      <w:r w:rsidR="00E66AF1">
        <w:rPr>
          <w:sz w:val="24"/>
          <w:szCs w:val="24"/>
        </w:rPr>
        <w:t xml:space="preserve">he contamination could </w:t>
      </w:r>
      <w:r w:rsidR="00C8725B">
        <w:rPr>
          <w:sz w:val="24"/>
          <w:szCs w:val="24"/>
        </w:rPr>
        <w:t xml:space="preserve">also </w:t>
      </w:r>
      <w:r w:rsidR="00E66AF1">
        <w:rPr>
          <w:sz w:val="24"/>
          <w:szCs w:val="24"/>
        </w:rPr>
        <w:t xml:space="preserve">have been introduced during the laboratory process, but </w:t>
      </w:r>
      <w:r w:rsidR="00044D14">
        <w:rPr>
          <w:sz w:val="24"/>
          <w:szCs w:val="24"/>
        </w:rPr>
        <w:t xml:space="preserve">this </w:t>
      </w:r>
      <w:r w:rsidR="00E66AF1">
        <w:rPr>
          <w:sz w:val="24"/>
          <w:szCs w:val="24"/>
        </w:rPr>
        <w:t xml:space="preserve">is unlikely </w:t>
      </w:r>
      <w:r w:rsidR="00F3092A">
        <w:rPr>
          <w:sz w:val="24"/>
          <w:szCs w:val="24"/>
        </w:rPr>
        <w:t xml:space="preserve">as </w:t>
      </w:r>
      <w:r w:rsidR="00F2732B" w:rsidRPr="00FB2F5B">
        <w:rPr>
          <w:sz w:val="24"/>
          <w:szCs w:val="24"/>
        </w:rPr>
        <w:t>the skin and soil</w:t>
      </w:r>
      <w:r w:rsidR="009B7AA6">
        <w:rPr>
          <w:sz w:val="24"/>
          <w:szCs w:val="24"/>
        </w:rPr>
        <w:t xml:space="preserve"> taxa</w:t>
      </w:r>
      <w:r w:rsidR="00F2732B" w:rsidRPr="00FB2F5B">
        <w:rPr>
          <w:sz w:val="24"/>
          <w:szCs w:val="24"/>
        </w:rPr>
        <w:t xml:space="preserve"> identified in the Moon Pyramid samples </w:t>
      </w:r>
      <w:r w:rsidR="00F3092A">
        <w:rPr>
          <w:sz w:val="24"/>
          <w:szCs w:val="24"/>
        </w:rPr>
        <w:t>were not</w:t>
      </w:r>
      <w:r w:rsidR="00F2732B" w:rsidRPr="00FB2F5B">
        <w:rPr>
          <w:sz w:val="24"/>
          <w:szCs w:val="24"/>
        </w:rPr>
        <w:t xml:space="preserve"> identified in the extraction blanks</w:t>
      </w:r>
      <w:r w:rsidR="00F3092A">
        <w:rPr>
          <w:sz w:val="24"/>
          <w:szCs w:val="24"/>
        </w:rPr>
        <w:t xml:space="preserve"> nor in the PPCC sample</w:t>
      </w:r>
      <w:r w:rsidR="000C40C3">
        <w:rPr>
          <w:sz w:val="24"/>
          <w:szCs w:val="24"/>
        </w:rPr>
        <w:t xml:space="preserve"> (Table 3)</w:t>
      </w:r>
      <w:r w:rsidR="001D57B9">
        <w:rPr>
          <w:sz w:val="24"/>
          <w:szCs w:val="24"/>
        </w:rPr>
        <w:t>. The PPCC sample was excavated in 2017</w:t>
      </w:r>
      <w:r w:rsidR="00293162">
        <w:rPr>
          <w:sz w:val="24"/>
          <w:szCs w:val="24"/>
        </w:rPr>
        <w:t>,</w:t>
      </w:r>
      <w:r w:rsidR="001D57B9">
        <w:rPr>
          <w:sz w:val="24"/>
          <w:szCs w:val="24"/>
        </w:rPr>
        <w:t xml:space="preserve"> subsampled shortly after excavation</w:t>
      </w:r>
      <w:r w:rsidR="00293162">
        <w:rPr>
          <w:sz w:val="24"/>
          <w:szCs w:val="24"/>
        </w:rPr>
        <w:t>, and yielded an oral microbiome signature</w:t>
      </w:r>
      <w:r w:rsidR="001D57B9">
        <w:rPr>
          <w:sz w:val="24"/>
          <w:szCs w:val="24"/>
        </w:rPr>
        <w:t>. For this reason, it is recommended that archaeologists who are considering genetic analyses on dental calculus consider subsampling shortly after the materials have been unearthed.</w:t>
      </w:r>
    </w:p>
    <w:p w14:paraId="60C46B34" w14:textId="78026762" w:rsidR="00CD6F1A" w:rsidRPr="00BA48D5" w:rsidRDefault="00CD6F1A" w:rsidP="00BA48D5">
      <w:pPr>
        <w:pStyle w:val="Heading2"/>
        <w:rPr>
          <w:rFonts w:ascii="Times New Roman" w:hAnsi="Times New Roman" w:cs="Times New Roman"/>
          <w:i/>
          <w:color w:val="auto"/>
          <w:sz w:val="24"/>
          <w:szCs w:val="24"/>
        </w:rPr>
      </w:pPr>
      <w:bookmarkStart w:id="32" w:name="_Toc8404643"/>
      <w:r w:rsidRPr="00BA48D5">
        <w:rPr>
          <w:rFonts w:ascii="Times New Roman" w:hAnsi="Times New Roman" w:cs="Times New Roman"/>
          <w:i/>
          <w:color w:val="auto"/>
          <w:sz w:val="24"/>
          <w:szCs w:val="24"/>
        </w:rPr>
        <w:t>Authentication of the microbial sequences</w:t>
      </w:r>
      <w:bookmarkEnd w:id="32"/>
      <w:r w:rsidR="004A0A8F" w:rsidRPr="00BA48D5">
        <w:rPr>
          <w:rFonts w:ascii="Times New Roman" w:hAnsi="Times New Roman" w:cs="Times New Roman"/>
          <w:i/>
          <w:color w:val="auto"/>
          <w:sz w:val="24"/>
          <w:szCs w:val="24"/>
        </w:rPr>
        <w:t xml:space="preserve"> </w:t>
      </w:r>
      <w:r w:rsidRPr="00BA48D5">
        <w:rPr>
          <w:rFonts w:ascii="Times New Roman" w:hAnsi="Times New Roman" w:cs="Times New Roman"/>
          <w:i/>
          <w:color w:val="auto"/>
          <w:sz w:val="24"/>
          <w:szCs w:val="24"/>
        </w:rPr>
        <w:t xml:space="preserve"> </w:t>
      </w:r>
    </w:p>
    <w:p w14:paraId="1544157A" w14:textId="2FAEDFDF" w:rsidR="00C42057" w:rsidRDefault="0001238C" w:rsidP="0001238C">
      <w:pPr>
        <w:spacing w:line="480" w:lineRule="auto"/>
        <w:ind w:firstLine="720"/>
        <w:rPr>
          <w:sz w:val="24"/>
          <w:szCs w:val="24"/>
        </w:rPr>
      </w:pPr>
      <w:r>
        <w:rPr>
          <w:sz w:val="24"/>
          <w:szCs w:val="24"/>
        </w:rPr>
        <w:t>The microbial DNA obtained from the PPCC and PPL dental calculus samples derives from distinct communities</w:t>
      </w:r>
      <w:r w:rsidR="00C341C9">
        <w:rPr>
          <w:sz w:val="24"/>
          <w:szCs w:val="24"/>
        </w:rPr>
        <w:t xml:space="preserve"> (</w:t>
      </w:r>
      <w:r w:rsidR="00C8371F">
        <w:rPr>
          <w:sz w:val="24"/>
          <w:szCs w:val="24"/>
        </w:rPr>
        <w:t>i</w:t>
      </w:r>
      <w:r w:rsidR="00C341C9">
        <w:rPr>
          <w:sz w:val="24"/>
          <w:szCs w:val="24"/>
        </w:rPr>
        <w:t>.</w:t>
      </w:r>
      <w:r w:rsidR="00C8371F">
        <w:rPr>
          <w:sz w:val="24"/>
          <w:szCs w:val="24"/>
        </w:rPr>
        <w:t>e</w:t>
      </w:r>
      <w:r w:rsidR="00C341C9">
        <w:rPr>
          <w:sz w:val="24"/>
          <w:szCs w:val="24"/>
        </w:rPr>
        <w:t>. calculus, soil and skin)</w:t>
      </w:r>
      <w:r w:rsidR="00F148D4">
        <w:rPr>
          <w:sz w:val="24"/>
          <w:szCs w:val="24"/>
        </w:rPr>
        <w:t xml:space="preserve"> (Figure 14)</w:t>
      </w:r>
      <w:r>
        <w:rPr>
          <w:sz w:val="24"/>
          <w:szCs w:val="24"/>
        </w:rPr>
        <w:t xml:space="preserve">. </w:t>
      </w:r>
      <w:r w:rsidR="00C8725B">
        <w:rPr>
          <w:sz w:val="24"/>
          <w:szCs w:val="24"/>
        </w:rPr>
        <w:t>In the past, d</w:t>
      </w:r>
      <w:r w:rsidR="009069CC">
        <w:rPr>
          <w:sz w:val="24"/>
          <w:szCs w:val="24"/>
        </w:rPr>
        <w:t xml:space="preserve">ental calculus studies used SourceTracker </w:t>
      </w:r>
      <w:r w:rsidR="007B0E88">
        <w:rPr>
          <w:sz w:val="24"/>
          <w:szCs w:val="24"/>
        </w:rPr>
        <w:t>to</w:t>
      </w:r>
      <w:r w:rsidR="009069CC">
        <w:rPr>
          <w:sz w:val="24"/>
          <w:szCs w:val="24"/>
        </w:rPr>
        <w:t xml:space="preserve"> </w:t>
      </w:r>
      <w:r w:rsidR="00672D78">
        <w:rPr>
          <w:sz w:val="24"/>
          <w:szCs w:val="24"/>
        </w:rPr>
        <w:t>predict</w:t>
      </w:r>
      <w:r w:rsidR="009069CC">
        <w:rPr>
          <w:sz w:val="24"/>
          <w:szCs w:val="24"/>
        </w:rPr>
        <w:t xml:space="preserve"> the proportion of </w:t>
      </w:r>
      <w:r w:rsidR="00F148D4">
        <w:rPr>
          <w:sz w:val="24"/>
          <w:szCs w:val="24"/>
        </w:rPr>
        <w:t xml:space="preserve">the community attributable to dental </w:t>
      </w:r>
      <w:r w:rsidR="00F148D4">
        <w:rPr>
          <w:sz w:val="24"/>
          <w:szCs w:val="24"/>
        </w:rPr>
        <w:lastRenderedPageBreak/>
        <w:t>plaque w</w:t>
      </w:r>
      <w:r w:rsidR="009069CC">
        <w:rPr>
          <w:sz w:val="24"/>
          <w:szCs w:val="24"/>
        </w:rPr>
        <w:t xml:space="preserve">ithin a dental calculus sample </w:t>
      </w:r>
      <w:r w:rsidR="009069CC">
        <w:rPr>
          <w:sz w:val="24"/>
          <w:szCs w:val="24"/>
        </w:rPr>
        <w:fldChar w:fldCharType="begin"/>
      </w:r>
      <w:r w:rsidR="009069CC">
        <w:rPr>
          <w:sz w:val="24"/>
          <w:szCs w:val="24"/>
        </w:rPr>
        <w:instrText xml:space="preserve"> ADDIN ZOTERO_ITEM CSL_CITATION {"citationID":"Gut7qRIS","properties":{"formattedCitation":"(Mann et al., 2018; Warinner et al., 2014)","plainCitation":"(Mann et al., 2018; Warinner et al., 2014)","noteIndex":0},"citationItems":[{"id":428,"uris":["http://zotero.org/users/4461938/items/WVIA9HQ4"],"uri":["http://zotero.org/users/4461938/items/WVIA9HQ4"],"itemData":{"id":428,"type":"article-journal","title":"Differential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Y."},{"family":"Fiddyment","given":"Sarah"}],"issued":{"date-parts":[["2014"]]}}}],"schema":"https://github.com/citation-style-language/schema/raw/master/csl-citation.json"} </w:instrText>
      </w:r>
      <w:r w:rsidR="009069CC">
        <w:rPr>
          <w:sz w:val="24"/>
          <w:szCs w:val="24"/>
        </w:rPr>
        <w:fldChar w:fldCharType="separate"/>
      </w:r>
      <w:r w:rsidR="009069CC" w:rsidRPr="009069CC">
        <w:rPr>
          <w:sz w:val="24"/>
        </w:rPr>
        <w:t>(Mann et al., 2018; Warinner et al., 2014)</w:t>
      </w:r>
      <w:r w:rsidR="009069CC">
        <w:rPr>
          <w:sz w:val="24"/>
          <w:szCs w:val="24"/>
        </w:rPr>
        <w:fldChar w:fldCharType="end"/>
      </w:r>
      <w:r w:rsidR="009069CC">
        <w:rPr>
          <w:sz w:val="24"/>
          <w:szCs w:val="24"/>
        </w:rPr>
        <w:t xml:space="preserve">. </w:t>
      </w:r>
      <w:r w:rsidR="00C8371F">
        <w:rPr>
          <w:sz w:val="24"/>
          <w:szCs w:val="24"/>
        </w:rPr>
        <w:t>Since the rapid accumulation of ancient dental calculus sequence data, t</w:t>
      </w:r>
      <w:r w:rsidR="009069CC">
        <w:rPr>
          <w:sz w:val="24"/>
          <w:szCs w:val="24"/>
        </w:rPr>
        <w:t xml:space="preserve">his </w:t>
      </w:r>
      <w:r w:rsidR="00C8725B">
        <w:rPr>
          <w:sz w:val="24"/>
          <w:szCs w:val="24"/>
        </w:rPr>
        <w:t xml:space="preserve">current </w:t>
      </w:r>
      <w:r w:rsidR="009069CC">
        <w:rPr>
          <w:sz w:val="24"/>
          <w:szCs w:val="24"/>
        </w:rPr>
        <w:t xml:space="preserve">study is unique in that it used </w:t>
      </w:r>
      <w:r w:rsidR="009B7AA6">
        <w:rPr>
          <w:sz w:val="24"/>
          <w:szCs w:val="24"/>
        </w:rPr>
        <w:t xml:space="preserve">source data from </w:t>
      </w:r>
      <w:r w:rsidR="009069CC">
        <w:rPr>
          <w:sz w:val="24"/>
          <w:szCs w:val="24"/>
        </w:rPr>
        <w:t xml:space="preserve">dental calculus </w:t>
      </w:r>
      <w:r w:rsidR="009069CC">
        <w:rPr>
          <w:sz w:val="24"/>
          <w:szCs w:val="24"/>
        </w:rPr>
        <w:fldChar w:fldCharType="begin"/>
      </w:r>
      <w:r w:rsidR="009069CC">
        <w:rPr>
          <w:sz w:val="24"/>
          <w:szCs w:val="24"/>
        </w:rPr>
        <w:instrText xml:space="preserve"> ADDIN ZOTERO_ITEM CSL_CITATION {"citationID":"LZLFTTOc","properties":{"formattedCitation":"(Mann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w:instrText>
      </w:r>
      <w:r w:rsidR="009069CC" w:rsidRPr="009069CC">
        <w:rPr>
          <w:sz w:val="24"/>
          <w:szCs w:val="24"/>
          <w:lang w:val="fr-FR"/>
        </w:rPr>
        <w:instrText xml:space="preserve">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9069CC">
        <w:rPr>
          <w:sz w:val="24"/>
          <w:szCs w:val="24"/>
        </w:rPr>
        <w:fldChar w:fldCharType="separate"/>
      </w:r>
      <w:r w:rsidR="009069CC" w:rsidRPr="009069CC">
        <w:rPr>
          <w:sz w:val="24"/>
          <w:lang w:val="fr-FR"/>
        </w:rPr>
        <w:t>(Mann et al., 2018; Weyrich et al., 2017)</w:t>
      </w:r>
      <w:r w:rsidR="009069CC">
        <w:rPr>
          <w:sz w:val="24"/>
          <w:szCs w:val="24"/>
        </w:rPr>
        <w:fldChar w:fldCharType="end"/>
      </w:r>
      <w:r w:rsidR="009069CC">
        <w:rPr>
          <w:sz w:val="24"/>
          <w:szCs w:val="24"/>
          <w:lang w:val="fr-FR"/>
        </w:rPr>
        <w:t xml:space="preserve">, </w:t>
      </w:r>
      <w:r w:rsidR="009069CC" w:rsidRPr="009069CC">
        <w:rPr>
          <w:sz w:val="24"/>
          <w:szCs w:val="24"/>
          <w:lang w:val="fr-FR"/>
        </w:rPr>
        <w:t xml:space="preserve">plaque </w:t>
      </w:r>
      <w:r w:rsidR="009069CC">
        <w:rPr>
          <w:sz w:val="24"/>
          <w:szCs w:val="24"/>
        </w:rPr>
        <w:fldChar w:fldCharType="begin"/>
      </w:r>
      <w:r w:rsidR="009069CC" w:rsidRPr="009069CC">
        <w:rPr>
          <w:sz w:val="24"/>
          <w:szCs w:val="24"/>
          <w:lang w:val="fr-FR"/>
        </w:rPr>
        <w:instrText xml:space="preserve"> ADDIN ZOTERO_ITEM CSL_CITATION {"citationID":"grxTiMpo","properties":{"formattedCitation":"(Lloyd-Price et al., 2017)","plainCitation":"(Lloyd-Price et al., 2017)","noteIndex":0},"citationItems":[{"id":432,"uris":["http://zotero.org/users/4461938/items/TPM56BVQ"],"uri":["http://zotero.org/users/4461938/items/TPM56BVQ"],"itemData":{"id":432,"type":"article-journal","title":"Strains, functions and dynamics in the expanded Human Microbiome Project","container-title":"Nature","page":"61-66","volume":"550","issue":"7674","source":"www-nature-com.ezproxy.lib.ou.edu","abstract":"The characterization of baseline microbial and functional diversity in the human microbiome has enabled studies of microbiome-related disease, diversity, biogeography, and molecular function. The National Institutes of Health Human Microbiome Project has provided one of the broadest such characterizations so far. Here we introduce a second wave of data from the study, comprising 1,631 new metagenomes (2,355 total) targeting diverse body sites with multiple time points in 265 individuals. We applied updated profiling and assembly methods to provide new characterizations of microbiome personalization. Strain identification revealed subspecies clades specific to body sites; it also quantified species with phylogenetic diversity under-represented in isolate genomes. Body-wide functional profiling classified pathways into universal, human-enriched, and body site-enriched subsets. Finally, temporal analysis decomposed microbial variation into rapidly variable, moderately variable, and stable subsets. This study furthers our knowledge of baseline human microbial diversity and enables an understanding of personalized microbiome function and dynamics.","DOI":"10.1038/nature23889","ISSN":"1476-4687","language":"en","author":[{"family":"Lloyd-Price","given":"Jason"},{"family":"Mahurkar","given":"Anup"},{"family":"Rahnavard","given":"Gholamali"},{"family":"Crabtree","given":"Jonathan"},{"family":"Orvis","given":"Joshua"},{"family":"Hall","given":"A. Brantley"},{"family":"Brady","given":"Arthur"},{"family":"Creasy","given":"Heather H."},{"family":"McCracken","given":"Carrie"},{"family":"Giglio","given":"Michelle G."},{"family":"McDonald","given":"Daniel"},{"family":"Franzosa","given":"Eric A."},{"family":"Knight","given":"Rob"},{"family":"White","given":"Owen"},{"family":"Huttenhower","given":"Curtis"}],"issued":{"date-parts":[["2017",10]]}}}],"schema":"https://github.com/citation-style-language/schema/raw/master/csl-citation.json"} </w:instrText>
      </w:r>
      <w:r w:rsidR="009069CC">
        <w:rPr>
          <w:sz w:val="24"/>
          <w:szCs w:val="24"/>
        </w:rPr>
        <w:fldChar w:fldCharType="separate"/>
      </w:r>
      <w:r w:rsidR="009069CC" w:rsidRPr="009069CC">
        <w:rPr>
          <w:sz w:val="24"/>
          <w:lang w:val="fr-FR"/>
        </w:rPr>
        <w:t>(Lloyd-Price et al., 2017)</w:t>
      </w:r>
      <w:r w:rsidR="009069CC">
        <w:rPr>
          <w:sz w:val="24"/>
          <w:szCs w:val="24"/>
        </w:rPr>
        <w:fldChar w:fldCharType="end"/>
      </w:r>
      <w:r w:rsidR="009069CC" w:rsidRPr="009069CC">
        <w:rPr>
          <w:sz w:val="24"/>
          <w:szCs w:val="24"/>
          <w:lang w:val="fr-FR"/>
        </w:rPr>
        <w:t xml:space="preserve">, and saliva </w:t>
      </w:r>
      <w:r w:rsidR="009069CC">
        <w:rPr>
          <w:sz w:val="24"/>
          <w:szCs w:val="24"/>
        </w:rPr>
        <w:fldChar w:fldCharType="begin"/>
      </w:r>
      <w:r w:rsidR="009069CC" w:rsidRPr="009069CC">
        <w:rPr>
          <w:sz w:val="24"/>
          <w:szCs w:val="24"/>
          <w:lang w:val="fr-FR"/>
        </w:rPr>
        <w:instrText xml:space="preserve"> ADDIN ZOTERO_ITEM CSL_CITATION {"citationID":"fKFebyus","properties":{"formattedCitation":"(Aleti et al., 2018; Lassalle et al., 2018)","plainCitation":"(Aleti et al., 2018; Lassalle et al., 2018)","noteIndex":0},"citationItems":[{"id":949,"uris":["http://zotero.org/users/4461938/items/5DE8MUMQ"],"uri":["http://zotero.org/users/4461938/items/5DE8MUMQ"],"itemData":{"id":949,"type":"article-journal","title":"Identification of the bact</w:instrText>
      </w:r>
      <w:r w:rsidR="009069CC" w:rsidRPr="00BC4418">
        <w:rPr>
          <w:sz w:val="24"/>
          <w:szCs w:val="24"/>
        </w:rPr>
        <w:instrText>erial biosynthetic gene clusters of the oral microbiome illuminates the unexplored social language of bacteria during health and disease","container-title":"bioRxiv","page":"431510","author":[{"family":"Aleti","given":"Gajender"},{"family":"Baker","given":"Jonathon L."},{"family":"Tang","given":"Xiaoyu"},{"family":"Alvarez","given":"Ruth"},{"family":"Dinis","given":"Márcia"},{"family":"Tran","given":"Nini C."},{"family":"Melnik","given":"Alexey V."},{"family":"Zhong","given":"Cuncong"},{"family":"Ernst","given":"Madeleine"},{"family":"Dorrestein","given":"Pieter C."}],"issued":{"date-parts":[["2018"]]}}},{"id":940,"uris":["http://zotero.org/users/4461938/items/JCLIPAG9"],"uri":["http://zotero.org/users/4461938/items/JCLIPAG9"],"itemData":{"id":940,"type":"article-journal","title":"Oral microbiomes from hunter‐gatherers and traditional farmers reveal shifts in commensal balance and pathogen load linked to diet","container-title":"Molecular ecology","page":"182-195","volume":"27","issue":"1","author":[{"famil</w:instrText>
      </w:r>
      <w:r w:rsidR="009069CC" w:rsidRPr="009069CC">
        <w:rPr>
          <w:sz w:val="24"/>
          <w:szCs w:val="24"/>
        </w:rPr>
        <w:instrText xml:space="preserve">y":"Lassalle","given":"Florent"},{"family":"Spagnoletti","given":"Matteo"},{"family":"Fumagalli","given":"Matteo"},{"family":"Shaw","given":"Liam"},{"family":"Dyble","given":"Mark"},{"family":"Walker","given":"Catherine"},{"family":"Thomas","given":"Mark G."},{"family":"Bamberg Migliano","given":"Andrea"},{"family":"Balloux","given":"Francois"}],"issued":{"date-parts":[["2018"]]}}}],"schema":"https://github.com/citation-style-language/schema/raw/master/csl-citation.json"} </w:instrText>
      </w:r>
      <w:r w:rsidR="009069CC">
        <w:rPr>
          <w:sz w:val="24"/>
          <w:szCs w:val="24"/>
        </w:rPr>
        <w:fldChar w:fldCharType="separate"/>
      </w:r>
      <w:r w:rsidR="009069CC" w:rsidRPr="009069CC">
        <w:rPr>
          <w:sz w:val="24"/>
        </w:rPr>
        <w:t>(Aleti et al., 2018; Lassalle et al., 2018)</w:t>
      </w:r>
      <w:r w:rsidR="009069CC">
        <w:rPr>
          <w:sz w:val="24"/>
          <w:szCs w:val="24"/>
        </w:rPr>
        <w:fldChar w:fldCharType="end"/>
      </w:r>
      <w:r w:rsidR="009069CC">
        <w:rPr>
          <w:sz w:val="24"/>
          <w:szCs w:val="24"/>
        </w:rPr>
        <w:t xml:space="preserve"> as sources. The </w:t>
      </w:r>
      <w:r w:rsidRPr="009069CC">
        <w:rPr>
          <w:sz w:val="24"/>
          <w:szCs w:val="24"/>
        </w:rPr>
        <w:t xml:space="preserve">SourceTracker </w:t>
      </w:r>
      <w:r w:rsidR="00C8371F">
        <w:rPr>
          <w:sz w:val="24"/>
          <w:szCs w:val="24"/>
        </w:rPr>
        <w:t xml:space="preserve">analysis predicted </w:t>
      </w:r>
      <w:r w:rsidR="009069CC">
        <w:rPr>
          <w:sz w:val="24"/>
          <w:szCs w:val="24"/>
        </w:rPr>
        <w:t>97.4%</w:t>
      </w:r>
      <w:r w:rsidR="00C8371F">
        <w:rPr>
          <w:sz w:val="24"/>
          <w:szCs w:val="24"/>
        </w:rPr>
        <w:t xml:space="preserve"> of the </w:t>
      </w:r>
      <w:r w:rsidRPr="009069CC">
        <w:rPr>
          <w:sz w:val="24"/>
          <w:szCs w:val="24"/>
        </w:rPr>
        <w:t xml:space="preserve">PPCC </w:t>
      </w:r>
      <w:r w:rsidR="00C8371F">
        <w:rPr>
          <w:sz w:val="24"/>
          <w:szCs w:val="24"/>
        </w:rPr>
        <w:t xml:space="preserve">community could be attributed to </w:t>
      </w:r>
      <w:r w:rsidRPr="009069CC">
        <w:rPr>
          <w:sz w:val="24"/>
          <w:szCs w:val="24"/>
        </w:rPr>
        <w:t xml:space="preserve">dental calculus </w:t>
      </w:r>
      <w:r w:rsidRPr="00B556BE">
        <w:rPr>
          <w:sz w:val="24"/>
          <w:szCs w:val="24"/>
        </w:rPr>
        <w:fldChar w:fldCharType="begin"/>
      </w:r>
      <w:r w:rsidRPr="009069CC">
        <w:rPr>
          <w:sz w:val="24"/>
          <w:szCs w:val="24"/>
        </w:rPr>
        <w:instrText xml:space="preserve"> ADDIN ZOTERO_ITEM CSL_CITATION {"citationID":"5qYbJ6Wk","properties":{"formattedCitation":"(Mann et al., 2018; Weyrich et al., 2017)","plainCitation":"(Mann et al., 2018;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w:instrText>
      </w:r>
      <w:r w:rsidRPr="00B556BE">
        <w:rPr>
          <w:sz w:val="24"/>
          <w:szCs w:val="24"/>
        </w:rPr>
        <w:instrText xml:space="preserve">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Pr="00B556BE">
        <w:rPr>
          <w:sz w:val="24"/>
          <w:szCs w:val="24"/>
        </w:rPr>
        <w:fldChar w:fldCharType="separate"/>
      </w:r>
      <w:r w:rsidRPr="00B556BE">
        <w:rPr>
          <w:sz w:val="24"/>
        </w:rPr>
        <w:t>(Mann et al., 2018; Weyrich et al., 2017)</w:t>
      </w:r>
      <w:r w:rsidRPr="00B556BE">
        <w:rPr>
          <w:sz w:val="24"/>
          <w:szCs w:val="24"/>
        </w:rPr>
        <w:fldChar w:fldCharType="end"/>
      </w:r>
      <w:r w:rsidRPr="00B556BE">
        <w:rPr>
          <w:sz w:val="24"/>
          <w:szCs w:val="24"/>
        </w:rPr>
        <w:t>. By contrast, microbial DNA within the PPL sample</w:t>
      </w:r>
      <w:r w:rsidR="00C8725B">
        <w:rPr>
          <w:sz w:val="24"/>
          <w:szCs w:val="24"/>
        </w:rPr>
        <w:t>s</w:t>
      </w:r>
      <w:r w:rsidRPr="00B556BE">
        <w:rPr>
          <w:sz w:val="24"/>
          <w:szCs w:val="24"/>
        </w:rPr>
        <w:t xml:space="preserve"> </w:t>
      </w:r>
      <w:r w:rsidR="00C8371F">
        <w:rPr>
          <w:sz w:val="24"/>
          <w:szCs w:val="24"/>
        </w:rPr>
        <w:t>is predicted to be f</w:t>
      </w:r>
      <w:r w:rsidRPr="00B556BE">
        <w:rPr>
          <w:sz w:val="24"/>
          <w:szCs w:val="24"/>
        </w:rPr>
        <w:t>rom soil (</w:t>
      </w:r>
      <m:oMath>
        <m:bar>
          <m:barPr>
            <m:pos m:val="top"/>
            <m:ctrlPr>
              <w:rPr>
                <w:rFonts w:ascii="Cambria Math" w:hAnsi="Cambria Math"/>
                <w:i/>
                <w:sz w:val="24"/>
                <w:szCs w:val="24"/>
              </w:rPr>
            </m:ctrlPr>
          </m:barPr>
          <m:e>
            <m:r>
              <w:rPr>
                <w:rFonts w:ascii="Cambria Math" w:hAnsi="Cambria Math"/>
                <w:sz w:val="24"/>
                <w:szCs w:val="24"/>
              </w:rPr>
              <m:t>X</m:t>
            </m:r>
          </m:e>
        </m:bar>
        <m:r>
          <w:rPr>
            <w:rFonts w:ascii="Cambria Math" w:hAnsi="Cambria Math"/>
            <w:sz w:val="24"/>
            <w:szCs w:val="24"/>
          </w:rPr>
          <m:t>=</m:t>
        </m:r>
      </m:oMath>
      <w:r w:rsidRPr="00B556BE">
        <w:rPr>
          <w:sz w:val="24"/>
          <w:szCs w:val="24"/>
        </w:rPr>
        <w:t>48.38%) and bacteria from unknown sources (</w:t>
      </w:r>
      <m:oMath>
        <m:bar>
          <m:barPr>
            <m:pos m:val="top"/>
            <m:ctrlPr>
              <w:rPr>
                <w:rFonts w:ascii="Cambria Math" w:hAnsi="Cambria Math"/>
                <w:i/>
                <w:sz w:val="24"/>
                <w:szCs w:val="24"/>
              </w:rPr>
            </m:ctrlPr>
          </m:barPr>
          <m:e>
            <m:r>
              <w:rPr>
                <w:rFonts w:ascii="Cambria Math" w:hAnsi="Cambria Math"/>
                <w:sz w:val="24"/>
                <w:szCs w:val="24"/>
              </w:rPr>
              <m:t>X</m:t>
            </m:r>
          </m:e>
        </m:bar>
        <m:r>
          <w:rPr>
            <w:rFonts w:ascii="Cambria Math" w:hAnsi="Cambria Math"/>
            <w:sz w:val="24"/>
            <w:szCs w:val="24"/>
          </w:rPr>
          <m:t xml:space="preserve">= </m:t>
        </m:r>
      </m:oMath>
      <w:r w:rsidRPr="00B556BE">
        <w:rPr>
          <w:sz w:val="24"/>
          <w:szCs w:val="24"/>
        </w:rPr>
        <w:t>41.2%)</w:t>
      </w:r>
      <w:r w:rsidR="00C8371F">
        <w:rPr>
          <w:sz w:val="24"/>
          <w:szCs w:val="24"/>
        </w:rPr>
        <w:t>, with minor contributions from dental calculus</w:t>
      </w:r>
      <w:r w:rsidRPr="00B556BE">
        <w:rPr>
          <w:sz w:val="24"/>
          <w:szCs w:val="24"/>
        </w:rPr>
        <w:t xml:space="preserve">. </w:t>
      </w:r>
      <w:r>
        <w:rPr>
          <w:sz w:val="24"/>
          <w:szCs w:val="24"/>
        </w:rPr>
        <w:t>Thus, th</w:t>
      </w:r>
      <w:r w:rsidR="00C8725B">
        <w:rPr>
          <w:sz w:val="24"/>
          <w:szCs w:val="24"/>
        </w:rPr>
        <w:t>e</w:t>
      </w:r>
      <w:r>
        <w:rPr>
          <w:sz w:val="24"/>
          <w:szCs w:val="24"/>
        </w:rPr>
        <w:t xml:space="preserve"> finding</w:t>
      </w:r>
      <w:r w:rsidR="00C8725B">
        <w:rPr>
          <w:sz w:val="24"/>
          <w:szCs w:val="24"/>
        </w:rPr>
        <w:t>s</w:t>
      </w:r>
      <w:r>
        <w:rPr>
          <w:sz w:val="24"/>
          <w:szCs w:val="24"/>
        </w:rPr>
        <w:t xml:space="preserve"> </w:t>
      </w:r>
      <w:r w:rsidR="00C8725B">
        <w:rPr>
          <w:sz w:val="24"/>
          <w:szCs w:val="24"/>
        </w:rPr>
        <w:t xml:space="preserve">of this study </w:t>
      </w:r>
      <w:r w:rsidR="00E34770">
        <w:rPr>
          <w:sz w:val="24"/>
          <w:szCs w:val="24"/>
        </w:rPr>
        <w:t xml:space="preserve">differs </w:t>
      </w:r>
      <w:r w:rsidR="00C8725B">
        <w:rPr>
          <w:sz w:val="24"/>
          <w:szCs w:val="24"/>
        </w:rPr>
        <w:t>from</w:t>
      </w:r>
      <w:r w:rsidR="00E34770">
        <w:rPr>
          <w:sz w:val="24"/>
          <w:szCs w:val="24"/>
        </w:rPr>
        <w:t xml:space="preserve"> previous studies </w:t>
      </w:r>
      <w:r w:rsidR="00C8725B">
        <w:rPr>
          <w:sz w:val="24"/>
          <w:szCs w:val="24"/>
        </w:rPr>
        <w:t xml:space="preserve">in </w:t>
      </w:r>
      <w:r w:rsidR="00E34770">
        <w:rPr>
          <w:sz w:val="24"/>
          <w:szCs w:val="24"/>
        </w:rPr>
        <w:t xml:space="preserve">that dental calculus </w:t>
      </w:r>
      <w:r w:rsidR="00C8725B">
        <w:rPr>
          <w:sz w:val="24"/>
          <w:szCs w:val="24"/>
        </w:rPr>
        <w:t xml:space="preserve">was </w:t>
      </w:r>
      <w:r w:rsidR="009573E3">
        <w:rPr>
          <w:sz w:val="24"/>
          <w:szCs w:val="24"/>
        </w:rPr>
        <w:t xml:space="preserve">generally </w:t>
      </w:r>
      <w:r w:rsidR="00E34770">
        <w:rPr>
          <w:sz w:val="24"/>
          <w:szCs w:val="24"/>
        </w:rPr>
        <w:t xml:space="preserve">dominated by human-associated oral taxa </w:t>
      </w:r>
      <w:r w:rsidR="00E34770">
        <w:rPr>
          <w:sz w:val="24"/>
          <w:szCs w:val="24"/>
        </w:rPr>
        <w:fldChar w:fldCharType="begin"/>
      </w:r>
      <w:r w:rsidR="00E34770">
        <w:rPr>
          <w:sz w:val="24"/>
          <w:szCs w:val="24"/>
        </w:rPr>
        <w:instrText xml:space="preserve"> ADDIN ZOTERO_ITEM CSL_CITATION {"citationID":"cEdpAIV2","properties":{"formattedCitation":"(Mann et al., 2018; Warinner et al., 2015, 2014)","plainCitation":"(Mann et al., 2018; Warinner et al., 2015, 2014)","noteIndex":0},"citationItems":[{"id":428,"uris":["http://zotero.org/users/4461938/items/WVIA9HQ4"],"uri":["http://zotero.org/users/4461938/items/WVIA9HQ4"],"itemData":{"id":428,"type":"article-journal","title":"Differential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I."},{"family":"Warinner","given":"Christina"}],"issued":{"date-parts":[["2018",6,29]]}}},{"id":271,"uris":["http://zotero.org/users/4461938/items/EQV6K7QB"],"uri":["http://zotero.org/users/4461938/items/EQV6K7QB"],"itemData":{"id":271,"type":"article-journal","title":"A new era in palaeomicrobiology: prospects for ancient dental calculus as a long-term record of the human oral microbiome","container-title":"Phil. Trans. R. Soc. B","page":"20130376","volume":"370","issue":"1660","ISSN":"0962-8436","journalAbbreviation":"Phil. Trans. R. Soc. B","author":[{"family":"Warinner","given":"Christina"},{"family":"Speller","given":"Camilla"},{"family":"Collins","given":"Matthew J"}],"issued":{"date-parts":[["2015"]]}}},{"id":624,"uris":["http://zotero.org/users/4461938/items/PZMVCPAA"],"uri":["http://zotero.org/users/4461938/items/PZMVCPAA"],"itemData":{"id":624,"type":"article-journal","title":"Pathogens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Y."},{"family":"Fiddyment","given":"Sarah"}],"issued":{"date-parts":[["2014"]]}}}],"schema":"https://github.com/citation-style-language/schema/raw/master/csl-citation.json"} </w:instrText>
      </w:r>
      <w:r w:rsidR="00E34770">
        <w:rPr>
          <w:sz w:val="24"/>
          <w:szCs w:val="24"/>
        </w:rPr>
        <w:fldChar w:fldCharType="separate"/>
      </w:r>
      <w:r w:rsidR="00E34770" w:rsidRPr="00E34770">
        <w:rPr>
          <w:sz w:val="24"/>
        </w:rPr>
        <w:t>(Mann et al., 2018; Warinner et al., 2015, 2014)</w:t>
      </w:r>
      <w:r w:rsidR="00E34770">
        <w:rPr>
          <w:sz w:val="24"/>
          <w:szCs w:val="24"/>
        </w:rPr>
        <w:fldChar w:fldCharType="end"/>
      </w:r>
      <w:r w:rsidR="00E34770">
        <w:rPr>
          <w:sz w:val="24"/>
          <w:szCs w:val="24"/>
        </w:rPr>
        <w:t>. The state of DNA preservation found in the PPL samples may also suggest that dental calculus may not retain a robust oral microbial signature</w:t>
      </w:r>
      <w:r w:rsidR="00C8371F">
        <w:rPr>
          <w:sz w:val="24"/>
          <w:szCs w:val="24"/>
        </w:rPr>
        <w:t>.</w:t>
      </w:r>
      <w:r w:rsidR="004A0A8F">
        <w:rPr>
          <w:sz w:val="24"/>
          <w:szCs w:val="24"/>
        </w:rPr>
        <w:t xml:space="preserve"> </w:t>
      </w:r>
    </w:p>
    <w:p w14:paraId="48CF0CB7" w14:textId="76F7DBA7" w:rsidR="0001238C" w:rsidRDefault="00E34770" w:rsidP="001D57B9">
      <w:pPr>
        <w:spacing w:line="480" w:lineRule="auto"/>
        <w:ind w:firstLine="720"/>
        <w:rPr>
          <w:sz w:val="24"/>
          <w:szCs w:val="24"/>
        </w:rPr>
      </w:pPr>
      <w:r>
        <w:rPr>
          <w:sz w:val="24"/>
          <w:szCs w:val="24"/>
        </w:rPr>
        <w:t xml:space="preserve">Since the PPL samples were excavated at the same archaeological site </w:t>
      </w:r>
      <w:r w:rsidR="00C42057">
        <w:rPr>
          <w:sz w:val="24"/>
          <w:szCs w:val="24"/>
        </w:rPr>
        <w:t xml:space="preserve">and date to the same time period </w:t>
      </w:r>
      <w:r>
        <w:rPr>
          <w:sz w:val="24"/>
          <w:szCs w:val="24"/>
        </w:rPr>
        <w:t xml:space="preserve">as the PPCC sample, </w:t>
      </w:r>
      <w:r w:rsidR="00C42057">
        <w:rPr>
          <w:sz w:val="24"/>
          <w:szCs w:val="24"/>
        </w:rPr>
        <w:t xml:space="preserve">it is unlikely that geography has </w:t>
      </w:r>
      <w:r w:rsidR="001D57B9">
        <w:rPr>
          <w:sz w:val="24"/>
          <w:szCs w:val="24"/>
        </w:rPr>
        <w:t xml:space="preserve">had </w:t>
      </w:r>
      <w:r w:rsidR="00C42057">
        <w:rPr>
          <w:sz w:val="24"/>
          <w:szCs w:val="24"/>
        </w:rPr>
        <w:t xml:space="preserve">a significant effect on </w:t>
      </w:r>
      <w:r>
        <w:rPr>
          <w:sz w:val="24"/>
          <w:szCs w:val="24"/>
        </w:rPr>
        <w:t xml:space="preserve">the DNA preservation of </w:t>
      </w:r>
      <w:r w:rsidR="00C42057">
        <w:rPr>
          <w:sz w:val="24"/>
          <w:szCs w:val="24"/>
        </w:rPr>
        <w:t>dental calculus. Burial environment might have had some influence on the differential preservation between the PPCC and PPL samples but more sampling from the Plaza of the Columns Complex as well as other Mesoamerican contexts are needed in order to determine whether the patterns observed for PPL samples are typical.</w:t>
      </w:r>
      <w:r w:rsidR="004A0A8F">
        <w:rPr>
          <w:sz w:val="24"/>
          <w:szCs w:val="24"/>
        </w:rPr>
        <w:t xml:space="preserve"> </w:t>
      </w:r>
      <w:r w:rsidR="00C42057">
        <w:rPr>
          <w:sz w:val="24"/>
          <w:szCs w:val="24"/>
        </w:rPr>
        <w:t xml:space="preserve"> </w:t>
      </w:r>
    </w:p>
    <w:p w14:paraId="650FE14D" w14:textId="62FF0DDE" w:rsidR="00203EDF" w:rsidRPr="00BA48D5" w:rsidRDefault="00203EDF" w:rsidP="00BA48D5">
      <w:pPr>
        <w:pStyle w:val="Heading2"/>
        <w:rPr>
          <w:rFonts w:ascii="Times New Roman" w:hAnsi="Times New Roman" w:cs="Times New Roman"/>
          <w:i/>
          <w:color w:val="auto"/>
          <w:sz w:val="24"/>
          <w:szCs w:val="24"/>
        </w:rPr>
      </w:pPr>
      <w:bookmarkStart w:id="33" w:name="_Toc8404644"/>
      <w:r w:rsidRPr="00BA48D5">
        <w:rPr>
          <w:rFonts w:ascii="Times New Roman" w:hAnsi="Times New Roman" w:cs="Times New Roman"/>
          <w:i/>
          <w:color w:val="auto"/>
          <w:sz w:val="24"/>
          <w:szCs w:val="24"/>
        </w:rPr>
        <w:t xml:space="preserve">Human DNA recovered from the </w:t>
      </w:r>
      <w:r w:rsidR="0052164A" w:rsidRPr="00BA48D5">
        <w:rPr>
          <w:rFonts w:ascii="Times New Roman" w:hAnsi="Times New Roman" w:cs="Times New Roman"/>
          <w:i/>
          <w:color w:val="auto"/>
          <w:sz w:val="24"/>
          <w:szCs w:val="24"/>
        </w:rPr>
        <w:t>Teotihuacan samples</w:t>
      </w:r>
      <w:bookmarkEnd w:id="33"/>
      <w:r w:rsidR="004A0A8F" w:rsidRPr="00BA48D5">
        <w:rPr>
          <w:rFonts w:ascii="Times New Roman" w:hAnsi="Times New Roman" w:cs="Times New Roman"/>
          <w:i/>
          <w:color w:val="auto"/>
          <w:sz w:val="24"/>
          <w:szCs w:val="24"/>
        </w:rPr>
        <w:t xml:space="preserve"> </w:t>
      </w:r>
    </w:p>
    <w:p w14:paraId="28F2A00C" w14:textId="7997650B" w:rsidR="007A30A1" w:rsidRDefault="00036CAA" w:rsidP="007A30A1">
      <w:pPr>
        <w:spacing w:line="480" w:lineRule="auto"/>
        <w:ind w:firstLine="720"/>
        <w:rPr>
          <w:sz w:val="24"/>
          <w:szCs w:val="24"/>
        </w:rPr>
      </w:pPr>
      <w:r>
        <w:rPr>
          <w:sz w:val="24"/>
          <w:szCs w:val="24"/>
        </w:rPr>
        <w:t xml:space="preserve">Previous studies have </w:t>
      </w:r>
      <w:r w:rsidR="00203EDF" w:rsidRPr="00203EDF">
        <w:rPr>
          <w:sz w:val="24"/>
          <w:szCs w:val="24"/>
        </w:rPr>
        <w:t>demonstrated that th</w:t>
      </w:r>
      <w:r w:rsidR="00203EDF">
        <w:rPr>
          <w:sz w:val="24"/>
          <w:szCs w:val="24"/>
        </w:rPr>
        <w:t>e amount of h</w:t>
      </w:r>
      <w:r w:rsidR="00D41429">
        <w:rPr>
          <w:sz w:val="24"/>
          <w:szCs w:val="24"/>
        </w:rPr>
        <w:t xml:space="preserve">uman </w:t>
      </w:r>
      <w:r w:rsidR="00203EDF">
        <w:rPr>
          <w:sz w:val="24"/>
          <w:szCs w:val="24"/>
        </w:rPr>
        <w:t>DNA preserved in dental calculus varies but is generally l</w:t>
      </w:r>
      <w:r w:rsidR="00293162">
        <w:rPr>
          <w:sz w:val="24"/>
          <w:szCs w:val="24"/>
        </w:rPr>
        <w:t>ess</w:t>
      </w:r>
      <w:r w:rsidR="00C8371F">
        <w:rPr>
          <w:sz w:val="24"/>
          <w:szCs w:val="24"/>
        </w:rPr>
        <w:t xml:space="preserve"> than </w:t>
      </w:r>
      <w:r w:rsidR="00293162">
        <w:rPr>
          <w:sz w:val="24"/>
          <w:szCs w:val="24"/>
        </w:rPr>
        <w:t>one percent</w:t>
      </w:r>
      <w:r>
        <w:rPr>
          <w:sz w:val="24"/>
          <w:szCs w:val="24"/>
        </w:rPr>
        <w:t xml:space="preserve"> </w:t>
      </w:r>
      <w:r>
        <w:rPr>
          <w:sz w:val="24"/>
          <w:szCs w:val="24"/>
        </w:rPr>
        <w:fldChar w:fldCharType="begin"/>
      </w:r>
      <w:r>
        <w:rPr>
          <w:sz w:val="24"/>
          <w:szCs w:val="24"/>
        </w:rPr>
        <w:instrText xml:space="preserve"> ADDIN ZOTERO_ITEM CSL_CITATION {"citationID":"XiC6ckA4","properties":{"formattedCitation":"(Mann et al., 2018; Ozga et al., 2016)","plainCitation":"(Mann et al., 2018; Ozga et al., 2016)","noteIndex":0},"citationItems":[{"id":428,"uris":["http://zotero.org/users/4461938/items/WVIA9HQ4"],"uri":["http://zotero.org/users/4461938/items/WVIA9HQ4"],"itemData":{"id":428,"type":"article-journal","title":"Differential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983,"uris":["http://zotero.org/users/4461938/items/2KFMDZL5"],"uri":["http://zotero.org/users/4461938/items/2KFMDZL5"],"itemData":{"id":983,"type":"article-journal","title":"Successful enrichment and recovery of whole mitochondrial genomes from ancient human dental calculus","container-title":"American Journal of Physical Anthropology","page":"220-228","volume":"160","issue":"2","source":"Wiley Online Library","abstract":"Objectives Archaeological dental calculus is a rich source of host-associated biomolecules. Importantly, however, dental calculus is more accurately described as a calcified microbial biofilm than a host tissue. As such, concerns regarding destructive analysis of human remains may not apply as strongly to dental calculus, opening the possibility of obtaining human health and ancestry information from dental calculus in cases where destructive analysis of conventional skeletal remains is not permitted. Here we investigate the preservation of human mitochondrial DNA (mtDNA) in archaeological dental calculus and its potential for full mitochondrial genome (mitogenome) reconstruction in maternal lineage ancestry analysis. Materials and Methods Extracted DNA from six individuals at the 700-year-old Norris Farms #36 cemetery in Illinois was enriched for mtDNA using in-solution capture techniques, followed by Illumina high-throughput sequencing. Results Full mitogenomes (7–34×) were successfully reconstructed from dental calculus for all six individuals, including three individuals who had previously tested negative for DNA preservation in bone using conventional PCR techniques. Mitochondrial haplogroup assignments were consistent with previously published findings, and additional comparative analysis of paired dental calculus and dentine from two individuals yielded equivalent haplotype results. All dental calculus samples exhibited damage patterns consistent with ancient DNA, and mitochondrial sequences were estimated to be 92–100% endogenous. DNA polymerase choice was found to impact error rates in downstream sequence analysis, but these effects can be mitigated by greater sequencing depth. Discussion Dental calculus is a viable alternative source of human DNA that can be used to reconstruct full mitogenomes from archaeological remains. Am J Phys Anthropol 160:220–228, 2016. © 2016 The Authors American Journal of Physical Anthropology Published by Wiley Periodicals, Inc.","DOI":"10.1002/ajpa.22960","ISSN":"1096-8644","language":"en","author":[{"family":"Ozga","given":"Andrew T."},{"family":"Nieves‐Colón","given":"Maria A."},{"family":"Honap","given":"Tanvi P."},{"family":"Sankaranarayanan","given":"Krithivasan"},{"family":"Hofman","given":"Courtney A."},{"family":"Milner","given":"George R."},{"family":"Lewis","given":"Cecil M."},{"family":"Stone","given":"Anne C."},{"family":"Warinner","given":"Christina"}],"issued":{"date-parts":[["2016"]]}}}],"schema":"https://github.com/citation-style-language/schema/raw/master/csl-citation.json"} </w:instrText>
      </w:r>
      <w:r>
        <w:rPr>
          <w:sz w:val="24"/>
          <w:szCs w:val="24"/>
        </w:rPr>
        <w:fldChar w:fldCharType="separate"/>
      </w:r>
      <w:r w:rsidRPr="00036CAA">
        <w:rPr>
          <w:sz w:val="24"/>
        </w:rPr>
        <w:t>(Mann et al., 2018; Ozga et al., 2016)</w:t>
      </w:r>
      <w:r>
        <w:rPr>
          <w:sz w:val="24"/>
          <w:szCs w:val="24"/>
        </w:rPr>
        <w:fldChar w:fldCharType="end"/>
      </w:r>
      <w:r w:rsidR="00F148D4">
        <w:rPr>
          <w:sz w:val="24"/>
          <w:szCs w:val="24"/>
        </w:rPr>
        <w:t xml:space="preserve"> (Figure 15)</w:t>
      </w:r>
      <w:r w:rsidR="00203EDF">
        <w:rPr>
          <w:sz w:val="24"/>
          <w:szCs w:val="24"/>
        </w:rPr>
        <w:t>.</w:t>
      </w:r>
      <w:r w:rsidR="0021274B">
        <w:rPr>
          <w:sz w:val="24"/>
          <w:szCs w:val="24"/>
        </w:rPr>
        <w:t xml:space="preserve"> This pattern was also </w:t>
      </w:r>
      <w:r w:rsidR="001E3691">
        <w:rPr>
          <w:sz w:val="24"/>
          <w:szCs w:val="24"/>
        </w:rPr>
        <w:t>observed</w:t>
      </w:r>
      <w:r w:rsidR="0021274B">
        <w:rPr>
          <w:sz w:val="24"/>
          <w:szCs w:val="24"/>
        </w:rPr>
        <w:t xml:space="preserve"> in this study as the proportion of human DNA was low across </w:t>
      </w:r>
      <w:r w:rsidR="007B0E88">
        <w:rPr>
          <w:sz w:val="24"/>
          <w:szCs w:val="24"/>
        </w:rPr>
        <w:t>all calculus</w:t>
      </w:r>
      <w:r w:rsidR="0021274B">
        <w:rPr>
          <w:sz w:val="24"/>
          <w:szCs w:val="24"/>
        </w:rPr>
        <w:t xml:space="preserve"> samples (&lt;1</w:t>
      </w:r>
      <w:r w:rsidR="00293162">
        <w:rPr>
          <w:sz w:val="24"/>
          <w:szCs w:val="24"/>
        </w:rPr>
        <w:t>.0</w:t>
      </w:r>
      <w:r w:rsidR="0021274B">
        <w:rPr>
          <w:sz w:val="24"/>
          <w:szCs w:val="24"/>
        </w:rPr>
        <w:t>%).</w:t>
      </w:r>
      <w:r w:rsidR="007A30A1">
        <w:rPr>
          <w:sz w:val="24"/>
          <w:szCs w:val="24"/>
        </w:rPr>
        <w:t xml:space="preserve"> </w:t>
      </w:r>
      <w:r w:rsidR="00E24252">
        <w:rPr>
          <w:sz w:val="24"/>
          <w:szCs w:val="24"/>
        </w:rPr>
        <w:t>D</w:t>
      </w:r>
      <w:r w:rsidR="007A30A1">
        <w:rPr>
          <w:sz w:val="24"/>
          <w:szCs w:val="24"/>
        </w:rPr>
        <w:t xml:space="preserve">ental calculus </w:t>
      </w:r>
      <w:r w:rsidR="007B0E88">
        <w:rPr>
          <w:sz w:val="24"/>
          <w:szCs w:val="24"/>
        </w:rPr>
        <w:t xml:space="preserve">can yield </w:t>
      </w:r>
      <w:r w:rsidR="00D43654">
        <w:rPr>
          <w:sz w:val="24"/>
          <w:szCs w:val="24"/>
        </w:rPr>
        <w:t xml:space="preserve">enough </w:t>
      </w:r>
      <w:r w:rsidR="007A30A1">
        <w:rPr>
          <w:sz w:val="24"/>
          <w:szCs w:val="24"/>
        </w:rPr>
        <w:t xml:space="preserve">authentic host DNA </w:t>
      </w:r>
      <w:r w:rsidR="00D43654">
        <w:rPr>
          <w:sz w:val="24"/>
          <w:szCs w:val="24"/>
        </w:rPr>
        <w:t xml:space="preserve">to estimate ancestry when using enrichment processes such as sequence capture </w:t>
      </w:r>
      <w:r w:rsidR="007A30A1">
        <w:rPr>
          <w:sz w:val="24"/>
          <w:szCs w:val="24"/>
        </w:rPr>
        <w:fldChar w:fldCharType="begin"/>
      </w:r>
      <w:r w:rsidR="007A30A1">
        <w:rPr>
          <w:sz w:val="24"/>
          <w:szCs w:val="24"/>
        </w:rPr>
        <w:instrText xml:space="preserve"> ADDIN ZOTERO_ITEM CSL_CITATION {"citationID":"jHAYR1Nq","properties":{"formattedCitation":"(Ozga et al., 2016; Ziesemer et al., 2019)","plainCitation":"(Ozga et al., 2016; Ziesemer et al., 2019)","noteIndex":0},"citationItems":[{"id":983,"uris":["http://zotero.org/users/4461938/items/2KFMDZL5"],"uri":["http://zotero.org/users/4461938/items/2KFMDZL5"],"itemData":{"id":983,"type":"article-journal","title":"Successful enrichment and recovery of whole mitochondrial genomes from ancient human dental calculus","container-title":"American Journal of Physical Anthropology","page":"220-228","volume":"160","issue":"2","source":"Wiley Online Library","abstract":"Objectives Archaeological dental calculus is a rich source of host-associated biomolecules. Importantly, however, dental calculus is more accurately described as a calcified microbial biofilm than a host tissue. As such, concerns regarding destructive analysis of human remains may not apply as strongly to dental calculus, opening the possibility of obtaining human health and ancestry information from dental calculus in cases where destructive analysis of conventional skeletal remains is not permitted. Here we investigate the preservation of human mitochondrial DNA (mtDNA) in archaeological dental calculus and its potential for full mitochondrial genome (mitogenome) reconstruction in maternal lineage ancestry analysis. Materials and Methods Extracted DNA from six individuals at the 700-year-old Norris Farms #36 cemetery in Illinois was enriched for mtDNA using in-solution capture techniques, followed by Illumina high-throughput sequencing. Results Full mitogenomes (7–34×) were successfully reconstructed from dental calculus for all six individuals, including three individuals who had previously tested negative for DNA preservation in bone using conventional PCR techniques. Mitochondrial haplogroup assignments were consistent with previously published findings, and additional comparative analysis of paired dental calculus and dentine from two individuals yielded equivalent haplotype results. All dental calculus samples exhibited damage patterns consistent with ancient DNA, and mitochondrial sequences were estimated to be 92–100% endogenous. DNA polymerase choice was found to impact error rates in downstream sequence analysis, but these effects can be mitigated by greater sequencing depth. Discussion Dental calculus is a viable alternative source of human DNA that can be used to reconstruct full mitogenomes from archaeological remains. Am J Phys Anthropol 160:220–228, 2016. © 2016 The Authors American Journal of Physical Anthropology Published by Wiley Periodicals, Inc.","DOI":"10.1002/ajpa.22960","ISSN":"1096-8644","language":"en","author":[{"family":"Ozga","given":"Andrew T."},{"family":"Nieves‐Colón","given":"Maria A."},{"family":"Honap","given":"Tanvi P."},{"family":"Sankaranarayanan","given":"Krithivasan"},{"family":"Hofman","given":"Courtney A."},{"family":"Milner","given":"George R."},{"family":"Lewis","given":"Cecil M."},{"family":"Stone","given":"Anne C."},{"family":"Warinner","given":"Christina"}],"issued":{"date-parts":[["2016"]]}}},{"id":1135,"uris":["http://zotero.org/users/4461938/items/Y36ZZQDX"],"uri":["http://zotero.org/users/4461938/items/Y36ZZQDX"],"itemData":{"id":1135,"type":"article-journal","title":"The efficacy of whole human genome capture on ancient dental calculus and dentin","container-title":"American Journal of Physical Anthropology","page":"496-509","volume":"168","issue":"3","source":"Wiley Online Library","abstract":"Objectives Dental calculus is among the richest known sources of ancient DNA in the archaeological record. Although most DNA within calculus is microbial, it has been shown to contain sufficient human DNA for the targeted retrieval of whole mitochondrial genomes. Here, we explore whether calculus is also a viable substrate for whole human genome recovery using targeted enrichment techniques. Materials and methods Total DNA extracted from 24 paired archaeological human dentin and calculus samples was subjected to whole human genome enrichment using in-solution hybridization capture and high-throughput sequencing. Results Total DNA from calculus exceeded that of dentin in all cases, and although the proportion of human DNA was generally lower in calculus, the absolute human DNA content of calculus and dentin was not significantly different. Whole genome enrichment resulted in up to four-fold enrichment of the human endogenous DNA content for both dentin and dental calculus libraries, albeit with some loss in complexity. Recovering more on-target reads for the same sequencing effort generally improved the quality of downstream analyses, such as sex and ancestry estimation. For nonhuman DNA, comparison of phylum-level microbial community structure revealed few differences between precapture and postcapture libraries, indicating that off-target sequences in human genome-enriched calculus libraries may still be useful for oral microbiome reconstruction. Discussion While ancient human dental calculus does contain endogenous human DNA sequences, their relative proportion is low when compared with other skeletal tissues. Whole genome enrichment can help increase the proportion of recovered human reads, but in this instance enrichment efficiency was relatively low when compared with other forms of capture. We conclude that further optimization is necessary before the method can be routinely applied to archaeological samples.","DOI":"10.1002/ajpa.23763","ISSN":"1096-8644","language":"en","author":[{"family":"Ziesemer","given":"Kirsten A."},{"family":"Ramos‐Madrigal","given":"Jazmín"},{"family":"Mann","given":"Allison E."},{"family":"Brandt","given":"Bernd W."},{"family":"Sankaranarayanan","given":"Krithivasan"},{"family":"Ozga","given":"Andrew T."},{"family":"Hoogland","given":"Menno"},{"family":"Hofman","given":"Courtney A."},{"family":"Salazar‐García","given":"Domingo C."},{"family":"Frohlich","given":"Bruno"},{"family":"Milner","given":"George R."},{"family":"Stone","given":"Anne C."},{"family":"Aldenderfer","given":"Mark"},{"family":"Lewis","given":"Cecil M."},{"family":"Hofman","given":"Corinne L."},{"family":"Warinner","given":"Christina"},{"family":"Schroeder","given":"Hannes"}],"issued":{"date-parts":[["2019"]]}}}],"schema":"https://github.com/citation-style-language/schema/raw/master/csl-citation.json"} </w:instrText>
      </w:r>
      <w:r w:rsidR="007A30A1">
        <w:rPr>
          <w:sz w:val="24"/>
          <w:szCs w:val="24"/>
        </w:rPr>
        <w:fldChar w:fldCharType="separate"/>
      </w:r>
      <w:r w:rsidR="007A30A1" w:rsidRPr="00DB6DD9">
        <w:rPr>
          <w:sz w:val="24"/>
        </w:rPr>
        <w:t xml:space="preserve">(Ozga et al., </w:t>
      </w:r>
      <w:r w:rsidR="007A30A1" w:rsidRPr="00DB6DD9">
        <w:rPr>
          <w:sz w:val="24"/>
        </w:rPr>
        <w:lastRenderedPageBreak/>
        <w:t>2016; Ziesemer et al., 2019)</w:t>
      </w:r>
      <w:r w:rsidR="007A30A1">
        <w:rPr>
          <w:sz w:val="24"/>
          <w:szCs w:val="24"/>
        </w:rPr>
        <w:fldChar w:fldCharType="end"/>
      </w:r>
      <w:r w:rsidR="00D43654">
        <w:rPr>
          <w:sz w:val="24"/>
          <w:szCs w:val="24"/>
        </w:rPr>
        <w:t xml:space="preserve">. </w:t>
      </w:r>
      <w:r w:rsidR="00F148D4">
        <w:rPr>
          <w:sz w:val="24"/>
          <w:szCs w:val="24"/>
        </w:rPr>
        <w:t xml:space="preserve">While sequence capture may be useful in identifying the ancestry of the PPCC sample, it may not be appropriate for the PPL samples as the </w:t>
      </w:r>
      <w:r w:rsidR="00E24252">
        <w:rPr>
          <w:sz w:val="24"/>
          <w:szCs w:val="24"/>
        </w:rPr>
        <w:t xml:space="preserve">human DNA </w:t>
      </w:r>
      <w:r w:rsidR="00F148D4">
        <w:rPr>
          <w:sz w:val="24"/>
          <w:szCs w:val="24"/>
        </w:rPr>
        <w:t>i</w:t>
      </w:r>
      <w:r w:rsidR="007A30A1">
        <w:rPr>
          <w:sz w:val="24"/>
          <w:szCs w:val="24"/>
        </w:rPr>
        <w:t>n the PPL samples are likely modern contaminants</w:t>
      </w:r>
      <w:r w:rsidR="00F148D4">
        <w:rPr>
          <w:sz w:val="24"/>
          <w:szCs w:val="24"/>
        </w:rPr>
        <w:t xml:space="preserve">. The PPL samples do not show the expected pattern </w:t>
      </w:r>
      <w:r w:rsidR="007B0E88">
        <w:rPr>
          <w:sz w:val="24"/>
          <w:szCs w:val="24"/>
        </w:rPr>
        <w:t xml:space="preserve">of C→T substitutions at the </w:t>
      </w:r>
      <w:r w:rsidR="00672D78">
        <w:rPr>
          <w:sz w:val="24"/>
          <w:szCs w:val="24"/>
        </w:rPr>
        <w:t xml:space="preserve">5’ </w:t>
      </w:r>
      <w:r w:rsidR="007B0E88">
        <w:rPr>
          <w:sz w:val="24"/>
          <w:szCs w:val="24"/>
        </w:rPr>
        <w:t>ends and the lack of G→A substitutions on the</w:t>
      </w:r>
      <w:r w:rsidR="00672D78">
        <w:rPr>
          <w:sz w:val="24"/>
          <w:szCs w:val="24"/>
        </w:rPr>
        <w:t xml:space="preserve"> 3’ ends</w:t>
      </w:r>
      <w:r w:rsidR="00F148D4">
        <w:rPr>
          <w:sz w:val="24"/>
          <w:szCs w:val="24"/>
        </w:rPr>
        <w:t xml:space="preserve"> (Figure 16)</w:t>
      </w:r>
      <w:r w:rsidR="00B171C7">
        <w:rPr>
          <w:sz w:val="24"/>
          <w:szCs w:val="24"/>
        </w:rPr>
        <w:t xml:space="preserve">. </w:t>
      </w:r>
      <w:r w:rsidR="007A30A1">
        <w:rPr>
          <w:sz w:val="24"/>
          <w:szCs w:val="24"/>
        </w:rPr>
        <w:t>Although the PPCC sample exhibited aDNA damage and</w:t>
      </w:r>
      <w:r w:rsidR="00705B7C">
        <w:rPr>
          <w:sz w:val="24"/>
          <w:szCs w:val="24"/>
        </w:rPr>
        <w:t xml:space="preserve"> fragments </w:t>
      </w:r>
      <w:r w:rsidR="00705B7C" w:rsidRPr="005E0115">
        <w:rPr>
          <w:sz w:val="24"/>
          <w:szCs w:val="24"/>
        </w:rPr>
        <w:t xml:space="preserve">with median lengths of </w:t>
      </w:r>
      <w:r w:rsidR="00B171C7">
        <w:rPr>
          <w:sz w:val="24"/>
          <w:szCs w:val="24"/>
        </w:rPr>
        <w:t>55</w:t>
      </w:r>
      <w:r w:rsidR="005E0115">
        <w:rPr>
          <w:sz w:val="24"/>
          <w:szCs w:val="24"/>
        </w:rPr>
        <w:t xml:space="preserve"> bp</w:t>
      </w:r>
      <w:r w:rsidR="007A30A1">
        <w:rPr>
          <w:sz w:val="24"/>
          <w:szCs w:val="24"/>
        </w:rPr>
        <w:t xml:space="preserve">, </w:t>
      </w:r>
      <w:r w:rsidR="004D5E93">
        <w:rPr>
          <w:sz w:val="24"/>
          <w:szCs w:val="24"/>
        </w:rPr>
        <w:t xml:space="preserve">there was not enough coverage (&lt;0.001) to accurately </w:t>
      </w:r>
      <w:r w:rsidR="007A30A1">
        <w:rPr>
          <w:sz w:val="24"/>
          <w:szCs w:val="24"/>
        </w:rPr>
        <w:t xml:space="preserve">estimate </w:t>
      </w:r>
      <w:r w:rsidR="00D43654">
        <w:rPr>
          <w:sz w:val="24"/>
          <w:szCs w:val="24"/>
        </w:rPr>
        <w:t xml:space="preserve">mitochondrial </w:t>
      </w:r>
      <w:r w:rsidR="007A30A1">
        <w:rPr>
          <w:sz w:val="24"/>
          <w:szCs w:val="24"/>
        </w:rPr>
        <w:t>ancestry</w:t>
      </w:r>
      <w:r w:rsidR="0059482F">
        <w:rPr>
          <w:sz w:val="24"/>
          <w:szCs w:val="24"/>
        </w:rPr>
        <w:t xml:space="preserve"> </w:t>
      </w:r>
      <w:r w:rsidR="00D43654">
        <w:rPr>
          <w:sz w:val="24"/>
          <w:szCs w:val="24"/>
        </w:rPr>
        <w:t>using</w:t>
      </w:r>
      <w:r w:rsidR="0059482F">
        <w:rPr>
          <w:sz w:val="24"/>
          <w:szCs w:val="24"/>
        </w:rPr>
        <w:t xml:space="preserve"> HaploGrep</w:t>
      </w:r>
      <w:r w:rsidR="007A30A1">
        <w:rPr>
          <w:sz w:val="24"/>
          <w:szCs w:val="24"/>
        </w:rPr>
        <w:t xml:space="preserve">. </w:t>
      </w:r>
      <w:r w:rsidR="0060745C">
        <w:rPr>
          <w:sz w:val="24"/>
          <w:szCs w:val="24"/>
        </w:rPr>
        <w:t xml:space="preserve">However, further analyses could potentially estimate ancestry. </w:t>
      </w:r>
    </w:p>
    <w:p w14:paraId="0AFD63AB" w14:textId="25E7D381" w:rsidR="008B3E6E" w:rsidRDefault="0060745C" w:rsidP="002C22FA">
      <w:pPr>
        <w:spacing w:line="480" w:lineRule="auto"/>
        <w:ind w:firstLine="720"/>
        <w:rPr>
          <w:sz w:val="24"/>
          <w:szCs w:val="24"/>
        </w:rPr>
      </w:pPr>
      <w:r>
        <w:rPr>
          <w:sz w:val="24"/>
          <w:szCs w:val="24"/>
        </w:rPr>
        <w:t xml:space="preserve">Shotgun sequencing of dental calculus may still be useful in determining whether the human DNA within dental calculus is from the host or the result of contamination. For instance, Mann et al. (2018) found that human DNA fragments are generally shorter than microbial DNA fragments. This pattern was observed in the PPCC sample but not in the PPL samples (Table 5). </w:t>
      </w:r>
      <w:r w:rsidRPr="0060745C">
        <w:rPr>
          <w:sz w:val="24"/>
          <w:szCs w:val="24"/>
        </w:rPr>
        <w:t xml:space="preserve">This difference </w:t>
      </w:r>
      <w:r>
        <w:rPr>
          <w:sz w:val="24"/>
          <w:szCs w:val="24"/>
        </w:rPr>
        <w:t xml:space="preserve">as well as the results from MapDamage and SourceTracker strongly </w:t>
      </w:r>
      <w:r w:rsidRPr="0060745C">
        <w:rPr>
          <w:sz w:val="24"/>
          <w:szCs w:val="24"/>
        </w:rPr>
        <w:t>suggest</w:t>
      </w:r>
      <w:r>
        <w:rPr>
          <w:sz w:val="24"/>
          <w:szCs w:val="24"/>
        </w:rPr>
        <w:t>s</w:t>
      </w:r>
      <w:r w:rsidRPr="0060745C">
        <w:rPr>
          <w:sz w:val="24"/>
          <w:szCs w:val="24"/>
        </w:rPr>
        <w:t xml:space="preserve"> differential preservation of human and microbial DNA in the dental calculus from the PPL samples in comparison to other dental calculus samples.</w:t>
      </w:r>
      <w:r>
        <w:rPr>
          <w:sz w:val="24"/>
          <w:szCs w:val="24"/>
        </w:rPr>
        <w:t xml:space="preserve"> </w:t>
      </w:r>
      <w:r w:rsidR="0059482F">
        <w:rPr>
          <w:sz w:val="24"/>
          <w:szCs w:val="24"/>
        </w:rPr>
        <w:t>If the percent of human DNA is higher than 1% in calculus</w:t>
      </w:r>
      <w:r w:rsidR="00E24252">
        <w:rPr>
          <w:sz w:val="24"/>
          <w:szCs w:val="24"/>
        </w:rPr>
        <w:t xml:space="preserve">, </w:t>
      </w:r>
      <w:r w:rsidR="0059482F">
        <w:rPr>
          <w:sz w:val="24"/>
          <w:szCs w:val="24"/>
        </w:rPr>
        <w:t xml:space="preserve">and does not exhibit the expected damage patterns for aDNA, then the human DNA obtained from the dental calculus is likely from modern contaminants. </w:t>
      </w:r>
      <w:r>
        <w:rPr>
          <w:sz w:val="24"/>
          <w:szCs w:val="24"/>
        </w:rPr>
        <w:t>Moreover</w:t>
      </w:r>
      <w:r w:rsidR="001E3691">
        <w:rPr>
          <w:sz w:val="24"/>
          <w:szCs w:val="24"/>
        </w:rPr>
        <w:t>,</w:t>
      </w:r>
      <w:r w:rsidR="00BC323D">
        <w:rPr>
          <w:sz w:val="24"/>
          <w:szCs w:val="24"/>
        </w:rPr>
        <w:t xml:space="preserve"> the </w:t>
      </w:r>
      <w:r w:rsidR="008A73B2">
        <w:rPr>
          <w:sz w:val="24"/>
          <w:szCs w:val="24"/>
        </w:rPr>
        <w:t>application</w:t>
      </w:r>
      <w:r w:rsidR="00BC323D">
        <w:rPr>
          <w:sz w:val="24"/>
          <w:szCs w:val="24"/>
        </w:rPr>
        <w:t xml:space="preserve"> of other bioinformatic tools, such as </w:t>
      </w:r>
      <w:r w:rsidR="00F148D4">
        <w:rPr>
          <w:sz w:val="24"/>
          <w:szCs w:val="24"/>
        </w:rPr>
        <w:t>Contamix</w:t>
      </w:r>
      <w:r w:rsidR="00BC323D">
        <w:rPr>
          <w:sz w:val="24"/>
          <w:szCs w:val="24"/>
        </w:rPr>
        <w:t xml:space="preserve">, could </w:t>
      </w:r>
      <w:r>
        <w:rPr>
          <w:sz w:val="24"/>
          <w:szCs w:val="24"/>
        </w:rPr>
        <w:t xml:space="preserve">also provide estimations of contamination </w:t>
      </w:r>
      <w:r w:rsidR="00F148D4">
        <w:rPr>
          <w:sz w:val="24"/>
          <w:szCs w:val="24"/>
        </w:rPr>
        <w:fldChar w:fldCharType="begin"/>
      </w:r>
      <w:r w:rsidR="00F148D4">
        <w:rPr>
          <w:sz w:val="24"/>
          <w:szCs w:val="24"/>
        </w:rPr>
        <w:instrText xml:space="preserve"> ADDIN ZOTERO_ITEM CSL_CITATION {"citationID":"w1QKeNY1","properties":{"formattedCitation":"(Schubert et al., 2014)","plainCitation":"(Schubert et al., 2014)","noteIndex":0},"citationItems":[{"id":1194,"uris":["http://zotero.org/users/4461938/items/Y3CSCC26"],"uri":["http://zotero.org/users/4461938/items/Y3CSCC26"],"itemData":{"id":1194,"type":"article-journal","title":"Characterization of ancient and modern genomes by SNP detection and phylogenomic and metagenomic analysis using PALEOMIX","container-title":"Nature Protocols","page":"1056-1082","volume":"9","issue":"5","source":"www.nature.com","abstract":"Next-generation sequencing technologies have revolutionized the field of paleogenomics, allowing the reconstruction of complete ancient genomes and their comparison with modern references. However, this requires the processing of vast amounts of data and involves a large number of steps that use a variety of computational tools. Here we present PALEOMIX (http://geogenetics.ku.dk/publications/paleomix), a flexible and user-friendly pipeline applicable to both modern and ancient genomes, which largely automates the in silico analyses behind whole-genome resequencing. Starting with next-generation sequencing reads, PALEOMIX carries out adapter removal, mapping against reference genomes, PCR duplicate removal, characterization of and compensation for postmortem damage, SNP calling and maximum-likelihood phylogenomic inference, and it profiles the metagenomic contents of the samples. As such, PALEOMIX allows for a series of potential applications in paleogenomics, comparative genomics and metagenomics. Applying the PALEOMIX pipeline to the three ancient and seven modern Phytophthora infestans genomes as described here takes 5 d using a 16-core server.","DOI":"10.1038/nprot.2014.063","ISSN":"1750-2799","language":"en","author":[{"family":"Schubert","given":"Mikkel"},{"family":"Ermini","given":"Luca"},{"family":"Sarkissian","given":"Clio Der"},{"family":"Jónsson","given":"Hákon"},{"family":"Ginolhac","given":"Aurélien"},{"family":"Schaefer","given":"Robert"},{"family":"Martin","given":"Michael D."},{"family":"Fernández","given":"Ruth"},{"family":"Kircher","given":"Martin"},{"family":"McCue","given":"Molly"},{"family":"Willerslev","given":"Eske"},{"family":"Orlando","given":"Ludovic"}],"issued":{"date-parts":[["2014",5]]}}}],"schema":"https://github.com/citation-style-language/schema/raw/master/csl-citation.json"} </w:instrText>
      </w:r>
      <w:r w:rsidR="00F148D4">
        <w:rPr>
          <w:sz w:val="24"/>
          <w:szCs w:val="24"/>
        </w:rPr>
        <w:fldChar w:fldCharType="separate"/>
      </w:r>
      <w:r w:rsidR="00F148D4" w:rsidRPr="00BC323D">
        <w:rPr>
          <w:sz w:val="24"/>
        </w:rPr>
        <w:t>(Schubert et al., 2014)</w:t>
      </w:r>
      <w:r w:rsidR="00F148D4">
        <w:rPr>
          <w:sz w:val="24"/>
          <w:szCs w:val="24"/>
        </w:rPr>
        <w:fldChar w:fldCharType="end"/>
      </w:r>
      <w:r w:rsidR="00BC323D">
        <w:rPr>
          <w:sz w:val="24"/>
          <w:szCs w:val="24"/>
        </w:rPr>
        <w:t xml:space="preserve">. </w:t>
      </w:r>
    </w:p>
    <w:p w14:paraId="28C3D8BA" w14:textId="53DFCBDA" w:rsidR="00203EDF" w:rsidRPr="00203EDF" w:rsidRDefault="008B3E6E" w:rsidP="00D560F9">
      <w:pPr>
        <w:spacing w:line="480" w:lineRule="auto"/>
        <w:ind w:firstLine="720"/>
        <w:rPr>
          <w:sz w:val="24"/>
          <w:szCs w:val="24"/>
        </w:rPr>
      </w:pPr>
      <w:r>
        <w:rPr>
          <w:sz w:val="24"/>
          <w:szCs w:val="24"/>
        </w:rPr>
        <w:t xml:space="preserve">The process of human DNA being entrapped into the dental calculus matrix </w:t>
      </w:r>
      <w:r w:rsidR="00D560F9">
        <w:rPr>
          <w:i/>
          <w:sz w:val="24"/>
          <w:szCs w:val="24"/>
        </w:rPr>
        <w:t xml:space="preserve">antemortem </w:t>
      </w:r>
      <w:r>
        <w:rPr>
          <w:sz w:val="24"/>
          <w:szCs w:val="24"/>
        </w:rPr>
        <w:t>is still poorly understood</w:t>
      </w:r>
      <w:r w:rsidR="0059482F">
        <w:rPr>
          <w:sz w:val="24"/>
          <w:szCs w:val="24"/>
        </w:rPr>
        <w:t xml:space="preserve"> </w:t>
      </w:r>
      <w:r w:rsidR="0059482F">
        <w:rPr>
          <w:sz w:val="24"/>
          <w:szCs w:val="24"/>
        </w:rPr>
        <w:fldChar w:fldCharType="begin"/>
      </w:r>
      <w:r w:rsidR="0059482F">
        <w:rPr>
          <w:sz w:val="24"/>
          <w:szCs w:val="24"/>
        </w:rPr>
        <w:instrText xml:space="preserve"> ADDIN ZOTERO_ITEM CSL_CITATION {"citationID":"zISC0zjZ","properties":{"formattedCitation":"(Mann et al., 2018)","plainCitation":"(Mann et al., 2018)","noteIndex":0},"citationItems":[{"id":428,"uris":["http://zotero.org/users/4461938/items/WVIA9HQ4"],"uri":["http://zotero.org/users/4461938/items/WVIA9HQ4"],"itemData":{"id":428,"type":"article-journal","title":"Differential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I."},{"family":"Warinner","given":"Christina"}],"issued":{"date-parts":[["2018",6,29]]}}}],"schema":"https://github.com/citation-style-language/schema/raw/master/csl-citation.json"} </w:instrText>
      </w:r>
      <w:r w:rsidR="0059482F">
        <w:rPr>
          <w:sz w:val="24"/>
          <w:szCs w:val="24"/>
        </w:rPr>
        <w:fldChar w:fldCharType="separate"/>
      </w:r>
      <w:r w:rsidR="0059482F" w:rsidRPr="0059482F">
        <w:rPr>
          <w:sz w:val="24"/>
        </w:rPr>
        <w:t>(Mann et al., 2018)</w:t>
      </w:r>
      <w:r w:rsidR="0059482F">
        <w:rPr>
          <w:sz w:val="24"/>
          <w:szCs w:val="24"/>
        </w:rPr>
        <w:fldChar w:fldCharType="end"/>
      </w:r>
      <w:r w:rsidR="00D560F9">
        <w:rPr>
          <w:sz w:val="24"/>
          <w:szCs w:val="24"/>
        </w:rPr>
        <w:t xml:space="preserve">. However, the process of contaminant DNA incorporated into the matrix for sequencing is understood even less. </w:t>
      </w:r>
      <w:r w:rsidR="0059482F">
        <w:rPr>
          <w:sz w:val="24"/>
          <w:szCs w:val="24"/>
        </w:rPr>
        <w:t xml:space="preserve">Human contaminants in the </w:t>
      </w:r>
      <w:r w:rsidR="00D41429">
        <w:rPr>
          <w:sz w:val="24"/>
          <w:szCs w:val="24"/>
        </w:rPr>
        <w:t xml:space="preserve">PPL samples </w:t>
      </w:r>
      <w:r w:rsidR="0059482F">
        <w:rPr>
          <w:sz w:val="24"/>
          <w:szCs w:val="24"/>
        </w:rPr>
        <w:t>are</w:t>
      </w:r>
      <w:r w:rsidR="00D41429">
        <w:rPr>
          <w:sz w:val="24"/>
          <w:szCs w:val="24"/>
        </w:rPr>
        <w:t xml:space="preserve"> </w:t>
      </w:r>
      <w:r w:rsidR="004602B3">
        <w:rPr>
          <w:sz w:val="24"/>
          <w:szCs w:val="24"/>
        </w:rPr>
        <w:t xml:space="preserve">not </w:t>
      </w:r>
      <w:r w:rsidR="00D41429">
        <w:rPr>
          <w:sz w:val="24"/>
          <w:szCs w:val="24"/>
        </w:rPr>
        <w:t>likely host but modern contaminants</w:t>
      </w:r>
      <w:r w:rsidR="0059482F">
        <w:rPr>
          <w:sz w:val="24"/>
          <w:szCs w:val="24"/>
        </w:rPr>
        <w:t xml:space="preserve"> because they</w:t>
      </w:r>
      <w:r>
        <w:rPr>
          <w:sz w:val="24"/>
          <w:szCs w:val="24"/>
        </w:rPr>
        <w:t xml:space="preserve"> did not exhibit</w:t>
      </w:r>
      <w:r w:rsidR="00D560F9">
        <w:rPr>
          <w:sz w:val="24"/>
          <w:szCs w:val="24"/>
        </w:rPr>
        <w:t xml:space="preserve"> aDNA damage</w:t>
      </w:r>
      <w:r>
        <w:rPr>
          <w:sz w:val="24"/>
          <w:szCs w:val="24"/>
        </w:rPr>
        <w:t xml:space="preserve"> </w:t>
      </w:r>
      <w:r w:rsidR="0059482F">
        <w:rPr>
          <w:sz w:val="24"/>
          <w:szCs w:val="24"/>
        </w:rPr>
        <w:t xml:space="preserve">despite their </w:t>
      </w:r>
      <w:r w:rsidR="00D560F9">
        <w:rPr>
          <w:sz w:val="24"/>
          <w:szCs w:val="24"/>
        </w:rPr>
        <w:t>fragmentation patterns</w:t>
      </w:r>
      <w:r w:rsidR="0059482F">
        <w:rPr>
          <w:sz w:val="24"/>
          <w:szCs w:val="24"/>
        </w:rPr>
        <w:t xml:space="preserve">. The </w:t>
      </w:r>
      <w:r w:rsidR="00D41429">
        <w:rPr>
          <w:sz w:val="24"/>
          <w:szCs w:val="24"/>
        </w:rPr>
        <w:t>PPCC sample</w:t>
      </w:r>
      <w:r w:rsidR="0059482F">
        <w:rPr>
          <w:sz w:val="24"/>
          <w:szCs w:val="24"/>
        </w:rPr>
        <w:t xml:space="preserve">, on the other hand, exhibit both </w:t>
      </w:r>
      <w:r w:rsidR="0059482F">
        <w:rPr>
          <w:sz w:val="24"/>
          <w:szCs w:val="24"/>
        </w:rPr>
        <w:lastRenderedPageBreak/>
        <w:t xml:space="preserve">aDNA damage and </w:t>
      </w:r>
      <w:r w:rsidR="00D43654">
        <w:rPr>
          <w:sz w:val="24"/>
          <w:szCs w:val="24"/>
        </w:rPr>
        <w:t>the expected short DNA fragment lengths</w:t>
      </w:r>
      <w:r w:rsidR="00D41429">
        <w:rPr>
          <w:sz w:val="24"/>
          <w:szCs w:val="24"/>
        </w:rPr>
        <w:t xml:space="preserve">. </w:t>
      </w:r>
      <w:r w:rsidR="00D560F9">
        <w:rPr>
          <w:sz w:val="24"/>
          <w:szCs w:val="24"/>
        </w:rPr>
        <w:t xml:space="preserve">The patterns observed in the PPL samples have not been observed in previous dental calculus studies </w:t>
      </w:r>
      <w:r w:rsidR="00D560F9">
        <w:rPr>
          <w:sz w:val="24"/>
          <w:szCs w:val="24"/>
        </w:rPr>
        <w:fldChar w:fldCharType="begin"/>
      </w:r>
      <w:r w:rsidR="00D560F9">
        <w:rPr>
          <w:sz w:val="24"/>
          <w:szCs w:val="24"/>
        </w:rPr>
        <w:instrText xml:space="preserve"> ADDIN ZOTERO_ITEM CSL_CITATION {"citationID":"KT1WelxW","properties":{"formattedCitation":"(Mann et al., 2018; Warinner et al., 2014; Weyrich et al., 2017)","plainCitation":"(Mann et al., 2018; Warinner et al., 2014;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D560F9">
        <w:rPr>
          <w:sz w:val="24"/>
          <w:szCs w:val="24"/>
        </w:rPr>
        <w:fldChar w:fldCharType="separate"/>
      </w:r>
      <w:r w:rsidR="00D560F9" w:rsidRPr="00D560F9">
        <w:rPr>
          <w:sz w:val="24"/>
        </w:rPr>
        <w:t>(Mann et al., 2018; Warinner et al., 2014; Weyrich et al., 2017)</w:t>
      </w:r>
      <w:r w:rsidR="00D560F9">
        <w:rPr>
          <w:sz w:val="24"/>
          <w:szCs w:val="24"/>
        </w:rPr>
        <w:fldChar w:fldCharType="end"/>
      </w:r>
      <w:r w:rsidR="00D560F9">
        <w:rPr>
          <w:sz w:val="24"/>
          <w:szCs w:val="24"/>
        </w:rPr>
        <w:t xml:space="preserve">. </w:t>
      </w:r>
      <w:r w:rsidR="0053126A">
        <w:rPr>
          <w:sz w:val="24"/>
          <w:szCs w:val="24"/>
        </w:rPr>
        <w:t xml:space="preserve">Although the samples in the study were treated with UV irradiation, the application of </w:t>
      </w:r>
      <w:r w:rsidR="005E0115">
        <w:rPr>
          <w:sz w:val="24"/>
          <w:szCs w:val="24"/>
        </w:rPr>
        <w:t>NaOCl</w:t>
      </w:r>
      <w:r w:rsidR="0053126A">
        <w:rPr>
          <w:sz w:val="24"/>
          <w:szCs w:val="24"/>
        </w:rPr>
        <w:t xml:space="preserve"> </w:t>
      </w:r>
      <w:r w:rsidR="005E0115">
        <w:rPr>
          <w:sz w:val="24"/>
          <w:szCs w:val="24"/>
        </w:rPr>
        <w:t xml:space="preserve">(bleach) </w:t>
      </w:r>
      <w:r w:rsidR="0053126A">
        <w:rPr>
          <w:sz w:val="24"/>
          <w:szCs w:val="24"/>
        </w:rPr>
        <w:t>to the surface of the calculus could also reduce the amount of contamination recovered</w:t>
      </w:r>
      <w:r w:rsidR="00705B7C">
        <w:rPr>
          <w:sz w:val="24"/>
          <w:szCs w:val="24"/>
        </w:rPr>
        <w:t xml:space="preserve"> </w:t>
      </w:r>
      <w:r w:rsidR="005E0115">
        <w:rPr>
          <w:sz w:val="24"/>
          <w:szCs w:val="24"/>
        </w:rPr>
        <w:fldChar w:fldCharType="begin"/>
      </w:r>
      <w:r w:rsidR="005E0115">
        <w:rPr>
          <w:sz w:val="24"/>
          <w:szCs w:val="24"/>
        </w:rPr>
        <w:instrText xml:space="preserve"> ADDIN ZOTERO_ITEM CSL_CITATION {"citationID":"CQiuKcor","properties":{"formattedCitation":"(Boessenkool et al., 2017; Kemp and Smith, 2005)","plainCitation":"(Boessenkool et al., 2017; Kemp and Smith, 2005)","noteIndex":0},"citationItems":[{"id":1225,"uris":["http://zotero.org/users/4461938/items/KPGPDETU"],"uri":["http://zotero.org/users/4461938/items/KPGPDETU"],"itemData":{"id":1225,"type":"article-journal","title":"Combining bleach and mild predigestion improves ancient DNA recovery from bones","container-title":"Molecular ecology resources","page":"742-751","volume":"17","issue":"4","ISSN":"1755-098X","journalAbbreviation":"Molecular ecology resources","author":[{"family":"Boessenkool","given":"Sanne"},{"family":"Hanghøj","given":"Kristian"},{"family":"Nistelberger","given":"Heidi M"},{"family":"Der Sarkissian","given":"Clio"},{"family":"Gondek","given":"Agata T"},{"family":"Orlando","given":"Ludovic"},{"family":"Barrett","given":"James H"},{"family":"Star","given":"Bastiaan"}],"issued":{"date-parts":[["2017"]]}}},{"id":1224,"uris":["http://zotero.org/users/4461938/items/IWNWCKSC"],"uri":["http://zotero.org/users/4461938/items/IWNWCKSC"],"itemData":{"id":1224,"type":"article-journal","title":"Use of bleach to eliminate contaminating DNA from the surface of bones and teeth","container-title":"Forensic science international","page":"53-61","volume":"154","issue":"1","ISSN":"0379-0738","journalAbbreviation":"Forensic science international","author":[{"family":"Kemp","given":"Brian M"},{"family":"Smith","given":"David Glenn"}],"issued":{"date-parts":[["2005"]]}}}],"schema":"https://github.com/citation-style-language/schema/raw/master/csl-citation.json"} </w:instrText>
      </w:r>
      <w:r w:rsidR="005E0115">
        <w:rPr>
          <w:sz w:val="24"/>
          <w:szCs w:val="24"/>
        </w:rPr>
        <w:fldChar w:fldCharType="separate"/>
      </w:r>
      <w:r w:rsidR="005E0115" w:rsidRPr="005E0115">
        <w:rPr>
          <w:sz w:val="24"/>
        </w:rPr>
        <w:t>(Boessenkool et al., 2017; Kemp and Smith, 2005)</w:t>
      </w:r>
      <w:r w:rsidR="005E0115">
        <w:rPr>
          <w:sz w:val="24"/>
          <w:szCs w:val="24"/>
        </w:rPr>
        <w:fldChar w:fldCharType="end"/>
      </w:r>
      <w:r w:rsidR="0053126A">
        <w:rPr>
          <w:sz w:val="24"/>
          <w:szCs w:val="24"/>
        </w:rPr>
        <w:t xml:space="preserve">. </w:t>
      </w:r>
      <w:r w:rsidR="00D560F9">
        <w:rPr>
          <w:sz w:val="24"/>
          <w:szCs w:val="24"/>
        </w:rPr>
        <w:t xml:space="preserve">Understanding the processes that could have contributed to this differential preservation </w:t>
      </w:r>
      <w:r w:rsidR="007A30A1">
        <w:rPr>
          <w:sz w:val="24"/>
          <w:szCs w:val="24"/>
        </w:rPr>
        <w:t xml:space="preserve">between the PPL and PPCC </w:t>
      </w:r>
      <w:r w:rsidR="00D560F9">
        <w:rPr>
          <w:sz w:val="24"/>
          <w:szCs w:val="24"/>
        </w:rPr>
        <w:t>could be quite useful for future dental calculus research</w:t>
      </w:r>
      <w:r w:rsidR="007A30A1">
        <w:rPr>
          <w:sz w:val="24"/>
          <w:szCs w:val="24"/>
        </w:rPr>
        <w:t xml:space="preserve"> as more scholars request dental calculus samples </w:t>
      </w:r>
      <w:r w:rsidR="007A30A1">
        <w:rPr>
          <w:sz w:val="24"/>
          <w:szCs w:val="24"/>
        </w:rPr>
        <w:fldChar w:fldCharType="begin"/>
      </w:r>
      <w:r w:rsidR="007A30A1">
        <w:rPr>
          <w:sz w:val="24"/>
          <w:szCs w:val="24"/>
        </w:rPr>
        <w:instrText xml:space="preserve"> ADDIN ZOTERO_ITEM CSL_CITATION {"citationID":"X9RCdoK6","properties":{"formattedCitation":"(Austin et al., 2019)","plainCitation":"(Austin et al., 2019)","noteIndex":0},"citationItems":[{"id":924,"uris":["http://zotero.org/users/4461938/items/3JEA2SU8"],"uri":["http://zotero.org/users/4461938/items/3JEA2SU8"],"itemData":{"id":924,"type":"article-journal","title":"Opinion: To curate the molecular past, museums need a carefully considered set of best practices","container-title":"Proceedings of the National Academy of Sciences","page":"1471-1474","volume":"116","issue":"5","author":[{"family":"Austin","given":"Rita M."},{"family":"Sholts","given":"Sabrina B."},{"family":"Williams","given":"LaShanda"},{"family":"Kistler","given":"Logan"},{"family":"Hofman","given":"Courtney A."}],"issued":{"date-parts":[["2019"]]}}}],"schema":"https://github.com/citation-style-language/schema/raw/master/csl-citation.json"} </w:instrText>
      </w:r>
      <w:r w:rsidR="007A30A1">
        <w:rPr>
          <w:sz w:val="24"/>
          <w:szCs w:val="24"/>
        </w:rPr>
        <w:fldChar w:fldCharType="separate"/>
      </w:r>
      <w:r w:rsidR="007A30A1" w:rsidRPr="007A30A1">
        <w:rPr>
          <w:sz w:val="24"/>
        </w:rPr>
        <w:t>(Austin et al., 2019)</w:t>
      </w:r>
      <w:r w:rsidR="007A30A1">
        <w:rPr>
          <w:sz w:val="24"/>
          <w:szCs w:val="24"/>
        </w:rPr>
        <w:fldChar w:fldCharType="end"/>
      </w:r>
      <w:r w:rsidR="00D560F9">
        <w:rPr>
          <w:sz w:val="24"/>
          <w:szCs w:val="24"/>
        </w:rPr>
        <w:t xml:space="preserve">. </w:t>
      </w:r>
    </w:p>
    <w:p w14:paraId="1CEE2A16" w14:textId="0DEF3F6C" w:rsidR="00727FC8" w:rsidRPr="007A30A1" w:rsidRDefault="004D5E93" w:rsidP="007A30A1">
      <w:pPr>
        <w:pStyle w:val="Heading1"/>
        <w:rPr>
          <w:rFonts w:ascii="Times New Roman" w:hAnsi="Times New Roman" w:cs="Times New Roman"/>
          <w:b/>
          <w:sz w:val="28"/>
          <w:szCs w:val="28"/>
        </w:rPr>
      </w:pPr>
      <w:bookmarkStart w:id="34" w:name="_Toc8404645"/>
      <w:r>
        <w:rPr>
          <w:rFonts w:ascii="Times New Roman" w:hAnsi="Times New Roman" w:cs="Times New Roman"/>
          <w:b/>
          <w:color w:val="auto"/>
          <w:sz w:val="28"/>
          <w:szCs w:val="28"/>
        </w:rPr>
        <w:t>Conclusion</w:t>
      </w:r>
      <w:bookmarkEnd w:id="34"/>
      <w:r w:rsidR="004A0A8F">
        <w:rPr>
          <w:rFonts w:ascii="Times New Roman" w:hAnsi="Times New Roman" w:cs="Times New Roman"/>
          <w:b/>
          <w:sz w:val="28"/>
          <w:szCs w:val="28"/>
        </w:rPr>
        <w:t xml:space="preserve"> </w:t>
      </w:r>
    </w:p>
    <w:p w14:paraId="39C0B1B9" w14:textId="38938FC5" w:rsidR="00A6588D" w:rsidRDefault="006C0B6C" w:rsidP="00A6588D">
      <w:pPr>
        <w:spacing w:line="480" w:lineRule="auto"/>
        <w:ind w:firstLine="720"/>
        <w:rPr>
          <w:sz w:val="24"/>
          <w:szCs w:val="24"/>
        </w:rPr>
      </w:pPr>
      <w:r>
        <w:rPr>
          <w:sz w:val="24"/>
          <w:szCs w:val="24"/>
        </w:rPr>
        <w:t>This study represents a novel step towards assessing the DNA preservation of dental calculus from a Mesoamerican context</w:t>
      </w:r>
      <w:r w:rsidR="00A6588D">
        <w:rPr>
          <w:sz w:val="24"/>
          <w:szCs w:val="24"/>
        </w:rPr>
        <w:t xml:space="preserve">, a region that has not been included in previous dental calculus studies </w:t>
      </w:r>
      <w:r w:rsidR="00A6588D">
        <w:rPr>
          <w:sz w:val="24"/>
          <w:szCs w:val="24"/>
        </w:rPr>
        <w:fldChar w:fldCharType="begin"/>
      </w:r>
      <w:r w:rsidR="00A6588D">
        <w:rPr>
          <w:sz w:val="24"/>
          <w:szCs w:val="24"/>
        </w:rPr>
        <w:instrText xml:space="preserve"> ADDIN ZOTERO_ITEM CSL_CITATION {"citationID":"l9ulAmwF","properties":{"formattedCitation":"(Mann et al., 2018; Warinner et al., 2014; Weyrich et al., 2017)","plainCitation":"(Mann et al., 2018; Warinner et al., 2014; Weyrich et al., 2017)","noteIndex":0},"citationItems":[{"id":428,"uris":["http://zotero.org/users/4461938/items/WVIA9HQ4"],"uri":["http://zotero.org/users/4461938/items/WVIA9HQ4"],"itemData":{"id":428,"type":"article-journal","title":"Differential preservation of endogenous human and microbial DNA in dental calculus and dentin","container-title":"Scientific Reports","volume":"8","source":"PubMed Central","abstract":"Dental calculus (calcified dental plaque) is prevalent in archaeological skeletal collections and is a rich source of oral microbiome and host-derived ancient biomolecules. Recently, it has been proposed that dental calculus may provide a more robust environment for DNA preservation than other skeletal remains, but this has not been systematically tested. In this study, shotgun-sequenced data from paired dental calculus and dentin samples from 48 globally distributed individuals are compared using a metagenomic approach. Overall, we find DNA from dental calculus is consistently more abundant and less contaminated than DNA from dentin. The majority of DNA in dental calculus is microbial and originates from the oral microbiome; however, a small but consistent proportion of DNA (mean 0.08 ± 0.08%, range 0.007–0.47%) derives from the host genome. Host DNA content within dentin is variable (mean 13.70 ± 18.62%, range 0.003–70.14%), and for a subset of dentin samples (15.21%), oral bacteria contribute &gt; 20% of total DNA. Human DNA in dental calculus is highly fragmented, and is consistently shorter than both microbial DNA in dental calculus and human DNA in paired dentin samples. Finally, we find that microbial DNA fragmentation patterns are associated with guanine-cytosine (GC) content, but not aspects of cellular structure.","URL":"https://www.ncbi.nlm.nih.gov/pmc/articles/PMC6026117/","DOI":"10.1038/s41598-018-28091-9","ISSN":"2045-2322","note":"PMID: 29959351\nPMCID: PMC6026117","journalAbbreviation":"Sci Rep","author":[{"family":"Mann","given":"Allison E."},{"family":"Sabin","given":"Susanna"},{"family":"Ziesemer","given":"Kirsten"},{"family":"Vågene","given":"Åshild J."},{"family":"Schroeder","given":"Hannes"},{"family":"Ozga","given":"Andrew T."},{"family":"Sankaranarayanan","given":"Krithivasan"},{"family":"Hofman","given":"Courtney A."},{"family":"Fellows Yates","given":"James A."},{"family":"Salazar-García","given":"Domingo C."},{"family":"Frohlich","given":"Bruno"},{"family":"Aldenderfer","given":"Mark"},{"family":"Hoogland","given":"Menno"},{"family":"Read","given":"Christopher"},{"family":"Milner","given":"George R."},{"family":"Stone","given":"Anne C."},{"family":"Lewis","given":"Cecil M."},{"family":"Krause","given":"Johannes"},{"family":"Hofman","given":"Corinne"},{"family":"Bos","given":"Kirsten I."},{"family":"Warinner","given":"Christina"}],"issued":{"date-parts":[["2018",6,29]]}}},{"id":624,"uris":["http://zotero.org/users/4461938/items/PZMVCPAA"],"uri":["http://zotero.org/users/4461938/items/PZMVCPAA"],"itemData":{"id":624,"type":"article-journal","title":"Pathogens and host immunity in the ancient human oral cavity","container-title":"Nature genetics","page":"336","volume":"46","issue":"4","author":[{"family":"Warinner","given":"Christina"},{"family":"Rodrigues","given":"João F. Matias"},{"family":"Vyas","given":"Rounak"},{"family":"Trachsel","given":"Christian"},{"family":"Shved","given":"Natallia"},{"family":"Grossmann","given":"Jonas"},{"family":"Radini","given":"Anita"},{"family":"Hancock","given":"Y."},{"family":"Tito","given":"Raul Y."},{"family":"Fiddyment","given":"Sarah"}],"issued":{"date-parts":[["2014"]]}}},{"id":773,"uris":["http://zotero.org/users/4461938/items/GIQWRB8M"],"uri":["http://zotero.org/users/4461938/items/GIQWRB8M"],"itemData":{"id":773,"type":"article-journal","title":"Neanderthal behaviour, diet, and disease inferred from ancient DNA in dental calculus","container-title":"Nature","page":"357-361","volume":"544","issue":"7650","source":"www.nature.com","abstract":"Recent genomic data have revealed multiple interactions between Neanderthals and modern humans1, but there is currently little genetic evidence regarding Neanderthal behaviour, diet, or disease. Here we describe the shotgun-sequencing of ancient DNA from five specimens of Neanderthal calcified dental plaque (calculus) and the characterization of regional differences in Neanderthal ecology. At Spy cave, Belgium, Neanderthal diet was heavily meat based and included woolly rhinoceros and wild sheep (mouflon), characteristic of a steppe environment. In contrast, no meat was detected in the diet of Neanderthals from El Sidrón cave, Spain, and dietary components of mushrooms, pine nuts, and moss reflected forest gathering2,3. Differences in diet were also linked to an overall shift in the oral bacterial community (microbiota) and suggested that meat consumption contributed to substantial variation within Neanderthal microbiota. Evidence for self-medication was detected in an El Sidrón Neanderthal with a dental abscess4 and a chronic gastrointestinal pathogen (Enterocytozoon bieneusi). Metagenomic data from this individual also contained a nearly complete genome of the archaeal commensal Methanobrevibacter oralis (10.2× depth of coverage)—the oldest draft microbial genome generated to date, at around 48,000 years old. DNA preserved within dental calculus represents a notable source of information about the behaviour and health of ancient hominin specimens, as well as a unique system that is useful for the study of long-term microbial evolution.","DOI":"10.1038/nature21674","ISSN":"1476-4687","language":"en","author":[{"family":"Weyrich","given":"Laura S."},{"family":"Duchene","given":"Sebastian"},{"family":"Soubrier","given":"Julien"},{"family":"Arriola","given":"Luis"},{"family":"Llamas","given":"Bastien"},{"family":"Breen","given":"James"},{"family":"Morris","given":"Alan G."},{"family":"Alt","given":"Kurt W."},{"family":"Caramelli","given":"David"},{"family":"Dresely","given":"Veit"},{"family":"Farrell","given":"Milly"},{"family":"Farrer","given":"Andrew G."},{"family":"Francken","given":"Michael"},{"family":"Gully","given":"Neville"},{"family":"Haak","given":"Wolfgang"},{"family":"Hardy","given":"Karen"},{"family":"Harvati","given":"Katerina"},{"family":"Held","given":"Petra"},{"family":"Holmes","given":"Edward C."},{"family":"Kaidonis","given":"John"},{"family":"Lalueza-Fox","given":"Carles"},{"family":"Rasilla","given":"Marco","non-dropping-particle":"de la"},{"family":"Rosas","given":"Antonio"},{"family":"Semal","given":"Patrick"},{"family":"Soltysiak","given":"Arkadiusz"},{"family":"Townsend","given":"Grant"},{"family":"Usai","given":"Donatella"},{"family":"Wahl","given":"Joachim"},{"family":"Huson","given":"Daniel H."},{"family":"Dobney","given":"Keith"},{"family":"Cooper","given":"Alan"}],"issued":{"date-parts":[["2017",4]]}}}],"schema":"https://github.com/citation-style-language/schema/raw/master/csl-citation.json"} </w:instrText>
      </w:r>
      <w:r w:rsidR="00A6588D">
        <w:rPr>
          <w:sz w:val="24"/>
          <w:szCs w:val="24"/>
        </w:rPr>
        <w:fldChar w:fldCharType="separate"/>
      </w:r>
      <w:r w:rsidR="00A6588D" w:rsidRPr="00A6588D">
        <w:rPr>
          <w:sz w:val="24"/>
        </w:rPr>
        <w:t>(Mann et al., 2018; Warinner et al., 2014; Weyrich et al., 2017)</w:t>
      </w:r>
      <w:r w:rsidR="00A6588D">
        <w:rPr>
          <w:sz w:val="24"/>
          <w:szCs w:val="24"/>
        </w:rPr>
        <w:fldChar w:fldCharType="end"/>
      </w:r>
      <w:r w:rsidR="00A6588D">
        <w:rPr>
          <w:sz w:val="24"/>
          <w:szCs w:val="24"/>
        </w:rPr>
        <w:t xml:space="preserve">. </w:t>
      </w:r>
      <w:r>
        <w:rPr>
          <w:sz w:val="24"/>
          <w:szCs w:val="24"/>
        </w:rPr>
        <w:t xml:space="preserve">The results presented here demonstrate that HTS methods can recover an extant oral microbiome from Teotihuacan, and that the resulting data provide noteworthy insights into the oral microbiome from a pre-European contact population. </w:t>
      </w:r>
      <w:r w:rsidR="00A6588D">
        <w:rPr>
          <w:sz w:val="24"/>
          <w:szCs w:val="24"/>
        </w:rPr>
        <w:t>In contrast, t</w:t>
      </w:r>
      <w:r>
        <w:rPr>
          <w:sz w:val="24"/>
          <w:szCs w:val="24"/>
        </w:rPr>
        <w:t>he</w:t>
      </w:r>
      <w:r w:rsidR="00A6588D">
        <w:rPr>
          <w:sz w:val="24"/>
          <w:szCs w:val="24"/>
        </w:rPr>
        <w:t xml:space="preserve"> PPL samples</w:t>
      </w:r>
      <w:r>
        <w:rPr>
          <w:sz w:val="24"/>
          <w:szCs w:val="24"/>
        </w:rPr>
        <w:t xml:space="preserve"> demonstrate that dental calculus can be susceptible to contamination and that the curation history of samples can impact the recovery of biomolecules. While these initial results are promising, </w:t>
      </w:r>
      <w:r w:rsidR="007D242C">
        <w:rPr>
          <w:sz w:val="24"/>
          <w:szCs w:val="24"/>
        </w:rPr>
        <w:t>a larger sample size</w:t>
      </w:r>
      <w:r>
        <w:rPr>
          <w:sz w:val="24"/>
          <w:szCs w:val="24"/>
        </w:rPr>
        <w:t xml:space="preserve"> from Teotihuacan </w:t>
      </w:r>
      <w:r w:rsidR="00C8725B">
        <w:rPr>
          <w:sz w:val="24"/>
          <w:szCs w:val="24"/>
        </w:rPr>
        <w:t xml:space="preserve">and </w:t>
      </w:r>
      <w:r>
        <w:rPr>
          <w:sz w:val="24"/>
          <w:szCs w:val="24"/>
        </w:rPr>
        <w:t>Mesoamerica</w:t>
      </w:r>
      <w:r w:rsidR="00C8725B">
        <w:rPr>
          <w:sz w:val="24"/>
          <w:szCs w:val="24"/>
        </w:rPr>
        <w:t xml:space="preserve"> in general</w:t>
      </w:r>
      <w:r>
        <w:rPr>
          <w:sz w:val="24"/>
          <w:szCs w:val="24"/>
        </w:rPr>
        <w:t xml:space="preserve"> will be needed to broaden the understanding </w:t>
      </w:r>
      <w:r w:rsidR="00C8725B">
        <w:rPr>
          <w:sz w:val="24"/>
          <w:szCs w:val="24"/>
        </w:rPr>
        <w:t>of</w:t>
      </w:r>
      <w:r>
        <w:rPr>
          <w:sz w:val="24"/>
          <w:szCs w:val="24"/>
        </w:rPr>
        <w:t xml:space="preserve"> DNA preservation in the region.</w:t>
      </w:r>
      <w:r w:rsidR="00A6588D">
        <w:rPr>
          <w:sz w:val="24"/>
          <w:szCs w:val="24"/>
        </w:rPr>
        <w:t xml:space="preserve"> </w:t>
      </w:r>
      <w:r w:rsidR="006332A2">
        <w:rPr>
          <w:sz w:val="24"/>
          <w:szCs w:val="24"/>
        </w:rPr>
        <w:t xml:space="preserve">Identifying the causal agents for this differential preservation and whether they could have been prevented is critical for future analyses. </w:t>
      </w:r>
    </w:p>
    <w:p w14:paraId="282D15B3" w14:textId="040C032C" w:rsidR="00EC0669" w:rsidRDefault="00F659E7" w:rsidP="00F447FE">
      <w:pPr>
        <w:rPr>
          <w:sz w:val="24"/>
          <w:szCs w:val="24"/>
        </w:rPr>
      </w:pPr>
      <w:r>
        <w:rPr>
          <w:sz w:val="24"/>
          <w:szCs w:val="24"/>
        </w:rPr>
        <w:br w:type="page"/>
      </w:r>
    </w:p>
    <w:p w14:paraId="13C61746" w14:textId="77777777" w:rsidR="00EC0669" w:rsidRPr="007B0ABE" w:rsidRDefault="00EC0669" w:rsidP="007B0ABE">
      <w:pPr>
        <w:pStyle w:val="Heading1"/>
        <w:rPr>
          <w:rFonts w:ascii="Times New Roman" w:hAnsi="Times New Roman" w:cs="Times New Roman"/>
          <w:b/>
          <w:color w:val="auto"/>
          <w:sz w:val="28"/>
          <w:szCs w:val="28"/>
        </w:rPr>
      </w:pPr>
      <w:bookmarkStart w:id="35" w:name="_Toc8404646"/>
      <w:bookmarkEnd w:id="1"/>
      <w:r w:rsidRPr="007B0ABE">
        <w:rPr>
          <w:rFonts w:ascii="Times New Roman" w:hAnsi="Times New Roman" w:cs="Times New Roman"/>
          <w:b/>
          <w:color w:val="auto"/>
          <w:sz w:val="28"/>
          <w:szCs w:val="28"/>
        </w:rPr>
        <w:lastRenderedPageBreak/>
        <w:t>References</w:t>
      </w:r>
      <w:bookmarkEnd w:id="35"/>
      <w:r w:rsidRPr="007B0ABE">
        <w:rPr>
          <w:rFonts w:ascii="Times New Roman" w:hAnsi="Times New Roman" w:cs="Times New Roman"/>
          <w:b/>
          <w:color w:val="auto"/>
          <w:sz w:val="28"/>
          <w:szCs w:val="28"/>
        </w:rPr>
        <w:t xml:space="preserve"> </w:t>
      </w:r>
    </w:p>
    <w:p w14:paraId="6F9B0630" w14:textId="77777777" w:rsidR="00F21EA4" w:rsidRPr="00F21EA4" w:rsidRDefault="00EC0669" w:rsidP="00F21EA4">
      <w:pPr>
        <w:pStyle w:val="Bibliography"/>
        <w:rPr>
          <w:lang w:val="de-DE"/>
        </w:rPr>
      </w:pPr>
      <w:r w:rsidRPr="00577145">
        <w:fldChar w:fldCharType="begin"/>
      </w:r>
      <w:r w:rsidR="008A73B2">
        <w:instrText xml:space="preserve"> ADDIN ZOTERO_BIBL {"uncited":[],"omitted":[],"custom":[]} CSL_BIBLIOGRAPHY </w:instrText>
      </w:r>
      <w:r w:rsidRPr="00577145">
        <w:fldChar w:fldCharType="separate"/>
      </w:r>
      <w:r w:rsidR="00F21EA4">
        <w:t xml:space="preserve">Adler, C.J., Dobney, K., Weyrich, L.S., Kaidonis, J., Walker, A.W., Haak, W., Bradshaw, C.J.A., Townsend, G., Sołtysiak, A., Alt, K.W., Parkhill, J., Cooper, A., 2013. Sequencing ancient calcified dental plaque shows changes in oral microbiota with dietary shifts of the Neolithic and Industrial revolutions. </w:t>
      </w:r>
      <w:r w:rsidR="00F21EA4" w:rsidRPr="00F21EA4">
        <w:rPr>
          <w:lang w:val="de-DE"/>
        </w:rPr>
        <w:t>Nat. Genet. 45, 450–455. https://doi.org/10.1038/ng.2536</w:t>
      </w:r>
    </w:p>
    <w:p w14:paraId="29494DA9" w14:textId="77777777" w:rsidR="00F21EA4" w:rsidRDefault="00F21EA4" w:rsidP="00F21EA4">
      <w:pPr>
        <w:pStyle w:val="Bibliography"/>
      </w:pPr>
      <w:r w:rsidRPr="00F21EA4">
        <w:rPr>
          <w:lang w:val="de-DE"/>
        </w:rPr>
        <w:t xml:space="preserve">Aleti, G., Baker, J.L., Tang, X., Alvarez, R., Dinis, M., Tran, N.C., Melnik, A.V., Zhong, C., Ernst, M., Dorrestein, P.C., 2018. </w:t>
      </w:r>
      <w:r>
        <w:t>Identification of the bacterial biosynthetic gene clusters of the oral microbiome illuminates the unexplored social language of bacteria during health and disease. bioRxiv 431510.</w:t>
      </w:r>
    </w:p>
    <w:p w14:paraId="7C35075C" w14:textId="77777777" w:rsidR="00F21EA4" w:rsidRPr="00F21EA4" w:rsidRDefault="00F21EA4" w:rsidP="00F21EA4">
      <w:pPr>
        <w:pStyle w:val="Bibliography"/>
        <w:rPr>
          <w:lang w:val="de-DE"/>
        </w:rPr>
      </w:pPr>
      <w:r w:rsidRPr="00F21EA4">
        <w:rPr>
          <w:lang w:val="de-DE"/>
        </w:rPr>
        <w:t>Allentoft, M.E., Sikora, M., Sjögren, K.-G., Rasmussen, S., Rasmussen, M., Stenderup, J., Damgaard, P.B., Schroeder, H., Ahlström, T., Vinner, L., 2015. Population genomics of bronze age Eurasia. Nature 522, 167.</w:t>
      </w:r>
    </w:p>
    <w:p w14:paraId="196852C1" w14:textId="77777777" w:rsidR="00F21EA4" w:rsidRDefault="00F21EA4" w:rsidP="00F21EA4">
      <w:pPr>
        <w:pStyle w:val="Bibliography"/>
      </w:pPr>
      <w:r w:rsidRPr="00F21EA4">
        <w:rPr>
          <w:lang w:val="de-DE"/>
        </w:rPr>
        <w:t xml:space="preserve">Álvarez-Sandoval, B.A., Manzanilla, L.R., González-Ruiz, M., Malgosa, A., Montiel, R., 2015. </w:t>
      </w:r>
      <w:r>
        <w:t>Genetic evidence supports the multiethnic character of Teopancazco, a neighborhood center of Teotihuacan, Mexico (AD 200-600). PloS One 10, e0132371.</w:t>
      </w:r>
    </w:p>
    <w:p w14:paraId="523B732E" w14:textId="77777777" w:rsidR="00F21EA4" w:rsidRDefault="00F21EA4" w:rsidP="00F21EA4">
      <w:pPr>
        <w:pStyle w:val="Bibliography"/>
      </w:pPr>
      <w:r>
        <w:t>Anderson, S., Bankier, A.T., Barrell, B.G., Bruijn, M.H.L. de, Coulson, A.R., Drouin, J., Eperon, I.C., Nierlich, D.P., Roe, B.A., Sanger, F., Schreier, P.H., Smith, A.J.H., Staden, R., Young, I.G., 1981. Sequence and organization of the human mitochondrial genome. Nature 290, 457. https://doi.org/10.1038/290457a0</w:t>
      </w:r>
    </w:p>
    <w:p w14:paraId="4DBE86F9" w14:textId="77777777" w:rsidR="00F21EA4" w:rsidRDefault="00F21EA4" w:rsidP="00F21EA4">
      <w:pPr>
        <w:pStyle w:val="Bibliography"/>
      </w:pPr>
      <w:r>
        <w:t>Andrews, R.M., Kubacka, I., Chinnery, P.F., Lightowlers, R.N., Turnbull, D.M., Howell, N., 1999. Reanalysis and revision of the Cambridge reference sequence for human mitochondrial DNA. Nat. Genet. 23, 147. https://doi.org/10.1038/13779</w:t>
      </w:r>
    </w:p>
    <w:p w14:paraId="214CE171" w14:textId="77777777" w:rsidR="00F21EA4" w:rsidRDefault="00F21EA4" w:rsidP="00F21EA4">
      <w:pPr>
        <w:pStyle w:val="Bibliography"/>
      </w:pPr>
      <w:r>
        <w:t>Armitage, P.L., 1975. The extraction and identification of opal phytoliths from the teeth of ungulates. J. Archaeol. Sci. 2, 187–197.</w:t>
      </w:r>
    </w:p>
    <w:p w14:paraId="1D715D82" w14:textId="77777777" w:rsidR="00F21EA4" w:rsidRDefault="00F21EA4" w:rsidP="00F21EA4">
      <w:pPr>
        <w:pStyle w:val="Bibliography"/>
      </w:pPr>
      <w:r>
        <w:t>Austin, J.J., Ross, A.J., Smith, A.B., Fortey, R.A., Thomas, R.H., 1997. Problems of reproducibility–does geologically ancient DNA survive in amber–preserved insects? Proc. R. Soc. Lond. B Biol. Sci. 264, 467–474.</w:t>
      </w:r>
    </w:p>
    <w:p w14:paraId="211CF335" w14:textId="77777777" w:rsidR="00F21EA4" w:rsidRDefault="00F21EA4" w:rsidP="00F21EA4">
      <w:pPr>
        <w:pStyle w:val="Bibliography"/>
      </w:pPr>
      <w:r>
        <w:t>Austin, R.M., Sholts, S.B., Williams, L., Kistler, L., Hofman, C.A., 2019. Opinion: To curate the molecular past, museums need a carefully considered set of best practices. Proc. Natl. Acad. Sci. 116, 1471–1474.</w:t>
      </w:r>
    </w:p>
    <w:p w14:paraId="6EAB0DD2" w14:textId="77777777" w:rsidR="00F21EA4" w:rsidRPr="00F21EA4" w:rsidRDefault="00F21EA4" w:rsidP="00F21EA4">
      <w:pPr>
        <w:pStyle w:val="Bibliography"/>
        <w:rPr>
          <w:lang w:val="de-DE"/>
        </w:rPr>
      </w:pPr>
      <w:r>
        <w:t xml:space="preserve">Benn, A.M., Heng, N.C., Broadbent, J.M., Thomson, W.M., 2018. Studying the human oral microbiome: challenges and the evolution of solutions. </w:t>
      </w:r>
      <w:r w:rsidRPr="00F21EA4">
        <w:rPr>
          <w:lang w:val="de-DE"/>
        </w:rPr>
        <w:t>Aust. Dent. J. 63, 14–24.</w:t>
      </w:r>
    </w:p>
    <w:p w14:paraId="333E1BC3" w14:textId="77777777" w:rsidR="00F21EA4" w:rsidRDefault="00F21EA4" w:rsidP="00F21EA4">
      <w:pPr>
        <w:pStyle w:val="Bibliography"/>
      </w:pPr>
      <w:r w:rsidRPr="00F21EA4">
        <w:rPr>
          <w:lang w:val="de-DE"/>
        </w:rPr>
        <w:t xml:space="preserve">Boessenkool, S., Hanghøj, K., Nistelberger, H.M., Der Sarkissian, C., Gondek, A.T., Orlando, L., Barrett, J.H., Star, B., 2017. </w:t>
      </w:r>
      <w:r>
        <w:t>Combining bleach and mild predigestion improves ancient DNA recovery from bones. Mol. Ecol. Resour. 17, 742–751.</w:t>
      </w:r>
    </w:p>
    <w:p w14:paraId="70BBE606" w14:textId="77777777" w:rsidR="00F21EA4" w:rsidRDefault="00F21EA4" w:rsidP="00F21EA4">
      <w:pPr>
        <w:pStyle w:val="Bibliography"/>
      </w:pPr>
      <w:r>
        <w:t>Briggs, A.W., Stenzel, U., Johnson, P.L., Green, R.E., Kelso, J., Prüfer, K., Meyer, M., Krause, J., Ronan, M.T., Lachmann, M., 2007. Patterns of damage in genomic DNA sequences from a Neandertal. Proc. Natl. Acad. Sci. 104, 14616–14621.</w:t>
      </w:r>
    </w:p>
    <w:p w14:paraId="73745A61" w14:textId="77777777" w:rsidR="00F21EA4" w:rsidRDefault="00F21EA4" w:rsidP="00F21EA4">
      <w:pPr>
        <w:pStyle w:val="Bibliography"/>
      </w:pPr>
      <w:r>
        <w:t>Brothwell, D.R., 1981. Digging up bones: the excavation, treatment, and study of human skeletal remains. Cornell University Press.</w:t>
      </w:r>
    </w:p>
    <w:p w14:paraId="51BC3226" w14:textId="77777777" w:rsidR="00F21EA4" w:rsidRDefault="00F21EA4" w:rsidP="00F21EA4">
      <w:pPr>
        <w:pStyle w:val="Bibliography"/>
      </w:pPr>
      <w:r>
        <w:t>Carballo, D., Sarinana, D.H., Codlin, M., Buckley, G., Hernandez, J.O., 2018. Activity Areas and Political Economy at Teotihuacan’s Plaza of the Columns: Investigations in Front E. Presented at the 82nd Annual Meeting of the Society for American Archaeology 2018 Conference, Washington D.C.</w:t>
      </w:r>
    </w:p>
    <w:p w14:paraId="3BDCBFD6" w14:textId="77777777" w:rsidR="00F21EA4" w:rsidRDefault="00F21EA4" w:rsidP="00F21EA4">
      <w:pPr>
        <w:pStyle w:val="Bibliography"/>
      </w:pPr>
      <w:r>
        <w:t>Carøe, C., Gopalakrishnan, S., Vinner, L., Mak, S.S.T., Sinding, M.H.S., Samaniego, J.A., Wales, N., Sicheritz-Pontén, T., Gilbert, M.T.P., 2018. Single-tube library preparation for degraded DNA. Methods Ecol. Evol. 9, 410–419. https://doi.org/10.1111/2041-210X.12871</w:t>
      </w:r>
    </w:p>
    <w:p w14:paraId="1EB83B07" w14:textId="77777777" w:rsidR="00F21EA4" w:rsidRDefault="00F21EA4" w:rsidP="00F21EA4">
      <w:pPr>
        <w:pStyle w:val="Bibliography"/>
      </w:pPr>
      <w:r>
        <w:t>Champlot, S., Berthelot, C., Pruvost, M., Bennett, E.A., Grange, T., Geigl, E.-M., 2010. An Efficient Multistrategy DNA Decontamination Procedure of PCR Reagents for Hypersensitive PCR Applications. PLOS ONE 5, e13042. https://doi.org/10.1371/journal.pone.0013042</w:t>
      </w:r>
    </w:p>
    <w:p w14:paraId="1CBD3D8F" w14:textId="77777777" w:rsidR="00F21EA4" w:rsidRDefault="00F21EA4" w:rsidP="00F21EA4">
      <w:pPr>
        <w:pStyle w:val="Bibliography"/>
      </w:pPr>
      <w:r>
        <w:lastRenderedPageBreak/>
        <w:t>Chatters, J.C., Kennett, D.J., Asmerom, Y., Kemp, B.M., Polyak, V., Blank, A.N., Beddows, P.A., Reinhardt, E., Arroyo-Cabrales, J., Bolnick, D.A., 2014. Late Pleistocene human skeleton and mtDNA link Paleoamericans and modern Native Americans. science 344, 750–754.</w:t>
      </w:r>
    </w:p>
    <w:p w14:paraId="22EF4B67" w14:textId="77777777" w:rsidR="00F21EA4" w:rsidRPr="00F21EA4" w:rsidRDefault="00F21EA4" w:rsidP="00F21EA4">
      <w:pPr>
        <w:pStyle w:val="Bibliography"/>
        <w:rPr>
          <w:lang w:val="fr-FR"/>
        </w:rPr>
      </w:pPr>
      <w:r w:rsidRPr="00F21EA4">
        <w:rPr>
          <w:lang w:val="de-DE"/>
        </w:rPr>
        <w:t xml:space="preserve">Chen, Y.E., Fischbach, M.A., Belkaid, Y., 2018. </w:t>
      </w:r>
      <w:r w:rsidRPr="00F21EA4">
        <w:rPr>
          <w:lang w:val="fr-FR"/>
        </w:rPr>
        <w:t>Skin microbiota–host interactions. Nature 553, 427–436. https://doi.org/10.1038/nature25177</w:t>
      </w:r>
    </w:p>
    <w:p w14:paraId="512C6796" w14:textId="77777777" w:rsidR="00F21EA4" w:rsidRPr="00F21EA4" w:rsidRDefault="00F21EA4" w:rsidP="00F21EA4">
      <w:pPr>
        <w:pStyle w:val="Bibliography"/>
        <w:rPr>
          <w:lang w:val="fr-FR"/>
        </w:rPr>
      </w:pPr>
      <w:r>
        <w:t xml:space="preserve">Culotta, E., 2015. New life for old bones. </w:t>
      </w:r>
      <w:r w:rsidRPr="00F21EA4">
        <w:rPr>
          <w:lang w:val="fr-FR"/>
        </w:rPr>
        <w:t>Science 349, 358–361. https://doi.org/10.1126/science.349.6246.358</w:t>
      </w:r>
    </w:p>
    <w:p w14:paraId="2F8ED609" w14:textId="77777777" w:rsidR="00F21EA4" w:rsidRDefault="00F21EA4" w:rsidP="00F21EA4">
      <w:pPr>
        <w:pStyle w:val="Bibliography"/>
      </w:pPr>
      <w:r w:rsidRPr="00F21EA4">
        <w:rPr>
          <w:lang w:val="fr-FR"/>
        </w:rPr>
        <w:t xml:space="preserve">Dabney, J., Knapp, M., Glocke, I., Gansauge, M.-T., Weihmann, A., Nickel, B., Valdiosera, C., García, N., Pääbo, S., Arsuaga, J.-L., Meyer, M., 2013a. </w:t>
      </w:r>
      <w:r>
        <w:t>Complete mitochondrial genome sequence of a Middle Pleistocene cave bear reconstructed from ultrashort DNA fragments. Proc. Natl. Acad. Sci. 201314445. https://doi.org/10.1073/pnas.1314445110</w:t>
      </w:r>
    </w:p>
    <w:p w14:paraId="15B5EA5E" w14:textId="77777777" w:rsidR="00F21EA4" w:rsidRDefault="00F21EA4" w:rsidP="00F21EA4">
      <w:pPr>
        <w:pStyle w:val="Bibliography"/>
      </w:pPr>
      <w:r>
        <w:t>Dabney, J., Meyer, M., Pääbo, S., 2013b. Ancient DNA damage. Cold Spring Harb. Perspect. Biol. 5, a012567.</w:t>
      </w:r>
    </w:p>
    <w:p w14:paraId="7EECDC7B" w14:textId="77777777" w:rsidR="00F21EA4" w:rsidRPr="00BC4418" w:rsidRDefault="00F21EA4" w:rsidP="00F21EA4">
      <w:pPr>
        <w:pStyle w:val="Bibliography"/>
        <w:rPr>
          <w:lang w:val="fr-FR"/>
        </w:rPr>
      </w:pPr>
      <w:r>
        <w:t xml:space="preserve">Dave, M., Higgins, P.D., Middha, S., Rioux, K.P., 2012. The human gut microbiome: current knowledge, challenges, and future directions. </w:t>
      </w:r>
      <w:proofErr w:type="spellStart"/>
      <w:r w:rsidRPr="00BC4418">
        <w:rPr>
          <w:lang w:val="fr-FR"/>
        </w:rPr>
        <w:t>Transl</w:t>
      </w:r>
      <w:proofErr w:type="spellEnd"/>
      <w:r w:rsidRPr="00BC4418">
        <w:rPr>
          <w:lang w:val="fr-FR"/>
        </w:rPr>
        <w:t xml:space="preserve">. </w:t>
      </w:r>
      <w:proofErr w:type="spellStart"/>
      <w:r w:rsidRPr="00BC4418">
        <w:rPr>
          <w:lang w:val="fr-FR"/>
        </w:rPr>
        <w:t>Res</w:t>
      </w:r>
      <w:proofErr w:type="spellEnd"/>
      <w:r w:rsidRPr="00BC4418">
        <w:rPr>
          <w:lang w:val="fr-FR"/>
        </w:rPr>
        <w:t>. 160, 246–257.</w:t>
      </w:r>
    </w:p>
    <w:p w14:paraId="5FD34DB2" w14:textId="77777777" w:rsidR="00F21EA4" w:rsidRDefault="00F21EA4" w:rsidP="00F21EA4">
      <w:pPr>
        <w:pStyle w:val="Bibliography"/>
      </w:pPr>
      <w:r w:rsidRPr="00F21EA4">
        <w:rPr>
          <w:lang w:val="fr-FR"/>
        </w:rPr>
        <w:t xml:space="preserve">De La Fuente, C., Flores, S., Moraga, M., 2013. </w:t>
      </w:r>
      <w:r>
        <w:t>DNA from human ancient bacteria: a novel source of genetic evidence from archaeological dental calculus. Archaeometry 55, 767–778.</w:t>
      </w:r>
    </w:p>
    <w:p w14:paraId="48589EF9" w14:textId="77777777" w:rsidR="00F21EA4" w:rsidRDefault="00F21EA4" w:rsidP="00F21EA4">
      <w:pPr>
        <w:pStyle w:val="Bibliography"/>
      </w:pPr>
      <w:r>
        <w:t>DeSantis, T.Z., Hugenholtz, P., Larsen, N., Rojas, M., Brodie, E.L., Keller, K., Huber, T., Dalevi, D., Hu, P., Andersen, G.L., 2006. Greengenes, a chimera-checked 16S rRNA gene database and workbench compatible with ARB. Appl Env. Microbiol 72, 5069–5072.</w:t>
      </w:r>
    </w:p>
    <w:p w14:paraId="0AD79339" w14:textId="77777777" w:rsidR="00F21EA4" w:rsidRDefault="00F21EA4" w:rsidP="00F21EA4">
      <w:pPr>
        <w:pStyle w:val="Bibliography"/>
      </w:pPr>
      <w:r>
        <w:t>Dewhirst, F.E., Chen, T., Izard, J., Paster, B.J., Tanner, A.C., Yu, W.-H., Lakshmanan, A., Wade, W.G., 2010. The human oral microbiome. J. Bacteriol. 192, 5002–5017.</w:t>
      </w:r>
    </w:p>
    <w:p w14:paraId="0B37A03E" w14:textId="77777777" w:rsidR="00F21EA4" w:rsidRDefault="00F21EA4" w:rsidP="00F21EA4">
      <w:pPr>
        <w:pStyle w:val="Bibliography"/>
      </w:pPr>
      <w:r>
        <w:t>Dobney, K., Brothwell, D., 1988. A scanning electron microscope study of archaeological dental calculus, in: Scanning Electron Microscopy in Archaeology. pp. 372–385.</w:t>
      </w:r>
    </w:p>
    <w:p w14:paraId="700B1647" w14:textId="77777777" w:rsidR="00F21EA4" w:rsidRDefault="00F21EA4" w:rsidP="00F21EA4">
      <w:pPr>
        <w:pStyle w:val="Bibliography"/>
      </w:pPr>
      <w:r>
        <w:t>Dobney, K., Brothwell, D., 1986. Dental calculus: its relevance to ancient diet and oral ecology. Teeth Anthropol. 291, 55–81.</w:t>
      </w:r>
    </w:p>
    <w:p w14:paraId="7462A4FD" w14:textId="77777777" w:rsidR="00F21EA4" w:rsidRDefault="00F21EA4" w:rsidP="00F21EA4">
      <w:pPr>
        <w:pStyle w:val="Bibliography"/>
      </w:pPr>
      <w:r>
        <w:t>DOE Joint Genome Institute, 2017. Bog forest soil microbial communities from Calvert Island, British Columbia, Canada - ECP14_OM3 metagenome.</w:t>
      </w:r>
    </w:p>
    <w:p w14:paraId="07608037" w14:textId="77777777" w:rsidR="00F21EA4" w:rsidRDefault="00F21EA4" w:rsidP="00F21EA4">
      <w:pPr>
        <w:pStyle w:val="Bibliography"/>
      </w:pPr>
      <w:r w:rsidRPr="00F21EA4">
        <w:rPr>
          <w:lang w:val="de-DE"/>
        </w:rPr>
        <w:t xml:space="preserve">Eisenhofer, R., Cooper, A., Weyrich, L.S., 2017. </w:t>
      </w:r>
      <w:r>
        <w:t>Reply to Santiago-Rodriguez et al.: proper authentication of ancient DNA is essential. FEMS Microbiol. Ecol. 93. https://doi.org/10.1093/femsec/fix042</w:t>
      </w:r>
    </w:p>
    <w:p w14:paraId="1C236CAA" w14:textId="77777777" w:rsidR="00F21EA4" w:rsidRPr="00F21EA4" w:rsidRDefault="00F21EA4" w:rsidP="00F21EA4">
      <w:pPr>
        <w:pStyle w:val="Bibliography"/>
        <w:rPr>
          <w:lang w:val="de-DE"/>
        </w:rPr>
      </w:pPr>
      <w:r>
        <w:t xml:space="preserve">Gao, L., Liu, Y., Kim, D., Li, Y., Hwang, G., Naha, P.C., Cormode, D.P., Koo, H., 2016. Nanocatalysts promote Streptococcus mutans biofilm matrix degradation and enhance bacterial killing to suppress dental caries in vivo. </w:t>
      </w:r>
      <w:r w:rsidRPr="00F21EA4">
        <w:rPr>
          <w:lang w:val="de-DE"/>
        </w:rPr>
        <w:t>Biomaterials 101, 272–284.</w:t>
      </w:r>
    </w:p>
    <w:p w14:paraId="160C6F75" w14:textId="77777777" w:rsidR="00F21EA4" w:rsidRDefault="00F21EA4" w:rsidP="00F21EA4">
      <w:pPr>
        <w:pStyle w:val="Bibliography"/>
      </w:pPr>
      <w:r w:rsidRPr="00F21EA4">
        <w:rPr>
          <w:lang w:val="de-DE"/>
        </w:rPr>
        <w:t xml:space="preserve">Gilbert, M.T.P., Bandelt, H.-J., Hofreiter, M., Barnes, I., 2005. </w:t>
      </w:r>
      <w:r>
        <w:t>Assessing ancient DNA studies. Trends Ecol. Evol. 20, 541–544.</w:t>
      </w:r>
    </w:p>
    <w:p w14:paraId="761C89BB" w14:textId="77777777" w:rsidR="00F21EA4" w:rsidRDefault="00F21EA4" w:rsidP="00F21EA4">
      <w:pPr>
        <w:pStyle w:val="Bibliography"/>
      </w:pPr>
      <w:r>
        <w:t>Ginolhac, A., Rasmussen, M., Gilbert, M.T.P., Willerslev, E., Orlando, L., 2011. mapDamage: testing for damage patterns in ancient DNA sequences. Bioinformatics 27, 2153–2155. https://doi.org/10.1093/bioinformatics/btr347</w:t>
      </w:r>
    </w:p>
    <w:p w14:paraId="3FDCCDE9" w14:textId="77777777" w:rsidR="00F21EA4" w:rsidRDefault="00F21EA4" w:rsidP="00F21EA4">
      <w:pPr>
        <w:pStyle w:val="Bibliography"/>
      </w:pPr>
      <w:r>
        <w:t>Giongo, A., Gano, K.A., Crabb, D.B., Mukherjee, N., Novelo, L.L., Casella, G., Drew, J.C., Ilonen, J., Knip, M., Hyöty, H., 2011. Toward defining the autoimmune microbiome for type 1 diabetes. ISME J. 5, 82.</w:t>
      </w:r>
    </w:p>
    <w:p w14:paraId="14D42A9B" w14:textId="77777777" w:rsidR="00F21EA4" w:rsidRDefault="00F21EA4" w:rsidP="00F21EA4">
      <w:pPr>
        <w:pStyle w:val="Bibliography"/>
      </w:pPr>
      <w:r>
        <w:t>Golenberg, E.M., Giannasi, D.E., Clegg, M.T., Smiley, C.J., Durbin, M., Henderson, D., Zurawski, G., 1990. Chloroplast DNA sequence from a Miocene Magnolia species. Nature 344, 656. https://doi.org/10.1038/344656a0</w:t>
      </w:r>
    </w:p>
    <w:p w14:paraId="2A73304F" w14:textId="77777777" w:rsidR="00F21EA4" w:rsidRDefault="00F21EA4" w:rsidP="00F21EA4">
      <w:pPr>
        <w:pStyle w:val="Bibliography"/>
      </w:pPr>
      <w:r>
        <w:t>Gomez-Arango, L.F., Barrett, H.L., McIntyre, H.D., Callaway, L.K., Morrison, M., Nitert, M.D., 2016. Connections between the gut microbiome and metabolic hormones in early pregnancy in overweight and obese women. Diabetes 65, 2214–2223.</w:t>
      </w:r>
    </w:p>
    <w:p w14:paraId="201122CA" w14:textId="77777777" w:rsidR="00F21EA4" w:rsidRDefault="00F21EA4" w:rsidP="00F21EA4">
      <w:pPr>
        <w:pStyle w:val="Bibliography"/>
      </w:pPr>
      <w:r>
        <w:t>González‐Oliver, A., Márquez‐Morfín, L., Jiménez, J.C., Torre‐Blanco, A., 2001. Founding amerindian mitochondrial DNA lineages in ancient Maya from Xcaret, Quintana Roo. Am. J. Phys. Anthropol. Off. Publ. Am. Assoc. Phys. Anthropol. 116, 230–235.</w:t>
      </w:r>
    </w:p>
    <w:p w14:paraId="4C705BED" w14:textId="77777777" w:rsidR="00F21EA4" w:rsidRDefault="00F21EA4" w:rsidP="00F21EA4">
      <w:pPr>
        <w:pStyle w:val="Bibliography"/>
      </w:pPr>
      <w:r>
        <w:lastRenderedPageBreak/>
        <w:t>Gopalakrishnan, V., Spencer, C.N., Nezi, L., Reuben, A., Andrews, M.C., Karpinets, T.V., Prieto, P.A., Vicente, D., Hoffman, K., Wei, S.C., 2018. Gut microbiome modulates response to anti–PD-1 immunotherapy in melanoma patients. Science 359, 97–103.</w:t>
      </w:r>
    </w:p>
    <w:p w14:paraId="0D8363F3" w14:textId="77777777" w:rsidR="00F21EA4" w:rsidRDefault="00F21EA4" w:rsidP="00F21EA4">
      <w:pPr>
        <w:pStyle w:val="Bibliography"/>
      </w:pPr>
      <w:r>
        <w:t>Green, R.E., Briggs, A.W., Krause, J., Prüfer, K., Burbano, H.A., Siebauer, M., Lachmann, M., Pääbo, S., 2009. The Neandertal genome and ancient DNA authenticity. EMBO J. 28, 2494–2502.</w:t>
      </w:r>
    </w:p>
    <w:p w14:paraId="049E1462" w14:textId="77777777" w:rsidR="00F21EA4" w:rsidRDefault="00F21EA4" w:rsidP="00F21EA4">
      <w:pPr>
        <w:pStyle w:val="Bibliography"/>
      </w:pPr>
      <w:r>
        <w:t>Hammond, N., Aspinall, A., Feather, S., Hazelden, J., Gazard, T., Agrell, S., 1977. Maya jade: source location and analysis, in: Exchange Systems in Prehistory. Elsevier, pp. 35–67.</w:t>
      </w:r>
    </w:p>
    <w:p w14:paraId="3F80A26F" w14:textId="77777777" w:rsidR="00F21EA4" w:rsidRDefault="00F21EA4" w:rsidP="00F21EA4">
      <w:pPr>
        <w:pStyle w:val="Bibliography"/>
      </w:pPr>
      <w:r>
        <w:t>Hansen, J.P.H., Medlgaard, J., 1991. Greenland Mummies. McGill-Queen’s Press-MQUP.</w:t>
      </w:r>
    </w:p>
    <w:p w14:paraId="44E443F5" w14:textId="77777777" w:rsidR="00F21EA4" w:rsidRDefault="00F21EA4" w:rsidP="00F21EA4">
      <w:pPr>
        <w:pStyle w:val="Bibliography"/>
      </w:pPr>
      <w:r>
        <w:t>Hofreiter, M., Paijmans, J.L.A., Goodchild, H., Speller, C.F., Barlow, A., Fortes, G.G., Thomas, J.A., Ludwig, A., Collins, M.J., 2015. The future of ancient DNA: Technical advances and conceptual shifts. BioEssays 37, 284–293. https://doi.org/10.1002/bies.201400160</w:t>
      </w:r>
    </w:p>
    <w:p w14:paraId="040FDA5C" w14:textId="77777777" w:rsidR="00F21EA4" w:rsidRDefault="00F21EA4" w:rsidP="00F21EA4">
      <w:pPr>
        <w:pStyle w:val="Bibliography"/>
      </w:pPr>
      <w:r>
        <w:t>Hujoel, P., 2009. Dietary carbohydrates and dental-systemic diseases. J. Dent. Res. 88, 490–502.</w:t>
      </w:r>
    </w:p>
    <w:p w14:paraId="6F38B26B" w14:textId="77777777" w:rsidR="00F21EA4" w:rsidRDefault="00F21EA4" w:rsidP="00F21EA4">
      <w:pPr>
        <w:pStyle w:val="Bibliography"/>
      </w:pPr>
      <w:r>
        <w:t>Huttenhower, C., Gevers, D., Knight, R., Abubucker, S., Badger, J.H., Chinwalla, A.T., Creasy, H.H., Earl, A.M., FitzGerald, M.G., Fulton, R.S., 2012. Structure, function and diversity of the healthy human microbiome. Nature 486, 207.</w:t>
      </w:r>
    </w:p>
    <w:p w14:paraId="6D219925" w14:textId="77777777" w:rsidR="00F21EA4" w:rsidRDefault="00F21EA4" w:rsidP="00F21EA4">
      <w:pPr>
        <w:pStyle w:val="Bibliography"/>
      </w:pPr>
      <w:r>
        <w:t>Huynh, H.T.T., Nkamga, V.D., Drancourt, M., Aboudharam, G., 2015. Genetic variants of dental plaque Methanobrevibacter oralis. Eur. J. Clin. Microbiol. Infect. Dis. 34, 1097–1101. https://doi.org/10.1007/s10096-015-2325-x</w:t>
      </w:r>
    </w:p>
    <w:p w14:paraId="3CFD1E65" w14:textId="77777777" w:rsidR="00F21EA4" w:rsidRDefault="00F21EA4" w:rsidP="00F21EA4">
      <w:pPr>
        <w:pStyle w:val="Bibliography"/>
      </w:pPr>
      <w:r>
        <w:t>Huynh, H.T.T., Verneau, J., Levasseur, A., Drancourt, M., Aboudharam, G., 2016. Bacteria and archaea paleomicrobiology of the dental calculus: a review. Mol. Oral Microbiol. 31, 234–242. https://doi.org/10.1111/omi.12118</w:t>
      </w:r>
    </w:p>
    <w:p w14:paraId="5583EF91" w14:textId="77777777" w:rsidR="00F21EA4" w:rsidRDefault="00F21EA4" w:rsidP="00F21EA4">
      <w:pPr>
        <w:pStyle w:val="Bibliography"/>
      </w:pPr>
      <w:r>
        <w:t>International Human Genome Sequencing Consortium, 2001. Initial sequencing and analysis of the human genome. Nature 409, 860–921. https://doi.org/10.1038/35057062</w:t>
      </w:r>
    </w:p>
    <w:p w14:paraId="418A7693" w14:textId="77777777" w:rsidR="00F21EA4" w:rsidRDefault="00F21EA4" w:rsidP="00F21EA4">
      <w:pPr>
        <w:pStyle w:val="Bibliography"/>
      </w:pPr>
      <w:r>
        <w:t>Janda, J.M., Abbott, S.L., 2007. 16S rRNA Gene Sequencing for Bacterial Identification in the Diagnostic Laboratory: Pluses, Perils, and Pitfalls. J. Clin. Microbiol. 45, 2761–2764. https://doi.org/10.1128/JCM.01228-07</w:t>
      </w:r>
    </w:p>
    <w:p w14:paraId="77F3CAA1" w14:textId="77777777" w:rsidR="00F21EA4" w:rsidRDefault="00F21EA4" w:rsidP="00F21EA4">
      <w:pPr>
        <w:pStyle w:val="Bibliography"/>
      </w:pPr>
      <w:r>
        <w:t>Jónsson, H., Ginolhac, A., Schubert, M., Johnson, P.L.F., Orlando, L., 2013. mapDamage2.0: fast approximate Bayesian estimates of ancient DNA damage parameters. Bioinformatics 29, 1682–1684. https://doi.org/10.1093/bioinformatics/btt193</w:t>
      </w:r>
    </w:p>
    <w:p w14:paraId="5EB16B89" w14:textId="77777777" w:rsidR="00F21EA4" w:rsidRDefault="00F21EA4" w:rsidP="00F21EA4">
      <w:pPr>
        <w:pStyle w:val="Bibliography"/>
      </w:pPr>
      <w:r>
        <w:t>Kemp, B.M., González-Oliver, A., Malhi, R.S., Monroe, C., Schroeder, K.B., McDonough, J., Rhett, G., Resendéz, A., Peñaloza-Espinosa, R.I., Buentello-Malo, L., 2010. Evaluating the farming/language dispersal hypothesis with genetic variation exhibited by populations in the Southwest and Mesoamerica. Proc. Natl. Acad. Sci. 107, 6759–6764.</w:t>
      </w:r>
    </w:p>
    <w:p w14:paraId="57775A15" w14:textId="77777777" w:rsidR="00F21EA4" w:rsidRDefault="00F21EA4" w:rsidP="00F21EA4">
      <w:pPr>
        <w:pStyle w:val="Bibliography"/>
      </w:pPr>
      <w:r>
        <w:t>Kemp, B.M., Smith, D.G., 2005. Use of bleach to eliminate contaminating DNA from the surface of bones and teeth. Forensic Sci. Int. 154, 53–61.</w:t>
      </w:r>
    </w:p>
    <w:p w14:paraId="18C7C660" w14:textId="77777777" w:rsidR="00F21EA4" w:rsidRDefault="00F21EA4" w:rsidP="00F21EA4">
      <w:pPr>
        <w:pStyle w:val="Bibliography"/>
      </w:pPr>
      <w:r>
        <w:t>Kirchhoff, P., 1952. Mesoamerica: its geographic limits, ethnic composition and cultural characteristics. Herit. Conqu. 17–30.</w:t>
      </w:r>
    </w:p>
    <w:p w14:paraId="4312162F" w14:textId="77777777" w:rsidR="00F21EA4" w:rsidRDefault="00F21EA4" w:rsidP="00F21EA4">
      <w:pPr>
        <w:pStyle w:val="Bibliography"/>
      </w:pPr>
      <w:r>
        <w:t>Kistler, L., Ware, R., Smith, O., Collins, M., Allaby, R.G., 2017. A new model for ancient DNA decay based on paleogenomic meta-analysis. Nucleic Acids Res. 45, 6310–6320. https://doi.org/10.1093/nar/gkx361</w:t>
      </w:r>
    </w:p>
    <w:p w14:paraId="27E9E397" w14:textId="77777777" w:rsidR="00F21EA4" w:rsidRDefault="00F21EA4" w:rsidP="00F21EA4">
      <w:pPr>
        <w:pStyle w:val="Bibliography"/>
      </w:pPr>
      <w:r>
        <w:t>Knapp, M., Clarke, A.C., Horsburgh, K.A., Matisoo-Smith, E.A., 2012. Setting the stage – Building and working in an ancient DNA laboratory. Ann. Anat. - Anat. Anz., Special Issue: Ancient DNA 194, 3–6. https://doi.org/10.1016/j.aanat.2011.03.008</w:t>
      </w:r>
    </w:p>
    <w:p w14:paraId="52CCDB84" w14:textId="77777777" w:rsidR="00F21EA4" w:rsidRDefault="00F21EA4" w:rsidP="00F21EA4">
      <w:pPr>
        <w:pStyle w:val="Bibliography"/>
      </w:pPr>
      <w:r>
        <w:t>Knights, D., Kuczynski, J., Charlson, E.S., Zaneveld, J., Mozer, M.C., Collman, R.G., Bushman, F.D., Knight, R., Kelley, S.T., 2011. Bayesian community-wide culture-independent microbial source tracking. Nat. Methods 8, 761–763. https://doi.org/10.1038/nmeth.1650</w:t>
      </w:r>
    </w:p>
    <w:p w14:paraId="180E319E" w14:textId="77777777" w:rsidR="00F21EA4" w:rsidRPr="00F21EA4" w:rsidRDefault="00F21EA4" w:rsidP="00F21EA4">
      <w:pPr>
        <w:pStyle w:val="Bibliography"/>
        <w:rPr>
          <w:lang w:val="de-DE"/>
        </w:rPr>
      </w:pPr>
      <w:r w:rsidRPr="00F21EA4">
        <w:rPr>
          <w:lang w:val="de-DE"/>
        </w:rPr>
        <w:t xml:space="preserve">Konings, W.N., Albers, S.-V., Koning, S., Driessen, A.J.M., 2002. </w:t>
      </w:r>
      <w:r>
        <w:t xml:space="preserve">The cell membrane plays a crucial role in survival of bacteria and archaea in extreme environments. </w:t>
      </w:r>
      <w:r w:rsidRPr="00F21EA4">
        <w:rPr>
          <w:lang w:val="de-DE"/>
        </w:rPr>
        <w:t>Antonie Van Leeuwenhoek 81, 61–72. https://doi.org/10.1023/A:1020573408652</w:t>
      </w:r>
    </w:p>
    <w:p w14:paraId="73924BFE" w14:textId="77777777" w:rsidR="00F21EA4" w:rsidRDefault="00F21EA4" w:rsidP="00F21EA4">
      <w:pPr>
        <w:pStyle w:val="Bibliography"/>
      </w:pPr>
      <w:r w:rsidRPr="00F21EA4">
        <w:rPr>
          <w:lang w:val="de-DE"/>
        </w:rPr>
        <w:t xml:space="preserve">Langmead, B., Salzberg, S.L., 2012. </w:t>
      </w:r>
      <w:r>
        <w:t>Fast gapped-read alignment with Bowtie 2. Nat. Methods 9, 357.</w:t>
      </w:r>
    </w:p>
    <w:p w14:paraId="4E7A480F" w14:textId="77777777" w:rsidR="00F21EA4" w:rsidRDefault="00F21EA4" w:rsidP="00F21EA4">
      <w:pPr>
        <w:pStyle w:val="Bibliography"/>
      </w:pPr>
      <w:r>
        <w:lastRenderedPageBreak/>
        <w:t>Lassalle, F., Spagnoletti, M., Fumagalli, M., Shaw, L., Dyble, M., Walker, C., Thomas, M.G., Bamberg Migliano, A., Balloux, F., 2018. Oral microbiomes from hunter‐gatherers and traditional farmers reveal shifts in commensal balance and pathogen load linked to diet. Mol. Ecol. 27, 182–195.</w:t>
      </w:r>
    </w:p>
    <w:p w14:paraId="442B39CC" w14:textId="77777777" w:rsidR="00F21EA4" w:rsidRDefault="00F21EA4" w:rsidP="00F21EA4">
      <w:pPr>
        <w:pStyle w:val="Bibliography"/>
      </w:pPr>
      <w:r>
        <w:t>Lee, S.-H., Ka, J.-O., Cho, J.-C., 2008. Members of the phylum Acidobacteria are dominant and metabolically active in rhizosphere soil. FEMS Microbiol. Lett. 285, 263–269.</w:t>
      </w:r>
    </w:p>
    <w:p w14:paraId="4955127D" w14:textId="77777777" w:rsidR="00F21EA4" w:rsidRDefault="00F21EA4" w:rsidP="00F21EA4">
      <w:pPr>
        <w:pStyle w:val="Bibliography"/>
      </w:pPr>
      <w:r>
        <w:t>Leishman, S.J., Lien Do, H., Ford, P.J., 2010. Cardiovascular disease and the role of oral bacteria. J. Oral Microbiol. 2, 5781.</w:t>
      </w:r>
    </w:p>
    <w:p w14:paraId="5FB314E8" w14:textId="77777777" w:rsidR="00F21EA4" w:rsidRDefault="00F21EA4" w:rsidP="00F21EA4">
      <w:pPr>
        <w:pStyle w:val="Bibliography"/>
      </w:pPr>
      <w:r>
        <w:t>Lilley, J.M., 1994. The Jewish burial ground at Jewbury. Published for the York Archaeological Trust by the Council for British ….</w:t>
      </w:r>
    </w:p>
    <w:p w14:paraId="7435FDC4" w14:textId="77777777" w:rsidR="00F21EA4" w:rsidRDefault="00F21EA4" w:rsidP="00F21EA4">
      <w:pPr>
        <w:pStyle w:val="Bibliography"/>
      </w:pPr>
      <w:r>
        <w:t>Lin, X., Tfaily, M.M., Green, S.J., Steinweg, J.M., Chanton, P., Imvittaya, A., Chanton, J.P., Cooper, W., Schadt, C., Kostka, J.E., 2014. Microbial metabolic potential for carbon degradation and nutrient (nitrogen and phosphorus) acquisition in an ombrotrophic peatland. Appl Env. Microbiol 80, 3531–3540.</w:t>
      </w:r>
    </w:p>
    <w:p w14:paraId="56554136" w14:textId="77777777" w:rsidR="00F21EA4" w:rsidRDefault="00F21EA4" w:rsidP="00F21EA4">
      <w:pPr>
        <w:pStyle w:val="Bibliography"/>
      </w:pPr>
      <w:r>
        <w:t>Lindner, M.S., Renard, B.Y., 2015. Metagenomic profiling of known and unknown microbes with MicrobeGPS. PloS One 10, e0117711.</w:t>
      </w:r>
    </w:p>
    <w:p w14:paraId="1FB39BF2" w14:textId="77777777" w:rsidR="00F21EA4" w:rsidRDefault="00F21EA4" w:rsidP="00F21EA4">
      <w:pPr>
        <w:pStyle w:val="Bibliography"/>
      </w:pPr>
      <w:r>
        <w:t>Linossier, A., Gajardo, M., Olavarria, J., 1996. Paleomicrobiological study in dental calculus: Streptococcus mutans. Scanning Microsc. 10, 1005–13; discussion 1014.</w:t>
      </w:r>
    </w:p>
    <w:p w14:paraId="487258E6" w14:textId="77777777" w:rsidR="00F21EA4" w:rsidRPr="00F21EA4" w:rsidRDefault="00F21EA4" w:rsidP="00F21EA4">
      <w:pPr>
        <w:pStyle w:val="Bibliography"/>
        <w:rPr>
          <w:lang w:val="de-DE"/>
        </w:rPr>
      </w:pPr>
      <w:r>
        <w:t xml:space="preserve">Lloyd-Price, J., Mahurkar, A., Rahnavard, G., Crabtree, J., Orvis, J., Hall, A.B., Brady, A., Creasy, H.H., McCracken, C., Giglio, M.G., McDonald, D., Franzosa, E.A., Knight, R., White, O., Huttenhower, C., 2017. Strains, functions and dynamics in the expanded Human Microbiome Project. </w:t>
      </w:r>
      <w:r w:rsidRPr="00F21EA4">
        <w:rPr>
          <w:lang w:val="de-DE"/>
        </w:rPr>
        <w:t>Nature 550, 61–66. https://doi.org/10.1038/nature23889</w:t>
      </w:r>
    </w:p>
    <w:p w14:paraId="65C93C0E" w14:textId="77777777" w:rsidR="00F21EA4" w:rsidRDefault="00F21EA4" w:rsidP="00F21EA4">
      <w:pPr>
        <w:pStyle w:val="Bibliography"/>
      </w:pPr>
      <w:r w:rsidRPr="00F21EA4">
        <w:rPr>
          <w:lang w:val="de-DE"/>
        </w:rPr>
        <w:t xml:space="preserve">Malmström, H., Storå, J., Dalén, L., Holmlund, G., Götherström, A., 2005. </w:t>
      </w:r>
      <w:r>
        <w:t>Extensive Human DNA Contamination in Extracts from Ancient Dog Bones and Teeth. Mol. Biol. Evol. 22, 2040–2047. https://doi.org/10.1093/molbev/msi195</w:t>
      </w:r>
    </w:p>
    <w:p w14:paraId="7411D061" w14:textId="77777777" w:rsidR="00F21EA4" w:rsidRDefault="00F21EA4" w:rsidP="00F21EA4">
      <w:pPr>
        <w:pStyle w:val="Bibliography"/>
      </w:pPr>
      <w:r>
        <w:t>Mancl, K.A., Kirsner, R.S., Ajdic, D., 2013. Wound biofilms: lessons learned from oral biofilms. Wound Repair Regen. 21, 352–362.</w:t>
      </w:r>
    </w:p>
    <w:p w14:paraId="6A741DA2" w14:textId="77777777" w:rsidR="00F21EA4" w:rsidRDefault="00F21EA4" w:rsidP="00F21EA4">
      <w:pPr>
        <w:pStyle w:val="Bibliography"/>
      </w:pPr>
      <w:r>
        <w:t>Mann, A.E., Sabin, S., Ziesemer, K., Vågene, Å.J., Schroeder, H., Ozga, A.T., Sankaranarayanan, K., Hofman, C.A., Fellows Yates, J.A., Salazar-García, D.C., Frohlich, B., Aldenderfer, M., Hoogland, M., Read, C., Milner, G.R., Stone, A.C., Lewis, C.M., Krause, J., Hofman, C., Bos, K.I., Warinner, C., 2018. Differential preservation of endogenous human and microbial DNA in dental calculus and dentin. Sci. Rep. 8. https://doi.org/10.1038/s41598-018-28091-9</w:t>
      </w:r>
    </w:p>
    <w:p w14:paraId="03A1CE8F" w14:textId="77777777" w:rsidR="00F21EA4" w:rsidRDefault="00F21EA4" w:rsidP="00F21EA4">
      <w:pPr>
        <w:pStyle w:val="Bibliography"/>
      </w:pPr>
      <w:r>
        <w:t>Manzanilla, L.R., 2015. Cooperation and tensions in multiethnic corporate societies using Teotihuacan, Central Mexico, as a case study. Proc. Natl. Acad. Sci. 112, 9210–9215.</w:t>
      </w:r>
    </w:p>
    <w:p w14:paraId="717DFD57" w14:textId="77777777" w:rsidR="00F21EA4" w:rsidRDefault="00F21EA4" w:rsidP="00F21EA4">
      <w:pPr>
        <w:pStyle w:val="Bibliography"/>
      </w:pPr>
      <w:r>
        <w:t>Marsh, P.D., Martin, M.V., Lewis, M.A., Williams, D., 2009. Oral Microbiology E-Book. Elsevier health sciences.</w:t>
      </w:r>
    </w:p>
    <w:p w14:paraId="096CF80E" w14:textId="77777777" w:rsidR="00F21EA4" w:rsidRDefault="00F21EA4" w:rsidP="00F21EA4">
      <w:pPr>
        <w:pStyle w:val="Bibliography"/>
      </w:pPr>
      <w:r>
        <w:t>Mendisco, F., Pemonge, M.H., Leblay, E., Romon, T., Richard, G., Courtaud, P., Deguilloux, M.F., 2015. Where are the Caribs? Ancient DNA from ceramic period human remains in the Lesser Antilles. Phil Trans R Soc B 370, 20130388.</w:t>
      </w:r>
    </w:p>
    <w:p w14:paraId="3474F7E5" w14:textId="77777777" w:rsidR="00F21EA4" w:rsidRDefault="00F21EA4" w:rsidP="00F21EA4">
      <w:pPr>
        <w:pStyle w:val="Bibliography"/>
      </w:pPr>
      <w:r>
        <w:t>Merriwether, D.A., Reed, D.M., Ferrell, R.E., 1997. Ancient and contemporary mitochondrial DNA variation in the Maya. Bones Maya Stud. Anc. Skelet. 208–217.</w:t>
      </w:r>
    </w:p>
    <w:p w14:paraId="0656D89F" w14:textId="77777777" w:rsidR="00F21EA4" w:rsidRDefault="00F21EA4" w:rsidP="00F21EA4">
      <w:pPr>
        <w:pStyle w:val="Bibliography"/>
      </w:pPr>
      <w:r>
        <w:t>Mitchell, D., Willerslev, E., Hansen, A., 2005. Damage and repair of ancient DNA. Mutat. Res. Mol. Mech. Mutagen. 571, 265–276.</w:t>
      </w:r>
    </w:p>
    <w:p w14:paraId="4CC109BA" w14:textId="77777777" w:rsidR="00F21EA4" w:rsidRDefault="00F21EA4" w:rsidP="00F21EA4">
      <w:pPr>
        <w:pStyle w:val="Bibliography"/>
      </w:pPr>
      <w:r>
        <w:t>Moorhouse, A., Weyrich, L.S., Cooper, A., Gow, N.A.R., Dobney, K., 2015. Identification of Candida spp from ancient DNA extracted from fossilised dental calculus.</w:t>
      </w:r>
    </w:p>
    <w:p w14:paraId="249F06BA" w14:textId="77777777" w:rsidR="00F21EA4" w:rsidRDefault="00F21EA4" w:rsidP="00F21EA4">
      <w:pPr>
        <w:pStyle w:val="Bibliography"/>
      </w:pPr>
      <w:r>
        <w:t>Morales-Arce, A.Y., McCafferty, G., Hand, J., Schmill, N., McGrath, K., Speller, C., 2019. Ancient mitochondrial DNA and population dynamics in postclassic Central Mexico: Tlatelolco (ad 1325–1520) and Cholula (ad 900–1350). Archaeol. Anthropol. Sci. https://doi.org/10.1007/s12520-018-00771-7</w:t>
      </w:r>
    </w:p>
    <w:p w14:paraId="03D1E577" w14:textId="77777777" w:rsidR="00F21EA4" w:rsidRDefault="00F21EA4" w:rsidP="00F21EA4">
      <w:pPr>
        <w:pStyle w:val="Bibliography"/>
      </w:pPr>
      <w:r>
        <w:t>Morales‐Arce, A.Y., Snow, M.H., Kelley, J.H., Anne Katzenberg, M., 2017. Ancient mitochondrial DNA and ancestry of Paquimé inhabitants, Casas Grandes (AD 1200–1450). Am. J. Phys. Anthropol.</w:t>
      </w:r>
    </w:p>
    <w:p w14:paraId="265CBC2E" w14:textId="77777777" w:rsidR="00F21EA4" w:rsidRDefault="00F21EA4" w:rsidP="00F21EA4">
      <w:pPr>
        <w:pStyle w:val="Bibliography"/>
      </w:pPr>
      <w:r>
        <w:lastRenderedPageBreak/>
        <w:t>Oh, J., Byrd, A.L., Park, M., Kong, H.H., Segre, J.A., Program, N.C.S., 2016. Temporal stability of the human skin microbiome. Cell 165, 854–866.</w:t>
      </w:r>
    </w:p>
    <w:p w14:paraId="4EAC0228" w14:textId="77777777" w:rsidR="00F21EA4" w:rsidRPr="00BC4418" w:rsidRDefault="00F21EA4" w:rsidP="00F21EA4">
      <w:pPr>
        <w:pStyle w:val="Bibliography"/>
        <w:rPr>
          <w:lang w:val="fr-FR"/>
        </w:rPr>
      </w:pPr>
      <w:r>
        <w:t xml:space="preserve">Ojeda-Garcés, J.C., Oviedo-García, E., Salas, L.A., 2013. </w:t>
      </w:r>
      <w:r w:rsidRPr="00BC4418">
        <w:rPr>
          <w:lang w:val="fr-FR"/>
        </w:rPr>
        <w:t xml:space="preserve">Streptococcus </w:t>
      </w:r>
      <w:proofErr w:type="spellStart"/>
      <w:r w:rsidRPr="00BC4418">
        <w:rPr>
          <w:lang w:val="fr-FR"/>
        </w:rPr>
        <w:t>mutans</w:t>
      </w:r>
      <w:proofErr w:type="spellEnd"/>
      <w:r w:rsidRPr="00BC4418">
        <w:rPr>
          <w:lang w:val="fr-FR"/>
        </w:rPr>
        <w:t xml:space="preserve"> and dental caries. Ces Odontol. 26, 44–56.</w:t>
      </w:r>
    </w:p>
    <w:p w14:paraId="37DBA361" w14:textId="77777777" w:rsidR="00F21EA4" w:rsidRDefault="00F21EA4" w:rsidP="00F21EA4">
      <w:pPr>
        <w:pStyle w:val="Bibliography"/>
      </w:pPr>
      <w:r w:rsidRPr="00BC4418">
        <w:rPr>
          <w:lang w:val="fr-FR"/>
        </w:rPr>
        <w:t xml:space="preserve">Okada, M., Soda, Y., Hayashi, F., </w:t>
      </w:r>
      <w:proofErr w:type="spellStart"/>
      <w:r w:rsidRPr="00BC4418">
        <w:rPr>
          <w:lang w:val="fr-FR"/>
        </w:rPr>
        <w:t>Doi</w:t>
      </w:r>
      <w:proofErr w:type="spellEnd"/>
      <w:r w:rsidRPr="00BC4418">
        <w:rPr>
          <w:lang w:val="fr-FR"/>
        </w:rPr>
        <w:t xml:space="preserve">, T., Suzuki, J., </w:t>
      </w:r>
      <w:proofErr w:type="spellStart"/>
      <w:r w:rsidRPr="00BC4418">
        <w:rPr>
          <w:lang w:val="fr-FR"/>
        </w:rPr>
        <w:t>Miura</w:t>
      </w:r>
      <w:proofErr w:type="spellEnd"/>
      <w:r w:rsidRPr="00BC4418">
        <w:rPr>
          <w:lang w:val="fr-FR"/>
        </w:rPr>
        <w:t xml:space="preserve">, K., </w:t>
      </w:r>
      <w:proofErr w:type="spellStart"/>
      <w:r w:rsidRPr="00BC4418">
        <w:rPr>
          <w:lang w:val="fr-FR"/>
        </w:rPr>
        <w:t>Kozai</w:t>
      </w:r>
      <w:proofErr w:type="spellEnd"/>
      <w:r w:rsidRPr="00BC4418">
        <w:rPr>
          <w:lang w:val="fr-FR"/>
        </w:rPr>
        <w:t xml:space="preserve">, K., 2003. </w:t>
      </w:r>
      <w:r>
        <w:t>Longitudinal study of dental caries incidence with Streptococcus mutans and S-sobrinus in pre-school children., in: JOURNAL OF DENTAL RESEARCH. INT AMER ASSOC DENTAL RESEARCHI ADR/AADR 1619 DUKE ST, ALEXANDRIA, VA 22314-3406 USA, pp. B351–B351.</w:t>
      </w:r>
    </w:p>
    <w:p w14:paraId="00179AD5" w14:textId="77777777" w:rsidR="00F21EA4" w:rsidRDefault="00F21EA4" w:rsidP="00F21EA4">
      <w:pPr>
        <w:pStyle w:val="Bibliography"/>
      </w:pPr>
      <w:r>
        <w:t>Ozga, A.T., Nieves‐Colón, M.A., Honap, T.P., Sankaranarayanan, K., Hofman, C.A., Milner, G.R., Lewis, C.M., Stone, A.C., Warinner, C., 2016. Successful enrichment and recovery of whole mitochondrial genomes from ancient human dental calculus. Am. J. Phys. Anthropol. 160, 220–228. https://doi.org/10.1002/ajpa.22960</w:t>
      </w:r>
    </w:p>
    <w:p w14:paraId="249B81A5" w14:textId="77777777" w:rsidR="00F21EA4" w:rsidRPr="00F21EA4" w:rsidRDefault="00F21EA4" w:rsidP="00F21EA4">
      <w:pPr>
        <w:pStyle w:val="Bibliography"/>
        <w:rPr>
          <w:lang w:val="de-DE"/>
        </w:rPr>
      </w:pPr>
      <w:r>
        <w:t xml:space="preserve">Pääbo, S., 1985. Preservation of DNA in ancient Egyptian mummies. </w:t>
      </w:r>
      <w:r w:rsidRPr="00F21EA4">
        <w:rPr>
          <w:lang w:val="de-DE"/>
        </w:rPr>
        <w:t>J. Archaeol. Sci. 12, 411–417.</w:t>
      </w:r>
    </w:p>
    <w:p w14:paraId="7CC96D7B" w14:textId="77777777" w:rsidR="00F21EA4" w:rsidRDefault="00F21EA4" w:rsidP="00F21EA4">
      <w:pPr>
        <w:pStyle w:val="Bibliography"/>
      </w:pPr>
      <w:r w:rsidRPr="00F21EA4">
        <w:rPr>
          <w:lang w:val="de-DE"/>
        </w:rPr>
        <w:t xml:space="preserve">Pääbo, S., Poinar, H., Serre, D., Jaenicke-Després, V., Hebler, J., Rohland, N., Kuch, M., Krause, J., Vigilant, L., Hofreiter, M., 2004. </w:t>
      </w:r>
      <w:r>
        <w:t>Genetic Analyses from Ancient DNA. Annu. Rev. Genet. 38, 645–679. https://doi.org/10.1146/annurev.genet.37.110801.143214</w:t>
      </w:r>
    </w:p>
    <w:p w14:paraId="567A0DA8" w14:textId="77777777" w:rsidR="00F21EA4" w:rsidRPr="00F21EA4" w:rsidRDefault="00F21EA4" w:rsidP="00F21EA4">
      <w:pPr>
        <w:pStyle w:val="Bibliography"/>
        <w:rPr>
          <w:lang w:val="fr-FR"/>
        </w:rPr>
      </w:pPr>
      <w:r>
        <w:t xml:space="preserve">Paranjapye, N., Daggett, V., 2018. De Novo Designed α-Sheet Peptides Inhibit Functional Amyloid Formation of Streptococcus mutans Biofilms. </w:t>
      </w:r>
      <w:r w:rsidRPr="00F21EA4">
        <w:rPr>
          <w:lang w:val="fr-FR"/>
        </w:rPr>
        <w:t>J. Mol. Biol. 430, 3764–3773.</w:t>
      </w:r>
    </w:p>
    <w:p w14:paraId="236AB72E" w14:textId="77777777" w:rsidR="00F21EA4" w:rsidRPr="00F21EA4" w:rsidRDefault="00F21EA4" w:rsidP="00F21EA4">
      <w:pPr>
        <w:pStyle w:val="Bibliography"/>
        <w:rPr>
          <w:lang w:val="fr-FR"/>
        </w:rPr>
      </w:pPr>
      <w:r w:rsidRPr="00F21EA4">
        <w:rPr>
          <w:lang w:val="fr-FR"/>
        </w:rPr>
        <w:t>Pereira, G., de Montes, R.I., Carrasco, J.L.E., Parrilla, J.M.G., 2003. Informe sobre la excavación arqueológica de urgencia en el" solar del ayuntamiento" de Las Cabezas de San Juan (Sevilla). Campaña de 2000, in: Anuario Arqueológico de Andalucía 2000. Consejería de Cultura, pp. 1309–1316.</w:t>
      </w:r>
    </w:p>
    <w:p w14:paraId="50022EAF" w14:textId="77777777" w:rsidR="00F21EA4" w:rsidRDefault="00F21EA4" w:rsidP="00F21EA4">
      <w:pPr>
        <w:pStyle w:val="Bibliography"/>
      </w:pPr>
      <w:r>
        <w:t>Pereira, G., Spence, M.W., White, C.D., 2004. Análisis preliminar de los restos humanos encontrados en el Entierro 5 de la Pirámide de la Luna, Teotihuacán, in: Society for American Archaeology, 69th Meeting, Montreal.</w:t>
      </w:r>
    </w:p>
    <w:p w14:paraId="7EC5DAA5" w14:textId="77777777" w:rsidR="00F21EA4" w:rsidRDefault="00F21EA4" w:rsidP="00F21EA4">
      <w:pPr>
        <w:pStyle w:val="Bibliography"/>
      </w:pPr>
      <w:r>
        <w:t>Poinar, H.N., Cooper, A., 2000. Ancient DNA: do it right or not at all. Science 5482, 416.</w:t>
      </w:r>
    </w:p>
    <w:p w14:paraId="0761DB70" w14:textId="77777777" w:rsidR="00F21EA4" w:rsidRDefault="00F21EA4" w:rsidP="00F21EA4">
      <w:pPr>
        <w:pStyle w:val="Bibliography"/>
      </w:pPr>
      <w:r>
        <w:t>Preus, H.R., Marvik, O.J., Selvig, K.A., Bennike, P., 2011. Ancient bacterial DNA (aDNA) in dental calculus from archaeological human remains. J. Archaeol. Sci. 38, 1827–1831.</w:t>
      </w:r>
    </w:p>
    <w:p w14:paraId="502C15F4" w14:textId="77777777" w:rsidR="00F21EA4" w:rsidRDefault="00F21EA4" w:rsidP="00F21EA4">
      <w:pPr>
        <w:pStyle w:val="Bibliography"/>
      </w:pPr>
      <w:r>
        <w:t>Price, T.D., Manzanilla, L., Middleton, W.D., 2000. Immigration and the ancient city of Teotihuacan in Mexico: a study using strontium isotope ratios in human bone and teeth. J. Archaeol. Sci. 27, 903–913.</w:t>
      </w:r>
    </w:p>
    <w:p w14:paraId="4653094F" w14:textId="77777777" w:rsidR="00F21EA4" w:rsidRDefault="00F21EA4" w:rsidP="00F21EA4">
      <w:pPr>
        <w:pStyle w:val="Bibliography"/>
      </w:pPr>
      <w:r>
        <w:t>Raff, J.A., Bolnick, D.A., Tackney, J., O’Rourke, D.H., 2011. Ancient DNA perspectives on American colonization and population history. Am. J. Phys. Anthropol. 146, 503–514.</w:t>
      </w:r>
    </w:p>
    <w:p w14:paraId="7A98E31A" w14:textId="77777777" w:rsidR="00F21EA4" w:rsidRPr="00F21EA4" w:rsidRDefault="00F21EA4" w:rsidP="00F21EA4">
      <w:pPr>
        <w:pStyle w:val="Bibliography"/>
        <w:rPr>
          <w:lang w:val="de-DE"/>
        </w:rPr>
      </w:pPr>
      <w:r>
        <w:t xml:space="preserve">Rampelli, S., Schnorr, S.L., Consolandi, C., Turroni, S., Severgnini, M., Peano, C., Brigidi, P., Crittenden, A.N., Henry, A.G., Candela, M., 2015. Metagenome sequencing of the Hadza hunter-gatherer gut microbiota. Curr. </w:t>
      </w:r>
      <w:r w:rsidRPr="00F21EA4">
        <w:rPr>
          <w:lang w:val="de-DE"/>
        </w:rPr>
        <w:t>Biol. 25, 1682–1693.</w:t>
      </w:r>
    </w:p>
    <w:p w14:paraId="564D609E" w14:textId="77777777" w:rsidR="00F21EA4" w:rsidRDefault="00F21EA4" w:rsidP="00F21EA4">
      <w:pPr>
        <w:pStyle w:val="Bibliography"/>
      </w:pPr>
      <w:r w:rsidRPr="00F21EA4">
        <w:rPr>
          <w:lang w:val="de-DE"/>
        </w:rPr>
        <w:t xml:space="preserve">Rasmussen, S., Allentoft, M., Nielsen, K., Orlando, L., Sikora, M., Pedersen, A., Schubert, M., VanáDam, A., Kapel, C., Avetisyan, P., 2015. </w:t>
      </w:r>
      <w:r>
        <w:t>Early divergent strains of Yersinia pestis in Eurasia 5,000 years ago. Cell 163, 571–582.</w:t>
      </w:r>
    </w:p>
    <w:p w14:paraId="7180771F" w14:textId="77777777" w:rsidR="00F21EA4" w:rsidRDefault="00F21EA4" w:rsidP="00F21EA4">
      <w:pPr>
        <w:pStyle w:val="Bibliography"/>
      </w:pPr>
      <w:r>
        <w:t>Robb, M., 2017. Teotihuacan: City of Water, City of Fire. Univ of California Press.</w:t>
      </w:r>
    </w:p>
    <w:p w14:paraId="6866C56A" w14:textId="77777777" w:rsidR="00F21EA4" w:rsidRDefault="00F21EA4" w:rsidP="00F21EA4">
      <w:pPr>
        <w:pStyle w:val="Bibliography"/>
      </w:pPr>
      <w:r>
        <w:t>Rohland, N., Reich, D., 2012. Cost-effective, high-throughput DNA sequencing libraries for multiplexed target capture. Genome Res. 22, 939–946.</w:t>
      </w:r>
    </w:p>
    <w:p w14:paraId="49B055BD" w14:textId="77777777" w:rsidR="00F21EA4" w:rsidRDefault="00F21EA4" w:rsidP="00F21EA4">
      <w:pPr>
        <w:pStyle w:val="Bibliography"/>
      </w:pPr>
      <w:r>
        <w:t>Rowles, S., 1961. Further studies on the crystalline constituents of oral calculus. J Dent Res 40, 1284.</w:t>
      </w:r>
    </w:p>
    <w:p w14:paraId="0CD61286" w14:textId="77777777" w:rsidR="00F21EA4" w:rsidRDefault="00F21EA4" w:rsidP="00F21EA4">
      <w:pPr>
        <w:pStyle w:val="Bibliography"/>
      </w:pPr>
      <w:r>
        <w:t>Salter, S.J., Cox, M.J., Turek, E.M., Calus, S.T., Cookson, W.O., Moffatt, M.F., Turner, P., Parkhill, J., Loman, N.J., Walker, A.W., 2014. Reagent and laboratory contamination can critically impact sequence-based microbiome analyses. BMC Biol. 12, 87. https://doi.org/10.1186/s12915-014-0087-z</w:t>
      </w:r>
    </w:p>
    <w:p w14:paraId="0B915083" w14:textId="77777777" w:rsidR="00F21EA4" w:rsidRDefault="00F21EA4" w:rsidP="00F21EA4">
      <w:pPr>
        <w:pStyle w:val="Bibliography"/>
      </w:pPr>
      <w:r>
        <w:t>Santiago-Rodriguez, T.M., Fornaciari, G., Luciani, S., Dowd, S.E., Toranzos, G.A., Marota, I., Cano, R.J., 2016. Taxonomic and predicted metabolic profiles of the human gut microbiome in pre-Columbian mummies. FEMS Microbiol. Ecol. 92, fiw182.</w:t>
      </w:r>
    </w:p>
    <w:p w14:paraId="60CA5D0C" w14:textId="77777777" w:rsidR="00F21EA4" w:rsidRDefault="00F21EA4" w:rsidP="00F21EA4">
      <w:pPr>
        <w:pStyle w:val="Bibliography"/>
      </w:pPr>
      <w:r>
        <w:lastRenderedPageBreak/>
        <w:t>Sawafuji, R., Saso, A., Suda, W., Hattori, M., Ueda, S., 2018. Ancient DNA analysis of food remains in human dental calculus from the Edo period, Japan. bioRxiv 246868. https://doi.org/10.1101/246868</w:t>
      </w:r>
    </w:p>
    <w:p w14:paraId="4E607CAF" w14:textId="77777777" w:rsidR="00F21EA4" w:rsidRDefault="00F21EA4" w:rsidP="00F21EA4">
      <w:pPr>
        <w:pStyle w:val="Bibliography"/>
      </w:pPr>
      <w:r>
        <w:t>Sawyer, S., Krause, J., Guschanski, K., Savolainen, V., Pääbo, S., 2012. Temporal Patterns of Nucleotide Misincorporations and DNA Fragmentation in Ancient DNA. PLOS ONE 7, e34131. https://doi.org/10.1371/journal.pone.0034131</w:t>
      </w:r>
    </w:p>
    <w:p w14:paraId="669C31EB" w14:textId="77777777" w:rsidR="00F21EA4" w:rsidRDefault="00F21EA4" w:rsidP="00F21EA4">
      <w:pPr>
        <w:pStyle w:val="Bibliography"/>
      </w:pPr>
      <w:r>
        <w:t>Schleifer, K.H., 2009. Classification of Bacteria and Archaea: Past, present and future. Syst. Appl. Microbiol. 32, 533–542. https://doi.org/10.1016/j.syapm.2009.09.002</w:t>
      </w:r>
    </w:p>
    <w:p w14:paraId="1133F73D" w14:textId="77777777" w:rsidR="00F21EA4" w:rsidRDefault="00F21EA4" w:rsidP="00F21EA4">
      <w:pPr>
        <w:pStyle w:val="Bibliography"/>
      </w:pPr>
      <w:r>
        <w:t>Schmedes, S.E., Sajantila, A., Budowle, B., 2016. Expansion of microbial forensics. J. Clin. Microbiol. 54, 1964–1974.</w:t>
      </w:r>
    </w:p>
    <w:p w14:paraId="11A0A419" w14:textId="77777777" w:rsidR="00F21EA4" w:rsidRDefault="00F21EA4" w:rsidP="00F21EA4">
      <w:pPr>
        <w:pStyle w:val="Bibliography"/>
      </w:pPr>
      <w:r>
        <w:t>Schroeder, H., Ávila-Arcos, M.C., Malaspinas, A.-S., Poznik, G.D., Sandoval-Velasco, M., Carpenter, M.L., Moreno-Mayar, J.V., Sikora, M., Johnson, P.L., Allentoft, M.E., 2015. Genome-wide ancestry of 17th-century enslaved Africans from the Caribbean. Proc. Natl. Acad. Sci. 201421784.</w:t>
      </w:r>
    </w:p>
    <w:p w14:paraId="5AC40AC1" w14:textId="77777777" w:rsidR="00F21EA4" w:rsidRDefault="00F21EA4" w:rsidP="00F21EA4">
      <w:pPr>
        <w:pStyle w:val="Bibliography"/>
      </w:pPr>
      <w:r>
        <w:t>Schubert, M., Ermini, L., Sarkissian, C.D., Jónsson, H., Ginolhac, A., Schaefer, R., Martin, M.D., Fernández, R., Kircher, M., McCue, M., Willerslev, E., Orlando, L., 2014. Characterization of ancient and modern genomes by SNP detection and phylogenomic and metagenomic analysis using PALEOMIX. Nat. Protoc. 9, 1056–1082. https://doi.org/10.1038/nprot.2014.063</w:t>
      </w:r>
    </w:p>
    <w:p w14:paraId="2DDD6661" w14:textId="77777777" w:rsidR="00F21EA4" w:rsidRDefault="00F21EA4" w:rsidP="00F21EA4">
      <w:pPr>
        <w:pStyle w:val="Bibliography"/>
      </w:pPr>
      <w:r>
        <w:t>Schubert, M., Lindgreen, S., Orlando, L., 2016. AdapterRemoval v2: rapid adapter trimming, identification, and read merging. BMC Res. Notes 9, 88.</w:t>
      </w:r>
    </w:p>
    <w:p w14:paraId="21AD7008" w14:textId="77777777" w:rsidR="00F21EA4" w:rsidRDefault="00F21EA4" w:rsidP="00F21EA4">
      <w:pPr>
        <w:pStyle w:val="Bibliography"/>
      </w:pPr>
      <w:r>
        <w:t>Schuster, S.C., 2007. Next-generation sequencing transforms today’s biology. Nat. Methods 5, 16.</w:t>
      </w:r>
    </w:p>
    <w:p w14:paraId="15AF9FC0" w14:textId="77777777" w:rsidR="00F21EA4" w:rsidRDefault="00F21EA4" w:rsidP="00F21EA4">
      <w:pPr>
        <w:pStyle w:val="Bibliography"/>
      </w:pPr>
      <w:r>
        <w:t>Seguin-Orlando, A., Korneliussen, T.S., Sikora, M., Malaspinas, A.-S., Manica, A., Moltke, I., Albrechtsen, A., Ko, A., Margaryan, A., Moiseyev, V., 2014. Genomic structure in Europeans dating back at least 36,200 years. Science 346, 1113–1118.</w:t>
      </w:r>
    </w:p>
    <w:p w14:paraId="0D904F1C" w14:textId="77777777" w:rsidR="00F21EA4" w:rsidRDefault="00F21EA4" w:rsidP="00F21EA4">
      <w:pPr>
        <w:pStyle w:val="Bibliography"/>
      </w:pPr>
      <w:r w:rsidRPr="00F21EA4">
        <w:rPr>
          <w:lang w:val="fr-FR"/>
        </w:rPr>
        <w:t xml:space="preserve">Simón-Soro, A., Mira, A., 2015. </w:t>
      </w:r>
      <w:r>
        <w:t>Solving the etiology of dental caries. Trends Microbiol. 23, 76–82.</w:t>
      </w:r>
    </w:p>
    <w:p w14:paraId="7437AE26" w14:textId="77777777" w:rsidR="00F21EA4" w:rsidRDefault="00F21EA4" w:rsidP="00F21EA4">
      <w:pPr>
        <w:pStyle w:val="Bibliography"/>
      </w:pPr>
      <w:r>
        <w:t>Soltis, P.S., Soltis, D.E., Smiley, C.J., 1992. An rbcL sequence from a Miocene Taxodium (bald cypress). Proc. Natl. Acad. Sci. 89, 449–451.</w:t>
      </w:r>
    </w:p>
    <w:p w14:paraId="1720E4DD" w14:textId="77777777" w:rsidR="00F21EA4" w:rsidRPr="00F21EA4" w:rsidRDefault="00F21EA4" w:rsidP="00F21EA4">
      <w:pPr>
        <w:pStyle w:val="Bibliography"/>
        <w:rPr>
          <w:lang w:val="de-DE"/>
        </w:rPr>
      </w:pPr>
      <w:r>
        <w:t xml:space="preserve">Spence, M.W., Pereira, G., 2007. The human skeletal remains of the Moon Pyramid, Teotihuacan. </w:t>
      </w:r>
      <w:r w:rsidRPr="00F21EA4">
        <w:rPr>
          <w:lang w:val="de-DE"/>
        </w:rPr>
        <w:t>Anc. Mesoam. 18, 147–157.</w:t>
      </w:r>
    </w:p>
    <w:p w14:paraId="63F8ABE7" w14:textId="77777777" w:rsidR="00F21EA4" w:rsidRPr="00F21EA4" w:rsidRDefault="00F21EA4" w:rsidP="00F21EA4">
      <w:pPr>
        <w:pStyle w:val="Bibliography"/>
        <w:rPr>
          <w:lang w:val="de-DE"/>
        </w:rPr>
      </w:pPr>
      <w:r w:rsidRPr="00F21EA4">
        <w:rPr>
          <w:lang w:val="de-DE"/>
        </w:rPr>
        <w:t xml:space="preserve">Steven, B., Niederberger, T.D., Whyte, L.G., 2009. </w:t>
      </w:r>
      <w:r>
        <w:t xml:space="preserve">Bacterial and Archaeal Diversity in Permafrost, in: Margesin, R. (Ed.), Permafrost Soils, Soil Biology. </w:t>
      </w:r>
      <w:r w:rsidRPr="00F21EA4">
        <w:rPr>
          <w:lang w:val="de-DE"/>
        </w:rPr>
        <w:t>Springer Berlin Heidelberg, Berlin, Heidelberg, pp. 59–72. https://doi.org/10.1007/978-3-540-69371-0_5</w:t>
      </w:r>
    </w:p>
    <w:p w14:paraId="55E7B0E8" w14:textId="77777777" w:rsidR="00F21EA4" w:rsidRDefault="00F21EA4" w:rsidP="00F21EA4">
      <w:pPr>
        <w:pStyle w:val="Bibliography"/>
      </w:pPr>
      <w:r w:rsidRPr="00F21EA4">
        <w:rPr>
          <w:lang w:val="de-DE"/>
        </w:rPr>
        <w:t xml:space="preserve">Stoneking, M., 1995. </w:t>
      </w:r>
      <w:r>
        <w:t>Ancient DNA: how do you know when you have it and what can you do with it? Am. J. Hum. Genet. 57, 1259.</w:t>
      </w:r>
    </w:p>
    <w:p w14:paraId="347A9504" w14:textId="77777777" w:rsidR="00F21EA4" w:rsidRDefault="00F21EA4" w:rsidP="00F21EA4">
      <w:pPr>
        <w:pStyle w:val="Bibliography"/>
      </w:pPr>
      <w:r>
        <w:t>Struzycka, I., 2014. The oral microbiome in dental caries. Pol. Microbiol. 63, 127–135.</w:t>
      </w:r>
    </w:p>
    <w:p w14:paraId="5DB38109" w14:textId="77777777" w:rsidR="00F21EA4" w:rsidRDefault="00F21EA4" w:rsidP="00F21EA4">
      <w:pPr>
        <w:pStyle w:val="Bibliography"/>
      </w:pPr>
      <w:r>
        <w:t>Sugiyama, N., Somerville, A.D., Schoeninger, M.J., 2015. Stable isotopes and zooarchaeology at Teotihuacan, Mexico reveal earliest evidence of wild carnivore management in Mesoamerica. PloS One 10, e0135635.</w:t>
      </w:r>
    </w:p>
    <w:p w14:paraId="4A6A1428" w14:textId="77777777" w:rsidR="00F21EA4" w:rsidRDefault="00F21EA4" w:rsidP="00F21EA4">
      <w:pPr>
        <w:pStyle w:val="Bibliography"/>
      </w:pPr>
      <w:r>
        <w:t>Sugiyama, N., Sugiyama, S., Ortega, V., Fash, W., 2016. Plaza of the Columns at Teotihuacan: Scope, Goals and Expectations of a New International Project. Presented at the Society for American Archaeology 81st Annual Meeting, Orlando, Florida.</w:t>
      </w:r>
    </w:p>
    <w:p w14:paraId="62940CDC" w14:textId="77777777" w:rsidR="00F21EA4" w:rsidRDefault="00F21EA4" w:rsidP="00F21EA4">
      <w:pPr>
        <w:pStyle w:val="Bibliography"/>
      </w:pPr>
      <w:r w:rsidRPr="00F21EA4">
        <w:rPr>
          <w:lang w:val="fr-FR"/>
        </w:rPr>
        <w:t xml:space="preserve">Sugiyama, S., Cabrera, R., López, L., 2004. </w:t>
      </w:r>
      <w:r>
        <w:t>The Moon Pyramid Burials. Voyage Cent. Moon Pyramid Recent Discov. Teotihuacan 20–30.</w:t>
      </w:r>
    </w:p>
    <w:p w14:paraId="64BE34F4" w14:textId="77777777" w:rsidR="00F21EA4" w:rsidRDefault="00F21EA4" w:rsidP="00F21EA4">
      <w:pPr>
        <w:pStyle w:val="Bibliography"/>
      </w:pPr>
      <w:r>
        <w:t>Sugiyama, S., Castro, R.C., 2007. The Moon Pyramid project and the Teotihuacan state polity: A brief summary of the 1998–2004 excavations. Anc. Mesoam. 18, 109–125.</w:t>
      </w:r>
    </w:p>
    <w:p w14:paraId="70025718" w14:textId="77777777" w:rsidR="00F21EA4" w:rsidRDefault="00F21EA4" w:rsidP="00F21EA4">
      <w:pPr>
        <w:pStyle w:val="Bibliography"/>
      </w:pPr>
      <w:r>
        <w:t>Sugiyama, S., Luján, L.L., 2007. DEDICATORY BURIAL/OFFERING COMPLEXES AT THE MOON PYRAMID, TEOTIHUACAN: A preliminary report of 1998–2004 explorations. Anc. Mesoam. 18, 127–146. https://doi.org/10.1017/S0956536107000065</w:t>
      </w:r>
    </w:p>
    <w:p w14:paraId="24D4277C" w14:textId="77777777" w:rsidR="00F21EA4" w:rsidRDefault="00F21EA4" w:rsidP="00F21EA4">
      <w:pPr>
        <w:pStyle w:val="Bibliography"/>
      </w:pPr>
      <w:r>
        <w:t>Suzuki, M.T., Giovannoni, S.J., 1996. Bias caused by template annealing in the amplification of mixtures of 16S rRNA genes by PCR. Appl Env. Microbiol 62, 625–630.</w:t>
      </w:r>
    </w:p>
    <w:p w14:paraId="79FB8BF2" w14:textId="77777777" w:rsidR="00F21EA4" w:rsidRDefault="00F21EA4" w:rsidP="00F21EA4">
      <w:pPr>
        <w:pStyle w:val="Bibliography"/>
      </w:pPr>
      <w:r>
        <w:t>Taube, K.A., 2005. The symbolism of jade in Classic Maya religion. Anc. Mesoam. 16, 23–50.</w:t>
      </w:r>
    </w:p>
    <w:p w14:paraId="4234C331" w14:textId="77777777" w:rsidR="00F21EA4" w:rsidRDefault="00F21EA4" w:rsidP="00F21EA4">
      <w:pPr>
        <w:pStyle w:val="Bibliography"/>
      </w:pPr>
      <w:r>
        <w:lastRenderedPageBreak/>
        <w:t>Tirosh, O., Conlan, S., Deming, C., Lee-Lin, S.-Q., Huang, X., Su, H.C., Freeman, A.F., Segre, J.A., Kong, H.H., 2018. Expanded skin virome in DOCK8-deficient patients. Nat. Med. 24, 1815.</w:t>
      </w:r>
    </w:p>
    <w:p w14:paraId="7D310770" w14:textId="77777777" w:rsidR="00F21EA4" w:rsidRDefault="00F21EA4" w:rsidP="00F21EA4">
      <w:pPr>
        <w:pStyle w:val="Bibliography"/>
      </w:pPr>
      <w:r>
        <w:t>Tito, R.Y., Knights, D., Metcalf, J., Obregon-Tito, A.J., Cleeland, L., Najar, F., Roe, B., Reinhard, K., Sobolik, K., Belknap, S., 2012. Insights from characterizing extinct human gut microbiomes. PloS One 7, e51146.</w:t>
      </w:r>
    </w:p>
    <w:p w14:paraId="5CF74F51" w14:textId="77777777" w:rsidR="00F21EA4" w:rsidRDefault="00F21EA4" w:rsidP="00F21EA4">
      <w:pPr>
        <w:pStyle w:val="Bibliography"/>
      </w:pPr>
      <w:r>
        <w:t>Turnbaugh, P.J., Ley, R.E., Hamady, M., Fraser-Liggett, C.M., Knight, R., Gordon, J.I., 2007. The Human Microbiome Project. Nature 449, 804–810. https://doi.org/10.1038/nature06244</w:t>
      </w:r>
    </w:p>
    <w:p w14:paraId="16AACB8B" w14:textId="77777777" w:rsidR="00F21EA4" w:rsidRDefault="00F21EA4" w:rsidP="00F21EA4">
      <w:pPr>
        <w:pStyle w:val="Bibliography"/>
      </w:pPr>
      <w:r>
        <w:t>V. Wintzingerode, F., Göbel, U.B., Stackebrandt, E., 1997. Determination of microbial diversity in environmental samples: pitfalls of PCR-based rRNA analysis. FEMS Microbiol. Rev. 21, 213–229. https://doi.org/10.1111/j.1574-6976.1997.tb00351.x</w:t>
      </w:r>
    </w:p>
    <w:p w14:paraId="314F434D" w14:textId="77777777" w:rsidR="00F21EA4" w:rsidRDefault="00F21EA4" w:rsidP="00F21EA4">
      <w:pPr>
        <w:pStyle w:val="Bibliography"/>
      </w:pPr>
      <w:r>
        <w:t>Velsko, I.M., Frantz, L.A.F., Herbig, A., Larson, G., Warinner, C., 2018. Selection of Appropriate Metagenome Taxonomic Classifiers for Ancient Microbiome Research. mSystems 3, e00080-18. https://doi.org/10.1128/mSystems.00080-18</w:t>
      </w:r>
    </w:p>
    <w:p w14:paraId="48D5B677" w14:textId="77777777" w:rsidR="00F21EA4" w:rsidRDefault="00F21EA4" w:rsidP="00F21EA4">
      <w:pPr>
        <w:pStyle w:val="Bibliography"/>
      </w:pPr>
      <w:r>
        <w:t>Wade, W.G., 2013. The oral microbiome in health and disease. Pharmacol. Res. 69, 137–143.</w:t>
      </w:r>
    </w:p>
    <w:p w14:paraId="49C5D6BC" w14:textId="77777777" w:rsidR="00F21EA4" w:rsidRDefault="00F21EA4" w:rsidP="00F21EA4">
      <w:pPr>
        <w:pStyle w:val="Bibliography"/>
      </w:pPr>
      <w:r>
        <w:t>Warinner, C., Herbig, A., Mann, A., Fellows Yates, J.A., Weiß, C.L., Burbano, H.A., Orlando, L., Krause, J., 2017. A robust framework for microbial archaeology. Annu. Rev. Genomics Hum. Genet. 18, 321–356.</w:t>
      </w:r>
    </w:p>
    <w:p w14:paraId="45CBCC87" w14:textId="77777777" w:rsidR="00F21EA4" w:rsidRDefault="00F21EA4" w:rsidP="00F21EA4">
      <w:pPr>
        <w:pStyle w:val="Bibliography"/>
      </w:pPr>
      <w:r>
        <w:t>Warinner, C., Rodrigues, J.F.M., Vyas, R., Trachsel, C., Shved, N., Grossmann, J., Radini, A., Hancock, Y., Tito, R.Y., Fiddyment, S., 2014. Pathogens and host immunity in the ancient human oral cavity. Nat. Genet. 46, 336.</w:t>
      </w:r>
    </w:p>
    <w:p w14:paraId="367235E7" w14:textId="77777777" w:rsidR="00F21EA4" w:rsidRDefault="00F21EA4" w:rsidP="00F21EA4">
      <w:pPr>
        <w:pStyle w:val="Bibliography"/>
      </w:pPr>
      <w:r>
        <w:t>Warinner, C., Speller, C., Collins, M.J., 2015. A new era in palaeomicrobiology: prospects for ancient dental calculus as a long-term record of the human oral microbiome. Phil Trans R Soc B 370, 20130376.</w:t>
      </w:r>
    </w:p>
    <w:p w14:paraId="568AB71C" w14:textId="77777777" w:rsidR="00F21EA4" w:rsidRDefault="00F21EA4" w:rsidP="00F21EA4">
      <w:pPr>
        <w:pStyle w:val="Bibliography"/>
      </w:pPr>
      <w:r>
        <w:t>Weyrich, L.S., Duchene, S., Soubrier, J., Arriola, L., Llamas, B., Breen, J., Morris, A.G., Alt, K.W., Caramelli, D., Dresely, V., Farrell, M., Farrer, A.G., Francken, M., Gully, N., Haak, W., Hardy, K., Harvati, K., Held, P., Holmes, E.C., Kaidonis, J., Lalueza-Fox, C., de la Rasilla, M., Rosas, A., Semal, P., Soltysiak, A., Townsend, G., Usai, D., Wahl, J., Huson, D.H., Dobney, K., Cooper, A., 2017. Neanderthal behaviour, diet, and disease inferred from ancient DNA in dental calculus. Nature 544, 357–361. https://doi.org/10.1038/nature21674</w:t>
      </w:r>
    </w:p>
    <w:p w14:paraId="229F7EFF" w14:textId="77777777" w:rsidR="00F21EA4" w:rsidRDefault="00F21EA4" w:rsidP="00F21EA4">
      <w:pPr>
        <w:pStyle w:val="Bibliography"/>
      </w:pPr>
      <w:r>
        <w:t>Woodward, Weyand, N.J., Bunnell, M., 1994. DNA sequence from Cretaceous period bone fragments. Science 266, 1229–1232. https://doi.org/10.1126/science.7973705</w:t>
      </w:r>
    </w:p>
    <w:p w14:paraId="5BD7BD99" w14:textId="77777777" w:rsidR="00F21EA4" w:rsidRDefault="00F21EA4" w:rsidP="00F21EA4">
      <w:pPr>
        <w:pStyle w:val="Bibliography"/>
      </w:pPr>
      <w:r>
        <w:t>Zaura, E., Nicu, E.A., Krom, B.P., Keijser, B.J., 2014. Acquiring and maintaining a normal oral microbiome: current perspective. Front. Cell. Infect. Microbiol. 4, 85.</w:t>
      </w:r>
    </w:p>
    <w:p w14:paraId="7E9182ED" w14:textId="77777777" w:rsidR="00F21EA4" w:rsidRDefault="00F21EA4" w:rsidP="00F21EA4">
      <w:pPr>
        <w:pStyle w:val="Bibliography"/>
      </w:pPr>
      <w:r>
        <w:t>Zhou, Y., Gao, H., Mihindukulasuriya, K.A., La Rosa, P.S., Wylie, K.M., Vishnivetskaya, T., Podar, M., Warner, B., Tarr, P.I., Nelson, D.E., 2013. Biogeography of the ecosystems of the healthy human body. Genome Biol. 14, R1.</w:t>
      </w:r>
    </w:p>
    <w:p w14:paraId="2F58B0F7" w14:textId="77777777" w:rsidR="00F21EA4" w:rsidRDefault="00F21EA4" w:rsidP="00F21EA4">
      <w:pPr>
        <w:pStyle w:val="Bibliography"/>
      </w:pPr>
      <w:r>
        <w:t>Ziesemer, K.A., Mann, A.E., Sankaranarayanan, K., Schroeder, H., Ozga, A.T., Brandt, B.W., Zaura, E., Waters-Rist, A., Hoogland, M., Salazar-García, D.C., 2015. Intrinsic challenges in ancient microbiome reconstruction using 16S rRNA gene amplification. Sci. Rep. 5, 16498.</w:t>
      </w:r>
    </w:p>
    <w:p w14:paraId="7889B8BC" w14:textId="77777777" w:rsidR="00F21EA4" w:rsidRDefault="00F21EA4" w:rsidP="00F21EA4">
      <w:pPr>
        <w:pStyle w:val="Bibliography"/>
      </w:pPr>
      <w:r>
        <w:t>Ziesemer, K.A., Ramos‐Madrigal, J., Mann, A.E., Brandt, B.W., Sankaranarayanan, K., Ozga, A.T., Hoogland, M., Hofman, C.A., Salazar‐García, D.C., Frohlich, B., Milner, G.R., Stone, A.C., Aldenderfer, M., Lewis, C.M., Hofman, C.L., Warinner, C., Schroeder, H., 2019. The efficacy of whole human genome capture on ancient dental calculus and dentin. Am. J. Phys. Anthropol. 168, 496–509. https://doi.org/10.1002/ajpa.23763</w:t>
      </w:r>
    </w:p>
    <w:p w14:paraId="3196E9AA" w14:textId="3042C0E7" w:rsidR="00DD37EB" w:rsidRDefault="00EC0669" w:rsidP="00EC0669">
      <w:pPr>
        <w:spacing w:line="480" w:lineRule="auto"/>
        <w:rPr>
          <w:sz w:val="24"/>
          <w:szCs w:val="24"/>
        </w:rPr>
      </w:pPr>
      <w:r w:rsidRPr="00577145">
        <w:rPr>
          <w:sz w:val="24"/>
          <w:szCs w:val="24"/>
        </w:rPr>
        <w:fldChar w:fldCharType="end"/>
      </w:r>
    </w:p>
    <w:p w14:paraId="58EB8C8C" w14:textId="77777777" w:rsidR="00DD37EB" w:rsidRDefault="00DD37EB">
      <w:pPr>
        <w:rPr>
          <w:sz w:val="24"/>
          <w:szCs w:val="24"/>
        </w:rPr>
      </w:pPr>
    </w:p>
    <w:p w14:paraId="296CDB39" w14:textId="77777777" w:rsidR="00DD37EB" w:rsidRDefault="00DD37EB">
      <w:pPr>
        <w:rPr>
          <w:sz w:val="24"/>
          <w:szCs w:val="24"/>
        </w:rPr>
      </w:pPr>
    </w:p>
    <w:p w14:paraId="66E63F0A" w14:textId="77777777" w:rsidR="00DD37EB" w:rsidRDefault="00DD37EB">
      <w:pPr>
        <w:rPr>
          <w:sz w:val="24"/>
          <w:szCs w:val="24"/>
        </w:rPr>
      </w:pPr>
    </w:p>
    <w:p w14:paraId="5BFD7B49" w14:textId="77777777" w:rsidR="00DD37EB" w:rsidRDefault="00DD37EB">
      <w:pPr>
        <w:rPr>
          <w:sz w:val="24"/>
          <w:szCs w:val="24"/>
        </w:rPr>
      </w:pPr>
    </w:p>
    <w:p w14:paraId="222CFAF1" w14:textId="77777777" w:rsidR="00DD37EB" w:rsidRDefault="00DD37EB">
      <w:pPr>
        <w:rPr>
          <w:sz w:val="24"/>
          <w:szCs w:val="24"/>
        </w:rPr>
      </w:pPr>
    </w:p>
    <w:p w14:paraId="7B4D5844" w14:textId="605DE572" w:rsidR="00EC0669" w:rsidRPr="00BA48D5" w:rsidRDefault="00DD37EB" w:rsidP="00BA48D5">
      <w:pPr>
        <w:pStyle w:val="Heading1"/>
        <w:rPr>
          <w:rFonts w:ascii="Times New Roman" w:hAnsi="Times New Roman" w:cs="Times New Roman"/>
          <w:color w:val="auto"/>
          <w:sz w:val="28"/>
          <w:szCs w:val="28"/>
        </w:rPr>
      </w:pPr>
      <w:bookmarkStart w:id="36" w:name="_Toc8404647"/>
      <w:r w:rsidRPr="00BA48D5">
        <w:rPr>
          <w:rFonts w:ascii="Times New Roman" w:hAnsi="Times New Roman" w:cs="Times New Roman"/>
          <w:color w:val="auto"/>
          <w:sz w:val="28"/>
          <w:szCs w:val="28"/>
        </w:rPr>
        <w:t>Appendix A</w:t>
      </w:r>
      <w:bookmarkEnd w:id="36"/>
    </w:p>
    <w:p w14:paraId="674757C5" w14:textId="36CFCCD8" w:rsidR="00E442FB" w:rsidRPr="00BA48D5" w:rsidRDefault="00E442FB" w:rsidP="00BA48D5">
      <w:pPr>
        <w:pStyle w:val="Heading2"/>
        <w:rPr>
          <w:rFonts w:ascii="Times New Roman" w:hAnsi="Times New Roman" w:cs="Times New Roman"/>
          <w:b/>
          <w:color w:val="auto"/>
          <w:sz w:val="24"/>
          <w:szCs w:val="24"/>
        </w:rPr>
      </w:pPr>
      <w:bookmarkStart w:id="37" w:name="_Toc8404648"/>
      <w:r w:rsidRPr="00BA48D5">
        <w:rPr>
          <w:rFonts w:ascii="Times New Roman" w:hAnsi="Times New Roman" w:cs="Times New Roman"/>
          <w:b/>
          <w:color w:val="auto"/>
          <w:sz w:val="24"/>
          <w:szCs w:val="24"/>
        </w:rPr>
        <w:t xml:space="preserve">Table A.1: </w:t>
      </w:r>
      <w:r w:rsidRPr="00BA48D5">
        <w:rPr>
          <w:rFonts w:ascii="Times New Roman" w:hAnsi="Times New Roman" w:cs="Times New Roman"/>
          <w:color w:val="auto"/>
          <w:sz w:val="24"/>
          <w:szCs w:val="24"/>
        </w:rPr>
        <w:t>Sample metadata</w:t>
      </w:r>
      <w:bookmarkEnd w:id="37"/>
      <w:r w:rsidRPr="00BA48D5">
        <w:rPr>
          <w:rFonts w:ascii="Times New Roman" w:hAnsi="Times New Roman" w:cs="Times New Roman"/>
          <w:color w:val="auto"/>
          <w:sz w:val="24"/>
          <w:szCs w:val="24"/>
        </w:rPr>
        <w:t xml:space="preserve"> </w:t>
      </w:r>
    </w:p>
    <w:tbl>
      <w:tblPr>
        <w:tblW w:w="9085" w:type="dxa"/>
        <w:tblLayout w:type="fixed"/>
        <w:tblLook w:val="04A0" w:firstRow="1" w:lastRow="0" w:firstColumn="1" w:lastColumn="0" w:noHBand="0" w:noVBand="1"/>
      </w:tblPr>
      <w:tblGrid>
        <w:gridCol w:w="1255"/>
        <w:gridCol w:w="1350"/>
        <w:gridCol w:w="1170"/>
        <w:gridCol w:w="1260"/>
        <w:gridCol w:w="1890"/>
        <w:gridCol w:w="2160"/>
      </w:tblGrid>
      <w:tr w:rsidR="00DD37EB" w:rsidRPr="00DD37EB" w14:paraId="3199A317" w14:textId="77777777" w:rsidTr="00D41A80">
        <w:trPr>
          <w:trHeight w:val="432"/>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43D47" w14:textId="5D10BAA9"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Sample ID</w:t>
            </w:r>
            <w:r w:rsidR="0088205F">
              <w:rPr>
                <w:rFonts w:ascii="Arial" w:eastAsia="Times New Roman" w:hAnsi="Arial" w:cs="Arial"/>
                <w:color w:val="000000"/>
                <w:sz w:val="16"/>
                <w:szCs w:val="16"/>
              </w:rPr>
              <w:t>/Source Accession Number</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67BF941F"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Total Number of Reads</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3BA26678"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Locality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041D11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Environment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57FEAAA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Instrument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5FE6BAD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Description</w:t>
            </w:r>
          </w:p>
        </w:tc>
      </w:tr>
      <w:tr w:rsidR="00DD37EB" w:rsidRPr="00DD37EB" w14:paraId="47F0993A"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E1287E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ElSidron1</w:t>
            </w:r>
          </w:p>
        </w:tc>
        <w:tc>
          <w:tcPr>
            <w:tcW w:w="1350" w:type="dxa"/>
            <w:tcBorders>
              <w:top w:val="nil"/>
              <w:left w:val="nil"/>
              <w:bottom w:val="single" w:sz="4" w:space="0" w:color="auto"/>
              <w:right w:val="single" w:sz="4" w:space="0" w:color="auto"/>
            </w:tcBorders>
            <w:shd w:val="clear" w:color="auto" w:fill="auto"/>
            <w:noWrap/>
            <w:vAlign w:val="bottom"/>
            <w:hideMark/>
          </w:tcPr>
          <w:p w14:paraId="57F4FEB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56,584,638</w:t>
            </w:r>
          </w:p>
        </w:tc>
        <w:tc>
          <w:tcPr>
            <w:tcW w:w="1170" w:type="dxa"/>
            <w:tcBorders>
              <w:top w:val="nil"/>
              <w:left w:val="nil"/>
              <w:bottom w:val="single" w:sz="4" w:space="0" w:color="auto"/>
              <w:right w:val="single" w:sz="4" w:space="0" w:color="auto"/>
            </w:tcBorders>
            <w:shd w:val="clear" w:color="auto" w:fill="auto"/>
            <w:vAlign w:val="bottom"/>
            <w:hideMark/>
          </w:tcPr>
          <w:p w14:paraId="6CDB8851"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Spain</w:t>
            </w:r>
          </w:p>
        </w:tc>
        <w:tc>
          <w:tcPr>
            <w:tcW w:w="1260" w:type="dxa"/>
            <w:tcBorders>
              <w:top w:val="nil"/>
              <w:left w:val="nil"/>
              <w:bottom w:val="single" w:sz="4" w:space="0" w:color="auto"/>
              <w:right w:val="single" w:sz="4" w:space="0" w:color="auto"/>
            </w:tcBorders>
            <w:shd w:val="clear" w:color="auto" w:fill="auto"/>
            <w:vAlign w:val="bottom"/>
            <w:hideMark/>
          </w:tcPr>
          <w:p w14:paraId="3D09783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vAlign w:val="bottom"/>
            <w:hideMark/>
          </w:tcPr>
          <w:p w14:paraId="2F55F2A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w:t>
            </w:r>
          </w:p>
        </w:tc>
        <w:tc>
          <w:tcPr>
            <w:tcW w:w="2160" w:type="dxa"/>
            <w:tcBorders>
              <w:top w:val="nil"/>
              <w:left w:val="nil"/>
              <w:bottom w:val="single" w:sz="4" w:space="0" w:color="auto"/>
              <w:right w:val="single" w:sz="4" w:space="0" w:color="auto"/>
            </w:tcBorders>
            <w:shd w:val="clear" w:color="auto" w:fill="auto"/>
            <w:vAlign w:val="bottom"/>
            <w:hideMark/>
          </w:tcPr>
          <w:p w14:paraId="0F4AE99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Weyrich_etal_2017</w:t>
            </w:r>
          </w:p>
        </w:tc>
      </w:tr>
      <w:tr w:rsidR="00DD37EB" w:rsidRPr="00DD37EB" w14:paraId="51600D8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74332F9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ElSidron2</w:t>
            </w:r>
          </w:p>
        </w:tc>
        <w:tc>
          <w:tcPr>
            <w:tcW w:w="1350" w:type="dxa"/>
            <w:tcBorders>
              <w:top w:val="nil"/>
              <w:left w:val="nil"/>
              <w:bottom w:val="single" w:sz="4" w:space="0" w:color="auto"/>
              <w:right w:val="single" w:sz="4" w:space="0" w:color="auto"/>
            </w:tcBorders>
            <w:shd w:val="clear" w:color="auto" w:fill="auto"/>
            <w:noWrap/>
            <w:vAlign w:val="bottom"/>
            <w:hideMark/>
          </w:tcPr>
          <w:p w14:paraId="6AB4C44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66,905,980</w:t>
            </w:r>
          </w:p>
        </w:tc>
        <w:tc>
          <w:tcPr>
            <w:tcW w:w="1170" w:type="dxa"/>
            <w:tcBorders>
              <w:top w:val="nil"/>
              <w:left w:val="nil"/>
              <w:bottom w:val="single" w:sz="4" w:space="0" w:color="auto"/>
              <w:right w:val="single" w:sz="4" w:space="0" w:color="auto"/>
            </w:tcBorders>
            <w:shd w:val="clear" w:color="auto" w:fill="auto"/>
            <w:vAlign w:val="bottom"/>
            <w:hideMark/>
          </w:tcPr>
          <w:p w14:paraId="33DB130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Spain</w:t>
            </w:r>
          </w:p>
        </w:tc>
        <w:tc>
          <w:tcPr>
            <w:tcW w:w="1260" w:type="dxa"/>
            <w:tcBorders>
              <w:top w:val="nil"/>
              <w:left w:val="nil"/>
              <w:bottom w:val="single" w:sz="4" w:space="0" w:color="auto"/>
              <w:right w:val="single" w:sz="4" w:space="0" w:color="auto"/>
            </w:tcBorders>
            <w:shd w:val="clear" w:color="auto" w:fill="auto"/>
            <w:vAlign w:val="bottom"/>
            <w:hideMark/>
          </w:tcPr>
          <w:p w14:paraId="76763D6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vAlign w:val="bottom"/>
            <w:hideMark/>
          </w:tcPr>
          <w:p w14:paraId="311E58E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MiSeq 300</w:t>
            </w:r>
          </w:p>
        </w:tc>
        <w:tc>
          <w:tcPr>
            <w:tcW w:w="2160" w:type="dxa"/>
            <w:tcBorders>
              <w:top w:val="nil"/>
              <w:left w:val="nil"/>
              <w:bottom w:val="single" w:sz="4" w:space="0" w:color="auto"/>
              <w:right w:val="single" w:sz="4" w:space="0" w:color="auto"/>
            </w:tcBorders>
            <w:shd w:val="clear" w:color="auto" w:fill="auto"/>
            <w:vAlign w:val="bottom"/>
            <w:hideMark/>
          </w:tcPr>
          <w:p w14:paraId="74468B6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Weyrich_etal_2017</w:t>
            </w:r>
          </w:p>
        </w:tc>
      </w:tr>
      <w:tr w:rsidR="00DD37EB" w:rsidRPr="00DD37EB" w14:paraId="5796CA9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CF38C3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OldSpy</w:t>
            </w:r>
          </w:p>
        </w:tc>
        <w:tc>
          <w:tcPr>
            <w:tcW w:w="1350" w:type="dxa"/>
            <w:tcBorders>
              <w:top w:val="nil"/>
              <w:left w:val="nil"/>
              <w:bottom w:val="single" w:sz="4" w:space="0" w:color="auto"/>
              <w:right w:val="single" w:sz="4" w:space="0" w:color="auto"/>
            </w:tcBorders>
            <w:shd w:val="clear" w:color="auto" w:fill="auto"/>
            <w:noWrap/>
            <w:vAlign w:val="bottom"/>
            <w:hideMark/>
          </w:tcPr>
          <w:p w14:paraId="56581A1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69,901,550</w:t>
            </w:r>
          </w:p>
        </w:tc>
        <w:tc>
          <w:tcPr>
            <w:tcW w:w="1170" w:type="dxa"/>
            <w:tcBorders>
              <w:top w:val="nil"/>
              <w:left w:val="nil"/>
              <w:bottom w:val="single" w:sz="4" w:space="0" w:color="auto"/>
              <w:right w:val="single" w:sz="4" w:space="0" w:color="auto"/>
            </w:tcBorders>
            <w:shd w:val="clear" w:color="auto" w:fill="auto"/>
            <w:vAlign w:val="bottom"/>
            <w:hideMark/>
          </w:tcPr>
          <w:p w14:paraId="0CECB54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Belgium</w:t>
            </w:r>
          </w:p>
        </w:tc>
        <w:tc>
          <w:tcPr>
            <w:tcW w:w="1260" w:type="dxa"/>
            <w:tcBorders>
              <w:top w:val="nil"/>
              <w:left w:val="nil"/>
              <w:bottom w:val="single" w:sz="4" w:space="0" w:color="auto"/>
              <w:right w:val="single" w:sz="4" w:space="0" w:color="auto"/>
            </w:tcBorders>
            <w:shd w:val="clear" w:color="auto" w:fill="auto"/>
            <w:vAlign w:val="bottom"/>
            <w:hideMark/>
          </w:tcPr>
          <w:p w14:paraId="6FF21F2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vAlign w:val="bottom"/>
            <w:hideMark/>
          </w:tcPr>
          <w:p w14:paraId="36A12EB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MiSeq 300</w:t>
            </w:r>
          </w:p>
        </w:tc>
        <w:tc>
          <w:tcPr>
            <w:tcW w:w="2160" w:type="dxa"/>
            <w:tcBorders>
              <w:top w:val="nil"/>
              <w:left w:val="nil"/>
              <w:bottom w:val="single" w:sz="4" w:space="0" w:color="auto"/>
              <w:right w:val="single" w:sz="4" w:space="0" w:color="auto"/>
            </w:tcBorders>
            <w:shd w:val="clear" w:color="auto" w:fill="auto"/>
            <w:vAlign w:val="bottom"/>
            <w:hideMark/>
          </w:tcPr>
          <w:p w14:paraId="608B35A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Weyrich_etal_2017</w:t>
            </w:r>
          </w:p>
        </w:tc>
      </w:tr>
      <w:tr w:rsidR="00DD37EB" w:rsidRPr="00DD37EB" w14:paraId="35CB9A84"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4EE8060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SRR6877282</w:t>
            </w:r>
          </w:p>
        </w:tc>
        <w:tc>
          <w:tcPr>
            <w:tcW w:w="1350" w:type="dxa"/>
            <w:tcBorders>
              <w:top w:val="nil"/>
              <w:left w:val="nil"/>
              <w:bottom w:val="single" w:sz="4" w:space="0" w:color="auto"/>
              <w:right w:val="single" w:sz="4" w:space="0" w:color="auto"/>
            </w:tcBorders>
            <w:shd w:val="clear" w:color="auto" w:fill="auto"/>
            <w:noWrap/>
            <w:vAlign w:val="bottom"/>
            <w:hideMark/>
          </w:tcPr>
          <w:p w14:paraId="363B692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19,199,306 </w:t>
            </w:r>
          </w:p>
        </w:tc>
        <w:tc>
          <w:tcPr>
            <w:tcW w:w="1170" w:type="dxa"/>
            <w:tcBorders>
              <w:top w:val="nil"/>
              <w:left w:val="nil"/>
              <w:bottom w:val="single" w:sz="4" w:space="0" w:color="auto"/>
              <w:right w:val="single" w:sz="4" w:space="0" w:color="auto"/>
            </w:tcBorders>
            <w:shd w:val="clear" w:color="auto" w:fill="auto"/>
            <w:noWrap/>
            <w:vAlign w:val="bottom"/>
            <w:hideMark/>
          </w:tcPr>
          <w:p w14:paraId="203E8CC9"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Nepal</w:t>
            </w:r>
          </w:p>
        </w:tc>
        <w:tc>
          <w:tcPr>
            <w:tcW w:w="1260" w:type="dxa"/>
            <w:tcBorders>
              <w:top w:val="nil"/>
              <w:left w:val="nil"/>
              <w:bottom w:val="single" w:sz="4" w:space="0" w:color="auto"/>
              <w:right w:val="single" w:sz="4" w:space="0" w:color="auto"/>
            </w:tcBorders>
            <w:shd w:val="clear" w:color="auto" w:fill="auto"/>
            <w:vAlign w:val="bottom"/>
            <w:hideMark/>
          </w:tcPr>
          <w:p w14:paraId="1AABBFA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49E45231"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57320A8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3907085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EF384E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SRR6877284</w:t>
            </w:r>
          </w:p>
        </w:tc>
        <w:tc>
          <w:tcPr>
            <w:tcW w:w="1350" w:type="dxa"/>
            <w:tcBorders>
              <w:top w:val="nil"/>
              <w:left w:val="nil"/>
              <w:bottom w:val="single" w:sz="4" w:space="0" w:color="auto"/>
              <w:right w:val="single" w:sz="4" w:space="0" w:color="auto"/>
            </w:tcBorders>
            <w:shd w:val="clear" w:color="auto" w:fill="auto"/>
            <w:noWrap/>
            <w:vAlign w:val="bottom"/>
            <w:hideMark/>
          </w:tcPr>
          <w:p w14:paraId="3F3D9E2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44,932,086 </w:t>
            </w:r>
          </w:p>
        </w:tc>
        <w:tc>
          <w:tcPr>
            <w:tcW w:w="1170" w:type="dxa"/>
            <w:tcBorders>
              <w:top w:val="nil"/>
              <w:left w:val="nil"/>
              <w:bottom w:val="single" w:sz="4" w:space="0" w:color="auto"/>
              <w:right w:val="single" w:sz="4" w:space="0" w:color="auto"/>
            </w:tcBorders>
            <w:shd w:val="clear" w:color="auto" w:fill="auto"/>
            <w:noWrap/>
            <w:vAlign w:val="bottom"/>
            <w:hideMark/>
          </w:tcPr>
          <w:p w14:paraId="39E92605"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Spain</w:t>
            </w:r>
          </w:p>
        </w:tc>
        <w:tc>
          <w:tcPr>
            <w:tcW w:w="1260" w:type="dxa"/>
            <w:tcBorders>
              <w:top w:val="nil"/>
              <w:left w:val="nil"/>
              <w:bottom w:val="single" w:sz="4" w:space="0" w:color="auto"/>
              <w:right w:val="single" w:sz="4" w:space="0" w:color="auto"/>
            </w:tcBorders>
            <w:shd w:val="clear" w:color="auto" w:fill="auto"/>
            <w:vAlign w:val="bottom"/>
            <w:hideMark/>
          </w:tcPr>
          <w:p w14:paraId="40645E3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657F39F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5CE0D98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6CB077F7"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DD7865C"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SRR6877286</w:t>
            </w:r>
          </w:p>
        </w:tc>
        <w:tc>
          <w:tcPr>
            <w:tcW w:w="1350" w:type="dxa"/>
            <w:tcBorders>
              <w:top w:val="nil"/>
              <w:left w:val="nil"/>
              <w:bottom w:val="single" w:sz="4" w:space="0" w:color="auto"/>
              <w:right w:val="single" w:sz="4" w:space="0" w:color="auto"/>
            </w:tcBorders>
            <w:shd w:val="clear" w:color="auto" w:fill="auto"/>
            <w:noWrap/>
            <w:vAlign w:val="bottom"/>
            <w:hideMark/>
          </w:tcPr>
          <w:p w14:paraId="304A5D5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16,562,372 </w:t>
            </w:r>
          </w:p>
        </w:tc>
        <w:tc>
          <w:tcPr>
            <w:tcW w:w="1170" w:type="dxa"/>
            <w:tcBorders>
              <w:top w:val="nil"/>
              <w:left w:val="nil"/>
              <w:bottom w:val="single" w:sz="4" w:space="0" w:color="auto"/>
              <w:right w:val="single" w:sz="4" w:space="0" w:color="auto"/>
            </w:tcBorders>
            <w:shd w:val="clear" w:color="auto" w:fill="auto"/>
            <w:noWrap/>
            <w:vAlign w:val="bottom"/>
            <w:hideMark/>
          </w:tcPr>
          <w:p w14:paraId="2FEB1431"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Spain</w:t>
            </w:r>
          </w:p>
        </w:tc>
        <w:tc>
          <w:tcPr>
            <w:tcW w:w="1260" w:type="dxa"/>
            <w:tcBorders>
              <w:top w:val="nil"/>
              <w:left w:val="nil"/>
              <w:bottom w:val="single" w:sz="4" w:space="0" w:color="auto"/>
              <w:right w:val="single" w:sz="4" w:space="0" w:color="auto"/>
            </w:tcBorders>
            <w:shd w:val="clear" w:color="auto" w:fill="auto"/>
            <w:vAlign w:val="bottom"/>
            <w:hideMark/>
          </w:tcPr>
          <w:p w14:paraId="687269E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08549A8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30BA0DC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74EF26F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48F740A8"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SRR6877288</w:t>
            </w:r>
          </w:p>
        </w:tc>
        <w:tc>
          <w:tcPr>
            <w:tcW w:w="1350" w:type="dxa"/>
            <w:tcBorders>
              <w:top w:val="nil"/>
              <w:left w:val="nil"/>
              <w:bottom w:val="single" w:sz="4" w:space="0" w:color="auto"/>
              <w:right w:val="single" w:sz="4" w:space="0" w:color="auto"/>
            </w:tcBorders>
            <w:shd w:val="clear" w:color="auto" w:fill="auto"/>
            <w:noWrap/>
            <w:vAlign w:val="bottom"/>
            <w:hideMark/>
          </w:tcPr>
          <w:p w14:paraId="507845A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22,746,512 </w:t>
            </w:r>
          </w:p>
        </w:tc>
        <w:tc>
          <w:tcPr>
            <w:tcW w:w="1170" w:type="dxa"/>
            <w:tcBorders>
              <w:top w:val="nil"/>
              <w:left w:val="nil"/>
              <w:bottom w:val="single" w:sz="4" w:space="0" w:color="auto"/>
              <w:right w:val="single" w:sz="4" w:space="0" w:color="auto"/>
            </w:tcBorders>
            <w:shd w:val="clear" w:color="auto" w:fill="auto"/>
            <w:noWrap/>
            <w:vAlign w:val="bottom"/>
            <w:hideMark/>
          </w:tcPr>
          <w:p w14:paraId="3115ACC1"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Guadeloupe</w:t>
            </w:r>
          </w:p>
        </w:tc>
        <w:tc>
          <w:tcPr>
            <w:tcW w:w="1260" w:type="dxa"/>
            <w:tcBorders>
              <w:top w:val="nil"/>
              <w:left w:val="nil"/>
              <w:bottom w:val="single" w:sz="4" w:space="0" w:color="auto"/>
              <w:right w:val="single" w:sz="4" w:space="0" w:color="auto"/>
            </w:tcBorders>
            <w:shd w:val="clear" w:color="auto" w:fill="auto"/>
            <w:vAlign w:val="bottom"/>
            <w:hideMark/>
          </w:tcPr>
          <w:p w14:paraId="279136B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08ECD2B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005C6DD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2AB43DF0"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15B6218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SRR6877290</w:t>
            </w:r>
          </w:p>
        </w:tc>
        <w:tc>
          <w:tcPr>
            <w:tcW w:w="1350" w:type="dxa"/>
            <w:tcBorders>
              <w:top w:val="nil"/>
              <w:left w:val="nil"/>
              <w:bottom w:val="single" w:sz="4" w:space="0" w:color="auto"/>
              <w:right w:val="single" w:sz="4" w:space="0" w:color="auto"/>
            </w:tcBorders>
            <w:shd w:val="clear" w:color="auto" w:fill="auto"/>
            <w:noWrap/>
            <w:vAlign w:val="bottom"/>
            <w:hideMark/>
          </w:tcPr>
          <w:p w14:paraId="07320E65"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18,595,784 </w:t>
            </w:r>
          </w:p>
        </w:tc>
        <w:tc>
          <w:tcPr>
            <w:tcW w:w="1170" w:type="dxa"/>
            <w:tcBorders>
              <w:top w:val="nil"/>
              <w:left w:val="nil"/>
              <w:bottom w:val="single" w:sz="4" w:space="0" w:color="auto"/>
              <w:right w:val="single" w:sz="4" w:space="0" w:color="auto"/>
            </w:tcBorders>
            <w:shd w:val="clear" w:color="auto" w:fill="auto"/>
            <w:noWrap/>
            <w:vAlign w:val="bottom"/>
            <w:hideMark/>
          </w:tcPr>
          <w:p w14:paraId="265EE8F2"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Guadeloupe</w:t>
            </w:r>
          </w:p>
        </w:tc>
        <w:tc>
          <w:tcPr>
            <w:tcW w:w="1260" w:type="dxa"/>
            <w:tcBorders>
              <w:top w:val="nil"/>
              <w:left w:val="nil"/>
              <w:bottom w:val="single" w:sz="4" w:space="0" w:color="auto"/>
              <w:right w:val="single" w:sz="4" w:space="0" w:color="auto"/>
            </w:tcBorders>
            <w:shd w:val="clear" w:color="auto" w:fill="auto"/>
            <w:vAlign w:val="bottom"/>
            <w:hideMark/>
          </w:tcPr>
          <w:p w14:paraId="221B64DB"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0FF8F05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5C28F7B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66A60DEC"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FB8EFD6"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SRR6877292</w:t>
            </w:r>
          </w:p>
        </w:tc>
        <w:tc>
          <w:tcPr>
            <w:tcW w:w="1350" w:type="dxa"/>
            <w:tcBorders>
              <w:top w:val="nil"/>
              <w:left w:val="nil"/>
              <w:bottom w:val="single" w:sz="4" w:space="0" w:color="auto"/>
              <w:right w:val="single" w:sz="4" w:space="0" w:color="auto"/>
            </w:tcBorders>
            <w:shd w:val="clear" w:color="auto" w:fill="auto"/>
            <w:noWrap/>
            <w:vAlign w:val="bottom"/>
            <w:hideMark/>
          </w:tcPr>
          <w:p w14:paraId="54D5C1C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27,888,566 </w:t>
            </w:r>
          </w:p>
        </w:tc>
        <w:tc>
          <w:tcPr>
            <w:tcW w:w="1170" w:type="dxa"/>
            <w:tcBorders>
              <w:top w:val="nil"/>
              <w:left w:val="nil"/>
              <w:bottom w:val="single" w:sz="4" w:space="0" w:color="auto"/>
              <w:right w:val="single" w:sz="4" w:space="0" w:color="auto"/>
            </w:tcBorders>
            <w:shd w:val="clear" w:color="auto" w:fill="auto"/>
            <w:noWrap/>
            <w:vAlign w:val="bottom"/>
            <w:hideMark/>
          </w:tcPr>
          <w:p w14:paraId="2778C63E"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Mongolia</w:t>
            </w:r>
          </w:p>
        </w:tc>
        <w:tc>
          <w:tcPr>
            <w:tcW w:w="1260" w:type="dxa"/>
            <w:tcBorders>
              <w:top w:val="nil"/>
              <w:left w:val="nil"/>
              <w:bottom w:val="single" w:sz="4" w:space="0" w:color="auto"/>
              <w:right w:val="single" w:sz="4" w:space="0" w:color="auto"/>
            </w:tcBorders>
            <w:shd w:val="clear" w:color="auto" w:fill="auto"/>
            <w:vAlign w:val="bottom"/>
            <w:hideMark/>
          </w:tcPr>
          <w:p w14:paraId="5F59FA2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19DED53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14A7063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6471CCFF"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0B70FB7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SRR6877312</w:t>
            </w:r>
          </w:p>
        </w:tc>
        <w:tc>
          <w:tcPr>
            <w:tcW w:w="1350" w:type="dxa"/>
            <w:tcBorders>
              <w:top w:val="nil"/>
              <w:left w:val="nil"/>
              <w:bottom w:val="single" w:sz="4" w:space="0" w:color="auto"/>
              <w:right w:val="single" w:sz="4" w:space="0" w:color="auto"/>
            </w:tcBorders>
            <w:shd w:val="clear" w:color="auto" w:fill="auto"/>
            <w:noWrap/>
            <w:vAlign w:val="bottom"/>
            <w:hideMark/>
          </w:tcPr>
          <w:p w14:paraId="086AD65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11,561,738 </w:t>
            </w:r>
          </w:p>
        </w:tc>
        <w:tc>
          <w:tcPr>
            <w:tcW w:w="1170" w:type="dxa"/>
            <w:tcBorders>
              <w:top w:val="nil"/>
              <w:left w:val="nil"/>
              <w:bottom w:val="single" w:sz="4" w:space="0" w:color="auto"/>
              <w:right w:val="single" w:sz="4" w:space="0" w:color="auto"/>
            </w:tcBorders>
            <w:shd w:val="clear" w:color="auto" w:fill="auto"/>
            <w:noWrap/>
            <w:vAlign w:val="bottom"/>
            <w:hideMark/>
          </w:tcPr>
          <w:p w14:paraId="05ACF171"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6B733D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4D4DD83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3E6C868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6AAD1890"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7CD23850"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SRR6877310</w:t>
            </w:r>
          </w:p>
        </w:tc>
        <w:tc>
          <w:tcPr>
            <w:tcW w:w="1350" w:type="dxa"/>
            <w:tcBorders>
              <w:top w:val="nil"/>
              <w:left w:val="nil"/>
              <w:bottom w:val="single" w:sz="4" w:space="0" w:color="auto"/>
              <w:right w:val="single" w:sz="4" w:space="0" w:color="auto"/>
            </w:tcBorders>
            <w:shd w:val="clear" w:color="auto" w:fill="auto"/>
            <w:noWrap/>
            <w:vAlign w:val="bottom"/>
            <w:hideMark/>
          </w:tcPr>
          <w:p w14:paraId="27C7418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11,945,018 </w:t>
            </w:r>
          </w:p>
        </w:tc>
        <w:tc>
          <w:tcPr>
            <w:tcW w:w="1170" w:type="dxa"/>
            <w:tcBorders>
              <w:top w:val="nil"/>
              <w:left w:val="nil"/>
              <w:bottom w:val="single" w:sz="4" w:space="0" w:color="auto"/>
              <w:right w:val="single" w:sz="4" w:space="0" w:color="auto"/>
            </w:tcBorders>
            <w:shd w:val="clear" w:color="auto" w:fill="auto"/>
            <w:noWrap/>
            <w:vAlign w:val="bottom"/>
            <w:hideMark/>
          </w:tcPr>
          <w:p w14:paraId="222AE564"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62AEEA05"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6B54A099"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28A2052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560336F9"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0D943344"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SRR6877393</w:t>
            </w:r>
          </w:p>
        </w:tc>
        <w:tc>
          <w:tcPr>
            <w:tcW w:w="1350" w:type="dxa"/>
            <w:tcBorders>
              <w:top w:val="nil"/>
              <w:left w:val="nil"/>
              <w:bottom w:val="single" w:sz="4" w:space="0" w:color="auto"/>
              <w:right w:val="single" w:sz="4" w:space="0" w:color="auto"/>
            </w:tcBorders>
            <w:shd w:val="clear" w:color="auto" w:fill="auto"/>
            <w:noWrap/>
            <w:vAlign w:val="bottom"/>
            <w:hideMark/>
          </w:tcPr>
          <w:p w14:paraId="097F813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            14,907,918 </w:t>
            </w:r>
          </w:p>
        </w:tc>
        <w:tc>
          <w:tcPr>
            <w:tcW w:w="1170" w:type="dxa"/>
            <w:tcBorders>
              <w:top w:val="nil"/>
              <w:left w:val="nil"/>
              <w:bottom w:val="single" w:sz="4" w:space="0" w:color="auto"/>
              <w:right w:val="single" w:sz="4" w:space="0" w:color="auto"/>
            </w:tcBorders>
            <w:shd w:val="clear" w:color="auto" w:fill="auto"/>
            <w:noWrap/>
            <w:vAlign w:val="bottom"/>
            <w:hideMark/>
          </w:tcPr>
          <w:p w14:paraId="7B8CAF5C"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Netherlands</w:t>
            </w:r>
          </w:p>
        </w:tc>
        <w:tc>
          <w:tcPr>
            <w:tcW w:w="1260" w:type="dxa"/>
            <w:tcBorders>
              <w:top w:val="nil"/>
              <w:left w:val="nil"/>
              <w:bottom w:val="single" w:sz="4" w:space="0" w:color="auto"/>
              <w:right w:val="single" w:sz="4" w:space="0" w:color="auto"/>
            </w:tcBorders>
            <w:shd w:val="clear" w:color="auto" w:fill="auto"/>
            <w:vAlign w:val="bottom"/>
            <w:hideMark/>
          </w:tcPr>
          <w:p w14:paraId="5F3045D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Calculus</w:t>
            </w:r>
          </w:p>
        </w:tc>
        <w:tc>
          <w:tcPr>
            <w:tcW w:w="1890" w:type="dxa"/>
            <w:tcBorders>
              <w:top w:val="nil"/>
              <w:left w:val="nil"/>
              <w:bottom w:val="single" w:sz="4" w:space="0" w:color="auto"/>
              <w:right w:val="single" w:sz="4" w:space="0" w:color="auto"/>
            </w:tcBorders>
            <w:shd w:val="clear" w:color="auto" w:fill="auto"/>
            <w:noWrap/>
            <w:vAlign w:val="bottom"/>
            <w:hideMark/>
          </w:tcPr>
          <w:p w14:paraId="59F45F30"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 HiSeq 2500</w:t>
            </w:r>
          </w:p>
        </w:tc>
        <w:tc>
          <w:tcPr>
            <w:tcW w:w="2160" w:type="dxa"/>
            <w:tcBorders>
              <w:top w:val="nil"/>
              <w:left w:val="nil"/>
              <w:bottom w:val="single" w:sz="4" w:space="0" w:color="auto"/>
              <w:right w:val="single" w:sz="4" w:space="0" w:color="auto"/>
            </w:tcBorders>
            <w:shd w:val="clear" w:color="auto" w:fill="auto"/>
            <w:vAlign w:val="bottom"/>
            <w:hideMark/>
          </w:tcPr>
          <w:p w14:paraId="0EF4879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Mann_etal_2018</w:t>
            </w:r>
          </w:p>
        </w:tc>
      </w:tr>
      <w:tr w:rsidR="00DD37EB" w:rsidRPr="00DD37EB" w14:paraId="48B9BB5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460DD5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ERR011323</w:t>
            </w:r>
          </w:p>
        </w:tc>
        <w:tc>
          <w:tcPr>
            <w:tcW w:w="1350" w:type="dxa"/>
            <w:tcBorders>
              <w:top w:val="nil"/>
              <w:left w:val="nil"/>
              <w:bottom w:val="single" w:sz="4" w:space="0" w:color="auto"/>
              <w:right w:val="single" w:sz="4" w:space="0" w:color="auto"/>
            </w:tcBorders>
            <w:shd w:val="clear" w:color="auto" w:fill="auto"/>
            <w:vAlign w:val="bottom"/>
            <w:hideMark/>
          </w:tcPr>
          <w:p w14:paraId="231898F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12,479,816</w:t>
            </w:r>
          </w:p>
        </w:tc>
        <w:tc>
          <w:tcPr>
            <w:tcW w:w="1170" w:type="dxa"/>
            <w:tcBorders>
              <w:top w:val="nil"/>
              <w:left w:val="nil"/>
              <w:bottom w:val="single" w:sz="4" w:space="0" w:color="auto"/>
              <w:right w:val="single" w:sz="4" w:space="0" w:color="auto"/>
            </w:tcBorders>
            <w:shd w:val="clear" w:color="auto" w:fill="auto"/>
            <w:vAlign w:val="bottom"/>
            <w:hideMark/>
          </w:tcPr>
          <w:p w14:paraId="01B027D4"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Spain</w:t>
            </w:r>
          </w:p>
        </w:tc>
        <w:tc>
          <w:tcPr>
            <w:tcW w:w="1260" w:type="dxa"/>
            <w:tcBorders>
              <w:top w:val="nil"/>
              <w:left w:val="nil"/>
              <w:bottom w:val="single" w:sz="4" w:space="0" w:color="auto"/>
              <w:right w:val="single" w:sz="4" w:space="0" w:color="auto"/>
            </w:tcBorders>
            <w:shd w:val="clear" w:color="auto" w:fill="auto"/>
            <w:vAlign w:val="bottom"/>
            <w:hideMark/>
          </w:tcPr>
          <w:p w14:paraId="5DF48E0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09FACF70"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w:t>
            </w:r>
          </w:p>
        </w:tc>
        <w:tc>
          <w:tcPr>
            <w:tcW w:w="2160" w:type="dxa"/>
            <w:tcBorders>
              <w:top w:val="nil"/>
              <w:left w:val="nil"/>
              <w:bottom w:val="single" w:sz="4" w:space="0" w:color="auto"/>
              <w:right w:val="single" w:sz="4" w:space="0" w:color="auto"/>
            </w:tcBorders>
            <w:shd w:val="clear" w:color="auto" w:fill="auto"/>
            <w:vAlign w:val="bottom"/>
            <w:hideMark/>
          </w:tcPr>
          <w:p w14:paraId="75F4BB1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Ormerod_etal_2016</w:t>
            </w:r>
          </w:p>
        </w:tc>
      </w:tr>
      <w:tr w:rsidR="00DD37EB" w:rsidRPr="00DD37EB" w14:paraId="291CB7CB"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1855DB8B"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ERR2162202</w:t>
            </w:r>
          </w:p>
        </w:tc>
        <w:tc>
          <w:tcPr>
            <w:tcW w:w="1350" w:type="dxa"/>
            <w:tcBorders>
              <w:top w:val="nil"/>
              <w:left w:val="nil"/>
              <w:bottom w:val="single" w:sz="4" w:space="0" w:color="auto"/>
              <w:right w:val="single" w:sz="4" w:space="0" w:color="auto"/>
            </w:tcBorders>
            <w:shd w:val="clear" w:color="auto" w:fill="auto"/>
            <w:vAlign w:val="bottom"/>
            <w:hideMark/>
          </w:tcPr>
          <w:p w14:paraId="30D4278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20,813,974</w:t>
            </w:r>
          </w:p>
        </w:tc>
        <w:tc>
          <w:tcPr>
            <w:tcW w:w="1170" w:type="dxa"/>
            <w:tcBorders>
              <w:top w:val="nil"/>
              <w:left w:val="nil"/>
              <w:bottom w:val="single" w:sz="4" w:space="0" w:color="auto"/>
              <w:right w:val="single" w:sz="4" w:space="0" w:color="auto"/>
            </w:tcBorders>
            <w:shd w:val="clear" w:color="auto" w:fill="auto"/>
            <w:vAlign w:val="bottom"/>
            <w:hideMark/>
          </w:tcPr>
          <w:p w14:paraId="55FD638C"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74E0D53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7060734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3F332B9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6B5F7AD4"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DC3C275"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ERR2162205</w:t>
            </w:r>
          </w:p>
        </w:tc>
        <w:tc>
          <w:tcPr>
            <w:tcW w:w="1350" w:type="dxa"/>
            <w:tcBorders>
              <w:top w:val="nil"/>
              <w:left w:val="nil"/>
              <w:bottom w:val="single" w:sz="4" w:space="0" w:color="auto"/>
              <w:right w:val="single" w:sz="4" w:space="0" w:color="auto"/>
            </w:tcBorders>
            <w:shd w:val="clear" w:color="auto" w:fill="auto"/>
            <w:vAlign w:val="bottom"/>
            <w:hideMark/>
          </w:tcPr>
          <w:p w14:paraId="6A07E8E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21,616,115</w:t>
            </w:r>
          </w:p>
        </w:tc>
        <w:tc>
          <w:tcPr>
            <w:tcW w:w="1170" w:type="dxa"/>
            <w:tcBorders>
              <w:top w:val="nil"/>
              <w:left w:val="nil"/>
              <w:bottom w:val="single" w:sz="4" w:space="0" w:color="auto"/>
              <w:right w:val="single" w:sz="4" w:space="0" w:color="auto"/>
            </w:tcBorders>
            <w:shd w:val="clear" w:color="auto" w:fill="auto"/>
            <w:vAlign w:val="bottom"/>
            <w:hideMark/>
          </w:tcPr>
          <w:p w14:paraId="4C7FD7E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F8B039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7315EB61"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2AF3F089"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68F08918"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8F806A9"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ERR2162208</w:t>
            </w:r>
          </w:p>
        </w:tc>
        <w:tc>
          <w:tcPr>
            <w:tcW w:w="1350" w:type="dxa"/>
            <w:tcBorders>
              <w:top w:val="nil"/>
              <w:left w:val="nil"/>
              <w:bottom w:val="single" w:sz="4" w:space="0" w:color="auto"/>
              <w:right w:val="single" w:sz="4" w:space="0" w:color="auto"/>
            </w:tcBorders>
            <w:shd w:val="clear" w:color="auto" w:fill="auto"/>
            <w:vAlign w:val="bottom"/>
            <w:hideMark/>
          </w:tcPr>
          <w:p w14:paraId="6E244DB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18,979,022</w:t>
            </w:r>
          </w:p>
        </w:tc>
        <w:tc>
          <w:tcPr>
            <w:tcW w:w="1170" w:type="dxa"/>
            <w:tcBorders>
              <w:top w:val="nil"/>
              <w:left w:val="nil"/>
              <w:bottom w:val="single" w:sz="4" w:space="0" w:color="auto"/>
              <w:right w:val="single" w:sz="4" w:space="0" w:color="auto"/>
            </w:tcBorders>
            <w:shd w:val="clear" w:color="auto" w:fill="auto"/>
            <w:vAlign w:val="bottom"/>
            <w:hideMark/>
          </w:tcPr>
          <w:p w14:paraId="01C775C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BFD06D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14FB3F0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05AD6B0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3918AED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EC84079"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ERR2162209</w:t>
            </w:r>
          </w:p>
        </w:tc>
        <w:tc>
          <w:tcPr>
            <w:tcW w:w="1350" w:type="dxa"/>
            <w:tcBorders>
              <w:top w:val="nil"/>
              <w:left w:val="nil"/>
              <w:bottom w:val="single" w:sz="4" w:space="0" w:color="auto"/>
              <w:right w:val="single" w:sz="4" w:space="0" w:color="auto"/>
            </w:tcBorders>
            <w:shd w:val="clear" w:color="auto" w:fill="auto"/>
            <w:vAlign w:val="bottom"/>
            <w:hideMark/>
          </w:tcPr>
          <w:p w14:paraId="135E4B3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20,006,202</w:t>
            </w:r>
          </w:p>
        </w:tc>
        <w:tc>
          <w:tcPr>
            <w:tcW w:w="1170" w:type="dxa"/>
            <w:tcBorders>
              <w:top w:val="nil"/>
              <w:left w:val="nil"/>
              <w:bottom w:val="single" w:sz="4" w:space="0" w:color="auto"/>
              <w:right w:val="single" w:sz="4" w:space="0" w:color="auto"/>
            </w:tcBorders>
            <w:shd w:val="clear" w:color="auto" w:fill="auto"/>
            <w:vAlign w:val="bottom"/>
            <w:hideMark/>
          </w:tcPr>
          <w:p w14:paraId="2378F838"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72D7316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448EBA3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328BD289"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00119F26"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2F7EBC9"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ERR2162211</w:t>
            </w:r>
          </w:p>
        </w:tc>
        <w:tc>
          <w:tcPr>
            <w:tcW w:w="1350" w:type="dxa"/>
            <w:tcBorders>
              <w:top w:val="nil"/>
              <w:left w:val="nil"/>
              <w:bottom w:val="single" w:sz="4" w:space="0" w:color="auto"/>
              <w:right w:val="single" w:sz="4" w:space="0" w:color="auto"/>
            </w:tcBorders>
            <w:shd w:val="clear" w:color="auto" w:fill="auto"/>
            <w:vAlign w:val="bottom"/>
            <w:hideMark/>
          </w:tcPr>
          <w:p w14:paraId="7C1D3FA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19,724,770</w:t>
            </w:r>
          </w:p>
        </w:tc>
        <w:tc>
          <w:tcPr>
            <w:tcW w:w="1170" w:type="dxa"/>
            <w:tcBorders>
              <w:top w:val="nil"/>
              <w:left w:val="nil"/>
              <w:bottom w:val="single" w:sz="4" w:space="0" w:color="auto"/>
              <w:right w:val="single" w:sz="4" w:space="0" w:color="auto"/>
            </w:tcBorders>
            <w:shd w:val="clear" w:color="auto" w:fill="auto"/>
            <w:vAlign w:val="bottom"/>
            <w:hideMark/>
          </w:tcPr>
          <w:p w14:paraId="091FEE5F"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290870E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43E119B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2DA3CD8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24BE26A9"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F13311F"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ERR2162212</w:t>
            </w:r>
          </w:p>
        </w:tc>
        <w:tc>
          <w:tcPr>
            <w:tcW w:w="1350" w:type="dxa"/>
            <w:tcBorders>
              <w:top w:val="nil"/>
              <w:left w:val="nil"/>
              <w:bottom w:val="single" w:sz="4" w:space="0" w:color="auto"/>
              <w:right w:val="single" w:sz="4" w:space="0" w:color="auto"/>
            </w:tcBorders>
            <w:shd w:val="clear" w:color="auto" w:fill="auto"/>
            <w:vAlign w:val="bottom"/>
            <w:hideMark/>
          </w:tcPr>
          <w:p w14:paraId="5E50549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19,119,666</w:t>
            </w:r>
          </w:p>
        </w:tc>
        <w:tc>
          <w:tcPr>
            <w:tcW w:w="1170" w:type="dxa"/>
            <w:tcBorders>
              <w:top w:val="nil"/>
              <w:left w:val="nil"/>
              <w:bottom w:val="single" w:sz="4" w:space="0" w:color="auto"/>
              <w:right w:val="single" w:sz="4" w:space="0" w:color="auto"/>
            </w:tcBorders>
            <w:shd w:val="clear" w:color="auto" w:fill="auto"/>
            <w:vAlign w:val="bottom"/>
            <w:hideMark/>
          </w:tcPr>
          <w:p w14:paraId="4AC93224"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2395656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355FB71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3400FB8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5D9D0CEF"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DDDF936"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ERR2162215</w:t>
            </w:r>
          </w:p>
        </w:tc>
        <w:tc>
          <w:tcPr>
            <w:tcW w:w="1350" w:type="dxa"/>
            <w:tcBorders>
              <w:top w:val="nil"/>
              <w:left w:val="nil"/>
              <w:bottom w:val="single" w:sz="4" w:space="0" w:color="auto"/>
              <w:right w:val="single" w:sz="4" w:space="0" w:color="auto"/>
            </w:tcBorders>
            <w:shd w:val="clear" w:color="auto" w:fill="auto"/>
            <w:vAlign w:val="bottom"/>
            <w:hideMark/>
          </w:tcPr>
          <w:p w14:paraId="37AE61F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18,234,407</w:t>
            </w:r>
          </w:p>
        </w:tc>
        <w:tc>
          <w:tcPr>
            <w:tcW w:w="1170" w:type="dxa"/>
            <w:tcBorders>
              <w:top w:val="nil"/>
              <w:left w:val="nil"/>
              <w:bottom w:val="single" w:sz="4" w:space="0" w:color="auto"/>
              <w:right w:val="single" w:sz="4" w:space="0" w:color="auto"/>
            </w:tcBorders>
            <w:shd w:val="clear" w:color="auto" w:fill="auto"/>
            <w:vAlign w:val="bottom"/>
            <w:hideMark/>
          </w:tcPr>
          <w:p w14:paraId="37F0EFF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31318E4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552CD7B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345C8D1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25AF62E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D061067"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ERR2162216</w:t>
            </w:r>
          </w:p>
        </w:tc>
        <w:tc>
          <w:tcPr>
            <w:tcW w:w="1350" w:type="dxa"/>
            <w:tcBorders>
              <w:top w:val="nil"/>
              <w:left w:val="nil"/>
              <w:bottom w:val="single" w:sz="4" w:space="0" w:color="auto"/>
              <w:right w:val="single" w:sz="4" w:space="0" w:color="auto"/>
            </w:tcBorders>
            <w:shd w:val="clear" w:color="auto" w:fill="auto"/>
            <w:vAlign w:val="bottom"/>
            <w:hideMark/>
          </w:tcPr>
          <w:p w14:paraId="1CB0289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21,516,313</w:t>
            </w:r>
          </w:p>
        </w:tc>
        <w:tc>
          <w:tcPr>
            <w:tcW w:w="1170" w:type="dxa"/>
            <w:tcBorders>
              <w:top w:val="nil"/>
              <w:left w:val="nil"/>
              <w:bottom w:val="single" w:sz="4" w:space="0" w:color="auto"/>
              <w:right w:val="single" w:sz="4" w:space="0" w:color="auto"/>
            </w:tcBorders>
            <w:shd w:val="clear" w:color="auto" w:fill="auto"/>
            <w:vAlign w:val="bottom"/>
            <w:hideMark/>
          </w:tcPr>
          <w:p w14:paraId="2D131023"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4F5EE74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06DB837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2E4EF23A"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7D368DF9"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472FF5B"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ERR2162220</w:t>
            </w:r>
          </w:p>
        </w:tc>
        <w:tc>
          <w:tcPr>
            <w:tcW w:w="1350" w:type="dxa"/>
            <w:tcBorders>
              <w:top w:val="nil"/>
              <w:left w:val="nil"/>
              <w:bottom w:val="single" w:sz="4" w:space="0" w:color="auto"/>
              <w:right w:val="single" w:sz="4" w:space="0" w:color="auto"/>
            </w:tcBorders>
            <w:shd w:val="clear" w:color="auto" w:fill="auto"/>
            <w:vAlign w:val="bottom"/>
            <w:hideMark/>
          </w:tcPr>
          <w:p w14:paraId="5ABB170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17,308,536</w:t>
            </w:r>
          </w:p>
        </w:tc>
        <w:tc>
          <w:tcPr>
            <w:tcW w:w="1170" w:type="dxa"/>
            <w:tcBorders>
              <w:top w:val="nil"/>
              <w:left w:val="nil"/>
              <w:bottom w:val="single" w:sz="4" w:space="0" w:color="auto"/>
              <w:right w:val="single" w:sz="4" w:space="0" w:color="auto"/>
            </w:tcBorders>
            <w:shd w:val="clear" w:color="auto" w:fill="auto"/>
            <w:vAlign w:val="bottom"/>
            <w:hideMark/>
          </w:tcPr>
          <w:p w14:paraId="56705B7C"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2F72975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5A25932A"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6E8B9DE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5C77DF0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0F1737B"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ERR2162221</w:t>
            </w:r>
          </w:p>
        </w:tc>
        <w:tc>
          <w:tcPr>
            <w:tcW w:w="1350" w:type="dxa"/>
            <w:tcBorders>
              <w:top w:val="nil"/>
              <w:left w:val="nil"/>
              <w:bottom w:val="single" w:sz="4" w:space="0" w:color="auto"/>
              <w:right w:val="single" w:sz="4" w:space="0" w:color="auto"/>
            </w:tcBorders>
            <w:shd w:val="clear" w:color="auto" w:fill="auto"/>
            <w:vAlign w:val="bottom"/>
            <w:hideMark/>
          </w:tcPr>
          <w:p w14:paraId="39E8106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18,980,740</w:t>
            </w:r>
          </w:p>
        </w:tc>
        <w:tc>
          <w:tcPr>
            <w:tcW w:w="1170" w:type="dxa"/>
            <w:tcBorders>
              <w:top w:val="nil"/>
              <w:left w:val="nil"/>
              <w:bottom w:val="single" w:sz="4" w:space="0" w:color="auto"/>
              <w:right w:val="single" w:sz="4" w:space="0" w:color="auto"/>
            </w:tcBorders>
            <w:shd w:val="clear" w:color="auto" w:fill="auto"/>
            <w:vAlign w:val="bottom"/>
            <w:hideMark/>
          </w:tcPr>
          <w:p w14:paraId="16CAD7CD"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7EC5A1C5"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7EDBFBA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5851FD8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Gopalakrishnan_etal_2018</w:t>
            </w:r>
          </w:p>
        </w:tc>
      </w:tr>
      <w:tr w:rsidR="00DD37EB" w:rsidRPr="00DD37EB" w14:paraId="53874A2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7DB34E0D"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ERR321065</w:t>
            </w:r>
          </w:p>
        </w:tc>
        <w:tc>
          <w:tcPr>
            <w:tcW w:w="1350" w:type="dxa"/>
            <w:tcBorders>
              <w:top w:val="nil"/>
              <w:left w:val="nil"/>
              <w:bottom w:val="single" w:sz="4" w:space="0" w:color="auto"/>
              <w:right w:val="single" w:sz="4" w:space="0" w:color="auto"/>
            </w:tcBorders>
            <w:shd w:val="clear" w:color="auto" w:fill="auto"/>
            <w:vAlign w:val="bottom"/>
            <w:hideMark/>
          </w:tcPr>
          <w:p w14:paraId="62C6525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11,165,183</w:t>
            </w:r>
          </w:p>
        </w:tc>
        <w:tc>
          <w:tcPr>
            <w:tcW w:w="1170" w:type="dxa"/>
            <w:tcBorders>
              <w:top w:val="nil"/>
              <w:left w:val="nil"/>
              <w:bottom w:val="single" w:sz="4" w:space="0" w:color="auto"/>
              <w:right w:val="single" w:sz="4" w:space="0" w:color="auto"/>
            </w:tcBorders>
            <w:shd w:val="clear" w:color="auto" w:fill="auto"/>
            <w:vAlign w:val="bottom"/>
            <w:hideMark/>
          </w:tcPr>
          <w:p w14:paraId="6D52AD8C"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Denmark</w:t>
            </w:r>
          </w:p>
        </w:tc>
        <w:tc>
          <w:tcPr>
            <w:tcW w:w="1260" w:type="dxa"/>
            <w:tcBorders>
              <w:top w:val="nil"/>
              <w:left w:val="nil"/>
              <w:bottom w:val="single" w:sz="4" w:space="0" w:color="auto"/>
              <w:right w:val="single" w:sz="4" w:space="0" w:color="auto"/>
            </w:tcBorders>
            <w:shd w:val="clear" w:color="auto" w:fill="auto"/>
            <w:vAlign w:val="bottom"/>
            <w:hideMark/>
          </w:tcPr>
          <w:p w14:paraId="17D8C60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7232B3AA"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w:t>
            </w:r>
          </w:p>
        </w:tc>
        <w:tc>
          <w:tcPr>
            <w:tcW w:w="2160" w:type="dxa"/>
            <w:tcBorders>
              <w:top w:val="nil"/>
              <w:left w:val="nil"/>
              <w:bottom w:val="single" w:sz="4" w:space="0" w:color="auto"/>
              <w:right w:val="single" w:sz="4" w:space="0" w:color="auto"/>
            </w:tcBorders>
            <w:shd w:val="clear" w:color="auto" w:fill="auto"/>
            <w:vAlign w:val="bottom"/>
            <w:hideMark/>
          </w:tcPr>
          <w:p w14:paraId="1E2383E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Costea_etal_2017</w:t>
            </w:r>
          </w:p>
        </w:tc>
      </w:tr>
      <w:tr w:rsidR="00DD37EB" w:rsidRPr="00DD37EB" w14:paraId="42FACB19"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8344D8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SRR1929408</w:t>
            </w:r>
          </w:p>
        </w:tc>
        <w:tc>
          <w:tcPr>
            <w:tcW w:w="1350" w:type="dxa"/>
            <w:tcBorders>
              <w:top w:val="nil"/>
              <w:left w:val="nil"/>
              <w:bottom w:val="single" w:sz="4" w:space="0" w:color="auto"/>
              <w:right w:val="single" w:sz="4" w:space="0" w:color="auto"/>
            </w:tcBorders>
            <w:shd w:val="clear" w:color="auto" w:fill="auto"/>
            <w:vAlign w:val="bottom"/>
            <w:hideMark/>
          </w:tcPr>
          <w:p w14:paraId="598DFC1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31,843,136</w:t>
            </w:r>
          </w:p>
        </w:tc>
        <w:tc>
          <w:tcPr>
            <w:tcW w:w="1170" w:type="dxa"/>
            <w:tcBorders>
              <w:top w:val="nil"/>
              <w:left w:val="nil"/>
              <w:bottom w:val="single" w:sz="4" w:space="0" w:color="auto"/>
              <w:right w:val="single" w:sz="4" w:space="0" w:color="auto"/>
            </w:tcBorders>
            <w:shd w:val="clear" w:color="auto" w:fill="auto"/>
            <w:vAlign w:val="bottom"/>
            <w:hideMark/>
          </w:tcPr>
          <w:p w14:paraId="370D0155"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Tanzania</w:t>
            </w:r>
          </w:p>
        </w:tc>
        <w:tc>
          <w:tcPr>
            <w:tcW w:w="1260" w:type="dxa"/>
            <w:tcBorders>
              <w:top w:val="nil"/>
              <w:left w:val="nil"/>
              <w:bottom w:val="single" w:sz="4" w:space="0" w:color="auto"/>
              <w:right w:val="single" w:sz="4" w:space="0" w:color="auto"/>
            </w:tcBorders>
            <w:shd w:val="clear" w:color="auto" w:fill="auto"/>
            <w:vAlign w:val="bottom"/>
            <w:hideMark/>
          </w:tcPr>
          <w:p w14:paraId="08F8E0D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4ED64C1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0E3283E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00CB4BC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A4E4EE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SRR1930121</w:t>
            </w:r>
          </w:p>
        </w:tc>
        <w:tc>
          <w:tcPr>
            <w:tcW w:w="1350" w:type="dxa"/>
            <w:tcBorders>
              <w:top w:val="nil"/>
              <w:left w:val="nil"/>
              <w:bottom w:val="single" w:sz="4" w:space="0" w:color="auto"/>
              <w:right w:val="single" w:sz="4" w:space="0" w:color="auto"/>
            </w:tcBorders>
            <w:shd w:val="clear" w:color="auto" w:fill="auto"/>
            <w:vAlign w:val="bottom"/>
            <w:hideMark/>
          </w:tcPr>
          <w:p w14:paraId="1936D9E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35,645,325</w:t>
            </w:r>
          </w:p>
        </w:tc>
        <w:tc>
          <w:tcPr>
            <w:tcW w:w="1170" w:type="dxa"/>
            <w:tcBorders>
              <w:top w:val="nil"/>
              <w:left w:val="nil"/>
              <w:bottom w:val="single" w:sz="4" w:space="0" w:color="auto"/>
              <w:right w:val="single" w:sz="4" w:space="0" w:color="auto"/>
            </w:tcBorders>
            <w:shd w:val="clear" w:color="auto" w:fill="auto"/>
            <w:vAlign w:val="bottom"/>
            <w:hideMark/>
          </w:tcPr>
          <w:p w14:paraId="68532E4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Tanzania</w:t>
            </w:r>
          </w:p>
        </w:tc>
        <w:tc>
          <w:tcPr>
            <w:tcW w:w="1260" w:type="dxa"/>
            <w:tcBorders>
              <w:top w:val="nil"/>
              <w:left w:val="nil"/>
              <w:bottom w:val="single" w:sz="4" w:space="0" w:color="auto"/>
              <w:right w:val="single" w:sz="4" w:space="0" w:color="auto"/>
            </w:tcBorders>
            <w:shd w:val="clear" w:color="auto" w:fill="auto"/>
            <w:vAlign w:val="bottom"/>
            <w:hideMark/>
          </w:tcPr>
          <w:p w14:paraId="5A23BAE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27C5161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4EED4DB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521BC968"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122628FF"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SRR1930123</w:t>
            </w:r>
          </w:p>
        </w:tc>
        <w:tc>
          <w:tcPr>
            <w:tcW w:w="1350" w:type="dxa"/>
            <w:tcBorders>
              <w:top w:val="nil"/>
              <w:left w:val="nil"/>
              <w:bottom w:val="single" w:sz="4" w:space="0" w:color="auto"/>
              <w:right w:val="single" w:sz="4" w:space="0" w:color="auto"/>
            </w:tcBorders>
            <w:shd w:val="clear" w:color="auto" w:fill="auto"/>
            <w:vAlign w:val="bottom"/>
            <w:hideMark/>
          </w:tcPr>
          <w:p w14:paraId="5CFF781B"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3,732,121</w:t>
            </w:r>
          </w:p>
        </w:tc>
        <w:tc>
          <w:tcPr>
            <w:tcW w:w="1170" w:type="dxa"/>
            <w:tcBorders>
              <w:top w:val="nil"/>
              <w:left w:val="nil"/>
              <w:bottom w:val="single" w:sz="4" w:space="0" w:color="auto"/>
              <w:right w:val="single" w:sz="4" w:space="0" w:color="auto"/>
            </w:tcBorders>
            <w:shd w:val="clear" w:color="auto" w:fill="auto"/>
            <w:vAlign w:val="bottom"/>
            <w:hideMark/>
          </w:tcPr>
          <w:p w14:paraId="4FAF955D"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Tanzania</w:t>
            </w:r>
          </w:p>
        </w:tc>
        <w:tc>
          <w:tcPr>
            <w:tcW w:w="1260" w:type="dxa"/>
            <w:tcBorders>
              <w:top w:val="nil"/>
              <w:left w:val="nil"/>
              <w:bottom w:val="single" w:sz="4" w:space="0" w:color="auto"/>
              <w:right w:val="single" w:sz="4" w:space="0" w:color="auto"/>
            </w:tcBorders>
            <w:shd w:val="clear" w:color="auto" w:fill="auto"/>
            <w:vAlign w:val="bottom"/>
            <w:hideMark/>
          </w:tcPr>
          <w:p w14:paraId="1E01E20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49483CA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734C531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0B262AEA"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F0A7BF7"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SRR1930141</w:t>
            </w:r>
          </w:p>
        </w:tc>
        <w:tc>
          <w:tcPr>
            <w:tcW w:w="1350" w:type="dxa"/>
            <w:tcBorders>
              <w:top w:val="nil"/>
              <w:left w:val="nil"/>
              <w:bottom w:val="single" w:sz="4" w:space="0" w:color="auto"/>
              <w:right w:val="single" w:sz="4" w:space="0" w:color="auto"/>
            </w:tcBorders>
            <w:shd w:val="clear" w:color="auto" w:fill="auto"/>
            <w:vAlign w:val="bottom"/>
            <w:hideMark/>
          </w:tcPr>
          <w:p w14:paraId="20427CC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32,369,669</w:t>
            </w:r>
          </w:p>
        </w:tc>
        <w:tc>
          <w:tcPr>
            <w:tcW w:w="1170" w:type="dxa"/>
            <w:tcBorders>
              <w:top w:val="nil"/>
              <w:left w:val="nil"/>
              <w:bottom w:val="single" w:sz="4" w:space="0" w:color="auto"/>
              <w:right w:val="single" w:sz="4" w:space="0" w:color="auto"/>
            </w:tcBorders>
            <w:shd w:val="clear" w:color="auto" w:fill="auto"/>
            <w:vAlign w:val="bottom"/>
            <w:hideMark/>
          </w:tcPr>
          <w:p w14:paraId="31B90A0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Tanzania</w:t>
            </w:r>
          </w:p>
        </w:tc>
        <w:tc>
          <w:tcPr>
            <w:tcW w:w="1260" w:type="dxa"/>
            <w:tcBorders>
              <w:top w:val="nil"/>
              <w:left w:val="nil"/>
              <w:bottom w:val="single" w:sz="4" w:space="0" w:color="auto"/>
              <w:right w:val="single" w:sz="4" w:space="0" w:color="auto"/>
            </w:tcBorders>
            <w:shd w:val="clear" w:color="auto" w:fill="auto"/>
            <w:vAlign w:val="bottom"/>
            <w:hideMark/>
          </w:tcPr>
          <w:p w14:paraId="22C16E9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71BBEFAA"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51E64D09"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64B3A0E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24901E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SRR1930145</w:t>
            </w:r>
          </w:p>
        </w:tc>
        <w:tc>
          <w:tcPr>
            <w:tcW w:w="1350" w:type="dxa"/>
            <w:tcBorders>
              <w:top w:val="nil"/>
              <w:left w:val="nil"/>
              <w:bottom w:val="single" w:sz="4" w:space="0" w:color="auto"/>
              <w:right w:val="single" w:sz="4" w:space="0" w:color="auto"/>
            </w:tcBorders>
            <w:shd w:val="clear" w:color="auto" w:fill="auto"/>
            <w:vAlign w:val="bottom"/>
            <w:hideMark/>
          </w:tcPr>
          <w:p w14:paraId="55DB3C9B"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16,695,141</w:t>
            </w:r>
          </w:p>
        </w:tc>
        <w:tc>
          <w:tcPr>
            <w:tcW w:w="1170" w:type="dxa"/>
            <w:tcBorders>
              <w:top w:val="nil"/>
              <w:left w:val="nil"/>
              <w:bottom w:val="single" w:sz="4" w:space="0" w:color="auto"/>
              <w:right w:val="single" w:sz="4" w:space="0" w:color="auto"/>
            </w:tcBorders>
            <w:shd w:val="clear" w:color="auto" w:fill="auto"/>
            <w:vAlign w:val="bottom"/>
            <w:hideMark/>
          </w:tcPr>
          <w:p w14:paraId="56B0F4E7"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Tanzania</w:t>
            </w:r>
          </w:p>
        </w:tc>
        <w:tc>
          <w:tcPr>
            <w:tcW w:w="1260" w:type="dxa"/>
            <w:tcBorders>
              <w:top w:val="nil"/>
              <w:left w:val="nil"/>
              <w:bottom w:val="single" w:sz="4" w:space="0" w:color="auto"/>
              <w:right w:val="single" w:sz="4" w:space="0" w:color="auto"/>
            </w:tcBorders>
            <w:shd w:val="clear" w:color="auto" w:fill="auto"/>
            <w:vAlign w:val="bottom"/>
            <w:hideMark/>
          </w:tcPr>
          <w:p w14:paraId="5DB01FA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48BB2C6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4FA4148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13D5E7BB"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A31C544"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lastRenderedPageBreak/>
              <w:t>SRR1931170</w:t>
            </w:r>
          </w:p>
        </w:tc>
        <w:tc>
          <w:tcPr>
            <w:tcW w:w="1350" w:type="dxa"/>
            <w:tcBorders>
              <w:top w:val="nil"/>
              <w:left w:val="nil"/>
              <w:bottom w:val="single" w:sz="4" w:space="0" w:color="auto"/>
              <w:right w:val="single" w:sz="4" w:space="0" w:color="auto"/>
            </w:tcBorders>
            <w:shd w:val="clear" w:color="auto" w:fill="auto"/>
            <w:vAlign w:val="bottom"/>
            <w:hideMark/>
          </w:tcPr>
          <w:p w14:paraId="4269B6B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16,744,111</w:t>
            </w:r>
          </w:p>
        </w:tc>
        <w:tc>
          <w:tcPr>
            <w:tcW w:w="1170" w:type="dxa"/>
            <w:tcBorders>
              <w:top w:val="nil"/>
              <w:left w:val="nil"/>
              <w:bottom w:val="single" w:sz="4" w:space="0" w:color="auto"/>
              <w:right w:val="single" w:sz="4" w:space="0" w:color="auto"/>
            </w:tcBorders>
            <w:shd w:val="clear" w:color="auto" w:fill="auto"/>
            <w:vAlign w:val="bottom"/>
            <w:hideMark/>
          </w:tcPr>
          <w:p w14:paraId="6C946638"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Italy</w:t>
            </w:r>
          </w:p>
        </w:tc>
        <w:tc>
          <w:tcPr>
            <w:tcW w:w="1260" w:type="dxa"/>
            <w:tcBorders>
              <w:top w:val="nil"/>
              <w:left w:val="nil"/>
              <w:bottom w:val="single" w:sz="4" w:space="0" w:color="auto"/>
              <w:right w:val="single" w:sz="4" w:space="0" w:color="auto"/>
            </w:tcBorders>
            <w:shd w:val="clear" w:color="auto" w:fill="auto"/>
            <w:vAlign w:val="bottom"/>
            <w:hideMark/>
          </w:tcPr>
          <w:p w14:paraId="1422725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088896E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7B129B1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6E1CBF4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1027A0F7"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SRR1931173</w:t>
            </w:r>
          </w:p>
        </w:tc>
        <w:tc>
          <w:tcPr>
            <w:tcW w:w="1350" w:type="dxa"/>
            <w:tcBorders>
              <w:top w:val="nil"/>
              <w:left w:val="nil"/>
              <w:bottom w:val="single" w:sz="4" w:space="0" w:color="auto"/>
              <w:right w:val="single" w:sz="4" w:space="0" w:color="auto"/>
            </w:tcBorders>
            <w:shd w:val="clear" w:color="auto" w:fill="auto"/>
            <w:vAlign w:val="bottom"/>
            <w:hideMark/>
          </w:tcPr>
          <w:p w14:paraId="5B56E7C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23,917,309</w:t>
            </w:r>
          </w:p>
        </w:tc>
        <w:tc>
          <w:tcPr>
            <w:tcW w:w="1170" w:type="dxa"/>
            <w:tcBorders>
              <w:top w:val="nil"/>
              <w:left w:val="nil"/>
              <w:bottom w:val="single" w:sz="4" w:space="0" w:color="auto"/>
              <w:right w:val="single" w:sz="4" w:space="0" w:color="auto"/>
            </w:tcBorders>
            <w:shd w:val="clear" w:color="auto" w:fill="auto"/>
            <w:vAlign w:val="bottom"/>
            <w:hideMark/>
          </w:tcPr>
          <w:p w14:paraId="30062159"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Italy</w:t>
            </w:r>
          </w:p>
        </w:tc>
        <w:tc>
          <w:tcPr>
            <w:tcW w:w="1260" w:type="dxa"/>
            <w:tcBorders>
              <w:top w:val="nil"/>
              <w:left w:val="nil"/>
              <w:bottom w:val="single" w:sz="4" w:space="0" w:color="auto"/>
              <w:right w:val="single" w:sz="4" w:space="0" w:color="auto"/>
            </w:tcBorders>
            <w:shd w:val="clear" w:color="auto" w:fill="auto"/>
            <w:vAlign w:val="bottom"/>
            <w:hideMark/>
          </w:tcPr>
          <w:p w14:paraId="763A105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Human Gut</w:t>
            </w:r>
          </w:p>
        </w:tc>
        <w:tc>
          <w:tcPr>
            <w:tcW w:w="1890" w:type="dxa"/>
            <w:tcBorders>
              <w:top w:val="nil"/>
              <w:left w:val="nil"/>
              <w:bottom w:val="single" w:sz="4" w:space="0" w:color="auto"/>
              <w:right w:val="single" w:sz="4" w:space="0" w:color="auto"/>
            </w:tcBorders>
            <w:shd w:val="clear" w:color="auto" w:fill="auto"/>
            <w:vAlign w:val="bottom"/>
            <w:hideMark/>
          </w:tcPr>
          <w:p w14:paraId="2C91147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IlluminaGenomeAnalyzerIIx</w:t>
            </w:r>
          </w:p>
        </w:tc>
        <w:tc>
          <w:tcPr>
            <w:tcW w:w="2160" w:type="dxa"/>
            <w:tcBorders>
              <w:top w:val="nil"/>
              <w:left w:val="nil"/>
              <w:bottom w:val="single" w:sz="4" w:space="0" w:color="auto"/>
              <w:right w:val="single" w:sz="4" w:space="0" w:color="auto"/>
            </w:tcBorders>
            <w:shd w:val="clear" w:color="auto" w:fill="auto"/>
            <w:vAlign w:val="bottom"/>
            <w:hideMark/>
          </w:tcPr>
          <w:p w14:paraId="54CA409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Rampelli_etal_2017</w:t>
            </w:r>
          </w:p>
        </w:tc>
      </w:tr>
      <w:tr w:rsidR="00DD37EB" w:rsidRPr="00DD37EB" w14:paraId="34542CFC"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FE2687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SRR1952513 </w:t>
            </w:r>
          </w:p>
        </w:tc>
        <w:tc>
          <w:tcPr>
            <w:tcW w:w="1350" w:type="dxa"/>
            <w:tcBorders>
              <w:top w:val="nil"/>
              <w:left w:val="nil"/>
              <w:bottom w:val="single" w:sz="4" w:space="0" w:color="auto"/>
              <w:right w:val="single" w:sz="4" w:space="0" w:color="auto"/>
            </w:tcBorders>
            <w:shd w:val="clear" w:color="auto" w:fill="auto"/>
            <w:vAlign w:val="bottom"/>
            <w:hideMark/>
          </w:tcPr>
          <w:p w14:paraId="0BCDC80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32,056,125</w:t>
            </w:r>
          </w:p>
        </w:tc>
        <w:tc>
          <w:tcPr>
            <w:tcW w:w="1170" w:type="dxa"/>
            <w:tcBorders>
              <w:top w:val="nil"/>
              <w:left w:val="nil"/>
              <w:bottom w:val="single" w:sz="4" w:space="0" w:color="auto"/>
              <w:right w:val="single" w:sz="4" w:space="0" w:color="auto"/>
            </w:tcBorders>
            <w:shd w:val="clear" w:color="auto" w:fill="auto"/>
            <w:vAlign w:val="bottom"/>
            <w:hideMark/>
          </w:tcPr>
          <w:p w14:paraId="707FED5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76C0136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41B5C55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7561645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258874C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1C4E9A4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SRR1952567 </w:t>
            </w:r>
          </w:p>
        </w:tc>
        <w:tc>
          <w:tcPr>
            <w:tcW w:w="1350" w:type="dxa"/>
            <w:tcBorders>
              <w:top w:val="nil"/>
              <w:left w:val="nil"/>
              <w:bottom w:val="single" w:sz="4" w:space="0" w:color="auto"/>
              <w:right w:val="single" w:sz="4" w:space="0" w:color="auto"/>
            </w:tcBorders>
            <w:shd w:val="clear" w:color="auto" w:fill="auto"/>
            <w:vAlign w:val="bottom"/>
            <w:hideMark/>
          </w:tcPr>
          <w:p w14:paraId="0E81BB1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32,453,927</w:t>
            </w:r>
          </w:p>
        </w:tc>
        <w:tc>
          <w:tcPr>
            <w:tcW w:w="1170" w:type="dxa"/>
            <w:tcBorders>
              <w:top w:val="nil"/>
              <w:left w:val="nil"/>
              <w:bottom w:val="single" w:sz="4" w:space="0" w:color="auto"/>
              <w:right w:val="single" w:sz="4" w:space="0" w:color="auto"/>
            </w:tcBorders>
            <w:shd w:val="clear" w:color="auto" w:fill="auto"/>
            <w:vAlign w:val="bottom"/>
            <w:hideMark/>
          </w:tcPr>
          <w:p w14:paraId="21F3094B"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03B854F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51A075F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13D9CC8A"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74F3DCE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7EF46A9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SRR1952611 </w:t>
            </w:r>
          </w:p>
        </w:tc>
        <w:tc>
          <w:tcPr>
            <w:tcW w:w="1350" w:type="dxa"/>
            <w:tcBorders>
              <w:top w:val="nil"/>
              <w:left w:val="nil"/>
              <w:bottom w:val="single" w:sz="4" w:space="0" w:color="auto"/>
              <w:right w:val="single" w:sz="4" w:space="0" w:color="auto"/>
            </w:tcBorders>
            <w:shd w:val="clear" w:color="auto" w:fill="auto"/>
            <w:vAlign w:val="bottom"/>
            <w:hideMark/>
          </w:tcPr>
          <w:p w14:paraId="01AA894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28,677,800</w:t>
            </w:r>
          </w:p>
        </w:tc>
        <w:tc>
          <w:tcPr>
            <w:tcW w:w="1170" w:type="dxa"/>
            <w:tcBorders>
              <w:top w:val="nil"/>
              <w:left w:val="nil"/>
              <w:bottom w:val="single" w:sz="4" w:space="0" w:color="auto"/>
              <w:right w:val="single" w:sz="4" w:space="0" w:color="auto"/>
            </w:tcBorders>
            <w:shd w:val="clear" w:color="auto" w:fill="auto"/>
            <w:vAlign w:val="bottom"/>
            <w:hideMark/>
          </w:tcPr>
          <w:p w14:paraId="066097CD"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42AC396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64227859"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196FE6B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45FD4884"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A6DF6D0"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SRR1952623 </w:t>
            </w:r>
          </w:p>
        </w:tc>
        <w:tc>
          <w:tcPr>
            <w:tcW w:w="1350" w:type="dxa"/>
            <w:tcBorders>
              <w:top w:val="nil"/>
              <w:left w:val="nil"/>
              <w:bottom w:val="single" w:sz="4" w:space="0" w:color="auto"/>
              <w:right w:val="single" w:sz="4" w:space="0" w:color="auto"/>
            </w:tcBorders>
            <w:shd w:val="clear" w:color="auto" w:fill="auto"/>
            <w:vAlign w:val="bottom"/>
            <w:hideMark/>
          </w:tcPr>
          <w:p w14:paraId="77A2574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42,484,177</w:t>
            </w:r>
          </w:p>
        </w:tc>
        <w:tc>
          <w:tcPr>
            <w:tcW w:w="1170" w:type="dxa"/>
            <w:tcBorders>
              <w:top w:val="nil"/>
              <w:left w:val="nil"/>
              <w:bottom w:val="single" w:sz="4" w:space="0" w:color="auto"/>
              <w:right w:val="single" w:sz="4" w:space="0" w:color="auto"/>
            </w:tcBorders>
            <w:shd w:val="clear" w:color="auto" w:fill="auto"/>
            <w:vAlign w:val="bottom"/>
            <w:hideMark/>
          </w:tcPr>
          <w:p w14:paraId="29FA8D0B"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0C01A17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359BE3C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387D9D0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619312E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0D3D449"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SRR2240834 </w:t>
            </w:r>
          </w:p>
        </w:tc>
        <w:tc>
          <w:tcPr>
            <w:tcW w:w="1350" w:type="dxa"/>
            <w:tcBorders>
              <w:top w:val="nil"/>
              <w:left w:val="nil"/>
              <w:bottom w:val="single" w:sz="4" w:space="0" w:color="auto"/>
              <w:right w:val="single" w:sz="4" w:space="0" w:color="auto"/>
            </w:tcBorders>
            <w:shd w:val="clear" w:color="auto" w:fill="auto"/>
            <w:vAlign w:val="bottom"/>
            <w:hideMark/>
          </w:tcPr>
          <w:p w14:paraId="7983B04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28,592,053</w:t>
            </w:r>
          </w:p>
        </w:tc>
        <w:tc>
          <w:tcPr>
            <w:tcW w:w="1170" w:type="dxa"/>
            <w:tcBorders>
              <w:top w:val="nil"/>
              <w:left w:val="nil"/>
              <w:bottom w:val="single" w:sz="4" w:space="0" w:color="auto"/>
              <w:right w:val="single" w:sz="4" w:space="0" w:color="auto"/>
            </w:tcBorders>
            <w:shd w:val="clear" w:color="auto" w:fill="auto"/>
            <w:vAlign w:val="bottom"/>
            <w:hideMark/>
          </w:tcPr>
          <w:p w14:paraId="4C0FC4F4"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1403A10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6A4561F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02CBDAB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0F0A1AC6"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248C8A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SRR2240920 </w:t>
            </w:r>
          </w:p>
        </w:tc>
        <w:tc>
          <w:tcPr>
            <w:tcW w:w="1350" w:type="dxa"/>
            <w:tcBorders>
              <w:top w:val="nil"/>
              <w:left w:val="nil"/>
              <w:bottom w:val="single" w:sz="4" w:space="0" w:color="auto"/>
              <w:right w:val="single" w:sz="4" w:space="0" w:color="auto"/>
            </w:tcBorders>
            <w:shd w:val="clear" w:color="auto" w:fill="auto"/>
            <w:vAlign w:val="bottom"/>
            <w:hideMark/>
          </w:tcPr>
          <w:p w14:paraId="1D46FAB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27,386,137</w:t>
            </w:r>
          </w:p>
        </w:tc>
        <w:tc>
          <w:tcPr>
            <w:tcW w:w="1170" w:type="dxa"/>
            <w:tcBorders>
              <w:top w:val="nil"/>
              <w:left w:val="nil"/>
              <w:bottom w:val="single" w:sz="4" w:space="0" w:color="auto"/>
              <w:right w:val="single" w:sz="4" w:space="0" w:color="auto"/>
            </w:tcBorders>
            <w:shd w:val="clear" w:color="auto" w:fill="auto"/>
            <w:vAlign w:val="bottom"/>
            <w:hideMark/>
          </w:tcPr>
          <w:p w14:paraId="470C6FCE"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Australia</w:t>
            </w:r>
          </w:p>
        </w:tc>
        <w:tc>
          <w:tcPr>
            <w:tcW w:w="1260" w:type="dxa"/>
            <w:tcBorders>
              <w:top w:val="nil"/>
              <w:left w:val="nil"/>
              <w:bottom w:val="single" w:sz="4" w:space="0" w:color="auto"/>
              <w:right w:val="single" w:sz="4" w:space="0" w:color="auto"/>
            </w:tcBorders>
            <w:shd w:val="clear" w:color="auto" w:fill="auto"/>
            <w:vAlign w:val="bottom"/>
            <w:hideMark/>
          </w:tcPr>
          <w:p w14:paraId="432A165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40A6EB2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5E982D2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Lloyd.Price_etal_2017</w:t>
            </w:r>
          </w:p>
        </w:tc>
      </w:tr>
      <w:tr w:rsidR="00DD37EB" w:rsidRPr="00DD37EB" w14:paraId="2D76FADF"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11B1E856"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SRR3586059</w:t>
            </w:r>
          </w:p>
        </w:tc>
        <w:tc>
          <w:tcPr>
            <w:tcW w:w="1350" w:type="dxa"/>
            <w:tcBorders>
              <w:top w:val="nil"/>
              <w:left w:val="nil"/>
              <w:bottom w:val="single" w:sz="4" w:space="0" w:color="auto"/>
              <w:right w:val="single" w:sz="4" w:space="0" w:color="auto"/>
            </w:tcBorders>
            <w:shd w:val="clear" w:color="auto" w:fill="auto"/>
            <w:vAlign w:val="bottom"/>
            <w:hideMark/>
          </w:tcPr>
          <w:p w14:paraId="712AECE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16,735,210</w:t>
            </w:r>
          </w:p>
        </w:tc>
        <w:tc>
          <w:tcPr>
            <w:tcW w:w="1170" w:type="dxa"/>
            <w:tcBorders>
              <w:top w:val="nil"/>
              <w:left w:val="nil"/>
              <w:bottom w:val="single" w:sz="4" w:space="0" w:color="auto"/>
              <w:right w:val="single" w:sz="4" w:space="0" w:color="auto"/>
            </w:tcBorders>
            <w:shd w:val="clear" w:color="auto" w:fill="auto"/>
            <w:vAlign w:val="bottom"/>
            <w:hideMark/>
          </w:tcPr>
          <w:p w14:paraId="16CE5213"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042F70C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2B056B6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Illumina_HiSeq_1000</w:t>
            </w:r>
          </w:p>
        </w:tc>
        <w:tc>
          <w:tcPr>
            <w:tcW w:w="2160" w:type="dxa"/>
            <w:tcBorders>
              <w:top w:val="nil"/>
              <w:left w:val="nil"/>
              <w:bottom w:val="single" w:sz="4" w:space="0" w:color="auto"/>
              <w:right w:val="single" w:sz="4" w:space="0" w:color="auto"/>
            </w:tcBorders>
            <w:shd w:val="clear" w:color="auto" w:fill="auto"/>
            <w:vAlign w:val="bottom"/>
            <w:hideMark/>
          </w:tcPr>
          <w:p w14:paraId="09F5958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Schmidt_etal_2014</w:t>
            </w:r>
          </w:p>
        </w:tc>
      </w:tr>
      <w:tr w:rsidR="00DD37EB" w:rsidRPr="00DD37EB" w14:paraId="0A3E2DCA"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882FCC7" w14:textId="3F654806"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SRR3586060 </w:t>
            </w:r>
          </w:p>
        </w:tc>
        <w:tc>
          <w:tcPr>
            <w:tcW w:w="1350" w:type="dxa"/>
            <w:tcBorders>
              <w:top w:val="nil"/>
              <w:left w:val="nil"/>
              <w:bottom w:val="single" w:sz="4" w:space="0" w:color="auto"/>
              <w:right w:val="single" w:sz="4" w:space="0" w:color="auto"/>
            </w:tcBorders>
            <w:shd w:val="clear" w:color="auto" w:fill="auto"/>
            <w:vAlign w:val="bottom"/>
            <w:hideMark/>
          </w:tcPr>
          <w:p w14:paraId="642827D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47,986,616</w:t>
            </w:r>
          </w:p>
        </w:tc>
        <w:tc>
          <w:tcPr>
            <w:tcW w:w="1170" w:type="dxa"/>
            <w:tcBorders>
              <w:top w:val="nil"/>
              <w:left w:val="nil"/>
              <w:bottom w:val="single" w:sz="4" w:space="0" w:color="auto"/>
              <w:right w:val="single" w:sz="4" w:space="0" w:color="auto"/>
            </w:tcBorders>
            <w:shd w:val="clear" w:color="auto" w:fill="auto"/>
            <w:vAlign w:val="bottom"/>
            <w:hideMark/>
          </w:tcPr>
          <w:p w14:paraId="738E7E16"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3C87F74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4726E84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Illumina_HiSeq_1000</w:t>
            </w:r>
          </w:p>
        </w:tc>
        <w:tc>
          <w:tcPr>
            <w:tcW w:w="2160" w:type="dxa"/>
            <w:tcBorders>
              <w:top w:val="nil"/>
              <w:left w:val="nil"/>
              <w:bottom w:val="single" w:sz="4" w:space="0" w:color="auto"/>
              <w:right w:val="single" w:sz="4" w:space="0" w:color="auto"/>
            </w:tcBorders>
            <w:shd w:val="clear" w:color="auto" w:fill="auto"/>
            <w:vAlign w:val="bottom"/>
            <w:hideMark/>
          </w:tcPr>
          <w:p w14:paraId="3AA9416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Schmidt_etal_2014</w:t>
            </w:r>
          </w:p>
        </w:tc>
      </w:tr>
      <w:tr w:rsidR="00DD37EB" w:rsidRPr="00DD37EB" w14:paraId="6C666623"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E6F420D"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SRR3586063 </w:t>
            </w:r>
          </w:p>
        </w:tc>
        <w:tc>
          <w:tcPr>
            <w:tcW w:w="1350" w:type="dxa"/>
            <w:tcBorders>
              <w:top w:val="nil"/>
              <w:left w:val="nil"/>
              <w:bottom w:val="single" w:sz="4" w:space="0" w:color="auto"/>
              <w:right w:val="single" w:sz="4" w:space="0" w:color="auto"/>
            </w:tcBorders>
            <w:shd w:val="clear" w:color="auto" w:fill="auto"/>
            <w:vAlign w:val="bottom"/>
            <w:hideMark/>
          </w:tcPr>
          <w:p w14:paraId="5D45B1E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12,545,392</w:t>
            </w:r>
          </w:p>
        </w:tc>
        <w:tc>
          <w:tcPr>
            <w:tcW w:w="1170" w:type="dxa"/>
            <w:tcBorders>
              <w:top w:val="nil"/>
              <w:left w:val="nil"/>
              <w:bottom w:val="single" w:sz="4" w:space="0" w:color="auto"/>
              <w:right w:val="single" w:sz="4" w:space="0" w:color="auto"/>
            </w:tcBorders>
            <w:shd w:val="clear" w:color="auto" w:fill="auto"/>
            <w:vAlign w:val="bottom"/>
            <w:hideMark/>
          </w:tcPr>
          <w:p w14:paraId="55C5F7AD"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26BB9A1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0614247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Illumina_HiSeq_1000</w:t>
            </w:r>
          </w:p>
        </w:tc>
        <w:tc>
          <w:tcPr>
            <w:tcW w:w="2160" w:type="dxa"/>
            <w:tcBorders>
              <w:top w:val="nil"/>
              <w:left w:val="nil"/>
              <w:bottom w:val="single" w:sz="4" w:space="0" w:color="auto"/>
              <w:right w:val="single" w:sz="4" w:space="0" w:color="auto"/>
            </w:tcBorders>
            <w:shd w:val="clear" w:color="auto" w:fill="auto"/>
            <w:vAlign w:val="bottom"/>
            <w:hideMark/>
          </w:tcPr>
          <w:p w14:paraId="4DC7286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Schmidt_etal_2014</w:t>
            </w:r>
          </w:p>
        </w:tc>
      </w:tr>
      <w:tr w:rsidR="00DD37EB" w:rsidRPr="00DD37EB" w14:paraId="3FF4E6C0"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F6941A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SRR3586064 </w:t>
            </w:r>
          </w:p>
        </w:tc>
        <w:tc>
          <w:tcPr>
            <w:tcW w:w="1350" w:type="dxa"/>
            <w:tcBorders>
              <w:top w:val="nil"/>
              <w:left w:val="nil"/>
              <w:bottom w:val="single" w:sz="4" w:space="0" w:color="auto"/>
              <w:right w:val="single" w:sz="4" w:space="0" w:color="auto"/>
            </w:tcBorders>
            <w:shd w:val="clear" w:color="auto" w:fill="auto"/>
            <w:vAlign w:val="bottom"/>
            <w:hideMark/>
          </w:tcPr>
          <w:p w14:paraId="7409788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14,935,707</w:t>
            </w:r>
          </w:p>
        </w:tc>
        <w:tc>
          <w:tcPr>
            <w:tcW w:w="1170" w:type="dxa"/>
            <w:tcBorders>
              <w:top w:val="nil"/>
              <w:left w:val="nil"/>
              <w:bottom w:val="single" w:sz="4" w:space="0" w:color="auto"/>
              <w:right w:val="single" w:sz="4" w:space="0" w:color="auto"/>
            </w:tcBorders>
            <w:shd w:val="clear" w:color="auto" w:fill="auto"/>
            <w:vAlign w:val="bottom"/>
            <w:hideMark/>
          </w:tcPr>
          <w:p w14:paraId="2A6144A9"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7093BFA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Plaque</w:t>
            </w:r>
          </w:p>
        </w:tc>
        <w:tc>
          <w:tcPr>
            <w:tcW w:w="1890" w:type="dxa"/>
            <w:tcBorders>
              <w:top w:val="nil"/>
              <w:left w:val="nil"/>
              <w:bottom w:val="single" w:sz="4" w:space="0" w:color="auto"/>
              <w:right w:val="single" w:sz="4" w:space="0" w:color="auto"/>
            </w:tcBorders>
            <w:shd w:val="clear" w:color="auto" w:fill="auto"/>
            <w:vAlign w:val="bottom"/>
            <w:hideMark/>
          </w:tcPr>
          <w:p w14:paraId="6F2CC66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Illumina_HiSeq_1000</w:t>
            </w:r>
          </w:p>
        </w:tc>
        <w:tc>
          <w:tcPr>
            <w:tcW w:w="2160" w:type="dxa"/>
            <w:tcBorders>
              <w:top w:val="nil"/>
              <w:left w:val="nil"/>
              <w:bottom w:val="single" w:sz="4" w:space="0" w:color="auto"/>
              <w:right w:val="single" w:sz="4" w:space="0" w:color="auto"/>
            </w:tcBorders>
            <w:shd w:val="clear" w:color="auto" w:fill="auto"/>
            <w:vAlign w:val="bottom"/>
            <w:hideMark/>
          </w:tcPr>
          <w:p w14:paraId="23C4621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Schmidt_etal_2014</w:t>
            </w:r>
          </w:p>
        </w:tc>
      </w:tr>
      <w:tr w:rsidR="00DD37EB" w:rsidRPr="00DD37EB" w14:paraId="69A45636"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1452306"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ERR1474568</w:t>
            </w:r>
          </w:p>
        </w:tc>
        <w:tc>
          <w:tcPr>
            <w:tcW w:w="1350" w:type="dxa"/>
            <w:tcBorders>
              <w:top w:val="nil"/>
              <w:left w:val="nil"/>
              <w:bottom w:val="single" w:sz="4" w:space="0" w:color="auto"/>
              <w:right w:val="single" w:sz="4" w:space="0" w:color="auto"/>
            </w:tcBorders>
            <w:shd w:val="clear" w:color="auto" w:fill="auto"/>
            <w:vAlign w:val="bottom"/>
            <w:hideMark/>
          </w:tcPr>
          <w:p w14:paraId="445D7DC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41,891,239</w:t>
            </w:r>
          </w:p>
        </w:tc>
        <w:tc>
          <w:tcPr>
            <w:tcW w:w="1170" w:type="dxa"/>
            <w:tcBorders>
              <w:top w:val="nil"/>
              <w:left w:val="nil"/>
              <w:bottom w:val="single" w:sz="4" w:space="0" w:color="auto"/>
              <w:right w:val="single" w:sz="4" w:space="0" w:color="auto"/>
            </w:tcBorders>
            <w:shd w:val="clear" w:color="auto" w:fill="auto"/>
            <w:vAlign w:val="bottom"/>
            <w:hideMark/>
          </w:tcPr>
          <w:p w14:paraId="51AE80D9"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Philippines</w:t>
            </w:r>
          </w:p>
        </w:tc>
        <w:tc>
          <w:tcPr>
            <w:tcW w:w="1260" w:type="dxa"/>
            <w:tcBorders>
              <w:top w:val="nil"/>
              <w:left w:val="nil"/>
              <w:bottom w:val="single" w:sz="4" w:space="0" w:color="auto"/>
              <w:right w:val="single" w:sz="4" w:space="0" w:color="auto"/>
            </w:tcBorders>
            <w:shd w:val="clear" w:color="auto" w:fill="auto"/>
            <w:vAlign w:val="bottom"/>
            <w:hideMark/>
          </w:tcPr>
          <w:p w14:paraId="2E91EAF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2EEFA8F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3B3133F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Lassalle_etal_2017</w:t>
            </w:r>
          </w:p>
        </w:tc>
      </w:tr>
      <w:tr w:rsidR="00DD37EB" w:rsidRPr="00DD37EB" w14:paraId="68A95365"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08C45A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ERR1474580</w:t>
            </w:r>
          </w:p>
        </w:tc>
        <w:tc>
          <w:tcPr>
            <w:tcW w:w="1350" w:type="dxa"/>
            <w:tcBorders>
              <w:top w:val="nil"/>
              <w:left w:val="nil"/>
              <w:bottom w:val="single" w:sz="4" w:space="0" w:color="auto"/>
              <w:right w:val="single" w:sz="4" w:space="0" w:color="auto"/>
            </w:tcBorders>
            <w:shd w:val="clear" w:color="auto" w:fill="auto"/>
            <w:vAlign w:val="bottom"/>
            <w:hideMark/>
          </w:tcPr>
          <w:p w14:paraId="005846E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33,510,069</w:t>
            </w:r>
          </w:p>
        </w:tc>
        <w:tc>
          <w:tcPr>
            <w:tcW w:w="1170" w:type="dxa"/>
            <w:tcBorders>
              <w:top w:val="nil"/>
              <w:left w:val="nil"/>
              <w:bottom w:val="single" w:sz="4" w:space="0" w:color="auto"/>
              <w:right w:val="single" w:sz="4" w:space="0" w:color="auto"/>
            </w:tcBorders>
            <w:shd w:val="clear" w:color="auto" w:fill="auto"/>
            <w:vAlign w:val="bottom"/>
            <w:hideMark/>
          </w:tcPr>
          <w:p w14:paraId="55A4A05F"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Philippines</w:t>
            </w:r>
          </w:p>
        </w:tc>
        <w:tc>
          <w:tcPr>
            <w:tcW w:w="1260" w:type="dxa"/>
            <w:tcBorders>
              <w:top w:val="nil"/>
              <w:left w:val="nil"/>
              <w:bottom w:val="single" w:sz="4" w:space="0" w:color="auto"/>
              <w:right w:val="single" w:sz="4" w:space="0" w:color="auto"/>
            </w:tcBorders>
            <w:shd w:val="clear" w:color="auto" w:fill="auto"/>
            <w:vAlign w:val="bottom"/>
            <w:hideMark/>
          </w:tcPr>
          <w:p w14:paraId="27A94CE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24F833D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60E913C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Lassalle_etal_2017</w:t>
            </w:r>
          </w:p>
        </w:tc>
      </w:tr>
      <w:tr w:rsidR="00DD37EB" w:rsidRPr="00DD37EB" w14:paraId="5972ED0C"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2F1452C"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ERR1474585</w:t>
            </w:r>
          </w:p>
        </w:tc>
        <w:tc>
          <w:tcPr>
            <w:tcW w:w="1350" w:type="dxa"/>
            <w:tcBorders>
              <w:top w:val="nil"/>
              <w:left w:val="nil"/>
              <w:bottom w:val="single" w:sz="4" w:space="0" w:color="auto"/>
              <w:right w:val="single" w:sz="4" w:space="0" w:color="auto"/>
            </w:tcBorders>
            <w:shd w:val="clear" w:color="auto" w:fill="auto"/>
            <w:vAlign w:val="bottom"/>
            <w:hideMark/>
          </w:tcPr>
          <w:p w14:paraId="3CF7900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18,384,662</w:t>
            </w:r>
          </w:p>
        </w:tc>
        <w:tc>
          <w:tcPr>
            <w:tcW w:w="1170" w:type="dxa"/>
            <w:tcBorders>
              <w:top w:val="nil"/>
              <w:left w:val="nil"/>
              <w:bottom w:val="single" w:sz="4" w:space="0" w:color="auto"/>
              <w:right w:val="single" w:sz="4" w:space="0" w:color="auto"/>
            </w:tcBorders>
            <w:shd w:val="clear" w:color="auto" w:fill="auto"/>
            <w:vAlign w:val="bottom"/>
            <w:hideMark/>
          </w:tcPr>
          <w:p w14:paraId="005C9391"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Philippines</w:t>
            </w:r>
          </w:p>
        </w:tc>
        <w:tc>
          <w:tcPr>
            <w:tcW w:w="1260" w:type="dxa"/>
            <w:tcBorders>
              <w:top w:val="nil"/>
              <w:left w:val="nil"/>
              <w:bottom w:val="single" w:sz="4" w:space="0" w:color="auto"/>
              <w:right w:val="single" w:sz="4" w:space="0" w:color="auto"/>
            </w:tcBorders>
            <w:shd w:val="clear" w:color="auto" w:fill="auto"/>
            <w:vAlign w:val="bottom"/>
            <w:hideMark/>
          </w:tcPr>
          <w:p w14:paraId="7A95D84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6197C56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167D214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Lassalle_etal_2017</w:t>
            </w:r>
          </w:p>
        </w:tc>
      </w:tr>
      <w:tr w:rsidR="00DD37EB" w:rsidRPr="00DD37EB" w14:paraId="01ACB047"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8FCC50B"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ERR1474586</w:t>
            </w:r>
          </w:p>
        </w:tc>
        <w:tc>
          <w:tcPr>
            <w:tcW w:w="1350" w:type="dxa"/>
            <w:tcBorders>
              <w:top w:val="nil"/>
              <w:left w:val="nil"/>
              <w:bottom w:val="single" w:sz="4" w:space="0" w:color="auto"/>
              <w:right w:val="single" w:sz="4" w:space="0" w:color="auto"/>
            </w:tcBorders>
            <w:shd w:val="clear" w:color="auto" w:fill="auto"/>
            <w:vAlign w:val="bottom"/>
            <w:hideMark/>
          </w:tcPr>
          <w:p w14:paraId="04200F1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40,615,282</w:t>
            </w:r>
          </w:p>
        </w:tc>
        <w:tc>
          <w:tcPr>
            <w:tcW w:w="1170" w:type="dxa"/>
            <w:tcBorders>
              <w:top w:val="nil"/>
              <w:left w:val="nil"/>
              <w:bottom w:val="single" w:sz="4" w:space="0" w:color="auto"/>
              <w:right w:val="single" w:sz="4" w:space="0" w:color="auto"/>
            </w:tcBorders>
            <w:shd w:val="clear" w:color="auto" w:fill="auto"/>
            <w:vAlign w:val="bottom"/>
            <w:hideMark/>
          </w:tcPr>
          <w:p w14:paraId="5CF09663"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Philippines</w:t>
            </w:r>
          </w:p>
        </w:tc>
        <w:tc>
          <w:tcPr>
            <w:tcW w:w="1260" w:type="dxa"/>
            <w:tcBorders>
              <w:top w:val="nil"/>
              <w:left w:val="nil"/>
              <w:bottom w:val="single" w:sz="4" w:space="0" w:color="auto"/>
              <w:right w:val="single" w:sz="4" w:space="0" w:color="auto"/>
            </w:tcBorders>
            <w:shd w:val="clear" w:color="auto" w:fill="auto"/>
            <w:vAlign w:val="bottom"/>
            <w:hideMark/>
          </w:tcPr>
          <w:p w14:paraId="14C63F6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147B8B1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6294CDE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Lassalle_etal_2017</w:t>
            </w:r>
          </w:p>
        </w:tc>
      </w:tr>
      <w:tr w:rsidR="00DD37EB" w:rsidRPr="00DD37EB" w14:paraId="62BB990D"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8F34997"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SRR7448290 </w:t>
            </w:r>
          </w:p>
        </w:tc>
        <w:tc>
          <w:tcPr>
            <w:tcW w:w="1350" w:type="dxa"/>
            <w:tcBorders>
              <w:top w:val="nil"/>
              <w:left w:val="nil"/>
              <w:bottom w:val="single" w:sz="4" w:space="0" w:color="auto"/>
              <w:right w:val="single" w:sz="4" w:space="0" w:color="auto"/>
            </w:tcBorders>
            <w:shd w:val="clear" w:color="auto" w:fill="auto"/>
            <w:vAlign w:val="bottom"/>
            <w:hideMark/>
          </w:tcPr>
          <w:p w14:paraId="085B0FB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33,977,611</w:t>
            </w:r>
          </w:p>
        </w:tc>
        <w:tc>
          <w:tcPr>
            <w:tcW w:w="1170" w:type="dxa"/>
            <w:tcBorders>
              <w:top w:val="nil"/>
              <w:left w:val="nil"/>
              <w:bottom w:val="single" w:sz="4" w:space="0" w:color="auto"/>
              <w:right w:val="single" w:sz="4" w:space="0" w:color="auto"/>
            </w:tcBorders>
            <w:shd w:val="clear" w:color="auto" w:fill="auto"/>
            <w:vAlign w:val="bottom"/>
            <w:hideMark/>
          </w:tcPr>
          <w:p w14:paraId="28775CA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062AB68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2FA951E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0DB7E43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129D09ED"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1EB7DF5"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SRR7448291 </w:t>
            </w:r>
          </w:p>
        </w:tc>
        <w:tc>
          <w:tcPr>
            <w:tcW w:w="1350" w:type="dxa"/>
            <w:tcBorders>
              <w:top w:val="nil"/>
              <w:left w:val="nil"/>
              <w:bottom w:val="single" w:sz="4" w:space="0" w:color="auto"/>
              <w:right w:val="single" w:sz="4" w:space="0" w:color="auto"/>
            </w:tcBorders>
            <w:shd w:val="clear" w:color="auto" w:fill="auto"/>
            <w:vAlign w:val="bottom"/>
            <w:hideMark/>
          </w:tcPr>
          <w:p w14:paraId="524C11F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31,509,401</w:t>
            </w:r>
          </w:p>
        </w:tc>
        <w:tc>
          <w:tcPr>
            <w:tcW w:w="1170" w:type="dxa"/>
            <w:tcBorders>
              <w:top w:val="nil"/>
              <w:left w:val="nil"/>
              <w:bottom w:val="single" w:sz="4" w:space="0" w:color="auto"/>
              <w:right w:val="single" w:sz="4" w:space="0" w:color="auto"/>
            </w:tcBorders>
            <w:shd w:val="clear" w:color="auto" w:fill="auto"/>
            <w:vAlign w:val="bottom"/>
            <w:hideMark/>
          </w:tcPr>
          <w:p w14:paraId="4B5A3B7F"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FA9604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7FDEBE1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1F3014D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11A3D372"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D927FF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SRR7448292 </w:t>
            </w:r>
          </w:p>
        </w:tc>
        <w:tc>
          <w:tcPr>
            <w:tcW w:w="1350" w:type="dxa"/>
            <w:tcBorders>
              <w:top w:val="nil"/>
              <w:left w:val="nil"/>
              <w:bottom w:val="single" w:sz="4" w:space="0" w:color="auto"/>
              <w:right w:val="single" w:sz="4" w:space="0" w:color="auto"/>
            </w:tcBorders>
            <w:shd w:val="clear" w:color="auto" w:fill="auto"/>
            <w:vAlign w:val="bottom"/>
            <w:hideMark/>
          </w:tcPr>
          <w:p w14:paraId="68433F41"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16,188,903</w:t>
            </w:r>
          </w:p>
        </w:tc>
        <w:tc>
          <w:tcPr>
            <w:tcW w:w="1170" w:type="dxa"/>
            <w:tcBorders>
              <w:top w:val="nil"/>
              <w:left w:val="nil"/>
              <w:bottom w:val="single" w:sz="4" w:space="0" w:color="auto"/>
              <w:right w:val="single" w:sz="4" w:space="0" w:color="auto"/>
            </w:tcBorders>
            <w:shd w:val="clear" w:color="auto" w:fill="auto"/>
            <w:vAlign w:val="bottom"/>
            <w:hideMark/>
          </w:tcPr>
          <w:p w14:paraId="76DE805E"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0EF9B9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1331036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5A5BDFC1"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7567A2FA"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4F37835"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SRR7448294 </w:t>
            </w:r>
          </w:p>
        </w:tc>
        <w:tc>
          <w:tcPr>
            <w:tcW w:w="1350" w:type="dxa"/>
            <w:tcBorders>
              <w:top w:val="nil"/>
              <w:left w:val="nil"/>
              <w:bottom w:val="single" w:sz="4" w:space="0" w:color="auto"/>
              <w:right w:val="single" w:sz="4" w:space="0" w:color="auto"/>
            </w:tcBorders>
            <w:shd w:val="clear" w:color="auto" w:fill="auto"/>
            <w:vAlign w:val="bottom"/>
            <w:hideMark/>
          </w:tcPr>
          <w:p w14:paraId="1B57612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18,614,551</w:t>
            </w:r>
          </w:p>
        </w:tc>
        <w:tc>
          <w:tcPr>
            <w:tcW w:w="1170" w:type="dxa"/>
            <w:tcBorders>
              <w:top w:val="nil"/>
              <w:left w:val="nil"/>
              <w:bottom w:val="single" w:sz="4" w:space="0" w:color="auto"/>
              <w:right w:val="single" w:sz="4" w:space="0" w:color="auto"/>
            </w:tcBorders>
            <w:shd w:val="clear" w:color="auto" w:fill="auto"/>
            <w:vAlign w:val="bottom"/>
            <w:hideMark/>
          </w:tcPr>
          <w:p w14:paraId="0236A4C2"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055B519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1B54C5C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1E3514B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6E3E2C68"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23E43CC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SRR7448307 </w:t>
            </w:r>
          </w:p>
        </w:tc>
        <w:tc>
          <w:tcPr>
            <w:tcW w:w="1350" w:type="dxa"/>
            <w:tcBorders>
              <w:top w:val="nil"/>
              <w:left w:val="nil"/>
              <w:bottom w:val="single" w:sz="4" w:space="0" w:color="auto"/>
              <w:right w:val="single" w:sz="4" w:space="0" w:color="auto"/>
            </w:tcBorders>
            <w:shd w:val="clear" w:color="auto" w:fill="auto"/>
            <w:vAlign w:val="bottom"/>
            <w:hideMark/>
          </w:tcPr>
          <w:p w14:paraId="05FB97F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116,315,187</w:t>
            </w:r>
          </w:p>
        </w:tc>
        <w:tc>
          <w:tcPr>
            <w:tcW w:w="1170" w:type="dxa"/>
            <w:tcBorders>
              <w:top w:val="nil"/>
              <w:left w:val="nil"/>
              <w:bottom w:val="single" w:sz="4" w:space="0" w:color="auto"/>
              <w:right w:val="single" w:sz="4" w:space="0" w:color="auto"/>
            </w:tcBorders>
            <w:shd w:val="clear" w:color="auto" w:fill="auto"/>
            <w:vAlign w:val="bottom"/>
            <w:hideMark/>
          </w:tcPr>
          <w:p w14:paraId="200104F8"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622860B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4212C59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6532F06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6834D3F0"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23A956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SRR7448312 </w:t>
            </w:r>
          </w:p>
        </w:tc>
        <w:tc>
          <w:tcPr>
            <w:tcW w:w="1350" w:type="dxa"/>
            <w:tcBorders>
              <w:top w:val="nil"/>
              <w:left w:val="nil"/>
              <w:bottom w:val="single" w:sz="4" w:space="0" w:color="auto"/>
              <w:right w:val="single" w:sz="4" w:space="0" w:color="auto"/>
            </w:tcBorders>
            <w:shd w:val="clear" w:color="auto" w:fill="auto"/>
            <w:vAlign w:val="bottom"/>
            <w:hideMark/>
          </w:tcPr>
          <w:p w14:paraId="7C837C57"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27,142,636</w:t>
            </w:r>
          </w:p>
        </w:tc>
        <w:tc>
          <w:tcPr>
            <w:tcW w:w="1170" w:type="dxa"/>
            <w:tcBorders>
              <w:top w:val="nil"/>
              <w:left w:val="nil"/>
              <w:bottom w:val="single" w:sz="4" w:space="0" w:color="auto"/>
              <w:right w:val="single" w:sz="4" w:space="0" w:color="auto"/>
            </w:tcBorders>
            <w:shd w:val="clear" w:color="auto" w:fill="auto"/>
            <w:vAlign w:val="bottom"/>
            <w:hideMark/>
          </w:tcPr>
          <w:p w14:paraId="5B461E93"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2C0FC8B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Saliva</w:t>
            </w:r>
          </w:p>
        </w:tc>
        <w:tc>
          <w:tcPr>
            <w:tcW w:w="1890" w:type="dxa"/>
            <w:tcBorders>
              <w:top w:val="nil"/>
              <w:left w:val="nil"/>
              <w:bottom w:val="single" w:sz="4" w:space="0" w:color="auto"/>
              <w:right w:val="single" w:sz="4" w:space="0" w:color="auto"/>
            </w:tcBorders>
            <w:shd w:val="clear" w:color="auto" w:fill="auto"/>
            <w:vAlign w:val="bottom"/>
            <w:hideMark/>
          </w:tcPr>
          <w:p w14:paraId="7494E49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0F13085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Aleti_etal_2018</w:t>
            </w:r>
          </w:p>
        </w:tc>
      </w:tr>
      <w:tr w:rsidR="00DD37EB" w:rsidRPr="00DD37EB" w14:paraId="69B71EB7"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DB39D9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SRR1620017 </w:t>
            </w:r>
          </w:p>
        </w:tc>
        <w:tc>
          <w:tcPr>
            <w:tcW w:w="1350" w:type="dxa"/>
            <w:tcBorders>
              <w:top w:val="nil"/>
              <w:left w:val="nil"/>
              <w:bottom w:val="single" w:sz="4" w:space="0" w:color="auto"/>
              <w:right w:val="single" w:sz="4" w:space="0" w:color="auto"/>
            </w:tcBorders>
            <w:shd w:val="clear" w:color="auto" w:fill="auto"/>
            <w:vAlign w:val="bottom"/>
            <w:hideMark/>
          </w:tcPr>
          <w:p w14:paraId="7EB0956B"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29,006,012</w:t>
            </w:r>
          </w:p>
        </w:tc>
        <w:tc>
          <w:tcPr>
            <w:tcW w:w="1170" w:type="dxa"/>
            <w:tcBorders>
              <w:top w:val="nil"/>
              <w:left w:val="nil"/>
              <w:bottom w:val="single" w:sz="4" w:space="0" w:color="auto"/>
              <w:right w:val="single" w:sz="4" w:space="0" w:color="auto"/>
            </w:tcBorders>
            <w:shd w:val="clear" w:color="auto" w:fill="auto"/>
            <w:vAlign w:val="bottom"/>
            <w:hideMark/>
          </w:tcPr>
          <w:p w14:paraId="57613097"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46920179"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6A4F590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0116FB6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Schmedes_etal_2017</w:t>
            </w:r>
          </w:p>
        </w:tc>
      </w:tr>
      <w:tr w:rsidR="00DD37EB" w:rsidRPr="00DD37EB" w14:paraId="3A0B3279"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1224832"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SRR3644405 </w:t>
            </w:r>
          </w:p>
        </w:tc>
        <w:tc>
          <w:tcPr>
            <w:tcW w:w="1350" w:type="dxa"/>
            <w:tcBorders>
              <w:top w:val="nil"/>
              <w:left w:val="nil"/>
              <w:bottom w:val="single" w:sz="4" w:space="0" w:color="auto"/>
              <w:right w:val="single" w:sz="4" w:space="0" w:color="auto"/>
            </w:tcBorders>
            <w:shd w:val="clear" w:color="auto" w:fill="auto"/>
            <w:vAlign w:val="bottom"/>
            <w:hideMark/>
          </w:tcPr>
          <w:p w14:paraId="0B3872D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10,783,066</w:t>
            </w:r>
          </w:p>
        </w:tc>
        <w:tc>
          <w:tcPr>
            <w:tcW w:w="1170" w:type="dxa"/>
            <w:tcBorders>
              <w:top w:val="nil"/>
              <w:left w:val="nil"/>
              <w:bottom w:val="single" w:sz="4" w:space="0" w:color="auto"/>
              <w:right w:val="single" w:sz="4" w:space="0" w:color="auto"/>
            </w:tcBorders>
            <w:shd w:val="clear" w:color="auto" w:fill="auto"/>
            <w:vAlign w:val="bottom"/>
            <w:hideMark/>
          </w:tcPr>
          <w:p w14:paraId="0F998ECD"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1107FDE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7AA45FE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0F01259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Loshcher_etal_2015</w:t>
            </w:r>
          </w:p>
        </w:tc>
      </w:tr>
      <w:tr w:rsidR="00DD37EB" w:rsidRPr="00DD37EB" w14:paraId="5648A718"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5A9C1D07"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SRR7687997 </w:t>
            </w:r>
          </w:p>
        </w:tc>
        <w:tc>
          <w:tcPr>
            <w:tcW w:w="1350" w:type="dxa"/>
            <w:tcBorders>
              <w:top w:val="nil"/>
              <w:left w:val="nil"/>
              <w:bottom w:val="single" w:sz="4" w:space="0" w:color="auto"/>
              <w:right w:val="single" w:sz="4" w:space="0" w:color="auto"/>
            </w:tcBorders>
            <w:shd w:val="clear" w:color="auto" w:fill="auto"/>
            <w:vAlign w:val="bottom"/>
            <w:hideMark/>
          </w:tcPr>
          <w:p w14:paraId="321283E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16,588,845</w:t>
            </w:r>
          </w:p>
        </w:tc>
        <w:tc>
          <w:tcPr>
            <w:tcW w:w="1170" w:type="dxa"/>
            <w:tcBorders>
              <w:top w:val="nil"/>
              <w:left w:val="nil"/>
              <w:bottom w:val="single" w:sz="4" w:space="0" w:color="auto"/>
              <w:right w:val="single" w:sz="4" w:space="0" w:color="auto"/>
            </w:tcBorders>
            <w:shd w:val="clear" w:color="auto" w:fill="auto"/>
            <w:vAlign w:val="bottom"/>
            <w:hideMark/>
          </w:tcPr>
          <w:p w14:paraId="0B5B70D7"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4E04B0D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2501D01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51982EC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Tirosh_etal_2018</w:t>
            </w:r>
          </w:p>
        </w:tc>
      </w:tr>
      <w:tr w:rsidR="00DD37EB" w:rsidRPr="00DD37EB" w14:paraId="1CA447B2"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C3F3323"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SRR7992620 </w:t>
            </w:r>
          </w:p>
        </w:tc>
        <w:tc>
          <w:tcPr>
            <w:tcW w:w="1350" w:type="dxa"/>
            <w:tcBorders>
              <w:top w:val="nil"/>
              <w:left w:val="nil"/>
              <w:bottom w:val="single" w:sz="4" w:space="0" w:color="auto"/>
              <w:right w:val="single" w:sz="4" w:space="0" w:color="auto"/>
            </w:tcBorders>
            <w:shd w:val="clear" w:color="auto" w:fill="auto"/>
            <w:vAlign w:val="bottom"/>
            <w:hideMark/>
          </w:tcPr>
          <w:p w14:paraId="5F99A360"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21,406,093</w:t>
            </w:r>
          </w:p>
        </w:tc>
        <w:tc>
          <w:tcPr>
            <w:tcW w:w="1170" w:type="dxa"/>
            <w:tcBorders>
              <w:top w:val="nil"/>
              <w:left w:val="nil"/>
              <w:bottom w:val="single" w:sz="4" w:space="0" w:color="auto"/>
              <w:right w:val="single" w:sz="4" w:space="0" w:color="auto"/>
            </w:tcBorders>
            <w:shd w:val="clear" w:color="auto" w:fill="auto"/>
            <w:vAlign w:val="bottom"/>
            <w:hideMark/>
          </w:tcPr>
          <w:p w14:paraId="241D75A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1937C1CB"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0B1243B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56BC9B72"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Tirosh_etal_2018</w:t>
            </w:r>
          </w:p>
        </w:tc>
      </w:tr>
      <w:tr w:rsidR="00DD37EB" w:rsidRPr="00DD37EB" w14:paraId="5DD6741F"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55F44FD"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SRR7992621 </w:t>
            </w:r>
          </w:p>
        </w:tc>
        <w:tc>
          <w:tcPr>
            <w:tcW w:w="1350" w:type="dxa"/>
            <w:tcBorders>
              <w:top w:val="nil"/>
              <w:left w:val="nil"/>
              <w:bottom w:val="single" w:sz="4" w:space="0" w:color="auto"/>
              <w:right w:val="single" w:sz="4" w:space="0" w:color="auto"/>
            </w:tcBorders>
            <w:shd w:val="clear" w:color="auto" w:fill="auto"/>
            <w:vAlign w:val="bottom"/>
            <w:hideMark/>
          </w:tcPr>
          <w:p w14:paraId="12E68923"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20,812,370</w:t>
            </w:r>
          </w:p>
        </w:tc>
        <w:tc>
          <w:tcPr>
            <w:tcW w:w="1170" w:type="dxa"/>
            <w:tcBorders>
              <w:top w:val="nil"/>
              <w:left w:val="nil"/>
              <w:bottom w:val="single" w:sz="4" w:space="0" w:color="auto"/>
              <w:right w:val="single" w:sz="4" w:space="0" w:color="auto"/>
            </w:tcBorders>
            <w:shd w:val="clear" w:color="auto" w:fill="auto"/>
            <w:vAlign w:val="bottom"/>
            <w:hideMark/>
          </w:tcPr>
          <w:p w14:paraId="3127B46B"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5B41494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72A4416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226D800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Tirosh_etal_2018</w:t>
            </w:r>
          </w:p>
        </w:tc>
      </w:tr>
      <w:tr w:rsidR="00DD37EB" w:rsidRPr="00DD37EB" w14:paraId="567F4C5B"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731BDB4"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SRR7992810 </w:t>
            </w:r>
          </w:p>
        </w:tc>
        <w:tc>
          <w:tcPr>
            <w:tcW w:w="1350" w:type="dxa"/>
            <w:tcBorders>
              <w:top w:val="nil"/>
              <w:left w:val="nil"/>
              <w:bottom w:val="single" w:sz="4" w:space="0" w:color="auto"/>
              <w:right w:val="single" w:sz="4" w:space="0" w:color="auto"/>
            </w:tcBorders>
            <w:shd w:val="clear" w:color="auto" w:fill="auto"/>
            <w:vAlign w:val="bottom"/>
            <w:hideMark/>
          </w:tcPr>
          <w:p w14:paraId="1A47603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15,142,399</w:t>
            </w:r>
          </w:p>
        </w:tc>
        <w:tc>
          <w:tcPr>
            <w:tcW w:w="1170" w:type="dxa"/>
            <w:tcBorders>
              <w:top w:val="nil"/>
              <w:left w:val="nil"/>
              <w:bottom w:val="single" w:sz="4" w:space="0" w:color="auto"/>
              <w:right w:val="single" w:sz="4" w:space="0" w:color="auto"/>
            </w:tcBorders>
            <w:shd w:val="clear" w:color="auto" w:fill="auto"/>
            <w:vAlign w:val="bottom"/>
            <w:hideMark/>
          </w:tcPr>
          <w:p w14:paraId="3F42A579"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7AD2F31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Skin</w:t>
            </w:r>
          </w:p>
        </w:tc>
        <w:tc>
          <w:tcPr>
            <w:tcW w:w="1890" w:type="dxa"/>
            <w:tcBorders>
              <w:top w:val="nil"/>
              <w:left w:val="nil"/>
              <w:bottom w:val="single" w:sz="4" w:space="0" w:color="auto"/>
              <w:right w:val="single" w:sz="4" w:space="0" w:color="auto"/>
            </w:tcBorders>
            <w:shd w:val="clear" w:color="auto" w:fill="auto"/>
            <w:vAlign w:val="bottom"/>
            <w:hideMark/>
          </w:tcPr>
          <w:p w14:paraId="09C494E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5591D403"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Tirosh_etal_2018</w:t>
            </w:r>
          </w:p>
        </w:tc>
      </w:tr>
      <w:tr w:rsidR="00DD37EB" w:rsidRPr="00DD37EB" w14:paraId="71EB5ED2"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CA13405"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ERR2004605</w:t>
            </w:r>
          </w:p>
        </w:tc>
        <w:tc>
          <w:tcPr>
            <w:tcW w:w="1350" w:type="dxa"/>
            <w:tcBorders>
              <w:top w:val="nil"/>
              <w:left w:val="nil"/>
              <w:bottom w:val="single" w:sz="4" w:space="0" w:color="auto"/>
              <w:right w:val="single" w:sz="4" w:space="0" w:color="auto"/>
            </w:tcBorders>
            <w:shd w:val="clear" w:color="auto" w:fill="auto"/>
            <w:vAlign w:val="bottom"/>
            <w:hideMark/>
          </w:tcPr>
          <w:p w14:paraId="7F559268"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21,032,723</w:t>
            </w:r>
          </w:p>
        </w:tc>
        <w:tc>
          <w:tcPr>
            <w:tcW w:w="1170" w:type="dxa"/>
            <w:tcBorders>
              <w:top w:val="nil"/>
              <w:left w:val="nil"/>
              <w:bottom w:val="single" w:sz="4" w:space="0" w:color="auto"/>
              <w:right w:val="single" w:sz="4" w:space="0" w:color="auto"/>
            </w:tcBorders>
            <w:shd w:val="clear" w:color="auto" w:fill="auto"/>
            <w:vAlign w:val="bottom"/>
            <w:hideMark/>
          </w:tcPr>
          <w:p w14:paraId="10DEA3E2"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China</w:t>
            </w:r>
          </w:p>
        </w:tc>
        <w:tc>
          <w:tcPr>
            <w:tcW w:w="1260" w:type="dxa"/>
            <w:tcBorders>
              <w:top w:val="nil"/>
              <w:left w:val="nil"/>
              <w:bottom w:val="single" w:sz="4" w:space="0" w:color="auto"/>
              <w:right w:val="single" w:sz="4" w:space="0" w:color="auto"/>
            </w:tcBorders>
            <w:shd w:val="clear" w:color="auto" w:fill="auto"/>
            <w:vAlign w:val="bottom"/>
            <w:hideMark/>
          </w:tcPr>
          <w:p w14:paraId="4841D19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201197EC"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5DFDEFF4"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Ren_etal_2018</w:t>
            </w:r>
          </w:p>
        </w:tc>
      </w:tr>
      <w:tr w:rsidR="00DD37EB" w:rsidRPr="00DD37EB" w14:paraId="03FBDE8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6DA18FCE"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ERR2004609</w:t>
            </w:r>
          </w:p>
        </w:tc>
        <w:tc>
          <w:tcPr>
            <w:tcW w:w="1350" w:type="dxa"/>
            <w:tcBorders>
              <w:top w:val="nil"/>
              <w:left w:val="nil"/>
              <w:bottom w:val="single" w:sz="4" w:space="0" w:color="auto"/>
              <w:right w:val="single" w:sz="4" w:space="0" w:color="auto"/>
            </w:tcBorders>
            <w:shd w:val="clear" w:color="auto" w:fill="auto"/>
            <w:vAlign w:val="bottom"/>
            <w:hideMark/>
          </w:tcPr>
          <w:p w14:paraId="6A16B2DE"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20,618,976</w:t>
            </w:r>
          </w:p>
        </w:tc>
        <w:tc>
          <w:tcPr>
            <w:tcW w:w="1170" w:type="dxa"/>
            <w:tcBorders>
              <w:top w:val="nil"/>
              <w:left w:val="nil"/>
              <w:bottom w:val="single" w:sz="4" w:space="0" w:color="auto"/>
              <w:right w:val="single" w:sz="4" w:space="0" w:color="auto"/>
            </w:tcBorders>
            <w:shd w:val="clear" w:color="auto" w:fill="auto"/>
            <w:vAlign w:val="bottom"/>
            <w:hideMark/>
          </w:tcPr>
          <w:p w14:paraId="03D8D12F"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China</w:t>
            </w:r>
          </w:p>
        </w:tc>
        <w:tc>
          <w:tcPr>
            <w:tcW w:w="1260" w:type="dxa"/>
            <w:tcBorders>
              <w:top w:val="nil"/>
              <w:left w:val="nil"/>
              <w:bottom w:val="single" w:sz="4" w:space="0" w:color="auto"/>
              <w:right w:val="single" w:sz="4" w:space="0" w:color="auto"/>
            </w:tcBorders>
            <w:shd w:val="clear" w:color="auto" w:fill="auto"/>
            <w:vAlign w:val="bottom"/>
            <w:hideMark/>
          </w:tcPr>
          <w:p w14:paraId="2FDDA615"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65393B5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5FA62590"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Ren_etal_2018</w:t>
            </w:r>
          </w:p>
        </w:tc>
      </w:tr>
      <w:tr w:rsidR="00DD37EB" w:rsidRPr="00DD37EB" w14:paraId="6819F496"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7095ADDF"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ERR2004615</w:t>
            </w:r>
          </w:p>
        </w:tc>
        <w:tc>
          <w:tcPr>
            <w:tcW w:w="1350" w:type="dxa"/>
            <w:tcBorders>
              <w:top w:val="nil"/>
              <w:left w:val="nil"/>
              <w:bottom w:val="single" w:sz="4" w:space="0" w:color="auto"/>
              <w:right w:val="single" w:sz="4" w:space="0" w:color="auto"/>
            </w:tcBorders>
            <w:shd w:val="clear" w:color="auto" w:fill="auto"/>
            <w:vAlign w:val="bottom"/>
            <w:hideMark/>
          </w:tcPr>
          <w:p w14:paraId="393C3E5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20,997,843</w:t>
            </w:r>
          </w:p>
        </w:tc>
        <w:tc>
          <w:tcPr>
            <w:tcW w:w="1170" w:type="dxa"/>
            <w:tcBorders>
              <w:top w:val="nil"/>
              <w:left w:val="nil"/>
              <w:bottom w:val="single" w:sz="4" w:space="0" w:color="auto"/>
              <w:right w:val="single" w:sz="4" w:space="0" w:color="auto"/>
            </w:tcBorders>
            <w:shd w:val="clear" w:color="auto" w:fill="auto"/>
            <w:vAlign w:val="bottom"/>
            <w:hideMark/>
          </w:tcPr>
          <w:p w14:paraId="57318DD0"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China</w:t>
            </w:r>
          </w:p>
        </w:tc>
        <w:tc>
          <w:tcPr>
            <w:tcW w:w="1260" w:type="dxa"/>
            <w:tcBorders>
              <w:top w:val="nil"/>
              <w:left w:val="nil"/>
              <w:bottom w:val="single" w:sz="4" w:space="0" w:color="auto"/>
              <w:right w:val="single" w:sz="4" w:space="0" w:color="auto"/>
            </w:tcBorders>
            <w:shd w:val="clear" w:color="auto" w:fill="auto"/>
            <w:vAlign w:val="bottom"/>
            <w:hideMark/>
          </w:tcPr>
          <w:p w14:paraId="231A5375"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440082C0"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NextSeq500</w:t>
            </w:r>
          </w:p>
        </w:tc>
        <w:tc>
          <w:tcPr>
            <w:tcW w:w="2160" w:type="dxa"/>
            <w:tcBorders>
              <w:top w:val="nil"/>
              <w:left w:val="nil"/>
              <w:bottom w:val="single" w:sz="4" w:space="0" w:color="auto"/>
              <w:right w:val="single" w:sz="4" w:space="0" w:color="auto"/>
            </w:tcBorders>
            <w:shd w:val="clear" w:color="auto" w:fill="auto"/>
            <w:vAlign w:val="bottom"/>
            <w:hideMark/>
          </w:tcPr>
          <w:p w14:paraId="62A4D20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Ren_etal_2018</w:t>
            </w:r>
          </w:p>
        </w:tc>
      </w:tr>
      <w:tr w:rsidR="00DD37EB" w:rsidRPr="00DD37EB" w14:paraId="61275ACF"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6C9187A"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SRR1157607</w:t>
            </w:r>
          </w:p>
        </w:tc>
        <w:tc>
          <w:tcPr>
            <w:tcW w:w="1350" w:type="dxa"/>
            <w:tcBorders>
              <w:top w:val="nil"/>
              <w:left w:val="nil"/>
              <w:bottom w:val="single" w:sz="4" w:space="0" w:color="auto"/>
              <w:right w:val="single" w:sz="4" w:space="0" w:color="auto"/>
            </w:tcBorders>
            <w:shd w:val="clear" w:color="auto" w:fill="auto"/>
            <w:vAlign w:val="bottom"/>
            <w:hideMark/>
          </w:tcPr>
          <w:p w14:paraId="2BBCCF12"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27,629,264</w:t>
            </w:r>
          </w:p>
        </w:tc>
        <w:tc>
          <w:tcPr>
            <w:tcW w:w="1170" w:type="dxa"/>
            <w:tcBorders>
              <w:top w:val="nil"/>
              <w:left w:val="nil"/>
              <w:bottom w:val="single" w:sz="4" w:space="0" w:color="auto"/>
              <w:right w:val="single" w:sz="4" w:space="0" w:color="auto"/>
            </w:tcBorders>
            <w:shd w:val="clear" w:color="auto" w:fill="auto"/>
            <w:vAlign w:val="bottom"/>
            <w:hideMark/>
          </w:tcPr>
          <w:p w14:paraId="0560BBB6"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6B0DE43F"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0EFA286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2DEC668F"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Lin_etal_2014</w:t>
            </w:r>
          </w:p>
        </w:tc>
      </w:tr>
      <w:tr w:rsidR="00DD37EB" w:rsidRPr="00DD37EB" w14:paraId="5EC35B36"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3DD38F64"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SRR1157609</w:t>
            </w:r>
          </w:p>
        </w:tc>
        <w:tc>
          <w:tcPr>
            <w:tcW w:w="1350" w:type="dxa"/>
            <w:tcBorders>
              <w:top w:val="nil"/>
              <w:left w:val="nil"/>
              <w:bottom w:val="single" w:sz="4" w:space="0" w:color="auto"/>
              <w:right w:val="single" w:sz="4" w:space="0" w:color="auto"/>
            </w:tcBorders>
            <w:shd w:val="clear" w:color="auto" w:fill="auto"/>
            <w:vAlign w:val="bottom"/>
            <w:hideMark/>
          </w:tcPr>
          <w:p w14:paraId="7830C126"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52,421,485</w:t>
            </w:r>
          </w:p>
        </w:tc>
        <w:tc>
          <w:tcPr>
            <w:tcW w:w="1170" w:type="dxa"/>
            <w:tcBorders>
              <w:top w:val="nil"/>
              <w:left w:val="nil"/>
              <w:bottom w:val="single" w:sz="4" w:space="0" w:color="auto"/>
              <w:right w:val="single" w:sz="4" w:space="0" w:color="auto"/>
            </w:tcBorders>
            <w:shd w:val="clear" w:color="auto" w:fill="auto"/>
            <w:vAlign w:val="bottom"/>
            <w:hideMark/>
          </w:tcPr>
          <w:p w14:paraId="016EB623"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USA</w:t>
            </w:r>
          </w:p>
        </w:tc>
        <w:tc>
          <w:tcPr>
            <w:tcW w:w="1260" w:type="dxa"/>
            <w:tcBorders>
              <w:top w:val="nil"/>
              <w:left w:val="nil"/>
              <w:bottom w:val="single" w:sz="4" w:space="0" w:color="auto"/>
              <w:right w:val="single" w:sz="4" w:space="0" w:color="auto"/>
            </w:tcBorders>
            <w:shd w:val="clear" w:color="auto" w:fill="auto"/>
            <w:vAlign w:val="bottom"/>
            <w:hideMark/>
          </w:tcPr>
          <w:p w14:paraId="0F4DFC6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3DD91B9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Illumina_HiSeq_2000</w:t>
            </w:r>
          </w:p>
        </w:tc>
        <w:tc>
          <w:tcPr>
            <w:tcW w:w="2160" w:type="dxa"/>
            <w:tcBorders>
              <w:top w:val="nil"/>
              <w:left w:val="nil"/>
              <w:bottom w:val="single" w:sz="4" w:space="0" w:color="auto"/>
              <w:right w:val="single" w:sz="4" w:space="0" w:color="auto"/>
            </w:tcBorders>
            <w:shd w:val="clear" w:color="auto" w:fill="auto"/>
            <w:vAlign w:val="bottom"/>
            <w:hideMark/>
          </w:tcPr>
          <w:p w14:paraId="4D0548B6"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Lin_etal_2014</w:t>
            </w:r>
          </w:p>
        </w:tc>
      </w:tr>
      <w:tr w:rsidR="00DD37EB" w:rsidRPr="00DD37EB" w14:paraId="756648BD"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078F1271"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 xml:space="preserve">SRR5277367 </w:t>
            </w:r>
          </w:p>
        </w:tc>
        <w:tc>
          <w:tcPr>
            <w:tcW w:w="1350" w:type="dxa"/>
            <w:tcBorders>
              <w:top w:val="nil"/>
              <w:left w:val="nil"/>
              <w:bottom w:val="single" w:sz="4" w:space="0" w:color="auto"/>
              <w:right w:val="single" w:sz="4" w:space="0" w:color="auto"/>
            </w:tcBorders>
            <w:shd w:val="clear" w:color="auto" w:fill="auto"/>
            <w:vAlign w:val="bottom"/>
            <w:hideMark/>
          </w:tcPr>
          <w:p w14:paraId="16C33B2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67,906,864</w:t>
            </w:r>
          </w:p>
        </w:tc>
        <w:tc>
          <w:tcPr>
            <w:tcW w:w="1170" w:type="dxa"/>
            <w:tcBorders>
              <w:top w:val="nil"/>
              <w:left w:val="nil"/>
              <w:bottom w:val="single" w:sz="4" w:space="0" w:color="auto"/>
              <w:right w:val="single" w:sz="4" w:space="0" w:color="auto"/>
            </w:tcBorders>
            <w:shd w:val="clear" w:color="auto" w:fill="auto"/>
            <w:vAlign w:val="bottom"/>
            <w:hideMark/>
          </w:tcPr>
          <w:p w14:paraId="5AC08F7F"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Canada</w:t>
            </w:r>
          </w:p>
        </w:tc>
        <w:tc>
          <w:tcPr>
            <w:tcW w:w="1260" w:type="dxa"/>
            <w:tcBorders>
              <w:top w:val="nil"/>
              <w:left w:val="nil"/>
              <w:bottom w:val="single" w:sz="4" w:space="0" w:color="auto"/>
              <w:right w:val="single" w:sz="4" w:space="0" w:color="auto"/>
            </w:tcBorders>
            <w:shd w:val="clear" w:color="auto" w:fill="auto"/>
            <w:vAlign w:val="bottom"/>
            <w:hideMark/>
          </w:tcPr>
          <w:p w14:paraId="284DD68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4D2CA9C7"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457A06DE"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DOE_2017</w:t>
            </w:r>
          </w:p>
        </w:tc>
      </w:tr>
      <w:tr w:rsidR="00DD37EB" w:rsidRPr="00DD37EB" w14:paraId="6C71144E"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70016F8C"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SRR8465122</w:t>
            </w:r>
          </w:p>
        </w:tc>
        <w:tc>
          <w:tcPr>
            <w:tcW w:w="1350" w:type="dxa"/>
            <w:tcBorders>
              <w:top w:val="nil"/>
              <w:left w:val="nil"/>
              <w:bottom w:val="single" w:sz="4" w:space="0" w:color="auto"/>
              <w:right w:val="single" w:sz="4" w:space="0" w:color="auto"/>
            </w:tcBorders>
            <w:shd w:val="clear" w:color="auto" w:fill="auto"/>
            <w:vAlign w:val="bottom"/>
            <w:hideMark/>
          </w:tcPr>
          <w:p w14:paraId="0221357D"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7,302,341</w:t>
            </w:r>
          </w:p>
        </w:tc>
        <w:tc>
          <w:tcPr>
            <w:tcW w:w="1170" w:type="dxa"/>
            <w:tcBorders>
              <w:top w:val="nil"/>
              <w:left w:val="nil"/>
              <w:bottom w:val="single" w:sz="4" w:space="0" w:color="auto"/>
              <w:right w:val="single" w:sz="4" w:space="0" w:color="auto"/>
            </w:tcBorders>
            <w:shd w:val="clear" w:color="auto" w:fill="auto"/>
            <w:vAlign w:val="bottom"/>
            <w:hideMark/>
          </w:tcPr>
          <w:p w14:paraId="4F0DB7FA"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Norway</w:t>
            </w:r>
          </w:p>
        </w:tc>
        <w:tc>
          <w:tcPr>
            <w:tcW w:w="1260" w:type="dxa"/>
            <w:tcBorders>
              <w:top w:val="nil"/>
              <w:left w:val="nil"/>
              <w:bottom w:val="single" w:sz="4" w:space="0" w:color="auto"/>
              <w:right w:val="single" w:sz="4" w:space="0" w:color="auto"/>
            </w:tcBorders>
            <w:shd w:val="clear" w:color="auto" w:fill="auto"/>
            <w:vAlign w:val="bottom"/>
            <w:hideMark/>
          </w:tcPr>
          <w:p w14:paraId="5C57DB2C"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3180004D"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1698513B"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DOE_2017</w:t>
            </w:r>
          </w:p>
        </w:tc>
      </w:tr>
      <w:tr w:rsidR="00DD37EB" w:rsidRPr="00DD37EB" w14:paraId="49D0AF48" w14:textId="77777777" w:rsidTr="00D41A80">
        <w:trPr>
          <w:trHeight w:val="288"/>
        </w:trPr>
        <w:tc>
          <w:tcPr>
            <w:tcW w:w="1255" w:type="dxa"/>
            <w:tcBorders>
              <w:top w:val="nil"/>
              <w:left w:val="single" w:sz="4" w:space="0" w:color="auto"/>
              <w:bottom w:val="single" w:sz="4" w:space="0" w:color="auto"/>
              <w:right w:val="single" w:sz="4" w:space="0" w:color="auto"/>
            </w:tcBorders>
            <w:shd w:val="clear" w:color="auto" w:fill="auto"/>
            <w:vAlign w:val="bottom"/>
            <w:hideMark/>
          </w:tcPr>
          <w:p w14:paraId="4924E64D" w14:textId="77777777" w:rsidR="00DD37EB" w:rsidRPr="00DD37EB" w:rsidRDefault="00DD37EB" w:rsidP="00DD37EB">
            <w:pPr>
              <w:spacing w:after="0" w:line="240" w:lineRule="auto"/>
              <w:rPr>
                <w:rFonts w:ascii="Arial" w:eastAsia="Times New Roman" w:hAnsi="Arial" w:cs="Arial"/>
                <w:color w:val="000000"/>
                <w:sz w:val="16"/>
                <w:szCs w:val="16"/>
              </w:rPr>
            </w:pPr>
            <w:r w:rsidRPr="00DD37EB">
              <w:rPr>
                <w:rFonts w:ascii="Arial" w:eastAsia="Times New Roman" w:hAnsi="Arial" w:cs="Arial"/>
                <w:color w:val="000000"/>
                <w:sz w:val="16"/>
                <w:szCs w:val="16"/>
              </w:rPr>
              <w:t>SRR8465471</w:t>
            </w:r>
          </w:p>
        </w:tc>
        <w:tc>
          <w:tcPr>
            <w:tcW w:w="1350" w:type="dxa"/>
            <w:tcBorders>
              <w:top w:val="nil"/>
              <w:left w:val="nil"/>
              <w:bottom w:val="single" w:sz="4" w:space="0" w:color="auto"/>
              <w:right w:val="single" w:sz="4" w:space="0" w:color="auto"/>
            </w:tcBorders>
            <w:shd w:val="clear" w:color="auto" w:fill="auto"/>
            <w:vAlign w:val="bottom"/>
            <w:hideMark/>
          </w:tcPr>
          <w:p w14:paraId="27A3FC74"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7,403,704</w:t>
            </w:r>
          </w:p>
        </w:tc>
        <w:tc>
          <w:tcPr>
            <w:tcW w:w="1170" w:type="dxa"/>
            <w:tcBorders>
              <w:top w:val="nil"/>
              <w:left w:val="nil"/>
              <w:bottom w:val="single" w:sz="4" w:space="0" w:color="auto"/>
              <w:right w:val="single" w:sz="4" w:space="0" w:color="auto"/>
            </w:tcBorders>
            <w:shd w:val="clear" w:color="auto" w:fill="auto"/>
            <w:vAlign w:val="bottom"/>
            <w:hideMark/>
          </w:tcPr>
          <w:p w14:paraId="5918B7DE" w14:textId="77777777" w:rsidR="00DD37EB" w:rsidRPr="00DD37EB" w:rsidRDefault="00DD37EB" w:rsidP="00982CAC">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Norway</w:t>
            </w:r>
          </w:p>
        </w:tc>
        <w:tc>
          <w:tcPr>
            <w:tcW w:w="1260" w:type="dxa"/>
            <w:tcBorders>
              <w:top w:val="nil"/>
              <w:left w:val="nil"/>
              <w:bottom w:val="single" w:sz="4" w:space="0" w:color="auto"/>
              <w:right w:val="single" w:sz="4" w:space="0" w:color="auto"/>
            </w:tcBorders>
            <w:shd w:val="clear" w:color="auto" w:fill="auto"/>
            <w:vAlign w:val="bottom"/>
            <w:hideMark/>
          </w:tcPr>
          <w:p w14:paraId="2452B5AA" w14:textId="77777777" w:rsidR="00DD37EB" w:rsidRPr="00DD37EB" w:rsidRDefault="00DD37EB" w:rsidP="00DD37EB">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Soil</w:t>
            </w:r>
          </w:p>
        </w:tc>
        <w:tc>
          <w:tcPr>
            <w:tcW w:w="1890" w:type="dxa"/>
            <w:tcBorders>
              <w:top w:val="nil"/>
              <w:left w:val="nil"/>
              <w:bottom w:val="single" w:sz="4" w:space="0" w:color="auto"/>
              <w:right w:val="single" w:sz="4" w:space="0" w:color="auto"/>
            </w:tcBorders>
            <w:shd w:val="clear" w:color="auto" w:fill="auto"/>
            <w:vAlign w:val="bottom"/>
            <w:hideMark/>
          </w:tcPr>
          <w:p w14:paraId="140FF175"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Illumina_HiSeq_2500</w:t>
            </w:r>
          </w:p>
        </w:tc>
        <w:tc>
          <w:tcPr>
            <w:tcW w:w="2160" w:type="dxa"/>
            <w:tcBorders>
              <w:top w:val="nil"/>
              <w:left w:val="nil"/>
              <w:bottom w:val="single" w:sz="4" w:space="0" w:color="auto"/>
              <w:right w:val="single" w:sz="4" w:space="0" w:color="auto"/>
            </w:tcBorders>
            <w:shd w:val="clear" w:color="auto" w:fill="auto"/>
            <w:vAlign w:val="bottom"/>
            <w:hideMark/>
          </w:tcPr>
          <w:p w14:paraId="42AEDFE8" w14:textId="77777777" w:rsidR="00DD37EB" w:rsidRPr="00DD37EB" w:rsidRDefault="00DD37EB" w:rsidP="001C3C29">
            <w:pPr>
              <w:spacing w:after="0" w:line="240" w:lineRule="auto"/>
              <w:jc w:val="right"/>
              <w:rPr>
                <w:rFonts w:ascii="Arial" w:eastAsia="Times New Roman" w:hAnsi="Arial" w:cs="Arial"/>
                <w:color w:val="000000"/>
                <w:sz w:val="16"/>
                <w:szCs w:val="16"/>
              </w:rPr>
            </w:pPr>
            <w:r w:rsidRPr="00DD37EB">
              <w:rPr>
                <w:rFonts w:ascii="Arial" w:eastAsia="Times New Roman" w:hAnsi="Arial" w:cs="Arial"/>
                <w:color w:val="000000"/>
                <w:sz w:val="16"/>
                <w:szCs w:val="16"/>
              </w:rPr>
              <w:t>DOE_2017</w:t>
            </w:r>
          </w:p>
        </w:tc>
      </w:tr>
    </w:tbl>
    <w:p w14:paraId="3571E6E6" w14:textId="6DB3D533" w:rsidR="00DD37EB" w:rsidRDefault="00DD37EB">
      <w:pPr>
        <w:rPr>
          <w:sz w:val="24"/>
          <w:szCs w:val="24"/>
        </w:rPr>
      </w:pPr>
    </w:p>
    <w:p w14:paraId="270708F4" w14:textId="77777777" w:rsidR="00DD37EB" w:rsidRPr="00577145" w:rsidRDefault="00DD37EB">
      <w:pPr>
        <w:rPr>
          <w:sz w:val="24"/>
          <w:szCs w:val="24"/>
        </w:rPr>
      </w:pPr>
    </w:p>
    <w:sectPr w:rsidR="00DD37EB" w:rsidRPr="00577145" w:rsidSect="00BC4418">
      <w:headerReference w:type="default" r:id="rId34"/>
      <w:footerReference w:type="default" r:id="rId35"/>
      <w:footerReference w:type="first" r:id="rId36"/>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43E98" w14:textId="77777777" w:rsidR="00B96908" w:rsidRDefault="00B96908" w:rsidP="00A55000">
      <w:pPr>
        <w:spacing w:after="0" w:line="240" w:lineRule="auto"/>
      </w:pPr>
      <w:r>
        <w:separator/>
      </w:r>
    </w:p>
  </w:endnote>
  <w:endnote w:type="continuationSeparator" w:id="0">
    <w:p w14:paraId="4A7B35EA" w14:textId="77777777" w:rsidR="00B96908" w:rsidRDefault="00B96908" w:rsidP="00A55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38E02" w14:textId="09373374" w:rsidR="00DE6C97" w:rsidRDefault="00DE6C97" w:rsidP="00BE225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0B2A" w14:textId="468EC9F5" w:rsidR="00DE6C97" w:rsidRDefault="00DE6C97">
    <w:pPr>
      <w:pStyle w:val="Footer"/>
      <w:jc w:val="center"/>
    </w:pPr>
  </w:p>
  <w:p w14:paraId="54AB462A" w14:textId="77777777" w:rsidR="00DE6C97" w:rsidRDefault="00DE6C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057810"/>
      <w:docPartObj>
        <w:docPartGallery w:val="Page Numbers (Bottom of Page)"/>
        <w:docPartUnique/>
      </w:docPartObj>
    </w:sdtPr>
    <w:sdtEndPr>
      <w:rPr>
        <w:noProof/>
      </w:rPr>
    </w:sdtEndPr>
    <w:sdtContent>
      <w:p w14:paraId="565503EC" w14:textId="6BCA3A74" w:rsidR="00DE6C97" w:rsidRDefault="00DE6C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51684" w14:textId="77777777" w:rsidR="00DE6C97" w:rsidRDefault="00DE6C97" w:rsidP="00BE225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F1792" w14:textId="3B6D0948" w:rsidR="00DE6C97" w:rsidRDefault="00DE6C97" w:rsidP="00BA3942">
    <w:pPr>
      <w:pStyle w:val="Footer"/>
      <w:tabs>
        <w:tab w:val="clear" w:pos="4680"/>
        <w:tab w:val="clear" w:pos="9360"/>
        <w:tab w:val="left" w:pos="3084"/>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475371"/>
      <w:docPartObj>
        <w:docPartGallery w:val="Page Numbers (Bottom of Page)"/>
        <w:docPartUnique/>
      </w:docPartObj>
    </w:sdtPr>
    <w:sdtEndPr>
      <w:rPr>
        <w:noProof/>
      </w:rPr>
    </w:sdtEndPr>
    <w:sdtContent>
      <w:p w14:paraId="70EBCF57" w14:textId="020C8D18" w:rsidR="00BC4418" w:rsidRDefault="00BC44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398761"/>
      <w:docPartObj>
        <w:docPartGallery w:val="Page Numbers (Bottom of Page)"/>
        <w:docPartUnique/>
      </w:docPartObj>
    </w:sdtPr>
    <w:sdtEndPr>
      <w:rPr>
        <w:noProof/>
      </w:rPr>
    </w:sdtEndPr>
    <w:sdtContent>
      <w:p w14:paraId="5D675272" w14:textId="3B9744F5" w:rsidR="00DE6C97" w:rsidRDefault="00BC4418">
        <w:pPr>
          <w:pStyle w:val="Footer"/>
          <w:jc w:val="center"/>
        </w:pPr>
        <w:r>
          <w:t>viii</w:t>
        </w:r>
      </w:p>
    </w:sdtContent>
  </w:sdt>
  <w:p w14:paraId="19302E84" w14:textId="5E2DFDA6" w:rsidR="00DE6C97" w:rsidRDefault="00DE6C97" w:rsidP="00BE7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96248" w14:textId="77777777" w:rsidR="00B96908" w:rsidRDefault="00B96908" w:rsidP="00A55000">
      <w:pPr>
        <w:spacing w:after="0" w:line="240" w:lineRule="auto"/>
      </w:pPr>
      <w:r>
        <w:separator/>
      </w:r>
    </w:p>
  </w:footnote>
  <w:footnote w:type="continuationSeparator" w:id="0">
    <w:p w14:paraId="42F1CCBA" w14:textId="77777777" w:rsidR="00B96908" w:rsidRDefault="00B96908" w:rsidP="00A55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F4DE7" w14:textId="77777777" w:rsidR="00BC4418" w:rsidRDefault="00BC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26E26"/>
    <w:multiLevelType w:val="hybridMultilevel"/>
    <w:tmpl w:val="92B82CC6"/>
    <w:lvl w:ilvl="0" w:tplc="17241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061281"/>
    <w:multiLevelType w:val="hybridMultilevel"/>
    <w:tmpl w:val="3DC656F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69"/>
    <w:rsid w:val="00002FB5"/>
    <w:rsid w:val="00004131"/>
    <w:rsid w:val="00005CCD"/>
    <w:rsid w:val="00012144"/>
    <w:rsid w:val="0001238C"/>
    <w:rsid w:val="0001641E"/>
    <w:rsid w:val="0002246F"/>
    <w:rsid w:val="000245CD"/>
    <w:rsid w:val="00032F6D"/>
    <w:rsid w:val="00035CD9"/>
    <w:rsid w:val="00036CAA"/>
    <w:rsid w:val="00040F0D"/>
    <w:rsid w:val="00044D14"/>
    <w:rsid w:val="00050AD7"/>
    <w:rsid w:val="000558FA"/>
    <w:rsid w:val="0006024F"/>
    <w:rsid w:val="00062C86"/>
    <w:rsid w:val="00065AEC"/>
    <w:rsid w:val="000674DB"/>
    <w:rsid w:val="00081B5B"/>
    <w:rsid w:val="00094513"/>
    <w:rsid w:val="0009794E"/>
    <w:rsid w:val="000A1ACE"/>
    <w:rsid w:val="000A1B28"/>
    <w:rsid w:val="000A1D29"/>
    <w:rsid w:val="000A2E83"/>
    <w:rsid w:val="000A3231"/>
    <w:rsid w:val="000B20BA"/>
    <w:rsid w:val="000B4A9F"/>
    <w:rsid w:val="000C004D"/>
    <w:rsid w:val="000C40C3"/>
    <w:rsid w:val="000C558F"/>
    <w:rsid w:val="000C79FF"/>
    <w:rsid w:val="000D3B34"/>
    <w:rsid w:val="000E042E"/>
    <w:rsid w:val="000E13DA"/>
    <w:rsid w:val="000E3875"/>
    <w:rsid w:val="000E4C97"/>
    <w:rsid w:val="000E7913"/>
    <w:rsid w:val="000F080D"/>
    <w:rsid w:val="000F603C"/>
    <w:rsid w:val="001002C7"/>
    <w:rsid w:val="001009EA"/>
    <w:rsid w:val="001016D5"/>
    <w:rsid w:val="00102263"/>
    <w:rsid w:val="00104053"/>
    <w:rsid w:val="00104900"/>
    <w:rsid w:val="00111826"/>
    <w:rsid w:val="001126E2"/>
    <w:rsid w:val="00113310"/>
    <w:rsid w:val="001179AF"/>
    <w:rsid w:val="001179B9"/>
    <w:rsid w:val="00121A60"/>
    <w:rsid w:val="00127A5C"/>
    <w:rsid w:val="00133556"/>
    <w:rsid w:val="00143070"/>
    <w:rsid w:val="00144355"/>
    <w:rsid w:val="0014575C"/>
    <w:rsid w:val="00147CD2"/>
    <w:rsid w:val="001526F2"/>
    <w:rsid w:val="00156EAF"/>
    <w:rsid w:val="001573F1"/>
    <w:rsid w:val="00161A56"/>
    <w:rsid w:val="00170451"/>
    <w:rsid w:val="0017205F"/>
    <w:rsid w:val="001730E6"/>
    <w:rsid w:val="00186C13"/>
    <w:rsid w:val="00191DD6"/>
    <w:rsid w:val="00194CF1"/>
    <w:rsid w:val="001962A0"/>
    <w:rsid w:val="001A4CE3"/>
    <w:rsid w:val="001B2142"/>
    <w:rsid w:val="001C33B6"/>
    <w:rsid w:val="001C3C29"/>
    <w:rsid w:val="001D1A3B"/>
    <w:rsid w:val="001D57B9"/>
    <w:rsid w:val="001D6BC7"/>
    <w:rsid w:val="001D6EF3"/>
    <w:rsid w:val="001E3691"/>
    <w:rsid w:val="001E6CDE"/>
    <w:rsid w:val="001F2DCE"/>
    <w:rsid w:val="00200795"/>
    <w:rsid w:val="00203EDF"/>
    <w:rsid w:val="00206F19"/>
    <w:rsid w:val="00207BEA"/>
    <w:rsid w:val="00207FA2"/>
    <w:rsid w:val="00210F35"/>
    <w:rsid w:val="00211325"/>
    <w:rsid w:val="0021274B"/>
    <w:rsid w:val="00213CB4"/>
    <w:rsid w:val="00214BA9"/>
    <w:rsid w:val="00214BF3"/>
    <w:rsid w:val="00224D2B"/>
    <w:rsid w:val="00231DE0"/>
    <w:rsid w:val="00246090"/>
    <w:rsid w:val="002469CC"/>
    <w:rsid w:val="00251A8E"/>
    <w:rsid w:val="00251E90"/>
    <w:rsid w:val="00255E56"/>
    <w:rsid w:val="00264B18"/>
    <w:rsid w:val="00270920"/>
    <w:rsid w:val="00274A96"/>
    <w:rsid w:val="002814EE"/>
    <w:rsid w:val="00286723"/>
    <w:rsid w:val="00287DAE"/>
    <w:rsid w:val="00291173"/>
    <w:rsid w:val="00291CBD"/>
    <w:rsid w:val="00292CB6"/>
    <w:rsid w:val="00293162"/>
    <w:rsid w:val="002A1234"/>
    <w:rsid w:val="002B16E2"/>
    <w:rsid w:val="002B2C00"/>
    <w:rsid w:val="002B2E54"/>
    <w:rsid w:val="002B4E6F"/>
    <w:rsid w:val="002C0FEB"/>
    <w:rsid w:val="002C22FA"/>
    <w:rsid w:val="002C7AF3"/>
    <w:rsid w:val="002D6FAA"/>
    <w:rsid w:val="002E444B"/>
    <w:rsid w:val="002E54BA"/>
    <w:rsid w:val="002E7933"/>
    <w:rsid w:val="002F0FCF"/>
    <w:rsid w:val="002F2DE1"/>
    <w:rsid w:val="002F30BD"/>
    <w:rsid w:val="00301FBB"/>
    <w:rsid w:val="00313B95"/>
    <w:rsid w:val="00320966"/>
    <w:rsid w:val="0033069B"/>
    <w:rsid w:val="00331D9D"/>
    <w:rsid w:val="003409BD"/>
    <w:rsid w:val="0034341A"/>
    <w:rsid w:val="00343432"/>
    <w:rsid w:val="00351553"/>
    <w:rsid w:val="003515EB"/>
    <w:rsid w:val="00351B7B"/>
    <w:rsid w:val="003560F0"/>
    <w:rsid w:val="0036086D"/>
    <w:rsid w:val="00362AE5"/>
    <w:rsid w:val="003664FA"/>
    <w:rsid w:val="003717D8"/>
    <w:rsid w:val="0037261F"/>
    <w:rsid w:val="00373A32"/>
    <w:rsid w:val="0038096C"/>
    <w:rsid w:val="00383763"/>
    <w:rsid w:val="00385DA8"/>
    <w:rsid w:val="00396017"/>
    <w:rsid w:val="003961B9"/>
    <w:rsid w:val="00396298"/>
    <w:rsid w:val="003A01A9"/>
    <w:rsid w:val="003A2860"/>
    <w:rsid w:val="003A4D48"/>
    <w:rsid w:val="003B2C7A"/>
    <w:rsid w:val="003B5606"/>
    <w:rsid w:val="003B6013"/>
    <w:rsid w:val="003C09E2"/>
    <w:rsid w:val="003C457F"/>
    <w:rsid w:val="003C6B5B"/>
    <w:rsid w:val="003C7431"/>
    <w:rsid w:val="003D4BB3"/>
    <w:rsid w:val="003E03E8"/>
    <w:rsid w:val="003E105A"/>
    <w:rsid w:val="003F1502"/>
    <w:rsid w:val="003F23FD"/>
    <w:rsid w:val="003F25FF"/>
    <w:rsid w:val="003F31AA"/>
    <w:rsid w:val="003F36B6"/>
    <w:rsid w:val="003F3C31"/>
    <w:rsid w:val="003F3D4D"/>
    <w:rsid w:val="003F5E09"/>
    <w:rsid w:val="003F64B9"/>
    <w:rsid w:val="003F76A2"/>
    <w:rsid w:val="00404A81"/>
    <w:rsid w:val="004102F2"/>
    <w:rsid w:val="00412E66"/>
    <w:rsid w:val="0041408D"/>
    <w:rsid w:val="00420A2A"/>
    <w:rsid w:val="004249F7"/>
    <w:rsid w:val="004318BA"/>
    <w:rsid w:val="004427C0"/>
    <w:rsid w:val="00445665"/>
    <w:rsid w:val="00450446"/>
    <w:rsid w:val="0045169B"/>
    <w:rsid w:val="00452B26"/>
    <w:rsid w:val="00454CCC"/>
    <w:rsid w:val="004602B3"/>
    <w:rsid w:val="004617E4"/>
    <w:rsid w:val="00462C9A"/>
    <w:rsid w:val="00471C59"/>
    <w:rsid w:val="0047251A"/>
    <w:rsid w:val="0047513B"/>
    <w:rsid w:val="004913C8"/>
    <w:rsid w:val="00493093"/>
    <w:rsid w:val="00494109"/>
    <w:rsid w:val="00495455"/>
    <w:rsid w:val="004A0A8F"/>
    <w:rsid w:val="004B2FB7"/>
    <w:rsid w:val="004B3147"/>
    <w:rsid w:val="004B31B2"/>
    <w:rsid w:val="004B3B4E"/>
    <w:rsid w:val="004B4E76"/>
    <w:rsid w:val="004C21DA"/>
    <w:rsid w:val="004C21E9"/>
    <w:rsid w:val="004C6AD3"/>
    <w:rsid w:val="004D5E93"/>
    <w:rsid w:val="004D7BC9"/>
    <w:rsid w:val="004E276F"/>
    <w:rsid w:val="004E7ACD"/>
    <w:rsid w:val="004F75AC"/>
    <w:rsid w:val="0050134F"/>
    <w:rsid w:val="00501774"/>
    <w:rsid w:val="005018BF"/>
    <w:rsid w:val="00501907"/>
    <w:rsid w:val="00501C31"/>
    <w:rsid w:val="005024B9"/>
    <w:rsid w:val="00503235"/>
    <w:rsid w:val="00507ADC"/>
    <w:rsid w:val="005110B6"/>
    <w:rsid w:val="0052164A"/>
    <w:rsid w:val="0053126A"/>
    <w:rsid w:val="00531888"/>
    <w:rsid w:val="00531F15"/>
    <w:rsid w:val="00534139"/>
    <w:rsid w:val="00536754"/>
    <w:rsid w:val="00545EB4"/>
    <w:rsid w:val="005538A0"/>
    <w:rsid w:val="00553921"/>
    <w:rsid w:val="0056530D"/>
    <w:rsid w:val="00567963"/>
    <w:rsid w:val="00576A9A"/>
    <w:rsid w:val="00577145"/>
    <w:rsid w:val="005829BB"/>
    <w:rsid w:val="0059482F"/>
    <w:rsid w:val="005972A5"/>
    <w:rsid w:val="005A4E2C"/>
    <w:rsid w:val="005B0FAD"/>
    <w:rsid w:val="005B2129"/>
    <w:rsid w:val="005B2940"/>
    <w:rsid w:val="005B29E2"/>
    <w:rsid w:val="005B5A41"/>
    <w:rsid w:val="005B754B"/>
    <w:rsid w:val="005C27DB"/>
    <w:rsid w:val="005C5F1A"/>
    <w:rsid w:val="005C65E4"/>
    <w:rsid w:val="005D4F5E"/>
    <w:rsid w:val="005D7F54"/>
    <w:rsid w:val="005E0115"/>
    <w:rsid w:val="005E0C48"/>
    <w:rsid w:val="005E65F9"/>
    <w:rsid w:val="005E7352"/>
    <w:rsid w:val="005E7B0F"/>
    <w:rsid w:val="005F25C5"/>
    <w:rsid w:val="005F340A"/>
    <w:rsid w:val="00600EE3"/>
    <w:rsid w:val="00603C7A"/>
    <w:rsid w:val="00603FDA"/>
    <w:rsid w:val="00604F63"/>
    <w:rsid w:val="0060745C"/>
    <w:rsid w:val="00610182"/>
    <w:rsid w:val="00611F8C"/>
    <w:rsid w:val="0061557D"/>
    <w:rsid w:val="00615744"/>
    <w:rsid w:val="00617B77"/>
    <w:rsid w:val="0062245D"/>
    <w:rsid w:val="00626A3A"/>
    <w:rsid w:val="00627D28"/>
    <w:rsid w:val="00630A6B"/>
    <w:rsid w:val="006332A2"/>
    <w:rsid w:val="00637319"/>
    <w:rsid w:val="0064301E"/>
    <w:rsid w:val="00646CDC"/>
    <w:rsid w:val="00655F0B"/>
    <w:rsid w:val="00662A35"/>
    <w:rsid w:val="0066463D"/>
    <w:rsid w:val="00664AE6"/>
    <w:rsid w:val="0066563C"/>
    <w:rsid w:val="00666F17"/>
    <w:rsid w:val="00667C06"/>
    <w:rsid w:val="006706AC"/>
    <w:rsid w:val="00671139"/>
    <w:rsid w:val="00672ABF"/>
    <w:rsid w:val="00672D78"/>
    <w:rsid w:val="0067789F"/>
    <w:rsid w:val="00683CC3"/>
    <w:rsid w:val="00684CD5"/>
    <w:rsid w:val="00685405"/>
    <w:rsid w:val="00686F47"/>
    <w:rsid w:val="00697630"/>
    <w:rsid w:val="006B0E36"/>
    <w:rsid w:val="006B6FBB"/>
    <w:rsid w:val="006C0B6C"/>
    <w:rsid w:val="006C1422"/>
    <w:rsid w:val="006C665D"/>
    <w:rsid w:val="006C793F"/>
    <w:rsid w:val="006D05C8"/>
    <w:rsid w:val="006D3B43"/>
    <w:rsid w:val="006D5A14"/>
    <w:rsid w:val="006D6C4E"/>
    <w:rsid w:val="006D7C66"/>
    <w:rsid w:val="006E4B38"/>
    <w:rsid w:val="006E59CB"/>
    <w:rsid w:val="006E6987"/>
    <w:rsid w:val="006F1834"/>
    <w:rsid w:val="00704F72"/>
    <w:rsid w:val="00705B7C"/>
    <w:rsid w:val="00714924"/>
    <w:rsid w:val="00717759"/>
    <w:rsid w:val="007210B9"/>
    <w:rsid w:val="00721790"/>
    <w:rsid w:val="00722A82"/>
    <w:rsid w:val="0072417A"/>
    <w:rsid w:val="007274AE"/>
    <w:rsid w:val="00727FC8"/>
    <w:rsid w:val="00734505"/>
    <w:rsid w:val="00736647"/>
    <w:rsid w:val="007368B0"/>
    <w:rsid w:val="00746AFD"/>
    <w:rsid w:val="007471E8"/>
    <w:rsid w:val="007476F8"/>
    <w:rsid w:val="007533C3"/>
    <w:rsid w:val="00761FEF"/>
    <w:rsid w:val="007640EA"/>
    <w:rsid w:val="0076565F"/>
    <w:rsid w:val="00771575"/>
    <w:rsid w:val="00773D65"/>
    <w:rsid w:val="00777CEE"/>
    <w:rsid w:val="007901CC"/>
    <w:rsid w:val="00790499"/>
    <w:rsid w:val="007A1BD2"/>
    <w:rsid w:val="007A30A1"/>
    <w:rsid w:val="007A3588"/>
    <w:rsid w:val="007B0ABE"/>
    <w:rsid w:val="007B0E88"/>
    <w:rsid w:val="007C2712"/>
    <w:rsid w:val="007C2F92"/>
    <w:rsid w:val="007C6819"/>
    <w:rsid w:val="007C6994"/>
    <w:rsid w:val="007C7D40"/>
    <w:rsid w:val="007D242C"/>
    <w:rsid w:val="007D33B7"/>
    <w:rsid w:val="007E0303"/>
    <w:rsid w:val="007E1B4C"/>
    <w:rsid w:val="007F1002"/>
    <w:rsid w:val="007F1C2A"/>
    <w:rsid w:val="007F3CA2"/>
    <w:rsid w:val="007F5867"/>
    <w:rsid w:val="007F7899"/>
    <w:rsid w:val="0080143D"/>
    <w:rsid w:val="0081470C"/>
    <w:rsid w:val="00816CB4"/>
    <w:rsid w:val="00820EE7"/>
    <w:rsid w:val="00821B81"/>
    <w:rsid w:val="00822023"/>
    <w:rsid w:val="00824FAF"/>
    <w:rsid w:val="00830824"/>
    <w:rsid w:val="00832590"/>
    <w:rsid w:val="0084135B"/>
    <w:rsid w:val="00845AC7"/>
    <w:rsid w:val="00845FE9"/>
    <w:rsid w:val="00862377"/>
    <w:rsid w:val="00863B78"/>
    <w:rsid w:val="00880109"/>
    <w:rsid w:val="0088205F"/>
    <w:rsid w:val="0088549E"/>
    <w:rsid w:val="0089760F"/>
    <w:rsid w:val="008A0C4F"/>
    <w:rsid w:val="008A29C7"/>
    <w:rsid w:val="008A3E21"/>
    <w:rsid w:val="008A63D5"/>
    <w:rsid w:val="008A73B2"/>
    <w:rsid w:val="008B1C80"/>
    <w:rsid w:val="008B3E6E"/>
    <w:rsid w:val="008B3F48"/>
    <w:rsid w:val="008B4806"/>
    <w:rsid w:val="008C6A37"/>
    <w:rsid w:val="008E49B7"/>
    <w:rsid w:val="008F11A2"/>
    <w:rsid w:val="008F3AE2"/>
    <w:rsid w:val="008F423D"/>
    <w:rsid w:val="008F49A9"/>
    <w:rsid w:val="008F4A95"/>
    <w:rsid w:val="00901370"/>
    <w:rsid w:val="00905758"/>
    <w:rsid w:val="009069CC"/>
    <w:rsid w:val="00906F67"/>
    <w:rsid w:val="00907773"/>
    <w:rsid w:val="00911F10"/>
    <w:rsid w:val="00916E49"/>
    <w:rsid w:val="00922D53"/>
    <w:rsid w:val="00926814"/>
    <w:rsid w:val="00927A79"/>
    <w:rsid w:val="00931AC8"/>
    <w:rsid w:val="00935785"/>
    <w:rsid w:val="00935AA6"/>
    <w:rsid w:val="00950BCE"/>
    <w:rsid w:val="00951052"/>
    <w:rsid w:val="0095149E"/>
    <w:rsid w:val="00951A4F"/>
    <w:rsid w:val="00956B04"/>
    <w:rsid w:val="009573E3"/>
    <w:rsid w:val="00961531"/>
    <w:rsid w:val="00961A6E"/>
    <w:rsid w:val="00962ADD"/>
    <w:rsid w:val="009650B4"/>
    <w:rsid w:val="0096566F"/>
    <w:rsid w:val="00973B80"/>
    <w:rsid w:val="009774A9"/>
    <w:rsid w:val="00982CAC"/>
    <w:rsid w:val="00990591"/>
    <w:rsid w:val="00991767"/>
    <w:rsid w:val="0099289C"/>
    <w:rsid w:val="0099408B"/>
    <w:rsid w:val="009943B2"/>
    <w:rsid w:val="009A0715"/>
    <w:rsid w:val="009A14CE"/>
    <w:rsid w:val="009A2D10"/>
    <w:rsid w:val="009B55BC"/>
    <w:rsid w:val="009B693E"/>
    <w:rsid w:val="009B6AA1"/>
    <w:rsid w:val="009B7AA6"/>
    <w:rsid w:val="009C0888"/>
    <w:rsid w:val="009C2E10"/>
    <w:rsid w:val="009C50AF"/>
    <w:rsid w:val="009C7953"/>
    <w:rsid w:val="009D05FF"/>
    <w:rsid w:val="009D736D"/>
    <w:rsid w:val="009D7E82"/>
    <w:rsid w:val="009E01C7"/>
    <w:rsid w:val="009E1363"/>
    <w:rsid w:val="009E4510"/>
    <w:rsid w:val="009E4CBA"/>
    <w:rsid w:val="009E720E"/>
    <w:rsid w:val="009E72BD"/>
    <w:rsid w:val="009E73BC"/>
    <w:rsid w:val="009E7FE4"/>
    <w:rsid w:val="009F031B"/>
    <w:rsid w:val="009F3185"/>
    <w:rsid w:val="009F6586"/>
    <w:rsid w:val="00A03991"/>
    <w:rsid w:val="00A07440"/>
    <w:rsid w:val="00A077EB"/>
    <w:rsid w:val="00A1398D"/>
    <w:rsid w:val="00A16C60"/>
    <w:rsid w:val="00A21DF4"/>
    <w:rsid w:val="00A26A1A"/>
    <w:rsid w:val="00A313C7"/>
    <w:rsid w:val="00A31C2C"/>
    <w:rsid w:val="00A32081"/>
    <w:rsid w:val="00A360E4"/>
    <w:rsid w:val="00A45EF9"/>
    <w:rsid w:val="00A47F40"/>
    <w:rsid w:val="00A54B5E"/>
    <w:rsid w:val="00A55000"/>
    <w:rsid w:val="00A55F5F"/>
    <w:rsid w:val="00A563F1"/>
    <w:rsid w:val="00A6588D"/>
    <w:rsid w:val="00A748A2"/>
    <w:rsid w:val="00A752A9"/>
    <w:rsid w:val="00A75E60"/>
    <w:rsid w:val="00A77AB3"/>
    <w:rsid w:val="00A82D6E"/>
    <w:rsid w:val="00A857E2"/>
    <w:rsid w:val="00A920B1"/>
    <w:rsid w:val="00A95999"/>
    <w:rsid w:val="00AA22AB"/>
    <w:rsid w:val="00AA3609"/>
    <w:rsid w:val="00AA64B9"/>
    <w:rsid w:val="00AB12BD"/>
    <w:rsid w:val="00AC0BB6"/>
    <w:rsid w:val="00AC5F02"/>
    <w:rsid w:val="00AC70A9"/>
    <w:rsid w:val="00AD2C95"/>
    <w:rsid w:val="00AD6DE2"/>
    <w:rsid w:val="00AE0606"/>
    <w:rsid w:val="00AE37AB"/>
    <w:rsid w:val="00AE6504"/>
    <w:rsid w:val="00AF00AE"/>
    <w:rsid w:val="00AF7B8A"/>
    <w:rsid w:val="00B171C7"/>
    <w:rsid w:val="00B20B7F"/>
    <w:rsid w:val="00B21F92"/>
    <w:rsid w:val="00B232FB"/>
    <w:rsid w:val="00B26FDF"/>
    <w:rsid w:val="00B33157"/>
    <w:rsid w:val="00B35474"/>
    <w:rsid w:val="00B372A3"/>
    <w:rsid w:val="00B37C87"/>
    <w:rsid w:val="00B40D9D"/>
    <w:rsid w:val="00B50470"/>
    <w:rsid w:val="00B50F68"/>
    <w:rsid w:val="00B525C5"/>
    <w:rsid w:val="00B53C19"/>
    <w:rsid w:val="00B556BE"/>
    <w:rsid w:val="00B63BE3"/>
    <w:rsid w:val="00B70281"/>
    <w:rsid w:val="00B7212A"/>
    <w:rsid w:val="00B74637"/>
    <w:rsid w:val="00B81FE7"/>
    <w:rsid w:val="00B829F4"/>
    <w:rsid w:val="00B83F3F"/>
    <w:rsid w:val="00B86347"/>
    <w:rsid w:val="00B93717"/>
    <w:rsid w:val="00B9470E"/>
    <w:rsid w:val="00B95E1E"/>
    <w:rsid w:val="00B96908"/>
    <w:rsid w:val="00B96BC5"/>
    <w:rsid w:val="00B96DAF"/>
    <w:rsid w:val="00B970F7"/>
    <w:rsid w:val="00BA26D4"/>
    <w:rsid w:val="00BA3942"/>
    <w:rsid w:val="00BA48D5"/>
    <w:rsid w:val="00BB2561"/>
    <w:rsid w:val="00BB3FB0"/>
    <w:rsid w:val="00BB5027"/>
    <w:rsid w:val="00BC23A5"/>
    <w:rsid w:val="00BC323D"/>
    <w:rsid w:val="00BC4418"/>
    <w:rsid w:val="00BC46C9"/>
    <w:rsid w:val="00BC4F5B"/>
    <w:rsid w:val="00BD0487"/>
    <w:rsid w:val="00BD0939"/>
    <w:rsid w:val="00BD5735"/>
    <w:rsid w:val="00BD6DFC"/>
    <w:rsid w:val="00BD77A3"/>
    <w:rsid w:val="00BE20C3"/>
    <w:rsid w:val="00BE2254"/>
    <w:rsid w:val="00BE7023"/>
    <w:rsid w:val="00BE7C50"/>
    <w:rsid w:val="00BE7DD8"/>
    <w:rsid w:val="00BF112F"/>
    <w:rsid w:val="00BF3CDC"/>
    <w:rsid w:val="00BF4BBD"/>
    <w:rsid w:val="00BF6A8D"/>
    <w:rsid w:val="00C00AC8"/>
    <w:rsid w:val="00C07064"/>
    <w:rsid w:val="00C07351"/>
    <w:rsid w:val="00C20991"/>
    <w:rsid w:val="00C21A2F"/>
    <w:rsid w:val="00C21E8E"/>
    <w:rsid w:val="00C27343"/>
    <w:rsid w:val="00C279AB"/>
    <w:rsid w:val="00C341C9"/>
    <w:rsid w:val="00C41D8A"/>
    <w:rsid w:val="00C42057"/>
    <w:rsid w:val="00C51D5B"/>
    <w:rsid w:val="00C56F9A"/>
    <w:rsid w:val="00C6392B"/>
    <w:rsid w:val="00C66C43"/>
    <w:rsid w:val="00C67740"/>
    <w:rsid w:val="00C67C6F"/>
    <w:rsid w:val="00C755F3"/>
    <w:rsid w:val="00C8371F"/>
    <w:rsid w:val="00C84FD5"/>
    <w:rsid w:val="00C86745"/>
    <w:rsid w:val="00C8725B"/>
    <w:rsid w:val="00C966EC"/>
    <w:rsid w:val="00C96938"/>
    <w:rsid w:val="00C977FD"/>
    <w:rsid w:val="00CA0975"/>
    <w:rsid w:val="00CA2562"/>
    <w:rsid w:val="00CB1160"/>
    <w:rsid w:val="00CB7E95"/>
    <w:rsid w:val="00CC130A"/>
    <w:rsid w:val="00CC67D9"/>
    <w:rsid w:val="00CD1AAF"/>
    <w:rsid w:val="00CD1DE2"/>
    <w:rsid w:val="00CD58A7"/>
    <w:rsid w:val="00CD6F1A"/>
    <w:rsid w:val="00CD714B"/>
    <w:rsid w:val="00CE14A4"/>
    <w:rsid w:val="00CE4C84"/>
    <w:rsid w:val="00CE63D6"/>
    <w:rsid w:val="00CE72C7"/>
    <w:rsid w:val="00CF54B0"/>
    <w:rsid w:val="00D05CA8"/>
    <w:rsid w:val="00D100AC"/>
    <w:rsid w:val="00D11997"/>
    <w:rsid w:val="00D17324"/>
    <w:rsid w:val="00D20266"/>
    <w:rsid w:val="00D24124"/>
    <w:rsid w:val="00D25B17"/>
    <w:rsid w:val="00D35774"/>
    <w:rsid w:val="00D41429"/>
    <w:rsid w:val="00D41A80"/>
    <w:rsid w:val="00D43654"/>
    <w:rsid w:val="00D50696"/>
    <w:rsid w:val="00D560F9"/>
    <w:rsid w:val="00D64F94"/>
    <w:rsid w:val="00D670E7"/>
    <w:rsid w:val="00D67760"/>
    <w:rsid w:val="00D72DA3"/>
    <w:rsid w:val="00D80991"/>
    <w:rsid w:val="00D91B47"/>
    <w:rsid w:val="00D936F7"/>
    <w:rsid w:val="00D9477C"/>
    <w:rsid w:val="00DA2403"/>
    <w:rsid w:val="00DA6B5B"/>
    <w:rsid w:val="00DB313F"/>
    <w:rsid w:val="00DB377E"/>
    <w:rsid w:val="00DB6DD9"/>
    <w:rsid w:val="00DC255B"/>
    <w:rsid w:val="00DC26DD"/>
    <w:rsid w:val="00DC6709"/>
    <w:rsid w:val="00DC7764"/>
    <w:rsid w:val="00DD213C"/>
    <w:rsid w:val="00DD37EB"/>
    <w:rsid w:val="00DD4360"/>
    <w:rsid w:val="00DE6C97"/>
    <w:rsid w:val="00DE745E"/>
    <w:rsid w:val="00DF0ADA"/>
    <w:rsid w:val="00DF11E2"/>
    <w:rsid w:val="00DF61F9"/>
    <w:rsid w:val="00DF6930"/>
    <w:rsid w:val="00DF6FD0"/>
    <w:rsid w:val="00E02582"/>
    <w:rsid w:val="00E079BD"/>
    <w:rsid w:val="00E1157E"/>
    <w:rsid w:val="00E21FCA"/>
    <w:rsid w:val="00E236BA"/>
    <w:rsid w:val="00E24252"/>
    <w:rsid w:val="00E30023"/>
    <w:rsid w:val="00E3015E"/>
    <w:rsid w:val="00E30E13"/>
    <w:rsid w:val="00E32D89"/>
    <w:rsid w:val="00E34770"/>
    <w:rsid w:val="00E442FB"/>
    <w:rsid w:val="00E4583B"/>
    <w:rsid w:val="00E525BC"/>
    <w:rsid w:val="00E52D55"/>
    <w:rsid w:val="00E535BC"/>
    <w:rsid w:val="00E54C49"/>
    <w:rsid w:val="00E55FA5"/>
    <w:rsid w:val="00E64D6A"/>
    <w:rsid w:val="00E66AF1"/>
    <w:rsid w:val="00E7230D"/>
    <w:rsid w:val="00E74C22"/>
    <w:rsid w:val="00E80F2E"/>
    <w:rsid w:val="00E903BB"/>
    <w:rsid w:val="00E91585"/>
    <w:rsid w:val="00E948CB"/>
    <w:rsid w:val="00E962DE"/>
    <w:rsid w:val="00E969BB"/>
    <w:rsid w:val="00EA176A"/>
    <w:rsid w:val="00EA35C9"/>
    <w:rsid w:val="00EA4636"/>
    <w:rsid w:val="00EA50D9"/>
    <w:rsid w:val="00EB13A6"/>
    <w:rsid w:val="00EC0669"/>
    <w:rsid w:val="00EC4BE6"/>
    <w:rsid w:val="00ED2BA0"/>
    <w:rsid w:val="00ED66E9"/>
    <w:rsid w:val="00EE1B0B"/>
    <w:rsid w:val="00EE4157"/>
    <w:rsid w:val="00EE67E7"/>
    <w:rsid w:val="00EF6619"/>
    <w:rsid w:val="00EF6915"/>
    <w:rsid w:val="00F018A4"/>
    <w:rsid w:val="00F05514"/>
    <w:rsid w:val="00F1151A"/>
    <w:rsid w:val="00F148D4"/>
    <w:rsid w:val="00F16A3B"/>
    <w:rsid w:val="00F17C88"/>
    <w:rsid w:val="00F21EA4"/>
    <w:rsid w:val="00F22E9E"/>
    <w:rsid w:val="00F2732B"/>
    <w:rsid w:val="00F30118"/>
    <w:rsid w:val="00F3092A"/>
    <w:rsid w:val="00F330A8"/>
    <w:rsid w:val="00F36DA8"/>
    <w:rsid w:val="00F41C94"/>
    <w:rsid w:val="00F447FE"/>
    <w:rsid w:val="00F50176"/>
    <w:rsid w:val="00F50B88"/>
    <w:rsid w:val="00F5199B"/>
    <w:rsid w:val="00F5453C"/>
    <w:rsid w:val="00F602EA"/>
    <w:rsid w:val="00F60EDB"/>
    <w:rsid w:val="00F60F86"/>
    <w:rsid w:val="00F6484B"/>
    <w:rsid w:val="00F659E7"/>
    <w:rsid w:val="00F65F6D"/>
    <w:rsid w:val="00F660AA"/>
    <w:rsid w:val="00F66269"/>
    <w:rsid w:val="00F731CA"/>
    <w:rsid w:val="00F80652"/>
    <w:rsid w:val="00F80E31"/>
    <w:rsid w:val="00FB047D"/>
    <w:rsid w:val="00FB2CB8"/>
    <w:rsid w:val="00FC0F4C"/>
    <w:rsid w:val="00FC68F8"/>
    <w:rsid w:val="00FC6BE9"/>
    <w:rsid w:val="00FC6D5E"/>
    <w:rsid w:val="00FD00F2"/>
    <w:rsid w:val="00FE158C"/>
    <w:rsid w:val="00FE29EA"/>
    <w:rsid w:val="00FE5852"/>
    <w:rsid w:val="00FE6356"/>
    <w:rsid w:val="00FF0810"/>
    <w:rsid w:val="00FF6424"/>
    <w:rsid w:val="00FF7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B0F89"/>
  <w15:chartTrackingRefBased/>
  <w15:docId w15:val="{2AECBB08-6DD7-4577-B3B7-D63F7A4F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669"/>
    <w:rPr>
      <w:rFonts w:cs="Times New Roman"/>
    </w:rPr>
  </w:style>
  <w:style w:type="paragraph" w:styleId="Heading1">
    <w:name w:val="heading 1"/>
    <w:basedOn w:val="Normal"/>
    <w:next w:val="Normal"/>
    <w:link w:val="Heading1Char"/>
    <w:uiPriority w:val="9"/>
    <w:qFormat/>
    <w:rsid w:val="00C21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1A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669"/>
    <w:rPr>
      <w:rFonts w:cs="Times New Roman"/>
    </w:rPr>
  </w:style>
  <w:style w:type="paragraph" w:styleId="Footer">
    <w:name w:val="footer"/>
    <w:basedOn w:val="Normal"/>
    <w:link w:val="FooterChar"/>
    <w:uiPriority w:val="99"/>
    <w:unhideWhenUsed/>
    <w:rsid w:val="00EC0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669"/>
    <w:rPr>
      <w:rFonts w:cs="Times New Roman"/>
    </w:rPr>
  </w:style>
  <w:style w:type="paragraph" w:styleId="NormalWeb">
    <w:name w:val="Normal (Web)"/>
    <w:basedOn w:val="Normal"/>
    <w:uiPriority w:val="99"/>
    <w:unhideWhenUsed/>
    <w:rsid w:val="00EC0669"/>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EC0669"/>
    <w:rPr>
      <w:color w:val="0563C1" w:themeColor="hyperlink"/>
      <w:u w:val="single"/>
    </w:rPr>
  </w:style>
  <w:style w:type="character" w:styleId="UnresolvedMention">
    <w:name w:val="Unresolved Mention"/>
    <w:basedOn w:val="DefaultParagraphFont"/>
    <w:uiPriority w:val="99"/>
    <w:semiHidden/>
    <w:unhideWhenUsed/>
    <w:rsid w:val="00EC0669"/>
    <w:rPr>
      <w:color w:val="605E5C"/>
      <w:shd w:val="clear" w:color="auto" w:fill="E1DFDD"/>
    </w:rPr>
  </w:style>
  <w:style w:type="paragraph" w:styleId="ListParagraph">
    <w:name w:val="List Paragraph"/>
    <w:basedOn w:val="Normal"/>
    <w:uiPriority w:val="34"/>
    <w:qFormat/>
    <w:rsid w:val="00EC0669"/>
    <w:pPr>
      <w:ind w:left="720"/>
      <w:contextualSpacing/>
    </w:pPr>
  </w:style>
  <w:style w:type="paragraph" w:styleId="BalloonText">
    <w:name w:val="Balloon Text"/>
    <w:basedOn w:val="Normal"/>
    <w:link w:val="BalloonTextChar"/>
    <w:uiPriority w:val="99"/>
    <w:semiHidden/>
    <w:unhideWhenUsed/>
    <w:rsid w:val="00EC0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669"/>
    <w:rPr>
      <w:rFonts w:ascii="Segoe UI" w:hAnsi="Segoe UI" w:cs="Segoe UI"/>
      <w:sz w:val="18"/>
      <w:szCs w:val="18"/>
    </w:rPr>
  </w:style>
  <w:style w:type="paragraph" w:styleId="Bibliography">
    <w:name w:val="Bibliography"/>
    <w:basedOn w:val="Normal"/>
    <w:next w:val="Normal"/>
    <w:uiPriority w:val="37"/>
    <w:unhideWhenUsed/>
    <w:rsid w:val="00EC0669"/>
    <w:pPr>
      <w:spacing w:after="0" w:line="240" w:lineRule="auto"/>
      <w:ind w:left="720" w:hanging="720"/>
    </w:pPr>
  </w:style>
  <w:style w:type="paragraph" w:styleId="Caption">
    <w:name w:val="caption"/>
    <w:basedOn w:val="Normal"/>
    <w:next w:val="Normal"/>
    <w:uiPriority w:val="35"/>
    <w:unhideWhenUsed/>
    <w:qFormat/>
    <w:rsid w:val="00EC0669"/>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C21A2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21A2F"/>
    <w:pPr>
      <w:outlineLvl w:val="9"/>
    </w:pPr>
  </w:style>
  <w:style w:type="character" w:customStyle="1" w:styleId="Heading2Char">
    <w:name w:val="Heading 2 Char"/>
    <w:basedOn w:val="DefaultParagraphFont"/>
    <w:link w:val="Heading2"/>
    <w:uiPriority w:val="9"/>
    <w:rsid w:val="00C21A2F"/>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845AC7"/>
    <w:pPr>
      <w:tabs>
        <w:tab w:val="right" w:leader="dot" w:pos="9350"/>
      </w:tabs>
      <w:spacing w:after="100"/>
    </w:pPr>
    <w:rPr>
      <w:b/>
      <w:noProof/>
    </w:rPr>
  </w:style>
  <w:style w:type="paragraph" w:styleId="TOC2">
    <w:name w:val="toc 2"/>
    <w:basedOn w:val="Normal"/>
    <w:next w:val="Normal"/>
    <w:autoRedefine/>
    <w:uiPriority w:val="39"/>
    <w:unhideWhenUsed/>
    <w:rsid w:val="00C21A2F"/>
    <w:pPr>
      <w:spacing w:after="100"/>
      <w:ind w:left="220"/>
    </w:pPr>
  </w:style>
  <w:style w:type="character" w:styleId="PlaceholderText">
    <w:name w:val="Placeholder Text"/>
    <w:basedOn w:val="DefaultParagraphFont"/>
    <w:uiPriority w:val="99"/>
    <w:semiHidden/>
    <w:rsid w:val="00E66AF1"/>
    <w:rPr>
      <w:color w:val="808080"/>
    </w:rPr>
  </w:style>
  <w:style w:type="character" w:styleId="CommentReference">
    <w:name w:val="annotation reference"/>
    <w:basedOn w:val="DefaultParagraphFont"/>
    <w:uiPriority w:val="99"/>
    <w:semiHidden/>
    <w:unhideWhenUsed/>
    <w:rsid w:val="00D20266"/>
    <w:rPr>
      <w:sz w:val="18"/>
      <w:szCs w:val="18"/>
    </w:rPr>
  </w:style>
  <w:style w:type="paragraph" w:styleId="CommentText">
    <w:name w:val="annotation text"/>
    <w:basedOn w:val="Normal"/>
    <w:link w:val="CommentTextChar"/>
    <w:uiPriority w:val="99"/>
    <w:semiHidden/>
    <w:unhideWhenUsed/>
    <w:rsid w:val="00D20266"/>
    <w:pPr>
      <w:spacing w:line="240" w:lineRule="auto"/>
    </w:pPr>
    <w:rPr>
      <w:sz w:val="24"/>
      <w:szCs w:val="24"/>
    </w:rPr>
  </w:style>
  <w:style w:type="character" w:customStyle="1" w:styleId="CommentTextChar">
    <w:name w:val="Comment Text Char"/>
    <w:basedOn w:val="DefaultParagraphFont"/>
    <w:link w:val="CommentText"/>
    <w:uiPriority w:val="99"/>
    <w:semiHidden/>
    <w:rsid w:val="00D2026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75191">
      <w:bodyDiv w:val="1"/>
      <w:marLeft w:val="0"/>
      <w:marRight w:val="0"/>
      <w:marTop w:val="0"/>
      <w:marBottom w:val="0"/>
      <w:divBdr>
        <w:top w:val="none" w:sz="0" w:space="0" w:color="auto"/>
        <w:left w:val="none" w:sz="0" w:space="0" w:color="auto"/>
        <w:bottom w:val="none" w:sz="0" w:space="0" w:color="auto"/>
        <w:right w:val="none" w:sz="0" w:space="0" w:color="auto"/>
      </w:divBdr>
    </w:div>
    <w:div w:id="121045051">
      <w:bodyDiv w:val="1"/>
      <w:marLeft w:val="0"/>
      <w:marRight w:val="0"/>
      <w:marTop w:val="0"/>
      <w:marBottom w:val="0"/>
      <w:divBdr>
        <w:top w:val="none" w:sz="0" w:space="0" w:color="auto"/>
        <w:left w:val="none" w:sz="0" w:space="0" w:color="auto"/>
        <w:bottom w:val="none" w:sz="0" w:space="0" w:color="auto"/>
        <w:right w:val="none" w:sz="0" w:space="0" w:color="auto"/>
      </w:divBdr>
    </w:div>
    <w:div w:id="199514681">
      <w:bodyDiv w:val="1"/>
      <w:marLeft w:val="0"/>
      <w:marRight w:val="0"/>
      <w:marTop w:val="0"/>
      <w:marBottom w:val="0"/>
      <w:divBdr>
        <w:top w:val="none" w:sz="0" w:space="0" w:color="auto"/>
        <w:left w:val="none" w:sz="0" w:space="0" w:color="auto"/>
        <w:bottom w:val="none" w:sz="0" w:space="0" w:color="auto"/>
        <w:right w:val="none" w:sz="0" w:space="0" w:color="auto"/>
      </w:divBdr>
    </w:div>
    <w:div w:id="226116479">
      <w:bodyDiv w:val="1"/>
      <w:marLeft w:val="0"/>
      <w:marRight w:val="0"/>
      <w:marTop w:val="0"/>
      <w:marBottom w:val="0"/>
      <w:divBdr>
        <w:top w:val="none" w:sz="0" w:space="0" w:color="auto"/>
        <w:left w:val="none" w:sz="0" w:space="0" w:color="auto"/>
        <w:bottom w:val="none" w:sz="0" w:space="0" w:color="auto"/>
        <w:right w:val="none" w:sz="0" w:space="0" w:color="auto"/>
      </w:divBdr>
    </w:div>
    <w:div w:id="313339835">
      <w:bodyDiv w:val="1"/>
      <w:marLeft w:val="0"/>
      <w:marRight w:val="0"/>
      <w:marTop w:val="0"/>
      <w:marBottom w:val="0"/>
      <w:divBdr>
        <w:top w:val="none" w:sz="0" w:space="0" w:color="auto"/>
        <w:left w:val="none" w:sz="0" w:space="0" w:color="auto"/>
        <w:bottom w:val="none" w:sz="0" w:space="0" w:color="auto"/>
        <w:right w:val="none" w:sz="0" w:space="0" w:color="auto"/>
      </w:divBdr>
    </w:div>
    <w:div w:id="382406789">
      <w:bodyDiv w:val="1"/>
      <w:marLeft w:val="0"/>
      <w:marRight w:val="0"/>
      <w:marTop w:val="0"/>
      <w:marBottom w:val="0"/>
      <w:divBdr>
        <w:top w:val="none" w:sz="0" w:space="0" w:color="auto"/>
        <w:left w:val="none" w:sz="0" w:space="0" w:color="auto"/>
        <w:bottom w:val="none" w:sz="0" w:space="0" w:color="auto"/>
        <w:right w:val="none" w:sz="0" w:space="0" w:color="auto"/>
      </w:divBdr>
    </w:div>
    <w:div w:id="493760340">
      <w:bodyDiv w:val="1"/>
      <w:marLeft w:val="0"/>
      <w:marRight w:val="0"/>
      <w:marTop w:val="0"/>
      <w:marBottom w:val="0"/>
      <w:divBdr>
        <w:top w:val="none" w:sz="0" w:space="0" w:color="auto"/>
        <w:left w:val="none" w:sz="0" w:space="0" w:color="auto"/>
        <w:bottom w:val="none" w:sz="0" w:space="0" w:color="auto"/>
        <w:right w:val="none" w:sz="0" w:space="0" w:color="auto"/>
      </w:divBdr>
    </w:div>
    <w:div w:id="587931068">
      <w:bodyDiv w:val="1"/>
      <w:marLeft w:val="0"/>
      <w:marRight w:val="0"/>
      <w:marTop w:val="0"/>
      <w:marBottom w:val="0"/>
      <w:divBdr>
        <w:top w:val="none" w:sz="0" w:space="0" w:color="auto"/>
        <w:left w:val="none" w:sz="0" w:space="0" w:color="auto"/>
        <w:bottom w:val="none" w:sz="0" w:space="0" w:color="auto"/>
        <w:right w:val="none" w:sz="0" w:space="0" w:color="auto"/>
      </w:divBdr>
    </w:div>
    <w:div w:id="640352650">
      <w:bodyDiv w:val="1"/>
      <w:marLeft w:val="0"/>
      <w:marRight w:val="0"/>
      <w:marTop w:val="0"/>
      <w:marBottom w:val="0"/>
      <w:divBdr>
        <w:top w:val="none" w:sz="0" w:space="0" w:color="auto"/>
        <w:left w:val="none" w:sz="0" w:space="0" w:color="auto"/>
        <w:bottom w:val="none" w:sz="0" w:space="0" w:color="auto"/>
        <w:right w:val="none" w:sz="0" w:space="0" w:color="auto"/>
      </w:divBdr>
    </w:div>
    <w:div w:id="677586553">
      <w:bodyDiv w:val="1"/>
      <w:marLeft w:val="0"/>
      <w:marRight w:val="0"/>
      <w:marTop w:val="0"/>
      <w:marBottom w:val="0"/>
      <w:divBdr>
        <w:top w:val="none" w:sz="0" w:space="0" w:color="auto"/>
        <w:left w:val="none" w:sz="0" w:space="0" w:color="auto"/>
        <w:bottom w:val="none" w:sz="0" w:space="0" w:color="auto"/>
        <w:right w:val="none" w:sz="0" w:space="0" w:color="auto"/>
      </w:divBdr>
    </w:div>
    <w:div w:id="734815064">
      <w:bodyDiv w:val="1"/>
      <w:marLeft w:val="0"/>
      <w:marRight w:val="0"/>
      <w:marTop w:val="0"/>
      <w:marBottom w:val="0"/>
      <w:divBdr>
        <w:top w:val="none" w:sz="0" w:space="0" w:color="auto"/>
        <w:left w:val="none" w:sz="0" w:space="0" w:color="auto"/>
        <w:bottom w:val="none" w:sz="0" w:space="0" w:color="auto"/>
        <w:right w:val="none" w:sz="0" w:space="0" w:color="auto"/>
      </w:divBdr>
    </w:div>
    <w:div w:id="757335310">
      <w:bodyDiv w:val="1"/>
      <w:marLeft w:val="0"/>
      <w:marRight w:val="0"/>
      <w:marTop w:val="0"/>
      <w:marBottom w:val="0"/>
      <w:divBdr>
        <w:top w:val="none" w:sz="0" w:space="0" w:color="auto"/>
        <w:left w:val="none" w:sz="0" w:space="0" w:color="auto"/>
        <w:bottom w:val="none" w:sz="0" w:space="0" w:color="auto"/>
        <w:right w:val="none" w:sz="0" w:space="0" w:color="auto"/>
      </w:divBdr>
    </w:div>
    <w:div w:id="934947631">
      <w:bodyDiv w:val="1"/>
      <w:marLeft w:val="0"/>
      <w:marRight w:val="0"/>
      <w:marTop w:val="0"/>
      <w:marBottom w:val="0"/>
      <w:divBdr>
        <w:top w:val="none" w:sz="0" w:space="0" w:color="auto"/>
        <w:left w:val="none" w:sz="0" w:space="0" w:color="auto"/>
        <w:bottom w:val="none" w:sz="0" w:space="0" w:color="auto"/>
        <w:right w:val="none" w:sz="0" w:space="0" w:color="auto"/>
      </w:divBdr>
    </w:div>
    <w:div w:id="1023559695">
      <w:bodyDiv w:val="1"/>
      <w:marLeft w:val="0"/>
      <w:marRight w:val="0"/>
      <w:marTop w:val="0"/>
      <w:marBottom w:val="0"/>
      <w:divBdr>
        <w:top w:val="none" w:sz="0" w:space="0" w:color="auto"/>
        <w:left w:val="none" w:sz="0" w:space="0" w:color="auto"/>
        <w:bottom w:val="none" w:sz="0" w:space="0" w:color="auto"/>
        <w:right w:val="none" w:sz="0" w:space="0" w:color="auto"/>
      </w:divBdr>
    </w:div>
    <w:div w:id="1087505503">
      <w:bodyDiv w:val="1"/>
      <w:marLeft w:val="0"/>
      <w:marRight w:val="0"/>
      <w:marTop w:val="0"/>
      <w:marBottom w:val="0"/>
      <w:divBdr>
        <w:top w:val="none" w:sz="0" w:space="0" w:color="auto"/>
        <w:left w:val="none" w:sz="0" w:space="0" w:color="auto"/>
        <w:bottom w:val="none" w:sz="0" w:space="0" w:color="auto"/>
        <w:right w:val="none" w:sz="0" w:space="0" w:color="auto"/>
      </w:divBdr>
    </w:div>
    <w:div w:id="1232546342">
      <w:bodyDiv w:val="1"/>
      <w:marLeft w:val="0"/>
      <w:marRight w:val="0"/>
      <w:marTop w:val="0"/>
      <w:marBottom w:val="0"/>
      <w:divBdr>
        <w:top w:val="none" w:sz="0" w:space="0" w:color="auto"/>
        <w:left w:val="none" w:sz="0" w:space="0" w:color="auto"/>
        <w:bottom w:val="none" w:sz="0" w:space="0" w:color="auto"/>
        <w:right w:val="none" w:sz="0" w:space="0" w:color="auto"/>
      </w:divBdr>
    </w:div>
    <w:div w:id="1313021542">
      <w:bodyDiv w:val="1"/>
      <w:marLeft w:val="0"/>
      <w:marRight w:val="0"/>
      <w:marTop w:val="0"/>
      <w:marBottom w:val="0"/>
      <w:divBdr>
        <w:top w:val="none" w:sz="0" w:space="0" w:color="auto"/>
        <w:left w:val="none" w:sz="0" w:space="0" w:color="auto"/>
        <w:bottom w:val="none" w:sz="0" w:space="0" w:color="auto"/>
        <w:right w:val="none" w:sz="0" w:space="0" w:color="auto"/>
      </w:divBdr>
    </w:div>
    <w:div w:id="1441221369">
      <w:bodyDiv w:val="1"/>
      <w:marLeft w:val="0"/>
      <w:marRight w:val="0"/>
      <w:marTop w:val="0"/>
      <w:marBottom w:val="0"/>
      <w:divBdr>
        <w:top w:val="none" w:sz="0" w:space="0" w:color="auto"/>
        <w:left w:val="none" w:sz="0" w:space="0" w:color="auto"/>
        <w:bottom w:val="none" w:sz="0" w:space="0" w:color="auto"/>
        <w:right w:val="none" w:sz="0" w:space="0" w:color="auto"/>
      </w:divBdr>
    </w:div>
    <w:div w:id="1484815174">
      <w:bodyDiv w:val="1"/>
      <w:marLeft w:val="0"/>
      <w:marRight w:val="0"/>
      <w:marTop w:val="0"/>
      <w:marBottom w:val="0"/>
      <w:divBdr>
        <w:top w:val="none" w:sz="0" w:space="0" w:color="auto"/>
        <w:left w:val="none" w:sz="0" w:space="0" w:color="auto"/>
        <w:bottom w:val="none" w:sz="0" w:space="0" w:color="auto"/>
        <w:right w:val="none" w:sz="0" w:space="0" w:color="auto"/>
      </w:divBdr>
    </w:div>
    <w:div w:id="1529417424">
      <w:bodyDiv w:val="1"/>
      <w:marLeft w:val="0"/>
      <w:marRight w:val="0"/>
      <w:marTop w:val="0"/>
      <w:marBottom w:val="0"/>
      <w:divBdr>
        <w:top w:val="none" w:sz="0" w:space="0" w:color="auto"/>
        <w:left w:val="none" w:sz="0" w:space="0" w:color="auto"/>
        <w:bottom w:val="none" w:sz="0" w:space="0" w:color="auto"/>
        <w:right w:val="none" w:sz="0" w:space="0" w:color="auto"/>
      </w:divBdr>
    </w:div>
    <w:div w:id="1580556338">
      <w:bodyDiv w:val="1"/>
      <w:marLeft w:val="0"/>
      <w:marRight w:val="0"/>
      <w:marTop w:val="0"/>
      <w:marBottom w:val="0"/>
      <w:divBdr>
        <w:top w:val="none" w:sz="0" w:space="0" w:color="auto"/>
        <w:left w:val="none" w:sz="0" w:space="0" w:color="auto"/>
        <w:bottom w:val="none" w:sz="0" w:space="0" w:color="auto"/>
        <w:right w:val="none" w:sz="0" w:space="0" w:color="auto"/>
      </w:divBdr>
    </w:div>
    <w:div w:id="1595435372">
      <w:bodyDiv w:val="1"/>
      <w:marLeft w:val="0"/>
      <w:marRight w:val="0"/>
      <w:marTop w:val="0"/>
      <w:marBottom w:val="0"/>
      <w:divBdr>
        <w:top w:val="none" w:sz="0" w:space="0" w:color="auto"/>
        <w:left w:val="none" w:sz="0" w:space="0" w:color="auto"/>
        <w:bottom w:val="none" w:sz="0" w:space="0" w:color="auto"/>
        <w:right w:val="none" w:sz="0" w:space="0" w:color="auto"/>
      </w:divBdr>
    </w:div>
    <w:div w:id="1676881849">
      <w:bodyDiv w:val="1"/>
      <w:marLeft w:val="0"/>
      <w:marRight w:val="0"/>
      <w:marTop w:val="0"/>
      <w:marBottom w:val="0"/>
      <w:divBdr>
        <w:top w:val="none" w:sz="0" w:space="0" w:color="auto"/>
        <w:left w:val="none" w:sz="0" w:space="0" w:color="auto"/>
        <w:bottom w:val="none" w:sz="0" w:space="0" w:color="auto"/>
        <w:right w:val="none" w:sz="0" w:space="0" w:color="auto"/>
      </w:divBdr>
    </w:div>
    <w:div w:id="1773090987">
      <w:bodyDiv w:val="1"/>
      <w:marLeft w:val="0"/>
      <w:marRight w:val="0"/>
      <w:marTop w:val="0"/>
      <w:marBottom w:val="0"/>
      <w:divBdr>
        <w:top w:val="none" w:sz="0" w:space="0" w:color="auto"/>
        <w:left w:val="none" w:sz="0" w:space="0" w:color="auto"/>
        <w:bottom w:val="none" w:sz="0" w:space="0" w:color="auto"/>
        <w:right w:val="none" w:sz="0" w:space="0" w:color="auto"/>
      </w:divBdr>
    </w:div>
    <w:div w:id="1804032015">
      <w:bodyDiv w:val="1"/>
      <w:marLeft w:val="0"/>
      <w:marRight w:val="0"/>
      <w:marTop w:val="0"/>
      <w:marBottom w:val="0"/>
      <w:divBdr>
        <w:top w:val="none" w:sz="0" w:space="0" w:color="auto"/>
        <w:left w:val="none" w:sz="0" w:space="0" w:color="auto"/>
        <w:bottom w:val="none" w:sz="0" w:space="0" w:color="auto"/>
        <w:right w:val="none" w:sz="0" w:space="0" w:color="auto"/>
      </w:divBdr>
    </w:div>
    <w:div w:id="1837305673">
      <w:bodyDiv w:val="1"/>
      <w:marLeft w:val="0"/>
      <w:marRight w:val="0"/>
      <w:marTop w:val="0"/>
      <w:marBottom w:val="0"/>
      <w:divBdr>
        <w:top w:val="none" w:sz="0" w:space="0" w:color="auto"/>
        <w:left w:val="none" w:sz="0" w:space="0" w:color="auto"/>
        <w:bottom w:val="none" w:sz="0" w:space="0" w:color="auto"/>
        <w:right w:val="none" w:sz="0" w:space="0" w:color="auto"/>
      </w:divBdr>
    </w:div>
    <w:div w:id="1962374740">
      <w:bodyDiv w:val="1"/>
      <w:marLeft w:val="0"/>
      <w:marRight w:val="0"/>
      <w:marTop w:val="0"/>
      <w:marBottom w:val="0"/>
      <w:divBdr>
        <w:top w:val="none" w:sz="0" w:space="0" w:color="auto"/>
        <w:left w:val="none" w:sz="0" w:space="0" w:color="auto"/>
        <w:bottom w:val="none" w:sz="0" w:space="0" w:color="auto"/>
        <w:right w:val="none" w:sz="0" w:space="0" w:color="auto"/>
      </w:divBdr>
    </w:div>
    <w:div w:id="2056808277">
      <w:bodyDiv w:val="1"/>
      <w:marLeft w:val="0"/>
      <w:marRight w:val="0"/>
      <w:marTop w:val="0"/>
      <w:marBottom w:val="0"/>
      <w:divBdr>
        <w:top w:val="none" w:sz="0" w:space="0" w:color="auto"/>
        <w:left w:val="none" w:sz="0" w:space="0" w:color="auto"/>
        <w:bottom w:val="none" w:sz="0" w:space="0" w:color="auto"/>
        <w:right w:val="none" w:sz="0" w:space="0" w:color="auto"/>
      </w:divBdr>
    </w:div>
    <w:div w:id="21116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aplogrep.uibk.ac.at/" TargetMode="External"/><Relationship Id="rId20" Type="http://schemas.openxmlformats.org/officeDocument/2006/relationships/image" Target="media/image6.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agr.org.a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6.xml"/><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sri.com/software/arcgis"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oleObject" Target="embeddings/oleObject1.bin"/><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165B9-8BF1-4F57-9748-866829D5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8217</TotalTime>
  <Pages>67</Pages>
  <Words>63105</Words>
  <Characters>359705</Characters>
  <Application>Microsoft Office Word</Application>
  <DocSecurity>0</DocSecurity>
  <Lines>2997</Lines>
  <Paragraphs>843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Sterling L.</dc:creator>
  <cp:keywords/>
  <dc:description/>
  <cp:lastModifiedBy>Wright, Sterling L.</cp:lastModifiedBy>
  <cp:revision>114</cp:revision>
  <cp:lastPrinted>2019-05-10T17:09:00Z</cp:lastPrinted>
  <dcterms:created xsi:type="dcterms:W3CDTF">2019-05-01T18:27:00Z</dcterms:created>
  <dcterms:modified xsi:type="dcterms:W3CDTF">2019-05-10T23:17:00Z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id="52MkZaC6"/&gt;&lt;style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