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586982" w:rsidRDefault="00586982" w:rsidP="0008176F">
          <w:pPr>
            <w:pStyle w:val="NoSpacing"/>
            <w:spacing w:line="480" w:lineRule="auto"/>
            <w:jc w:val="center"/>
            <w:rPr>
              <w:caps/>
            </w:rPr>
          </w:pPr>
          <w:r>
            <w:rPr>
              <w:caps/>
            </w:rPr>
            <w:t>which of these is not like the other?</w:t>
          </w:r>
        </w:p>
        <w:p w:rsidR="00586982" w:rsidRDefault="00586982" w:rsidP="0008176F">
          <w:pPr>
            <w:pStyle w:val="NoSpacing"/>
            <w:spacing w:line="480" w:lineRule="auto"/>
            <w:jc w:val="center"/>
            <w:rPr>
              <w:caps/>
            </w:rPr>
          </w:pPr>
          <w:r>
            <w:rPr>
              <w:caps/>
            </w:rPr>
            <w:t xml:space="preserve">The role of segment Reporting differentiation </w:t>
          </w:r>
        </w:p>
        <w:p w:rsidR="0008176F" w:rsidRPr="0008176F" w:rsidRDefault="00586982" w:rsidP="0008176F">
          <w:pPr>
            <w:pStyle w:val="NoSpacing"/>
            <w:spacing w:line="480" w:lineRule="auto"/>
            <w:jc w:val="center"/>
            <w:rPr>
              <w:caps/>
            </w:rPr>
          </w:pPr>
          <w:r>
            <w:rPr>
              <w:caps/>
            </w:rPr>
            <w:t>in determining Firm value</w:t>
          </w:r>
        </w:p>
      </w:sdtContent>
    </w:sdt>
    <w:p w:rsidR="0008176F" w:rsidRPr="0008176F" w:rsidRDefault="0008176F" w:rsidP="00586982">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4604A2"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077D6">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F077D6"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586982" w:rsidP="00746E16">
          <w:pPr>
            <w:pStyle w:val="NoSpacing"/>
            <w:jc w:val="center"/>
            <w:rPr>
              <w:caps/>
            </w:rPr>
          </w:pPr>
          <w:r>
            <w:rPr>
              <w:caps/>
            </w:rPr>
            <w:t>matthew Alan cobabe</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586982" w:rsidP="00730F0A">
          <w:pPr>
            <w:pStyle w:val="NoSpacing"/>
            <w:jc w:val="center"/>
          </w:pPr>
          <w:r>
            <w:t>2015</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D56A44" w:rsidRDefault="00D56A44" w:rsidP="00730F0A">
          <w:pPr>
            <w:pStyle w:val="NoSpacing"/>
            <w:jc w:val="center"/>
            <w:rPr>
              <w:caps/>
            </w:rPr>
          </w:pPr>
          <w:r>
            <w:rPr>
              <w:caps/>
            </w:rPr>
            <w:t>wHICH OF tHESE IS nOT lIKE THE oTHER?</w:t>
          </w:r>
        </w:p>
        <w:p w:rsidR="00D56A44" w:rsidRDefault="00D56A44" w:rsidP="00730F0A">
          <w:pPr>
            <w:pStyle w:val="NoSpacing"/>
            <w:jc w:val="center"/>
            <w:rPr>
              <w:caps/>
            </w:rPr>
          </w:pPr>
          <w:r>
            <w:rPr>
              <w:caps/>
            </w:rPr>
            <w:t>tHE ROLE OF sEGMENT rEPORTING dIFFERENTIATION</w:t>
          </w:r>
        </w:p>
        <w:p w:rsidR="00730F0A" w:rsidRPr="00730F0A" w:rsidRDefault="00D56A44" w:rsidP="00730F0A">
          <w:pPr>
            <w:pStyle w:val="NoSpacing"/>
            <w:jc w:val="center"/>
            <w:rPr>
              <w:caps/>
            </w:rPr>
          </w:pPr>
          <w:r>
            <w:rPr>
              <w:caps/>
            </w:rPr>
            <w:t>IN dETERMINING fIRM vALUE</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4604A2"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F077D6">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F077D6" w:rsidP="00746E16">
          <w:pPr>
            <w:pStyle w:val="NoSpacing"/>
            <w:jc w:val="center"/>
            <w:rPr>
              <w:caps/>
            </w:rPr>
          </w:pPr>
          <w:r>
            <w:rPr>
              <w:caps/>
            </w:rPr>
            <w:t>Michael F. Price College of Business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D56A44" w:rsidRDefault="00D56A44" w:rsidP="00730F0A">
      <w:pPr>
        <w:pStyle w:val="NoSpacing"/>
        <w:jc w:val="center"/>
      </w:pPr>
    </w:p>
    <w:p w:rsidR="00D56A44" w:rsidRDefault="00D56A44" w:rsidP="00730F0A">
      <w:pPr>
        <w:pStyle w:val="NoSpacing"/>
        <w:jc w:val="center"/>
      </w:pPr>
    </w:p>
    <w:p w:rsidR="00D56A44" w:rsidRDefault="00D56A44"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4604A2"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D56A44">
            <w:t xml:space="preserve">Wayne </w:t>
          </w:r>
          <w:r w:rsidR="00197E38">
            <w:t xml:space="preserve">B. </w:t>
          </w:r>
          <w:r w:rsidR="00D56A44">
            <w:t>Thomas</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4604A2"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F077D6">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D56A44">
            <w:t>Frances L. Ayres</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4604A2"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F077D6">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D56A44">
            <w:t>Terry L. Crain</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4604A2"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F077D6">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proofErr w:type="spellStart"/>
          <w:r w:rsidR="00D56A44">
            <w:t>Hamed</w:t>
          </w:r>
          <w:proofErr w:type="spellEnd"/>
          <w:r w:rsidR="00D56A44">
            <w:t xml:space="preserve"> </w:t>
          </w:r>
          <w:proofErr w:type="spellStart"/>
          <w:r w:rsidR="00D56A44">
            <w:t>Mahmudi</w:t>
          </w:r>
          <w:proofErr w:type="spellEnd"/>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4604A2"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F077D6">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proofErr w:type="spellStart"/>
          <w:r w:rsidR="00D56A44">
            <w:t>Kevan</w:t>
          </w:r>
          <w:proofErr w:type="spellEnd"/>
          <w:r w:rsidR="00D56A44">
            <w:t xml:space="preserve"> </w:t>
          </w:r>
          <w:r w:rsidR="00197E38">
            <w:t xml:space="preserve">L. </w:t>
          </w:r>
          <w:r w:rsidR="00D56A44">
            <w:t>Jensen</w:t>
          </w:r>
        </w:sdtContent>
      </w:sdt>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4604A2"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D56A44">
            <w:rPr>
              <w:caps/>
            </w:rPr>
            <w:t>matthew Alan Cobabe</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D56A44">
            <w:t>2015</w:t>
          </w:r>
        </w:sdtContent>
      </w:sdt>
    </w:p>
    <w:p w:rsidR="00730F0A" w:rsidRDefault="00730F0A" w:rsidP="00730F0A">
      <w:pPr>
        <w:pStyle w:val="NoSpacing"/>
        <w:jc w:val="center"/>
      </w:pPr>
      <w:r>
        <w:t>All Rights Reserved.</w:t>
      </w:r>
    </w:p>
    <w:p w:rsidR="00D56A44" w:rsidRDefault="006F10CE" w:rsidP="008E1C26">
      <w:r>
        <w:br w:type="page"/>
      </w:r>
    </w:p>
    <w:p w:rsidR="00D56A44" w:rsidRPr="0091534A" w:rsidRDefault="00D56A44" w:rsidP="009D62D9">
      <w:pPr>
        <w:jc w:val="center"/>
        <w:rPr>
          <w:sz w:val="28"/>
          <w:szCs w:val="28"/>
        </w:rPr>
      </w:pPr>
      <w:r w:rsidRPr="0091534A">
        <w:rPr>
          <w:sz w:val="28"/>
          <w:szCs w:val="28"/>
        </w:rPr>
        <w:lastRenderedPageBreak/>
        <w:t>Dedication</w:t>
      </w:r>
    </w:p>
    <w:p w:rsidR="007F7CED" w:rsidRDefault="007F7CED" w:rsidP="007F7CED">
      <w:proofErr w:type="gramStart"/>
      <w:r>
        <w:t>To my wife, Kate Lynn Cobabe, with whom none of this would be possible.</w:t>
      </w:r>
      <w:proofErr w:type="gramEnd"/>
    </w:p>
    <w:p w:rsidR="008E1C26" w:rsidRDefault="00D56A44" w:rsidP="007F7CED">
      <w:pPr>
        <w:spacing w:line="240" w:lineRule="auto"/>
      </w:pPr>
      <w:r>
        <w:t>To my par</w:t>
      </w:r>
      <w:r w:rsidR="00197E38">
        <w:t>ents, Richard and Christine Cobabe, for their love, support, and starting my life</w:t>
      </w:r>
      <w:r w:rsidR="007F7CED">
        <w:t xml:space="preserve"> long</w:t>
      </w:r>
      <w:r w:rsidR="00197E38">
        <w:t xml:space="preserve"> journey of learning.</w:t>
      </w:r>
    </w:p>
    <w:p w:rsidR="00197E38" w:rsidRDefault="00197E38" w:rsidP="008E1C26"/>
    <w:p w:rsidR="00197E38" w:rsidRDefault="00197E38" w:rsidP="008E1C26">
      <w:pPr>
        <w:sectPr w:rsidR="00197E38" w:rsidSect="003A060D">
          <w:pgSz w:w="12240" w:h="15840" w:code="1"/>
          <w:pgMar w:top="1440" w:right="1440" w:bottom="1440" w:left="2304" w:header="720" w:footer="720" w:gutter="0"/>
          <w:cols w:space="720"/>
          <w:docGrid w:linePitch="360"/>
        </w:sectPr>
      </w:pPr>
    </w:p>
    <w:p w:rsidR="008E1C26" w:rsidRDefault="00775701" w:rsidP="00C16C66">
      <w:pPr>
        <w:pStyle w:val="Heading1"/>
      </w:pPr>
      <w:bookmarkStart w:id="0" w:name="_Toc310579464"/>
      <w:bookmarkStart w:id="1" w:name="_Toc414633023"/>
      <w:r>
        <w:lastRenderedPageBreak/>
        <w:t>Acknowledgements</w:t>
      </w:r>
      <w:bookmarkEnd w:id="0"/>
      <w:bookmarkEnd w:id="1"/>
    </w:p>
    <w:p w:rsidR="00D12C1D" w:rsidRDefault="0080093A" w:rsidP="00D12C1D">
      <w:pPr>
        <w:ind w:firstLine="720"/>
      </w:pPr>
      <w:r>
        <w:t xml:space="preserve">I would like to thank my dissertation committee, Frances Ayres, Terry Crain, </w:t>
      </w:r>
      <w:proofErr w:type="spellStart"/>
      <w:r>
        <w:t>Kevan</w:t>
      </w:r>
      <w:proofErr w:type="spellEnd"/>
      <w:r>
        <w:t xml:space="preserve"> Jensen, and </w:t>
      </w:r>
      <w:proofErr w:type="spellStart"/>
      <w:r>
        <w:t>Hamed</w:t>
      </w:r>
      <w:proofErr w:type="spellEnd"/>
      <w:r>
        <w:t xml:space="preserve"> </w:t>
      </w:r>
      <w:proofErr w:type="spellStart"/>
      <w:r>
        <w:t>Mahmudi</w:t>
      </w:r>
      <w:proofErr w:type="spellEnd"/>
      <w:r>
        <w:t>, fo</w:t>
      </w:r>
      <w:r w:rsidR="00D12C1D">
        <w:t xml:space="preserve">r their guidance and </w:t>
      </w:r>
      <w:r w:rsidR="00102FF7">
        <w:t>feedback.  Their suggest</w:t>
      </w:r>
      <w:r w:rsidR="009B2E8B">
        <w:t>ion</w:t>
      </w:r>
      <w:r w:rsidR="00102FF7">
        <w:t>s were invaluable in completing my dissertation.</w:t>
      </w:r>
    </w:p>
    <w:p w:rsidR="00D12C1D" w:rsidRDefault="0080093A" w:rsidP="00D12C1D">
      <w:pPr>
        <w:ind w:firstLine="720"/>
      </w:pPr>
      <w:r>
        <w:t xml:space="preserve">I </w:t>
      </w:r>
      <w:r w:rsidR="00D12C1D">
        <w:t>cannot expr</w:t>
      </w:r>
      <w:r w:rsidR="00102FF7">
        <w:t xml:space="preserve">ess </w:t>
      </w:r>
      <w:r w:rsidR="0019684E">
        <w:t xml:space="preserve">enough </w:t>
      </w:r>
      <w:r w:rsidR="00D12C1D">
        <w:t xml:space="preserve">appreciation </w:t>
      </w:r>
      <w:r w:rsidR="0019684E">
        <w:t xml:space="preserve">to </w:t>
      </w:r>
      <w:r>
        <w:t>Wayn</w:t>
      </w:r>
      <w:r w:rsidR="00D12C1D">
        <w:t>e Thomas, my dissertation chair;</w:t>
      </w:r>
      <w:r>
        <w:t xml:space="preserve"> for mentoring me through</w:t>
      </w:r>
      <w:r w:rsidR="00D12C1D">
        <w:t>out the Ph.D. program and providing</w:t>
      </w:r>
      <w:r>
        <w:t xml:space="preserve"> motivation when needed most.</w:t>
      </w:r>
    </w:p>
    <w:p w:rsidR="0080093A" w:rsidRDefault="0080093A" w:rsidP="00D12C1D">
      <w:pPr>
        <w:ind w:firstLine="720"/>
      </w:pPr>
      <w:r>
        <w:t xml:space="preserve">I also want to thank Bob </w:t>
      </w:r>
      <w:proofErr w:type="spellStart"/>
      <w:r>
        <w:t>Lipe</w:t>
      </w:r>
      <w:proofErr w:type="spellEnd"/>
      <w:r>
        <w:t xml:space="preserve"> for his </w:t>
      </w:r>
      <w:r w:rsidR="00D12C1D">
        <w:t>part in shaping my views on</w:t>
      </w:r>
      <w:r w:rsidR="00DC7B1C">
        <w:t xml:space="preserve"> accounting</w:t>
      </w:r>
      <w:r w:rsidR="00D12C1D">
        <w:t xml:space="preserve"> research and </w:t>
      </w:r>
      <w:r w:rsidR="00DC7B1C">
        <w:t>academia, becoming an integral part of who I have become as an academic</w:t>
      </w:r>
      <w:r w:rsidR="001743B9">
        <w:t xml:space="preserve"> today</w:t>
      </w:r>
      <w:r w:rsidR="00DC7B1C">
        <w:t>.</w:t>
      </w:r>
    </w:p>
    <w:p w:rsidR="00DC7B1C" w:rsidRDefault="00DC7B1C" w:rsidP="00D12C1D">
      <w:pPr>
        <w:ind w:firstLine="720"/>
      </w:pPr>
      <w:r>
        <w:t>I would also like to thank the John T. Steed School of Accounting</w:t>
      </w:r>
      <w:r w:rsidR="00E91B7A">
        <w:t xml:space="preserve"> and members of the Finance and Economics departments</w:t>
      </w:r>
      <w:r>
        <w:t xml:space="preserve"> </w:t>
      </w:r>
      <w:r w:rsidR="00E91B7A">
        <w:t xml:space="preserve">at the University of Oklahoma </w:t>
      </w:r>
      <w:r>
        <w:t>for their support throughout my time</w:t>
      </w:r>
      <w:r w:rsidR="00102FF7">
        <w:t xml:space="preserve"> in Norman</w:t>
      </w:r>
      <w:r>
        <w:t xml:space="preserve">.  </w:t>
      </w:r>
      <w:r w:rsidR="008E2CC7">
        <w:t xml:space="preserve">Without the sense of </w:t>
      </w:r>
      <w:r>
        <w:t xml:space="preserve">family and community </w:t>
      </w:r>
      <w:r w:rsidR="008E2CC7">
        <w:t xml:space="preserve">fostered </w:t>
      </w:r>
      <w:r w:rsidR="001C245F">
        <w:t xml:space="preserve">I </w:t>
      </w:r>
      <w:r w:rsidR="008E2CC7">
        <w:t xml:space="preserve">could </w:t>
      </w:r>
      <w:r>
        <w:t>not have been successful.</w:t>
      </w:r>
    </w:p>
    <w:p w:rsidR="00102FF7" w:rsidRDefault="00102FF7" w:rsidP="00D12C1D">
      <w:pPr>
        <w:ind w:firstLine="720"/>
      </w:pPr>
      <w:r>
        <w:t xml:space="preserve">Finally, I want to express my gratitude to Douglas </w:t>
      </w:r>
      <w:proofErr w:type="spellStart"/>
      <w:r>
        <w:t>Prawitt</w:t>
      </w:r>
      <w:proofErr w:type="spellEnd"/>
      <w:r>
        <w:t xml:space="preserve"> and Ted Christensen at </w:t>
      </w:r>
      <w:r w:rsidR="001743B9">
        <w:t>Brigham Young University for creating</w:t>
      </w:r>
      <w:r>
        <w:t xml:space="preserve"> my interest in </w:t>
      </w:r>
      <w:r w:rsidR="001743B9">
        <w:t>accounting research and helping me pursue my goal of becoming a professor of accounting.</w:t>
      </w:r>
    </w:p>
    <w:p w:rsidR="00775701" w:rsidRDefault="00775701" w:rsidP="00C16C66">
      <w:pPr>
        <w:pStyle w:val="Title"/>
      </w:pPr>
      <w:r>
        <w:br w:type="page"/>
      </w:r>
      <w:r>
        <w:lastRenderedPageBreak/>
        <w:t xml:space="preserve">Table of </w:t>
      </w:r>
      <w:r w:rsidRPr="00775701">
        <w:t>Contents</w:t>
      </w:r>
    </w:p>
    <w:p w:rsidR="00515AF7"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14633023" w:history="1">
        <w:r w:rsidR="00515AF7" w:rsidRPr="005867E1">
          <w:rPr>
            <w:rStyle w:val="Hyperlink"/>
            <w:noProof/>
          </w:rPr>
          <w:t>Acknowledgements</w:t>
        </w:r>
        <w:r w:rsidR="00515AF7">
          <w:rPr>
            <w:noProof/>
            <w:webHidden/>
          </w:rPr>
          <w:tab/>
        </w:r>
        <w:r w:rsidR="00515AF7">
          <w:rPr>
            <w:noProof/>
            <w:webHidden/>
          </w:rPr>
          <w:fldChar w:fldCharType="begin"/>
        </w:r>
        <w:r w:rsidR="00515AF7">
          <w:rPr>
            <w:noProof/>
            <w:webHidden/>
          </w:rPr>
          <w:instrText xml:space="preserve"> PAGEREF _Toc414633023 \h </w:instrText>
        </w:r>
        <w:r w:rsidR="00515AF7">
          <w:rPr>
            <w:noProof/>
            <w:webHidden/>
          </w:rPr>
        </w:r>
        <w:r w:rsidR="00515AF7">
          <w:rPr>
            <w:noProof/>
            <w:webHidden/>
          </w:rPr>
          <w:fldChar w:fldCharType="separate"/>
        </w:r>
        <w:r w:rsidR="00CB38DB">
          <w:rPr>
            <w:noProof/>
            <w:webHidden/>
          </w:rPr>
          <w:t>iv</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24" w:history="1">
        <w:r w:rsidR="00515AF7" w:rsidRPr="005867E1">
          <w:rPr>
            <w:rStyle w:val="Hyperlink"/>
            <w:noProof/>
          </w:rPr>
          <w:t>List of Tables</w:t>
        </w:r>
        <w:r w:rsidR="00515AF7">
          <w:rPr>
            <w:noProof/>
            <w:webHidden/>
          </w:rPr>
          <w:tab/>
        </w:r>
        <w:r w:rsidR="00515AF7">
          <w:rPr>
            <w:noProof/>
            <w:webHidden/>
          </w:rPr>
          <w:fldChar w:fldCharType="begin"/>
        </w:r>
        <w:r w:rsidR="00515AF7">
          <w:rPr>
            <w:noProof/>
            <w:webHidden/>
          </w:rPr>
          <w:instrText xml:space="preserve"> PAGEREF _Toc414633024 \h </w:instrText>
        </w:r>
        <w:r w:rsidR="00515AF7">
          <w:rPr>
            <w:noProof/>
            <w:webHidden/>
          </w:rPr>
        </w:r>
        <w:r w:rsidR="00515AF7">
          <w:rPr>
            <w:noProof/>
            <w:webHidden/>
          </w:rPr>
          <w:fldChar w:fldCharType="separate"/>
        </w:r>
        <w:r w:rsidR="00CB38DB">
          <w:rPr>
            <w:noProof/>
            <w:webHidden/>
          </w:rPr>
          <w:t>vii</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25" w:history="1">
        <w:r w:rsidR="00515AF7" w:rsidRPr="005867E1">
          <w:rPr>
            <w:rStyle w:val="Hyperlink"/>
            <w:noProof/>
          </w:rPr>
          <w:t>List of Figures</w:t>
        </w:r>
        <w:r w:rsidR="00515AF7">
          <w:rPr>
            <w:noProof/>
            <w:webHidden/>
          </w:rPr>
          <w:tab/>
        </w:r>
        <w:r w:rsidR="00515AF7">
          <w:rPr>
            <w:noProof/>
            <w:webHidden/>
          </w:rPr>
          <w:fldChar w:fldCharType="begin"/>
        </w:r>
        <w:r w:rsidR="00515AF7">
          <w:rPr>
            <w:noProof/>
            <w:webHidden/>
          </w:rPr>
          <w:instrText xml:space="preserve"> PAGEREF _Toc414633025 \h </w:instrText>
        </w:r>
        <w:r w:rsidR="00515AF7">
          <w:rPr>
            <w:noProof/>
            <w:webHidden/>
          </w:rPr>
        </w:r>
        <w:r w:rsidR="00515AF7">
          <w:rPr>
            <w:noProof/>
            <w:webHidden/>
          </w:rPr>
          <w:fldChar w:fldCharType="separate"/>
        </w:r>
        <w:r w:rsidR="00CB38DB">
          <w:rPr>
            <w:noProof/>
            <w:webHidden/>
          </w:rPr>
          <w:t>viii</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26" w:history="1">
        <w:r w:rsidR="00515AF7" w:rsidRPr="005867E1">
          <w:rPr>
            <w:rStyle w:val="Hyperlink"/>
            <w:noProof/>
          </w:rPr>
          <w:t>Chapter 1: Introduction</w:t>
        </w:r>
        <w:r w:rsidR="00515AF7">
          <w:rPr>
            <w:noProof/>
            <w:webHidden/>
          </w:rPr>
          <w:tab/>
        </w:r>
        <w:r w:rsidR="00515AF7">
          <w:rPr>
            <w:noProof/>
            <w:webHidden/>
          </w:rPr>
          <w:fldChar w:fldCharType="begin"/>
        </w:r>
        <w:r w:rsidR="00515AF7">
          <w:rPr>
            <w:noProof/>
            <w:webHidden/>
          </w:rPr>
          <w:instrText xml:space="preserve"> PAGEREF _Toc414633026 \h </w:instrText>
        </w:r>
        <w:r w:rsidR="00515AF7">
          <w:rPr>
            <w:noProof/>
            <w:webHidden/>
          </w:rPr>
        </w:r>
        <w:r w:rsidR="00515AF7">
          <w:rPr>
            <w:noProof/>
            <w:webHidden/>
          </w:rPr>
          <w:fldChar w:fldCharType="separate"/>
        </w:r>
        <w:r w:rsidR="00CB38DB">
          <w:rPr>
            <w:noProof/>
            <w:webHidden/>
          </w:rPr>
          <w:t>1</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27" w:history="1">
        <w:r w:rsidR="00515AF7" w:rsidRPr="005867E1">
          <w:rPr>
            <w:rStyle w:val="Hyperlink"/>
            <w:noProof/>
          </w:rPr>
          <w:t>Chapter 2: Literature and Hypotheses Development</w:t>
        </w:r>
        <w:r w:rsidR="00515AF7">
          <w:rPr>
            <w:noProof/>
            <w:webHidden/>
          </w:rPr>
          <w:tab/>
        </w:r>
        <w:r w:rsidR="00515AF7">
          <w:rPr>
            <w:noProof/>
            <w:webHidden/>
          </w:rPr>
          <w:fldChar w:fldCharType="begin"/>
        </w:r>
        <w:r w:rsidR="00515AF7">
          <w:rPr>
            <w:noProof/>
            <w:webHidden/>
          </w:rPr>
          <w:instrText xml:space="preserve"> PAGEREF _Toc414633027 \h </w:instrText>
        </w:r>
        <w:r w:rsidR="00515AF7">
          <w:rPr>
            <w:noProof/>
            <w:webHidden/>
          </w:rPr>
        </w:r>
        <w:r w:rsidR="00515AF7">
          <w:rPr>
            <w:noProof/>
            <w:webHidden/>
          </w:rPr>
          <w:fldChar w:fldCharType="separate"/>
        </w:r>
        <w:r w:rsidR="00CB38DB">
          <w:rPr>
            <w:noProof/>
            <w:webHidden/>
          </w:rPr>
          <w:t>6</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28" w:history="1">
        <w:r w:rsidR="00515AF7" w:rsidRPr="005867E1">
          <w:rPr>
            <w:rStyle w:val="Hyperlink"/>
            <w:noProof/>
          </w:rPr>
          <w:t>Finance Research and Focal Firm Excess Value</w:t>
        </w:r>
        <w:r w:rsidR="00515AF7">
          <w:rPr>
            <w:noProof/>
            <w:webHidden/>
          </w:rPr>
          <w:tab/>
        </w:r>
        <w:r w:rsidR="00515AF7">
          <w:rPr>
            <w:noProof/>
            <w:webHidden/>
          </w:rPr>
          <w:fldChar w:fldCharType="begin"/>
        </w:r>
        <w:r w:rsidR="00515AF7">
          <w:rPr>
            <w:noProof/>
            <w:webHidden/>
          </w:rPr>
          <w:instrText xml:space="preserve"> PAGEREF _Toc414633028 \h </w:instrText>
        </w:r>
        <w:r w:rsidR="00515AF7">
          <w:rPr>
            <w:noProof/>
            <w:webHidden/>
          </w:rPr>
        </w:r>
        <w:r w:rsidR="00515AF7">
          <w:rPr>
            <w:noProof/>
            <w:webHidden/>
          </w:rPr>
          <w:fldChar w:fldCharType="separate"/>
        </w:r>
        <w:r w:rsidR="00CB38DB">
          <w:rPr>
            <w:noProof/>
            <w:webHidden/>
          </w:rPr>
          <w:t>6</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29" w:history="1">
        <w:r w:rsidR="00515AF7" w:rsidRPr="005867E1">
          <w:rPr>
            <w:rStyle w:val="Hyperlink"/>
            <w:noProof/>
          </w:rPr>
          <w:t>Focal Firm Segment Differentiation and Excess Value</w:t>
        </w:r>
        <w:r w:rsidR="00515AF7">
          <w:rPr>
            <w:noProof/>
            <w:webHidden/>
          </w:rPr>
          <w:tab/>
        </w:r>
        <w:r w:rsidR="00515AF7">
          <w:rPr>
            <w:noProof/>
            <w:webHidden/>
          </w:rPr>
          <w:fldChar w:fldCharType="begin"/>
        </w:r>
        <w:r w:rsidR="00515AF7">
          <w:rPr>
            <w:noProof/>
            <w:webHidden/>
          </w:rPr>
          <w:instrText xml:space="preserve"> PAGEREF _Toc414633029 \h </w:instrText>
        </w:r>
        <w:r w:rsidR="00515AF7">
          <w:rPr>
            <w:noProof/>
            <w:webHidden/>
          </w:rPr>
        </w:r>
        <w:r w:rsidR="00515AF7">
          <w:rPr>
            <w:noProof/>
            <w:webHidden/>
          </w:rPr>
          <w:fldChar w:fldCharType="separate"/>
        </w:r>
        <w:r w:rsidR="00CB38DB">
          <w:rPr>
            <w:noProof/>
            <w:webHidden/>
          </w:rPr>
          <w:t>7</w:t>
        </w:r>
        <w:r w:rsidR="00515AF7">
          <w:rPr>
            <w:noProof/>
            <w:webHidden/>
          </w:rPr>
          <w:fldChar w:fldCharType="end"/>
        </w:r>
      </w:hyperlink>
    </w:p>
    <w:p w:rsidR="00515AF7" w:rsidRDefault="004604A2">
      <w:pPr>
        <w:pStyle w:val="TOC3"/>
        <w:tabs>
          <w:tab w:val="right" w:leader="dot" w:pos="8486"/>
        </w:tabs>
        <w:rPr>
          <w:rFonts w:eastAsiaTheme="minorEastAsia" w:cstheme="minorBidi"/>
          <w:noProof/>
          <w:sz w:val="22"/>
          <w:szCs w:val="22"/>
          <w:lang w:bidi="ar-SA"/>
        </w:rPr>
      </w:pPr>
      <w:hyperlink w:anchor="_Toc414633030" w:history="1">
        <w:r w:rsidR="00515AF7" w:rsidRPr="005867E1">
          <w:rPr>
            <w:rStyle w:val="Hyperlink"/>
            <w:noProof/>
          </w:rPr>
          <w:t>Focal Firm Segment Reporting and Firm Value</w:t>
        </w:r>
        <w:r w:rsidR="00515AF7">
          <w:rPr>
            <w:noProof/>
            <w:webHidden/>
          </w:rPr>
          <w:tab/>
        </w:r>
        <w:r w:rsidR="00515AF7">
          <w:rPr>
            <w:noProof/>
            <w:webHidden/>
          </w:rPr>
          <w:fldChar w:fldCharType="begin"/>
        </w:r>
        <w:r w:rsidR="00515AF7">
          <w:rPr>
            <w:noProof/>
            <w:webHidden/>
          </w:rPr>
          <w:instrText xml:space="preserve"> PAGEREF _Toc414633030 \h </w:instrText>
        </w:r>
        <w:r w:rsidR="00515AF7">
          <w:rPr>
            <w:noProof/>
            <w:webHidden/>
          </w:rPr>
        </w:r>
        <w:r w:rsidR="00515AF7">
          <w:rPr>
            <w:noProof/>
            <w:webHidden/>
          </w:rPr>
          <w:fldChar w:fldCharType="separate"/>
        </w:r>
        <w:r w:rsidR="00CB38DB">
          <w:rPr>
            <w:noProof/>
            <w:webHidden/>
          </w:rPr>
          <w:t>7</w:t>
        </w:r>
        <w:r w:rsidR="00515AF7">
          <w:rPr>
            <w:noProof/>
            <w:webHidden/>
          </w:rPr>
          <w:fldChar w:fldCharType="end"/>
        </w:r>
      </w:hyperlink>
    </w:p>
    <w:p w:rsidR="00515AF7" w:rsidRDefault="004604A2">
      <w:pPr>
        <w:pStyle w:val="TOC3"/>
        <w:tabs>
          <w:tab w:val="right" w:leader="dot" w:pos="8486"/>
        </w:tabs>
        <w:rPr>
          <w:rFonts w:eastAsiaTheme="minorEastAsia" w:cstheme="minorBidi"/>
          <w:noProof/>
          <w:sz w:val="22"/>
          <w:szCs w:val="22"/>
          <w:lang w:bidi="ar-SA"/>
        </w:rPr>
      </w:pPr>
      <w:hyperlink w:anchor="_Toc414633031" w:history="1">
        <w:r w:rsidR="00515AF7" w:rsidRPr="005867E1">
          <w:rPr>
            <w:rStyle w:val="Hyperlink"/>
            <w:noProof/>
          </w:rPr>
          <w:t>Focal Firm Segment Differentiation and Excess Value</w:t>
        </w:r>
        <w:r w:rsidR="00515AF7">
          <w:rPr>
            <w:noProof/>
            <w:webHidden/>
          </w:rPr>
          <w:tab/>
        </w:r>
        <w:r w:rsidR="00515AF7">
          <w:rPr>
            <w:noProof/>
            <w:webHidden/>
          </w:rPr>
          <w:fldChar w:fldCharType="begin"/>
        </w:r>
        <w:r w:rsidR="00515AF7">
          <w:rPr>
            <w:noProof/>
            <w:webHidden/>
          </w:rPr>
          <w:instrText xml:space="preserve"> PAGEREF _Toc414633031 \h </w:instrText>
        </w:r>
        <w:r w:rsidR="00515AF7">
          <w:rPr>
            <w:noProof/>
            <w:webHidden/>
          </w:rPr>
        </w:r>
        <w:r w:rsidR="00515AF7">
          <w:rPr>
            <w:noProof/>
            <w:webHidden/>
          </w:rPr>
          <w:fldChar w:fldCharType="separate"/>
        </w:r>
        <w:r w:rsidR="00CB38DB">
          <w:rPr>
            <w:noProof/>
            <w:webHidden/>
          </w:rPr>
          <w:t>8</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32" w:history="1">
        <w:r w:rsidR="00515AF7" w:rsidRPr="005867E1">
          <w:rPr>
            <w:rStyle w:val="Hyperlink"/>
            <w:noProof/>
          </w:rPr>
          <w:t>Peer Firm Segment Differentiation and Excess Value</w:t>
        </w:r>
        <w:r w:rsidR="00515AF7">
          <w:rPr>
            <w:noProof/>
            <w:webHidden/>
          </w:rPr>
          <w:tab/>
        </w:r>
        <w:r w:rsidR="00515AF7">
          <w:rPr>
            <w:noProof/>
            <w:webHidden/>
          </w:rPr>
          <w:fldChar w:fldCharType="begin"/>
        </w:r>
        <w:r w:rsidR="00515AF7">
          <w:rPr>
            <w:noProof/>
            <w:webHidden/>
          </w:rPr>
          <w:instrText xml:space="preserve"> PAGEREF _Toc414633032 \h </w:instrText>
        </w:r>
        <w:r w:rsidR="00515AF7">
          <w:rPr>
            <w:noProof/>
            <w:webHidden/>
          </w:rPr>
        </w:r>
        <w:r w:rsidR="00515AF7">
          <w:rPr>
            <w:noProof/>
            <w:webHidden/>
          </w:rPr>
          <w:fldChar w:fldCharType="separate"/>
        </w:r>
        <w:r w:rsidR="00CB38DB">
          <w:rPr>
            <w:noProof/>
            <w:webHidden/>
          </w:rPr>
          <w:t>9</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33" w:history="1">
        <w:r w:rsidR="00515AF7" w:rsidRPr="005867E1">
          <w:rPr>
            <w:rStyle w:val="Hyperlink"/>
            <w:noProof/>
          </w:rPr>
          <w:t>Increases in Mandatory Disclosure and Externalities</w:t>
        </w:r>
        <w:r w:rsidR="00515AF7">
          <w:rPr>
            <w:noProof/>
            <w:webHidden/>
          </w:rPr>
          <w:tab/>
        </w:r>
        <w:r w:rsidR="00515AF7">
          <w:rPr>
            <w:noProof/>
            <w:webHidden/>
          </w:rPr>
          <w:fldChar w:fldCharType="begin"/>
        </w:r>
        <w:r w:rsidR="00515AF7">
          <w:rPr>
            <w:noProof/>
            <w:webHidden/>
          </w:rPr>
          <w:instrText xml:space="preserve"> PAGEREF _Toc414633033 \h </w:instrText>
        </w:r>
        <w:r w:rsidR="00515AF7">
          <w:rPr>
            <w:noProof/>
            <w:webHidden/>
          </w:rPr>
        </w:r>
        <w:r w:rsidR="00515AF7">
          <w:rPr>
            <w:noProof/>
            <w:webHidden/>
          </w:rPr>
          <w:fldChar w:fldCharType="separate"/>
        </w:r>
        <w:r w:rsidR="00CB38DB">
          <w:rPr>
            <w:noProof/>
            <w:webHidden/>
          </w:rPr>
          <w:t>11</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34" w:history="1">
        <w:r w:rsidR="00515AF7" w:rsidRPr="005867E1">
          <w:rPr>
            <w:rStyle w:val="Hyperlink"/>
            <w:noProof/>
          </w:rPr>
          <w:t>Chapter 3: Data and Research Design</w:t>
        </w:r>
        <w:r w:rsidR="00515AF7">
          <w:rPr>
            <w:noProof/>
            <w:webHidden/>
          </w:rPr>
          <w:tab/>
        </w:r>
        <w:r w:rsidR="00515AF7">
          <w:rPr>
            <w:noProof/>
            <w:webHidden/>
          </w:rPr>
          <w:fldChar w:fldCharType="begin"/>
        </w:r>
        <w:r w:rsidR="00515AF7">
          <w:rPr>
            <w:noProof/>
            <w:webHidden/>
          </w:rPr>
          <w:instrText xml:space="preserve"> PAGEREF _Toc414633034 \h </w:instrText>
        </w:r>
        <w:r w:rsidR="00515AF7">
          <w:rPr>
            <w:noProof/>
            <w:webHidden/>
          </w:rPr>
        </w:r>
        <w:r w:rsidR="00515AF7">
          <w:rPr>
            <w:noProof/>
            <w:webHidden/>
          </w:rPr>
          <w:fldChar w:fldCharType="separate"/>
        </w:r>
        <w:r w:rsidR="00CB38DB">
          <w:rPr>
            <w:noProof/>
            <w:webHidden/>
          </w:rPr>
          <w:t>14</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35" w:history="1">
        <w:r w:rsidR="00515AF7" w:rsidRPr="005867E1">
          <w:rPr>
            <w:rStyle w:val="Hyperlink"/>
            <w:noProof/>
          </w:rPr>
          <w:t>Data and Sample Selection</w:t>
        </w:r>
        <w:r w:rsidR="00515AF7">
          <w:rPr>
            <w:noProof/>
            <w:webHidden/>
          </w:rPr>
          <w:tab/>
        </w:r>
        <w:r w:rsidR="00515AF7">
          <w:rPr>
            <w:noProof/>
            <w:webHidden/>
          </w:rPr>
          <w:fldChar w:fldCharType="begin"/>
        </w:r>
        <w:r w:rsidR="00515AF7">
          <w:rPr>
            <w:noProof/>
            <w:webHidden/>
          </w:rPr>
          <w:instrText xml:space="preserve"> PAGEREF _Toc414633035 \h </w:instrText>
        </w:r>
        <w:r w:rsidR="00515AF7">
          <w:rPr>
            <w:noProof/>
            <w:webHidden/>
          </w:rPr>
        </w:r>
        <w:r w:rsidR="00515AF7">
          <w:rPr>
            <w:noProof/>
            <w:webHidden/>
          </w:rPr>
          <w:fldChar w:fldCharType="separate"/>
        </w:r>
        <w:r w:rsidR="00CB38DB">
          <w:rPr>
            <w:noProof/>
            <w:webHidden/>
          </w:rPr>
          <w:t>14</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36" w:history="1">
        <w:r w:rsidR="00515AF7" w:rsidRPr="005867E1">
          <w:rPr>
            <w:rStyle w:val="Hyperlink"/>
            <w:noProof/>
          </w:rPr>
          <w:t>Measure of Segment Differentiation</w:t>
        </w:r>
        <w:r w:rsidR="00515AF7">
          <w:rPr>
            <w:noProof/>
            <w:webHidden/>
          </w:rPr>
          <w:tab/>
        </w:r>
        <w:r w:rsidR="00515AF7">
          <w:rPr>
            <w:noProof/>
            <w:webHidden/>
          </w:rPr>
          <w:fldChar w:fldCharType="begin"/>
        </w:r>
        <w:r w:rsidR="00515AF7">
          <w:rPr>
            <w:noProof/>
            <w:webHidden/>
          </w:rPr>
          <w:instrText xml:space="preserve"> PAGEREF _Toc414633036 \h </w:instrText>
        </w:r>
        <w:r w:rsidR="00515AF7">
          <w:rPr>
            <w:noProof/>
            <w:webHidden/>
          </w:rPr>
        </w:r>
        <w:r w:rsidR="00515AF7">
          <w:rPr>
            <w:noProof/>
            <w:webHidden/>
          </w:rPr>
          <w:fldChar w:fldCharType="separate"/>
        </w:r>
        <w:r w:rsidR="00CB38DB">
          <w:rPr>
            <w:noProof/>
            <w:webHidden/>
          </w:rPr>
          <w:t>15</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37" w:history="1">
        <w:r w:rsidR="00515AF7" w:rsidRPr="005867E1">
          <w:rPr>
            <w:rStyle w:val="Hyperlink"/>
            <w:noProof/>
          </w:rPr>
          <w:t>Measure of Excess Value of Diversification</w:t>
        </w:r>
        <w:r w:rsidR="00515AF7">
          <w:rPr>
            <w:noProof/>
            <w:webHidden/>
          </w:rPr>
          <w:tab/>
        </w:r>
        <w:r w:rsidR="00515AF7">
          <w:rPr>
            <w:noProof/>
            <w:webHidden/>
          </w:rPr>
          <w:fldChar w:fldCharType="begin"/>
        </w:r>
        <w:r w:rsidR="00515AF7">
          <w:rPr>
            <w:noProof/>
            <w:webHidden/>
          </w:rPr>
          <w:instrText xml:space="preserve"> PAGEREF _Toc414633037 \h </w:instrText>
        </w:r>
        <w:r w:rsidR="00515AF7">
          <w:rPr>
            <w:noProof/>
            <w:webHidden/>
          </w:rPr>
        </w:r>
        <w:r w:rsidR="00515AF7">
          <w:rPr>
            <w:noProof/>
            <w:webHidden/>
          </w:rPr>
          <w:fldChar w:fldCharType="separate"/>
        </w:r>
        <w:r w:rsidR="00CB38DB">
          <w:rPr>
            <w:noProof/>
            <w:webHidden/>
          </w:rPr>
          <w:t>18</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38" w:history="1">
        <w:r w:rsidR="00515AF7" w:rsidRPr="005867E1">
          <w:rPr>
            <w:rStyle w:val="Hyperlink"/>
            <w:noProof/>
          </w:rPr>
          <w:t>Tests of Segment Reporting Differentiation and Excess Value</w:t>
        </w:r>
        <w:r w:rsidR="00515AF7">
          <w:rPr>
            <w:noProof/>
            <w:webHidden/>
          </w:rPr>
          <w:tab/>
        </w:r>
        <w:r w:rsidR="00515AF7">
          <w:rPr>
            <w:noProof/>
            <w:webHidden/>
          </w:rPr>
          <w:fldChar w:fldCharType="begin"/>
        </w:r>
        <w:r w:rsidR="00515AF7">
          <w:rPr>
            <w:noProof/>
            <w:webHidden/>
          </w:rPr>
          <w:instrText xml:space="preserve"> PAGEREF _Toc414633038 \h </w:instrText>
        </w:r>
        <w:r w:rsidR="00515AF7">
          <w:rPr>
            <w:noProof/>
            <w:webHidden/>
          </w:rPr>
        </w:r>
        <w:r w:rsidR="00515AF7">
          <w:rPr>
            <w:noProof/>
            <w:webHidden/>
          </w:rPr>
          <w:fldChar w:fldCharType="separate"/>
        </w:r>
        <w:r w:rsidR="00CB38DB">
          <w:rPr>
            <w:noProof/>
            <w:webHidden/>
          </w:rPr>
          <w:t>21</w:t>
        </w:r>
        <w:r w:rsidR="00515AF7">
          <w:rPr>
            <w:noProof/>
            <w:webHidden/>
          </w:rPr>
          <w:fldChar w:fldCharType="end"/>
        </w:r>
      </w:hyperlink>
    </w:p>
    <w:p w:rsidR="00515AF7" w:rsidRDefault="004604A2">
      <w:pPr>
        <w:pStyle w:val="TOC3"/>
        <w:tabs>
          <w:tab w:val="right" w:leader="dot" w:pos="8486"/>
        </w:tabs>
        <w:rPr>
          <w:rFonts w:eastAsiaTheme="minorEastAsia" w:cstheme="minorBidi"/>
          <w:noProof/>
          <w:sz w:val="22"/>
          <w:szCs w:val="22"/>
          <w:lang w:bidi="ar-SA"/>
        </w:rPr>
      </w:pPr>
      <w:hyperlink w:anchor="_Toc414633039" w:history="1">
        <w:r w:rsidR="00515AF7" w:rsidRPr="005867E1">
          <w:rPr>
            <w:rStyle w:val="Hyperlink"/>
            <w:noProof/>
          </w:rPr>
          <w:t>Segment Reporting Differentiation and Excess Value</w:t>
        </w:r>
        <w:r w:rsidR="00515AF7">
          <w:rPr>
            <w:noProof/>
            <w:webHidden/>
          </w:rPr>
          <w:tab/>
        </w:r>
        <w:r w:rsidR="00515AF7">
          <w:rPr>
            <w:noProof/>
            <w:webHidden/>
          </w:rPr>
          <w:fldChar w:fldCharType="begin"/>
        </w:r>
        <w:r w:rsidR="00515AF7">
          <w:rPr>
            <w:noProof/>
            <w:webHidden/>
          </w:rPr>
          <w:instrText xml:space="preserve"> PAGEREF _Toc414633039 \h </w:instrText>
        </w:r>
        <w:r w:rsidR="00515AF7">
          <w:rPr>
            <w:noProof/>
            <w:webHidden/>
          </w:rPr>
        </w:r>
        <w:r w:rsidR="00515AF7">
          <w:rPr>
            <w:noProof/>
            <w:webHidden/>
          </w:rPr>
          <w:fldChar w:fldCharType="separate"/>
        </w:r>
        <w:r w:rsidR="00CB38DB">
          <w:rPr>
            <w:noProof/>
            <w:webHidden/>
          </w:rPr>
          <w:t>21</w:t>
        </w:r>
        <w:r w:rsidR="00515AF7">
          <w:rPr>
            <w:noProof/>
            <w:webHidden/>
          </w:rPr>
          <w:fldChar w:fldCharType="end"/>
        </w:r>
      </w:hyperlink>
    </w:p>
    <w:p w:rsidR="00515AF7" w:rsidRDefault="004604A2">
      <w:pPr>
        <w:pStyle w:val="TOC3"/>
        <w:tabs>
          <w:tab w:val="right" w:leader="dot" w:pos="8486"/>
        </w:tabs>
        <w:rPr>
          <w:rFonts w:eastAsiaTheme="minorEastAsia" w:cstheme="minorBidi"/>
          <w:noProof/>
          <w:sz w:val="22"/>
          <w:szCs w:val="22"/>
          <w:lang w:bidi="ar-SA"/>
        </w:rPr>
      </w:pPr>
      <w:hyperlink w:anchor="_Toc414633040" w:history="1">
        <w:r w:rsidR="00515AF7" w:rsidRPr="005867E1">
          <w:rPr>
            <w:rStyle w:val="Hyperlink"/>
            <w:noProof/>
          </w:rPr>
          <w:t>Changes in Mandatory Disclosure and Excess Value</w:t>
        </w:r>
        <w:r w:rsidR="00515AF7">
          <w:rPr>
            <w:noProof/>
            <w:webHidden/>
          </w:rPr>
          <w:tab/>
        </w:r>
        <w:r w:rsidR="00515AF7">
          <w:rPr>
            <w:noProof/>
            <w:webHidden/>
          </w:rPr>
          <w:fldChar w:fldCharType="begin"/>
        </w:r>
        <w:r w:rsidR="00515AF7">
          <w:rPr>
            <w:noProof/>
            <w:webHidden/>
          </w:rPr>
          <w:instrText xml:space="preserve"> PAGEREF _Toc414633040 \h </w:instrText>
        </w:r>
        <w:r w:rsidR="00515AF7">
          <w:rPr>
            <w:noProof/>
            <w:webHidden/>
          </w:rPr>
        </w:r>
        <w:r w:rsidR="00515AF7">
          <w:rPr>
            <w:noProof/>
            <w:webHidden/>
          </w:rPr>
          <w:fldChar w:fldCharType="separate"/>
        </w:r>
        <w:r w:rsidR="00CB38DB">
          <w:rPr>
            <w:noProof/>
            <w:webHidden/>
          </w:rPr>
          <w:t>23</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41" w:history="1">
        <w:r w:rsidR="00515AF7" w:rsidRPr="005867E1">
          <w:rPr>
            <w:rStyle w:val="Hyperlink"/>
            <w:noProof/>
          </w:rPr>
          <w:t>Chapter 4: Descriptive Statistics and Results</w:t>
        </w:r>
        <w:r w:rsidR="00515AF7">
          <w:rPr>
            <w:noProof/>
            <w:webHidden/>
          </w:rPr>
          <w:tab/>
        </w:r>
        <w:r w:rsidR="00515AF7">
          <w:rPr>
            <w:noProof/>
            <w:webHidden/>
          </w:rPr>
          <w:fldChar w:fldCharType="begin"/>
        </w:r>
        <w:r w:rsidR="00515AF7">
          <w:rPr>
            <w:noProof/>
            <w:webHidden/>
          </w:rPr>
          <w:instrText xml:space="preserve"> PAGEREF _Toc414633041 \h </w:instrText>
        </w:r>
        <w:r w:rsidR="00515AF7">
          <w:rPr>
            <w:noProof/>
            <w:webHidden/>
          </w:rPr>
        </w:r>
        <w:r w:rsidR="00515AF7">
          <w:rPr>
            <w:noProof/>
            <w:webHidden/>
          </w:rPr>
          <w:fldChar w:fldCharType="separate"/>
        </w:r>
        <w:r w:rsidR="00CB38DB">
          <w:rPr>
            <w:noProof/>
            <w:webHidden/>
          </w:rPr>
          <w:t>24</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42" w:history="1">
        <w:r w:rsidR="00515AF7" w:rsidRPr="005867E1">
          <w:rPr>
            <w:rStyle w:val="Hyperlink"/>
            <w:noProof/>
          </w:rPr>
          <w:t>Descriptive Statistics</w:t>
        </w:r>
        <w:r w:rsidR="00515AF7">
          <w:rPr>
            <w:noProof/>
            <w:webHidden/>
          </w:rPr>
          <w:tab/>
        </w:r>
        <w:r w:rsidR="00515AF7">
          <w:rPr>
            <w:noProof/>
            <w:webHidden/>
          </w:rPr>
          <w:fldChar w:fldCharType="begin"/>
        </w:r>
        <w:r w:rsidR="00515AF7">
          <w:rPr>
            <w:noProof/>
            <w:webHidden/>
          </w:rPr>
          <w:instrText xml:space="preserve"> PAGEREF _Toc414633042 \h </w:instrText>
        </w:r>
        <w:r w:rsidR="00515AF7">
          <w:rPr>
            <w:noProof/>
            <w:webHidden/>
          </w:rPr>
        </w:r>
        <w:r w:rsidR="00515AF7">
          <w:rPr>
            <w:noProof/>
            <w:webHidden/>
          </w:rPr>
          <w:fldChar w:fldCharType="separate"/>
        </w:r>
        <w:r w:rsidR="00CB38DB">
          <w:rPr>
            <w:noProof/>
            <w:webHidden/>
          </w:rPr>
          <w:t>24</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43" w:history="1">
        <w:r w:rsidR="00515AF7" w:rsidRPr="005867E1">
          <w:rPr>
            <w:rStyle w:val="Hyperlink"/>
            <w:noProof/>
          </w:rPr>
          <w:t>Multivariate Analyses of Excess Value and Segment Reporting Differentiation</w:t>
        </w:r>
        <w:r w:rsidR="00515AF7">
          <w:rPr>
            <w:noProof/>
            <w:webHidden/>
          </w:rPr>
          <w:tab/>
        </w:r>
        <w:r w:rsidR="00515AF7">
          <w:rPr>
            <w:noProof/>
            <w:webHidden/>
          </w:rPr>
          <w:fldChar w:fldCharType="begin"/>
        </w:r>
        <w:r w:rsidR="00515AF7">
          <w:rPr>
            <w:noProof/>
            <w:webHidden/>
          </w:rPr>
          <w:instrText xml:space="preserve"> PAGEREF _Toc414633043 \h </w:instrText>
        </w:r>
        <w:r w:rsidR="00515AF7">
          <w:rPr>
            <w:noProof/>
            <w:webHidden/>
          </w:rPr>
        </w:r>
        <w:r w:rsidR="00515AF7">
          <w:rPr>
            <w:noProof/>
            <w:webHidden/>
          </w:rPr>
          <w:fldChar w:fldCharType="separate"/>
        </w:r>
        <w:r w:rsidR="00CB38DB">
          <w:rPr>
            <w:noProof/>
            <w:webHidden/>
          </w:rPr>
          <w:t>26</w:t>
        </w:r>
        <w:r w:rsidR="00515AF7">
          <w:rPr>
            <w:noProof/>
            <w:webHidden/>
          </w:rPr>
          <w:fldChar w:fldCharType="end"/>
        </w:r>
      </w:hyperlink>
    </w:p>
    <w:p w:rsidR="00515AF7" w:rsidRDefault="004604A2">
      <w:pPr>
        <w:pStyle w:val="TOC3"/>
        <w:tabs>
          <w:tab w:val="right" w:leader="dot" w:pos="8486"/>
        </w:tabs>
        <w:rPr>
          <w:rFonts w:eastAsiaTheme="minorEastAsia" w:cstheme="minorBidi"/>
          <w:noProof/>
          <w:sz w:val="22"/>
          <w:szCs w:val="22"/>
          <w:lang w:bidi="ar-SA"/>
        </w:rPr>
      </w:pPr>
      <w:hyperlink w:anchor="_Toc414633044" w:history="1">
        <w:r w:rsidR="00515AF7" w:rsidRPr="005867E1">
          <w:rPr>
            <w:rStyle w:val="Hyperlink"/>
            <w:noProof/>
          </w:rPr>
          <w:t>Multi-Segment Firm Differentiation</w:t>
        </w:r>
        <w:r w:rsidR="00515AF7">
          <w:rPr>
            <w:noProof/>
            <w:webHidden/>
          </w:rPr>
          <w:tab/>
        </w:r>
        <w:r w:rsidR="00515AF7">
          <w:rPr>
            <w:noProof/>
            <w:webHidden/>
          </w:rPr>
          <w:fldChar w:fldCharType="begin"/>
        </w:r>
        <w:r w:rsidR="00515AF7">
          <w:rPr>
            <w:noProof/>
            <w:webHidden/>
          </w:rPr>
          <w:instrText xml:space="preserve"> PAGEREF _Toc414633044 \h </w:instrText>
        </w:r>
        <w:r w:rsidR="00515AF7">
          <w:rPr>
            <w:noProof/>
            <w:webHidden/>
          </w:rPr>
        </w:r>
        <w:r w:rsidR="00515AF7">
          <w:rPr>
            <w:noProof/>
            <w:webHidden/>
          </w:rPr>
          <w:fldChar w:fldCharType="separate"/>
        </w:r>
        <w:r w:rsidR="00CB38DB">
          <w:rPr>
            <w:noProof/>
            <w:webHidden/>
          </w:rPr>
          <w:t>26</w:t>
        </w:r>
        <w:r w:rsidR="00515AF7">
          <w:rPr>
            <w:noProof/>
            <w:webHidden/>
          </w:rPr>
          <w:fldChar w:fldCharType="end"/>
        </w:r>
      </w:hyperlink>
    </w:p>
    <w:p w:rsidR="00515AF7" w:rsidRDefault="004604A2">
      <w:pPr>
        <w:pStyle w:val="TOC3"/>
        <w:tabs>
          <w:tab w:val="right" w:leader="dot" w:pos="8486"/>
        </w:tabs>
        <w:rPr>
          <w:rFonts w:eastAsiaTheme="minorEastAsia" w:cstheme="minorBidi"/>
          <w:noProof/>
          <w:sz w:val="22"/>
          <w:szCs w:val="22"/>
          <w:lang w:bidi="ar-SA"/>
        </w:rPr>
      </w:pPr>
      <w:hyperlink w:anchor="_Toc414633045" w:history="1">
        <w:r w:rsidR="00515AF7" w:rsidRPr="005867E1">
          <w:rPr>
            <w:rStyle w:val="Hyperlink"/>
            <w:noProof/>
          </w:rPr>
          <w:t>Single Segment Firm Differentiation</w:t>
        </w:r>
        <w:r w:rsidR="00515AF7">
          <w:rPr>
            <w:noProof/>
            <w:webHidden/>
          </w:rPr>
          <w:tab/>
        </w:r>
        <w:r w:rsidR="00515AF7">
          <w:rPr>
            <w:noProof/>
            <w:webHidden/>
          </w:rPr>
          <w:fldChar w:fldCharType="begin"/>
        </w:r>
        <w:r w:rsidR="00515AF7">
          <w:rPr>
            <w:noProof/>
            <w:webHidden/>
          </w:rPr>
          <w:instrText xml:space="preserve"> PAGEREF _Toc414633045 \h </w:instrText>
        </w:r>
        <w:r w:rsidR="00515AF7">
          <w:rPr>
            <w:noProof/>
            <w:webHidden/>
          </w:rPr>
        </w:r>
        <w:r w:rsidR="00515AF7">
          <w:rPr>
            <w:noProof/>
            <w:webHidden/>
          </w:rPr>
          <w:fldChar w:fldCharType="separate"/>
        </w:r>
        <w:r w:rsidR="00CB38DB">
          <w:rPr>
            <w:noProof/>
            <w:webHidden/>
          </w:rPr>
          <w:t>28</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46" w:history="1">
        <w:r w:rsidR="00515AF7" w:rsidRPr="005867E1">
          <w:rPr>
            <w:rStyle w:val="Hyperlink"/>
            <w:noProof/>
          </w:rPr>
          <w:t>Multivariate Analyses of Externalities in Segment Reporting</w:t>
        </w:r>
        <w:r w:rsidR="00515AF7">
          <w:rPr>
            <w:noProof/>
            <w:webHidden/>
          </w:rPr>
          <w:tab/>
        </w:r>
        <w:r w:rsidR="00515AF7">
          <w:rPr>
            <w:noProof/>
            <w:webHidden/>
          </w:rPr>
          <w:fldChar w:fldCharType="begin"/>
        </w:r>
        <w:r w:rsidR="00515AF7">
          <w:rPr>
            <w:noProof/>
            <w:webHidden/>
          </w:rPr>
          <w:instrText xml:space="preserve"> PAGEREF _Toc414633046 \h </w:instrText>
        </w:r>
        <w:r w:rsidR="00515AF7">
          <w:rPr>
            <w:noProof/>
            <w:webHidden/>
          </w:rPr>
        </w:r>
        <w:r w:rsidR="00515AF7">
          <w:rPr>
            <w:noProof/>
            <w:webHidden/>
          </w:rPr>
          <w:fldChar w:fldCharType="separate"/>
        </w:r>
        <w:r w:rsidR="00CB38DB">
          <w:rPr>
            <w:noProof/>
            <w:webHidden/>
          </w:rPr>
          <w:t>29</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47" w:history="1">
        <w:r w:rsidR="00515AF7" w:rsidRPr="005867E1">
          <w:rPr>
            <w:rStyle w:val="Hyperlink"/>
            <w:noProof/>
          </w:rPr>
          <w:t>Chapter 5: Robustness and Other Tests</w:t>
        </w:r>
        <w:r w:rsidR="00515AF7">
          <w:rPr>
            <w:noProof/>
            <w:webHidden/>
          </w:rPr>
          <w:tab/>
        </w:r>
        <w:r w:rsidR="00515AF7">
          <w:rPr>
            <w:noProof/>
            <w:webHidden/>
          </w:rPr>
          <w:fldChar w:fldCharType="begin"/>
        </w:r>
        <w:r w:rsidR="00515AF7">
          <w:rPr>
            <w:noProof/>
            <w:webHidden/>
          </w:rPr>
          <w:instrText xml:space="preserve"> PAGEREF _Toc414633047 \h </w:instrText>
        </w:r>
        <w:r w:rsidR="00515AF7">
          <w:rPr>
            <w:noProof/>
            <w:webHidden/>
          </w:rPr>
        </w:r>
        <w:r w:rsidR="00515AF7">
          <w:rPr>
            <w:noProof/>
            <w:webHidden/>
          </w:rPr>
          <w:fldChar w:fldCharType="separate"/>
        </w:r>
        <w:r w:rsidR="00CB38DB">
          <w:rPr>
            <w:noProof/>
            <w:webHidden/>
          </w:rPr>
          <w:t>32</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48" w:history="1">
        <w:r w:rsidR="00515AF7" w:rsidRPr="005867E1">
          <w:rPr>
            <w:rStyle w:val="Hyperlink"/>
            <w:noProof/>
          </w:rPr>
          <w:t>Varying the Cutoff of the Core Industry Portfolio</w:t>
        </w:r>
        <w:r w:rsidR="00515AF7">
          <w:rPr>
            <w:noProof/>
            <w:webHidden/>
          </w:rPr>
          <w:tab/>
        </w:r>
        <w:r w:rsidR="00515AF7">
          <w:rPr>
            <w:noProof/>
            <w:webHidden/>
          </w:rPr>
          <w:fldChar w:fldCharType="begin"/>
        </w:r>
        <w:r w:rsidR="00515AF7">
          <w:rPr>
            <w:noProof/>
            <w:webHidden/>
          </w:rPr>
          <w:instrText xml:space="preserve"> PAGEREF _Toc414633048 \h </w:instrText>
        </w:r>
        <w:r w:rsidR="00515AF7">
          <w:rPr>
            <w:noProof/>
            <w:webHidden/>
          </w:rPr>
        </w:r>
        <w:r w:rsidR="00515AF7">
          <w:rPr>
            <w:noProof/>
            <w:webHidden/>
          </w:rPr>
          <w:fldChar w:fldCharType="separate"/>
        </w:r>
        <w:r w:rsidR="00CB38DB">
          <w:rPr>
            <w:noProof/>
            <w:webHidden/>
          </w:rPr>
          <w:t>32</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49" w:history="1">
        <w:r w:rsidR="00515AF7" w:rsidRPr="005867E1">
          <w:rPr>
            <w:rStyle w:val="Hyperlink"/>
            <w:noProof/>
          </w:rPr>
          <w:t>Firms with Line of Business as Primary Segment Type</w:t>
        </w:r>
        <w:r w:rsidR="00515AF7">
          <w:rPr>
            <w:noProof/>
            <w:webHidden/>
          </w:rPr>
          <w:tab/>
        </w:r>
        <w:r w:rsidR="00515AF7">
          <w:rPr>
            <w:noProof/>
            <w:webHidden/>
          </w:rPr>
          <w:fldChar w:fldCharType="begin"/>
        </w:r>
        <w:r w:rsidR="00515AF7">
          <w:rPr>
            <w:noProof/>
            <w:webHidden/>
          </w:rPr>
          <w:instrText xml:space="preserve"> PAGEREF _Toc414633049 \h </w:instrText>
        </w:r>
        <w:r w:rsidR="00515AF7">
          <w:rPr>
            <w:noProof/>
            <w:webHidden/>
          </w:rPr>
        </w:r>
        <w:r w:rsidR="00515AF7">
          <w:rPr>
            <w:noProof/>
            <w:webHidden/>
          </w:rPr>
          <w:fldChar w:fldCharType="separate"/>
        </w:r>
        <w:r w:rsidR="00CB38DB">
          <w:rPr>
            <w:noProof/>
            <w:webHidden/>
          </w:rPr>
          <w:t>33</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50" w:history="1">
        <w:r w:rsidR="00515AF7" w:rsidRPr="005867E1">
          <w:rPr>
            <w:rStyle w:val="Hyperlink"/>
            <w:noProof/>
          </w:rPr>
          <w:t>Changing the Comparison of Industry Codes</w:t>
        </w:r>
        <w:r w:rsidR="00515AF7">
          <w:rPr>
            <w:noProof/>
            <w:webHidden/>
          </w:rPr>
          <w:tab/>
        </w:r>
        <w:r w:rsidR="00515AF7">
          <w:rPr>
            <w:noProof/>
            <w:webHidden/>
          </w:rPr>
          <w:fldChar w:fldCharType="begin"/>
        </w:r>
        <w:r w:rsidR="00515AF7">
          <w:rPr>
            <w:noProof/>
            <w:webHidden/>
          </w:rPr>
          <w:instrText xml:space="preserve"> PAGEREF _Toc414633050 \h </w:instrText>
        </w:r>
        <w:r w:rsidR="00515AF7">
          <w:rPr>
            <w:noProof/>
            <w:webHidden/>
          </w:rPr>
        </w:r>
        <w:r w:rsidR="00515AF7">
          <w:rPr>
            <w:noProof/>
            <w:webHidden/>
          </w:rPr>
          <w:fldChar w:fldCharType="separate"/>
        </w:r>
        <w:r w:rsidR="00CB38DB">
          <w:rPr>
            <w:noProof/>
            <w:webHidden/>
          </w:rPr>
          <w:t>33</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51" w:history="1">
        <w:r w:rsidR="00515AF7" w:rsidRPr="005867E1">
          <w:rPr>
            <w:rStyle w:val="Hyperlink"/>
            <w:noProof/>
          </w:rPr>
          <w:t>Differentiating Segments Less Than Ten Percent of Sales</w:t>
        </w:r>
        <w:r w:rsidR="00515AF7">
          <w:rPr>
            <w:noProof/>
            <w:webHidden/>
          </w:rPr>
          <w:tab/>
        </w:r>
        <w:r w:rsidR="00515AF7">
          <w:rPr>
            <w:noProof/>
            <w:webHidden/>
          </w:rPr>
          <w:fldChar w:fldCharType="begin"/>
        </w:r>
        <w:r w:rsidR="00515AF7">
          <w:rPr>
            <w:noProof/>
            <w:webHidden/>
          </w:rPr>
          <w:instrText xml:space="preserve"> PAGEREF _Toc414633051 \h </w:instrText>
        </w:r>
        <w:r w:rsidR="00515AF7">
          <w:rPr>
            <w:noProof/>
            <w:webHidden/>
          </w:rPr>
        </w:r>
        <w:r w:rsidR="00515AF7">
          <w:rPr>
            <w:noProof/>
            <w:webHidden/>
          </w:rPr>
          <w:fldChar w:fldCharType="separate"/>
        </w:r>
        <w:r w:rsidR="00CB38DB">
          <w:rPr>
            <w:noProof/>
            <w:webHidden/>
          </w:rPr>
          <w:t>34</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52" w:history="1">
        <w:r w:rsidR="00515AF7" w:rsidRPr="005867E1">
          <w:rPr>
            <w:rStyle w:val="Hyperlink"/>
            <w:noProof/>
          </w:rPr>
          <w:t>Competition and Segment Reporting Differentiation</w:t>
        </w:r>
        <w:r w:rsidR="00515AF7">
          <w:rPr>
            <w:noProof/>
            <w:webHidden/>
          </w:rPr>
          <w:tab/>
        </w:r>
        <w:r w:rsidR="00515AF7">
          <w:rPr>
            <w:noProof/>
            <w:webHidden/>
          </w:rPr>
          <w:fldChar w:fldCharType="begin"/>
        </w:r>
        <w:r w:rsidR="00515AF7">
          <w:rPr>
            <w:noProof/>
            <w:webHidden/>
          </w:rPr>
          <w:instrText xml:space="preserve"> PAGEREF _Toc414633052 \h </w:instrText>
        </w:r>
        <w:r w:rsidR="00515AF7">
          <w:rPr>
            <w:noProof/>
            <w:webHidden/>
          </w:rPr>
        </w:r>
        <w:r w:rsidR="00515AF7">
          <w:rPr>
            <w:noProof/>
            <w:webHidden/>
          </w:rPr>
          <w:fldChar w:fldCharType="separate"/>
        </w:r>
        <w:r w:rsidR="00CB38DB">
          <w:rPr>
            <w:noProof/>
            <w:webHidden/>
          </w:rPr>
          <w:t>35</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53" w:history="1">
        <w:r w:rsidR="00515AF7" w:rsidRPr="005867E1">
          <w:rPr>
            <w:rStyle w:val="Hyperlink"/>
            <w:noProof/>
          </w:rPr>
          <w:t>Chapter 6: Conclusion</w:t>
        </w:r>
        <w:r w:rsidR="00515AF7">
          <w:rPr>
            <w:noProof/>
            <w:webHidden/>
          </w:rPr>
          <w:tab/>
        </w:r>
        <w:r w:rsidR="00515AF7">
          <w:rPr>
            <w:noProof/>
            <w:webHidden/>
          </w:rPr>
          <w:fldChar w:fldCharType="begin"/>
        </w:r>
        <w:r w:rsidR="00515AF7">
          <w:rPr>
            <w:noProof/>
            <w:webHidden/>
          </w:rPr>
          <w:instrText xml:space="preserve"> PAGEREF _Toc414633053 \h </w:instrText>
        </w:r>
        <w:r w:rsidR="00515AF7">
          <w:rPr>
            <w:noProof/>
            <w:webHidden/>
          </w:rPr>
        </w:r>
        <w:r w:rsidR="00515AF7">
          <w:rPr>
            <w:noProof/>
            <w:webHidden/>
          </w:rPr>
          <w:fldChar w:fldCharType="separate"/>
        </w:r>
        <w:r w:rsidR="00CB38DB">
          <w:rPr>
            <w:noProof/>
            <w:webHidden/>
          </w:rPr>
          <w:t>37</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54" w:history="1">
        <w:r w:rsidR="00515AF7" w:rsidRPr="005867E1">
          <w:rPr>
            <w:rStyle w:val="Hyperlink"/>
            <w:noProof/>
          </w:rPr>
          <w:t>References</w:t>
        </w:r>
        <w:r w:rsidR="00515AF7">
          <w:rPr>
            <w:noProof/>
            <w:webHidden/>
          </w:rPr>
          <w:tab/>
        </w:r>
        <w:r w:rsidR="00515AF7">
          <w:rPr>
            <w:noProof/>
            <w:webHidden/>
          </w:rPr>
          <w:fldChar w:fldCharType="begin"/>
        </w:r>
        <w:r w:rsidR="00515AF7">
          <w:rPr>
            <w:noProof/>
            <w:webHidden/>
          </w:rPr>
          <w:instrText xml:space="preserve"> PAGEREF _Toc414633054 \h </w:instrText>
        </w:r>
        <w:r w:rsidR="00515AF7">
          <w:rPr>
            <w:noProof/>
            <w:webHidden/>
          </w:rPr>
        </w:r>
        <w:r w:rsidR="00515AF7">
          <w:rPr>
            <w:noProof/>
            <w:webHidden/>
          </w:rPr>
          <w:fldChar w:fldCharType="separate"/>
        </w:r>
        <w:r w:rsidR="00CB38DB">
          <w:rPr>
            <w:noProof/>
            <w:webHidden/>
          </w:rPr>
          <w:t>39</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55" w:history="1">
        <w:r w:rsidR="00515AF7" w:rsidRPr="005867E1">
          <w:rPr>
            <w:rStyle w:val="Hyperlink"/>
            <w:noProof/>
          </w:rPr>
          <w:t xml:space="preserve">Appendix A: Construction of </w:t>
        </w:r>
        <w:r w:rsidR="00515AF7" w:rsidRPr="005867E1">
          <w:rPr>
            <w:rStyle w:val="Hyperlink"/>
            <w:i/>
            <w:noProof/>
          </w:rPr>
          <w:t>DIFF</w:t>
        </w:r>
        <w:r w:rsidR="00515AF7">
          <w:rPr>
            <w:noProof/>
            <w:webHidden/>
          </w:rPr>
          <w:tab/>
        </w:r>
        <w:r w:rsidR="00515AF7">
          <w:rPr>
            <w:noProof/>
            <w:webHidden/>
          </w:rPr>
          <w:fldChar w:fldCharType="begin"/>
        </w:r>
        <w:r w:rsidR="00515AF7">
          <w:rPr>
            <w:noProof/>
            <w:webHidden/>
          </w:rPr>
          <w:instrText xml:space="preserve"> PAGEREF _Toc414633055 \h </w:instrText>
        </w:r>
        <w:r w:rsidR="00515AF7">
          <w:rPr>
            <w:noProof/>
            <w:webHidden/>
          </w:rPr>
        </w:r>
        <w:r w:rsidR="00515AF7">
          <w:rPr>
            <w:noProof/>
            <w:webHidden/>
          </w:rPr>
          <w:fldChar w:fldCharType="separate"/>
        </w:r>
        <w:r w:rsidR="00CB38DB">
          <w:rPr>
            <w:noProof/>
            <w:webHidden/>
          </w:rPr>
          <w:t>46</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56" w:history="1">
        <w:r w:rsidR="00515AF7" w:rsidRPr="005867E1">
          <w:rPr>
            <w:rStyle w:val="Hyperlink"/>
            <w:noProof/>
          </w:rPr>
          <w:t>Hoberg and Phillips Data</w:t>
        </w:r>
        <w:r w:rsidR="00515AF7">
          <w:rPr>
            <w:noProof/>
            <w:webHidden/>
          </w:rPr>
          <w:tab/>
        </w:r>
        <w:r w:rsidR="00515AF7">
          <w:rPr>
            <w:noProof/>
            <w:webHidden/>
          </w:rPr>
          <w:fldChar w:fldCharType="begin"/>
        </w:r>
        <w:r w:rsidR="00515AF7">
          <w:rPr>
            <w:noProof/>
            <w:webHidden/>
          </w:rPr>
          <w:instrText xml:space="preserve"> PAGEREF _Toc414633056 \h </w:instrText>
        </w:r>
        <w:r w:rsidR="00515AF7">
          <w:rPr>
            <w:noProof/>
            <w:webHidden/>
          </w:rPr>
        </w:r>
        <w:r w:rsidR="00515AF7">
          <w:rPr>
            <w:noProof/>
            <w:webHidden/>
          </w:rPr>
          <w:fldChar w:fldCharType="separate"/>
        </w:r>
        <w:r w:rsidR="00CB38DB">
          <w:rPr>
            <w:noProof/>
            <w:webHidden/>
          </w:rPr>
          <w:t>46</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57" w:history="1">
        <w:r w:rsidR="00515AF7" w:rsidRPr="005867E1">
          <w:rPr>
            <w:rStyle w:val="Hyperlink"/>
            <w:noProof/>
          </w:rPr>
          <w:t>Construction of Peer Firm Segment Portfolio</w:t>
        </w:r>
        <w:r w:rsidR="00515AF7">
          <w:rPr>
            <w:noProof/>
            <w:webHidden/>
          </w:rPr>
          <w:tab/>
        </w:r>
        <w:r w:rsidR="00515AF7">
          <w:rPr>
            <w:noProof/>
            <w:webHidden/>
          </w:rPr>
          <w:fldChar w:fldCharType="begin"/>
        </w:r>
        <w:r w:rsidR="00515AF7">
          <w:rPr>
            <w:noProof/>
            <w:webHidden/>
          </w:rPr>
          <w:instrText xml:space="preserve"> PAGEREF _Toc414633057 \h </w:instrText>
        </w:r>
        <w:r w:rsidR="00515AF7">
          <w:rPr>
            <w:noProof/>
            <w:webHidden/>
          </w:rPr>
        </w:r>
        <w:r w:rsidR="00515AF7">
          <w:rPr>
            <w:noProof/>
            <w:webHidden/>
          </w:rPr>
          <w:fldChar w:fldCharType="separate"/>
        </w:r>
        <w:r w:rsidR="00CB38DB">
          <w:rPr>
            <w:noProof/>
            <w:webHidden/>
          </w:rPr>
          <w:t>48</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58" w:history="1">
        <w:r w:rsidR="00515AF7" w:rsidRPr="005867E1">
          <w:rPr>
            <w:rStyle w:val="Hyperlink"/>
            <w:noProof/>
          </w:rPr>
          <w:t>Segment Reporting Differentiation (</w:t>
        </w:r>
        <w:r w:rsidR="00515AF7" w:rsidRPr="005867E1">
          <w:rPr>
            <w:rStyle w:val="Hyperlink"/>
            <w:i/>
            <w:noProof/>
          </w:rPr>
          <w:t>DIFF</w:t>
        </w:r>
        <w:r w:rsidR="00515AF7" w:rsidRPr="005867E1">
          <w:rPr>
            <w:rStyle w:val="Hyperlink"/>
            <w:noProof/>
          </w:rPr>
          <w:t>)</w:t>
        </w:r>
        <w:r w:rsidR="00515AF7">
          <w:rPr>
            <w:noProof/>
            <w:webHidden/>
          </w:rPr>
          <w:tab/>
        </w:r>
        <w:r w:rsidR="00515AF7">
          <w:rPr>
            <w:noProof/>
            <w:webHidden/>
          </w:rPr>
          <w:fldChar w:fldCharType="begin"/>
        </w:r>
        <w:r w:rsidR="00515AF7">
          <w:rPr>
            <w:noProof/>
            <w:webHidden/>
          </w:rPr>
          <w:instrText xml:space="preserve"> PAGEREF _Toc414633058 \h </w:instrText>
        </w:r>
        <w:r w:rsidR="00515AF7">
          <w:rPr>
            <w:noProof/>
            <w:webHidden/>
          </w:rPr>
        </w:r>
        <w:r w:rsidR="00515AF7">
          <w:rPr>
            <w:noProof/>
            <w:webHidden/>
          </w:rPr>
          <w:fldChar w:fldCharType="separate"/>
        </w:r>
        <w:r w:rsidR="00CB38DB">
          <w:rPr>
            <w:noProof/>
            <w:webHidden/>
          </w:rPr>
          <w:t>49</w:t>
        </w:r>
        <w:r w:rsidR="00515AF7">
          <w:rPr>
            <w:noProof/>
            <w:webHidden/>
          </w:rPr>
          <w:fldChar w:fldCharType="end"/>
        </w:r>
      </w:hyperlink>
    </w:p>
    <w:p w:rsidR="00515AF7" w:rsidRDefault="004604A2">
      <w:pPr>
        <w:pStyle w:val="TOC2"/>
        <w:tabs>
          <w:tab w:val="right" w:leader="dot" w:pos="8486"/>
        </w:tabs>
        <w:rPr>
          <w:rFonts w:eastAsiaTheme="minorEastAsia" w:cstheme="minorBidi"/>
          <w:noProof/>
          <w:sz w:val="22"/>
          <w:szCs w:val="22"/>
          <w:lang w:bidi="ar-SA"/>
        </w:rPr>
      </w:pPr>
      <w:hyperlink w:anchor="_Toc414633059" w:history="1">
        <w:r w:rsidR="00515AF7" w:rsidRPr="005867E1">
          <w:rPr>
            <w:rStyle w:val="Hyperlink"/>
            <w:noProof/>
          </w:rPr>
          <w:t>An Example: Abbott Labs</w:t>
        </w:r>
        <w:r w:rsidR="00515AF7">
          <w:rPr>
            <w:noProof/>
            <w:webHidden/>
          </w:rPr>
          <w:tab/>
        </w:r>
        <w:r w:rsidR="00515AF7">
          <w:rPr>
            <w:noProof/>
            <w:webHidden/>
          </w:rPr>
          <w:fldChar w:fldCharType="begin"/>
        </w:r>
        <w:r w:rsidR="00515AF7">
          <w:rPr>
            <w:noProof/>
            <w:webHidden/>
          </w:rPr>
          <w:instrText xml:space="preserve"> PAGEREF _Toc414633059 \h </w:instrText>
        </w:r>
        <w:r w:rsidR="00515AF7">
          <w:rPr>
            <w:noProof/>
            <w:webHidden/>
          </w:rPr>
        </w:r>
        <w:r w:rsidR="00515AF7">
          <w:rPr>
            <w:noProof/>
            <w:webHidden/>
          </w:rPr>
          <w:fldChar w:fldCharType="separate"/>
        </w:r>
        <w:r w:rsidR="00CB38DB">
          <w:rPr>
            <w:noProof/>
            <w:webHidden/>
          </w:rPr>
          <w:t>50</w:t>
        </w:r>
        <w:r w:rsidR="00515AF7">
          <w:rPr>
            <w:noProof/>
            <w:webHidden/>
          </w:rPr>
          <w:fldChar w:fldCharType="end"/>
        </w:r>
      </w:hyperlink>
    </w:p>
    <w:p w:rsidR="00515AF7" w:rsidRDefault="004604A2">
      <w:pPr>
        <w:pStyle w:val="TOC1"/>
        <w:rPr>
          <w:rFonts w:eastAsiaTheme="minorEastAsia" w:cstheme="minorBidi"/>
          <w:noProof/>
          <w:sz w:val="22"/>
          <w:szCs w:val="22"/>
          <w:lang w:bidi="ar-SA"/>
        </w:rPr>
      </w:pPr>
      <w:hyperlink w:anchor="_Toc414633060" w:history="1">
        <w:r w:rsidR="00515AF7" w:rsidRPr="005867E1">
          <w:rPr>
            <w:rStyle w:val="Hyperlink"/>
            <w:noProof/>
          </w:rPr>
          <w:t>Appendix B: Variable Definitions</w:t>
        </w:r>
        <w:r w:rsidR="00515AF7">
          <w:rPr>
            <w:noProof/>
            <w:webHidden/>
          </w:rPr>
          <w:tab/>
        </w:r>
        <w:r w:rsidR="00515AF7">
          <w:rPr>
            <w:noProof/>
            <w:webHidden/>
          </w:rPr>
          <w:fldChar w:fldCharType="begin"/>
        </w:r>
        <w:r w:rsidR="00515AF7">
          <w:rPr>
            <w:noProof/>
            <w:webHidden/>
          </w:rPr>
          <w:instrText xml:space="preserve"> PAGEREF _Toc414633060 \h </w:instrText>
        </w:r>
        <w:r w:rsidR="00515AF7">
          <w:rPr>
            <w:noProof/>
            <w:webHidden/>
          </w:rPr>
        </w:r>
        <w:r w:rsidR="00515AF7">
          <w:rPr>
            <w:noProof/>
            <w:webHidden/>
          </w:rPr>
          <w:fldChar w:fldCharType="separate"/>
        </w:r>
        <w:r w:rsidR="00CB38DB">
          <w:rPr>
            <w:noProof/>
            <w:webHidden/>
          </w:rPr>
          <w:t>57</w:t>
        </w:r>
        <w:r w:rsidR="00515AF7">
          <w:rPr>
            <w:noProof/>
            <w:webHidden/>
          </w:rPr>
          <w:fldChar w:fldCharType="end"/>
        </w:r>
      </w:hyperlink>
    </w:p>
    <w:p w:rsidR="00DA1971" w:rsidRDefault="00F7122D" w:rsidP="00DA1971">
      <w:r>
        <w:fldChar w:fldCharType="end"/>
      </w:r>
      <w:r w:rsidR="00C92079">
        <w:t xml:space="preserve"> </w:t>
      </w:r>
    </w:p>
    <w:p w:rsidR="00775701" w:rsidRDefault="00DA1971" w:rsidP="00C16C66">
      <w:pPr>
        <w:pStyle w:val="Heading1"/>
      </w:pPr>
      <w:r>
        <w:br w:type="page"/>
      </w:r>
      <w:bookmarkStart w:id="2" w:name="_Toc310579465"/>
      <w:bookmarkStart w:id="3" w:name="_Toc414633024"/>
      <w:r>
        <w:lastRenderedPageBreak/>
        <w:t>List of Tables</w:t>
      </w:r>
      <w:bookmarkEnd w:id="2"/>
      <w:bookmarkEnd w:id="3"/>
    </w:p>
    <w:p w:rsidR="002567CF" w:rsidRDefault="002567CF" w:rsidP="00A75045">
      <w:pPr>
        <w:pStyle w:val="NoSpacing"/>
        <w:spacing w:after="240"/>
        <w:ind w:left="720" w:hanging="720"/>
      </w:pPr>
      <w:r>
        <w:t>Table A.1: Abbott Labs Compustat Segments…………………………………………53</w:t>
      </w:r>
    </w:p>
    <w:p w:rsidR="002567CF" w:rsidRDefault="002567CF" w:rsidP="00A75045">
      <w:pPr>
        <w:pStyle w:val="NoSpacing"/>
        <w:spacing w:after="240"/>
        <w:ind w:left="720" w:hanging="720"/>
      </w:pPr>
      <w:r>
        <w:t xml:space="preserve">Table A.2: Calculation of </w:t>
      </w:r>
      <w:r>
        <w:rPr>
          <w:i/>
        </w:rPr>
        <w:t>FFDIFF</w:t>
      </w:r>
      <w:r>
        <w:t xml:space="preserve"> for Abbott Labs…………………………………...53</w:t>
      </w:r>
    </w:p>
    <w:p w:rsidR="002567CF" w:rsidRDefault="002567CF" w:rsidP="00A75045">
      <w:pPr>
        <w:pStyle w:val="NoSpacing"/>
        <w:spacing w:after="240"/>
        <w:ind w:left="720" w:hanging="720"/>
      </w:pPr>
      <w:r>
        <w:t>Table A.3: List of TNIC Peer Firm SIC Codes………………………………………...54</w:t>
      </w:r>
    </w:p>
    <w:p w:rsidR="00A75045" w:rsidRDefault="00A75045" w:rsidP="00A75045">
      <w:pPr>
        <w:pStyle w:val="NoSpacing"/>
        <w:spacing w:after="240"/>
        <w:ind w:left="720" w:hanging="720"/>
      </w:pPr>
      <w:r>
        <w:t>Table 1: Industry Composition of Single and Multi</w:t>
      </w:r>
      <w:r w:rsidR="00525A8C">
        <w:t>-Segment Firms and Firm-Years…60</w:t>
      </w:r>
    </w:p>
    <w:p w:rsidR="00A75045" w:rsidRDefault="00A75045" w:rsidP="00A75045">
      <w:pPr>
        <w:pStyle w:val="NoSpacing"/>
        <w:ind w:left="720" w:hanging="720"/>
      </w:pPr>
      <w:r>
        <w:t xml:space="preserve">Table 2: Valuation, Performance, Size, and Model Descriptive Statistics </w:t>
      </w:r>
    </w:p>
    <w:p w:rsidR="00A75045" w:rsidRDefault="0094522D" w:rsidP="00A75045">
      <w:pPr>
        <w:pStyle w:val="NoSpacing"/>
        <w:spacing w:after="240"/>
        <w:ind w:left="1440" w:hanging="720"/>
      </w:pPr>
      <w:r>
        <w:t xml:space="preserve">  </w:t>
      </w:r>
      <w:proofErr w:type="gramStart"/>
      <w:r w:rsidR="00A75045">
        <w:t>for</w:t>
      </w:r>
      <w:proofErr w:type="gramEnd"/>
      <w:r w:rsidR="00A75045">
        <w:t xml:space="preserve"> Single and Multi-Se</w:t>
      </w:r>
      <w:r>
        <w:t>gment Firms…………..</w:t>
      </w:r>
      <w:r w:rsidR="00525A8C">
        <w:t>……………………………...62</w:t>
      </w:r>
    </w:p>
    <w:p w:rsidR="00A75045" w:rsidRDefault="00525A8C" w:rsidP="0094522D">
      <w:pPr>
        <w:pStyle w:val="NoSpacing"/>
        <w:spacing w:after="240"/>
        <w:ind w:left="720" w:hanging="720"/>
      </w:pPr>
      <w:r>
        <w:t>Table 3: Correlations for Single and Multi-Segment Firms…………………….……...64</w:t>
      </w:r>
    </w:p>
    <w:p w:rsidR="0094522D" w:rsidRDefault="0094522D" w:rsidP="0094522D">
      <w:pPr>
        <w:pStyle w:val="NoSpacing"/>
        <w:ind w:left="720" w:hanging="720"/>
      </w:pPr>
      <w:r>
        <w:t xml:space="preserve">Table 4: Regressions for </w:t>
      </w:r>
      <w:r w:rsidRPr="0094522D">
        <w:rPr>
          <w:i/>
        </w:rPr>
        <w:t>ExVal</w:t>
      </w:r>
      <w:r>
        <w:t xml:space="preserve"> on Segment Reporting Differentiation &amp; </w:t>
      </w:r>
    </w:p>
    <w:p w:rsidR="0094522D" w:rsidRDefault="0094522D" w:rsidP="0094522D">
      <w:pPr>
        <w:pStyle w:val="NoSpacing"/>
        <w:spacing w:after="240"/>
        <w:ind w:left="720"/>
      </w:pPr>
      <w:r>
        <w:t xml:space="preserve">  Controls</w:t>
      </w:r>
      <w:proofErr w:type="gramStart"/>
      <w:r>
        <w:t>…………</w:t>
      </w:r>
      <w:r w:rsidR="00EA1BB2">
        <w:t>……………..………………...…………………….……...</w:t>
      </w:r>
      <w:proofErr w:type="gramEnd"/>
      <w:r w:rsidR="00EA1BB2">
        <w:t>68</w:t>
      </w:r>
    </w:p>
    <w:p w:rsidR="0094522D" w:rsidRDefault="0094522D" w:rsidP="0094522D">
      <w:pPr>
        <w:pStyle w:val="NoSpacing"/>
        <w:ind w:left="720" w:hanging="720"/>
      </w:pPr>
      <w:r>
        <w:t xml:space="preserve">Table 5: Regressions for </w:t>
      </w:r>
      <w:r w:rsidRPr="0094522D">
        <w:rPr>
          <w:i/>
        </w:rPr>
        <w:t>ExVal</w:t>
      </w:r>
      <w:r>
        <w:t xml:space="preserve"> on Segment Reporting Differentiation &amp; </w:t>
      </w:r>
    </w:p>
    <w:p w:rsidR="0094522D" w:rsidRDefault="0094522D" w:rsidP="0094522D">
      <w:pPr>
        <w:pStyle w:val="NoSpacing"/>
        <w:spacing w:after="240"/>
        <w:ind w:left="720"/>
      </w:pPr>
      <w:r>
        <w:t xml:space="preserve">  Controls for Firms with </w:t>
      </w:r>
      <w:r w:rsidR="00DD6412">
        <w:t>and without a Chang</w:t>
      </w:r>
      <w:r w:rsidR="00F41D86">
        <w:t>e</w:t>
      </w:r>
      <w:r w:rsidR="00DD6412">
        <w:t xml:space="preserve"> in </w:t>
      </w:r>
      <w:proofErr w:type="gramStart"/>
      <w:r w:rsidR="00DD6412">
        <w:t>Segments.</w:t>
      </w:r>
      <w:r w:rsidR="00F41D86">
        <w:t>…………………</w:t>
      </w:r>
      <w:r w:rsidR="00EA1BB2">
        <w:t>72</w:t>
      </w:r>
      <w:proofErr w:type="gramEnd"/>
    </w:p>
    <w:p w:rsidR="007B2DD0" w:rsidRDefault="00DD6412" w:rsidP="007B2DD0">
      <w:pPr>
        <w:pStyle w:val="NoSpacing"/>
        <w:ind w:left="720" w:hanging="720"/>
      </w:pPr>
      <w:r>
        <w:t>Table 6: R</w:t>
      </w:r>
      <w:r w:rsidR="00194FE8">
        <w:t>egressions for</w:t>
      </w:r>
      <w:r>
        <w:t xml:space="preserve"> </w:t>
      </w:r>
      <w:r w:rsidRPr="0094522D">
        <w:rPr>
          <w:i/>
        </w:rPr>
        <w:t>ExVal</w:t>
      </w:r>
      <w:r>
        <w:t xml:space="preserve"> on Segment Reporting Differentiation for </w:t>
      </w:r>
    </w:p>
    <w:p w:rsidR="00A75045" w:rsidRPr="002567CF" w:rsidRDefault="007B2DD0" w:rsidP="007B2DD0">
      <w:pPr>
        <w:pStyle w:val="NoSpacing"/>
        <w:spacing w:after="240"/>
        <w:ind w:left="720"/>
      </w:pPr>
      <w:r>
        <w:t xml:space="preserve">  Robustness </w:t>
      </w:r>
      <w:r w:rsidR="00DD6412">
        <w:t>Tests with Controls……</w:t>
      </w:r>
      <w:r>
        <w:t>...</w:t>
      </w:r>
      <w:r w:rsidR="00EA1BB2">
        <w:t>…………………………………….….76</w:t>
      </w:r>
    </w:p>
    <w:p w:rsidR="00617839" w:rsidRDefault="00194FE8" w:rsidP="00617839">
      <w:pPr>
        <w:pStyle w:val="NoSpacing"/>
        <w:ind w:left="720" w:hanging="720"/>
      </w:pPr>
      <w:r>
        <w:t xml:space="preserve">Table 7: Regressions for </w:t>
      </w:r>
      <w:r w:rsidRPr="0094522D">
        <w:rPr>
          <w:i/>
        </w:rPr>
        <w:t>ExVal</w:t>
      </w:r>
      <w:r>
        <w:t xml:space="preserve"> on Segm</w:t>
      </w:r>
      <w:r w:rsidR="00617839">
        <w:t xml:space="preserve">ent Reporting Differentiation, a Variable </w:t>
      </w:r>
    </w:p>
    <w:p w:rsidR="00194FE8" w:rsidRDefault="00617839" w:rsidP="00617839">
      <w:pPr>
        <w:pStyle w:val="NoSpacing"/>
        <w:ind w:left="720"/>
      </w:pPr>
      <w:r>
        <w:t xml:space="preserve">  </w:t>
      </w:r>
      <w:proofErr w:type="gramStart"/>
      <w:r>
        <w:t>for</w:t>
      </w:r>
      <w:proofErr w:type="gramEnd"/>
      <w:r>
        <w:t xml:space="preserve"> Small Differentiating Segments &amp; Controls</w:t>
      </w:r>
      <w:r w:rsidR="00194FE8">
        <w:t>…</w:t>
      </w:r>
      <w:r>
        <w:t>…………………</w:t>
      </w:r>
      <w:r w:rsidR="00194FE8">
        <w:t>…………7</w:t>
      </w:r>
      <w:r w:rsidR="00EA1BB2">
        <w:t>8</w:t>
      </w:r>
    </w:p>
    <w:p w:rsidR="002567CF" w:rsidRDefault="002567CF" w:rsidP="004A7222">
      <w:pPr>
        <w:pStyle w:val="NoSpacing"/>
      </w:pPr>
    </w:p>
    <w:p w:rsidR="007B2DD0" w:rsidRDefault="00617839" w:rsidP="00617839">
      <w:pPr>
        <w:pStyle w:val="NoSpacing"/>
        <w:ind w:left="720" w:hanging="720"/>
      </w:pPr>
      <w:r>
        <w:t xml:space="preserve">Table 8: Regressions for </w:t>
      </w:r>
      <w:r>
        <w:rPr>
          <w:i/>
        </w:rPr>
        <w:t>ExVal</w:t>
      </w:r>
      <w:r>
        <w:t xml:space="preserve"> on Segment Reporti</w:t>
      </w:r>
      <w:r w:rsidR="007B2DD0">
        <w:t>ng Differentiation,</w:t>
      </w:r>
      <w:r>
        <w:t xml:space="preserve"> Controls </w:t>
      </w:r>
    </w:p>
    <w:p w:rsidR="00617839" w:rsidRDefault="007B2DD0" w:rsidP="007B2DD0">
      <w:pPr>
        <w:pStyle w:val="NoSpacing"/>
        <w:ind w:left="720"/>
      </w:pPr>
      <w:r>
        <w:t xml:space="preserve">  </w:t>
      </w:r>
      <w:proofErr w:type="gramStart"/>
      <w:r w:rsidR="00617839">
        <w:t>and</w:t>
      </w:r>
      <w:proofErr w:type="gramEnd"/>
      <w:r w:rsidR="00617839">
        <w:t xml:space="preserve"> </w:t>
      </w:r>
      <w:r>
        <w:t xml:space="preserve">for Variables </w:t>
      </w:r>
      <w:r w:rsidR="00617839">
        <w:t>Competition/Concentration ………………………………</w:t>
      </w:r>
      <w:r>
        <w:t>..8</w:t>
      </w:r>
      <w:r w:rsidR="00EA1BB2">
        <w:t>0</w:t>
      </w:r>
    </w:p>
    <w:p w:rsidR="00DE1EF7" w:rsidRDefault="00DE1EF7" w:rsidP="00DE1EF7"/>
    <w:p w:rsidR="004A7222" w:rsidRDefault="00DA1971" w:rsidP="00E11DA8">
      <w:pPr>
        <w:pStyle w:val="Heading1"/>
      </w:pPr>
      <w:r>
        <w:br w:type="page"/>
      </w:r>
      <w:bookmarkStart w:id="4" w:name="_Toc310579466"/>
      <w:bookmarkStart w:id="5" w:name="_Toc414633025"/>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F077D6">
            <w:t>List of Figures</w:t>
          </w:r>
        </w:sdtContent>
      </w:sdt>
      <w:bookmarkEnd w:id="4"/>
      <w:bookmarkEnd w:id="5"/>
    </w:p>
    <w:p w:rsidR="002567CF" w:rsidRPr="00EE3EDB" w:rsidRDefault="002567CF" w:rsidP="002567CF">
      <w:pPr>
        <w:pStyle w:val="NoSpacing"/>
        <w:spacing w:line="480" w:lineRule="auto"/>
      </w:pPr>
      <w:r>
        <w:t xml:space="preserve">Figure </w:t>
      </w:r>
      <w:r w:rsidR="004E44EE">
        <w:t>A.1: Diagram of General Dynamics’</w:t>
      </w:r>
      <w:r>
        <w:t xml:space="preserve"> and Antheon’s Ten Close</w:t>
      </w:r>
      <w:r w:rsidR="00D81B99">
        <w:t>st</w:t>
      </w:r>
      <w:r>
        <w:t xml:space="preserve"> Peers……….52</w:t>
      </w:r>
    </w:p>
    <w:p w:rsidR="002567CF" w:rsidRPr="006E41CB" w:rsidRDefault="006E41CB">
      <w:pPr>
        <w:pStyle w:val="TableofFigures"/>
        <w:tabs>
          <w:tab w:val="right" w:leader="dot" w:pos="8486"/>
        </w:tabs>
      </w:pPr>
      <w:r>
        <w:t xml:space="preserve">Figure 1: Example of how to calculate </w:t>
      </w:r>
      <w:r>
        <w:rPr>
          <w:i/>
        </w:rPr>
        <w:t>DIFF</w:t>
      </w:r>
      <w:r w:rsidR="00E11DA8">
        <w:t>…………………………………………..59</w:t>
      </w:r>
    </w:p>
    <w:p w:rsidR="00DA1971" w:rsidRPr="0091534A" w:rsidRDefault="00DA1971" w:rsidP="00EB5463">
      <w:pPr>
        <w:pStyle w:val="TableofFigures"/>
        <w:tabs>
          <w:tab w:val="right" w:leader="dot" w:pos="8486"/>
        </w:tabs>
        <w:jc w:val="center"/>
        <w:rPr>
          <w:rFonts w:asciiTheme="majorHAnsi" w:hAnsiTheme="majorHAnsi"/>
          <w:b/>
          <w:bCs/>
          <w:sz w:val="28"/>
          <w:szCs w:val="32"/>
        </w:rPr>
      </w:pPr>
      <w:r>
        <w:br w:type="page"/>
      </w:r>
      <w:bookmarkStart w:id="6" w:name="_Toc310579467"/>
      <w:r w:rsidRPr="0091534A">
        <w:rPr>
          <w:rFonts w:asciiTheme="majorHAnsi" w:hAnsiTheme="majorHAnsi"/>
          <w:b/>
          <w:bCs/>
          <w:sz w:val="28"/>
          <w:szCs w:val="32"/>
        </w:rPr>
        <w:lastRenderedPageBreak/>
        <w:t>Abstract</w:t>
      </w:r>
      <w:bookmarkEnd w:id="6"/>
    </w:p>
    <w:p w:rsidR="00F778C8" w:rsidRDefault="00F778C8" w:rsidP="00424119">
      <w:pPr>
        <w:pStyle w:val="NoSpacing"/>
        <w:spacing w:line="480" w:lineRule="auto"/>
        <w:ind w:right="36"/>
      </w:pPr>
      <w:r w:rsidRPr="00475463">
        <w:t xml:space="preserve">This study examines a firm’s excess value based on </w:t>
      </w:r>
      <w:r>
        <w:t>segment reporting for the firm and its peer group</w:t>
      </w:r>
      <w:r w:rsidRPr="00475463">
        <w:t xml:space="preserve">.  </w:t>
      </w:r>
      <w:r>
        <w:t>Firms often operate in industry segments not reported by peers.  When such operating segments are reported separately, the assessed covariance between the focal firm’s cash flows and those of its peers is reduced.</w:t>
      </w:r>
      <w:r w:rsidRPr="00475463">
        <w:t xml:space="preserve">  </w:t>
      </w:r>
      <w:r>
        <w:t xml:space="preserve">As a result, </w:t>
      </w:r>
      <w:r w:rsidRPr="00475463">
        <w:t xml:space="preserve">I hypothesize </w:t>
      </w:r>
      <w:r>
        <w:t>that a larger difference in reported operating segments between the</w:t>
      </w:r>
      <w:r w:rsidRPr="00475463">
        <w:t xml:space="preserve"> </w:t>
      </w:r>
      <w:r>
        <w:t>focal firm</w:t>
      </w:r>
      <w:r w:rsidRPr="00475463">
        <w:t xml:space="preserve"> </w:t>
      </w:r>
      <w:r>
        <w:t>and its peer group increases</w:t>
      </w:r>
      <w:r w:rsidRPr="00475463">
        <w:t xml:space="preserve"> </w:t>
      </w:r>
      <w:r>
        <w:t>the</w:t>
      </w:r>
      <w:r w:rsidRPr="00475463">
        <w:t xml:space="preserve"> </w:t>
      </w:r>
      <w:r>
        <w:t xml:space="preserve">focal </w:t>
      </w:r>
      <w:r w:rsidRPr="00475463">
        <w:t>firm’s excess value.</w:t>
      </w:r>
      <w:r>
        <w:t xml:space="preserve">  Additionally, when a peer group reports greater differences in operating segments, the focal firm will benefit from increased differentiation between firms in the peer group, also increasing focal firm excess value.</w:t>
      </w:r>
      <w:r w:rsidRPr="00475463">
        <w:t xml:space="preserve">  Using peer groups based on product descriptions from Form 10-K filings, I construct a measure of segment </w:t>
      </w:r>
      <w:r>
        <w:t>reporting differentiation and find evidence consistent with my expectations</w:t>
      </w:r>
      <w:r w:rsidRPr="00475463">
        <w:t xml:space="preserve">. </w:t>
      </w:r>
      <w:r>
        <w:t>I also find the effects of reporting differentiating segment are more pronounced after an increase in mandatory disclosure precision (ASC 280), suggesting possible externalities due to increased mandatory reporting requirements.</w:t>
      </w:r>
      <w:r w:rsidRPr="00475463">
        <w:t xml:space="preserve"> </w:t>
      </w:r>
      <w:r>
        <w:t xml:space="preserve">Overall, </w:t>
      </w:r>
      <w:r w:rsidRPr="00475463">
        <w:t xml:space="preserve">results are consistent with the idea that higher </w:t>
      </w:r>
      <w:r>
        <w:t xml:space="preserve">levels of differentiation by the focal firm and </w:t>
      </w:r>
      <w:r w:rsidRPr="00475463">
        <w:t>by peer</w:t>
      </w:r>
      <w:r>
        <w:t>s</w:t>
      </w:r>
      <w:r w:rsidRPr="00475463">
        <w:t xml:space="preserve"> </w:t>
      </w:r>
      <w:r>
        <w:t xml:space="preserve">reduce correlations between firms, </w:t>
      </w:r>
      <w:r w:rsidRPr="00475463">
        <w:t>af</w:t>
      </w:r>
      <w:r>
        <w:t>fecting</w:t>
      </w:r>
      <w:r w:rsidRPr="00475463">
        <w:t xml:space="preserve"> </w:t>
      </w:r>
      <w:r>
        <w:t xml:space="preserve">the focal </w:t>
      </w:r>
      <w:r w:rsidRPr="00475463">
        <w:t xml:space="preserve">firm’s </w:t>
      </w:r>
      <w:r>
        <w:t xml:space="preserve">excess </w:t>
      </w:r>
      <w:r w:rsidRPr="00475463">
        <w:t>value.</w:t>
      </w:r>
    </w:p>
    <w:p w:rsidR="00DA1971" w:rsidRDefault="00DA1971" w:rsidP="00DA1971"/>
    <w:p w:rsidR="00F778C8" w:rsidRDefault="00F778C8" w:rsidP="00DA1971">
      <w:pPr>
        <w:sectPr w:rsidR="00F778C8" w:rsidSect="00775701">
          <w:footerReference w:type="default" r:id="rId9"/>
          <w:pgSz w:w="12240" w:h="15840" w:code="1"/>
          <w:pgMar w:top="1440" w:right="1440" w:bottom="1440" w:left="2304" w:header="720" w:footer="720" w:gutter="0"/>
          <w:pgNumType w:fmt="lowerRoman" w:start="4"/>
          <w:cols w:space="720"/>
          <w:docGrid w:linePitch="360"/>
        </w:sectPr>
      </w:pPr>
    </w:p>
    <w:p w:rsidR="00DA1971" w:rsidRPr="000F56FF" w:rsidRDefault="00DA1971" w:rsidP="000F56FF">
      <w:pPr>
        <w:pStyle w:val="Heading1"/>
      </w:pPr>
      <w:bookmarkStart w:id="7" w:name="_Toc310579468"/>
      <w:bookmarkStart w:id="8" w:name="_Toc414633026"/>
      <w:r w:rsidRPr="000F56FF">
        <w:lastRenderedPageBreak/>
        <w:t xml:space="preserve">Chapter </w:t>
      </w:r>
      <w:r w:rsidR="00111915" w:rsidRPr="000F56FF">
        <w:t>1</w:t>
      </w:r>
      <w:r w:rsidR="009245C5" w:rsidRPr="000F56FF">
        <w:t xml:space="preserve">: </w:t>
      </w:r>
      <w:r w:rsidRPr="000F56FF">
        <w:t>Introduction</w:t>
      </w:r>
      <w:bookmarkEnd w:id="7"/>
      <w:bookmarkEnd w:id="8"/>
    </w:p>
    <w:p w:rsidR="00F778C8" w:rsidRDefault="00F778C8" w:rsidP="00F778C8">
      <w:pPr>
        <w:ind w:firstLine="432"/>
      </w:pPr>
      <w:r w:rsidRPr="00475463">
        <w:t xml:space="preserve">This study examines the effects of </w:t>
      </w:r>
      <w:r>
        <w:t xml:space="preserve">segment differentiation </w:t>
      </w:r>
      <w:r w:rsidRPr="00475463">
        <w:t>on a firm’s excess value</w:t>
      </w:r>
      <w:r>
        <w:t>.</w:t>
      </w:r>
      <w:r w:rsidRPr="00475463">
        <w:rPr>
          <w:rStyle w:val="FootnoteReference"/>
        </w:rPr>
        <w:footnoteReference w:id="1"/>
      </w:r>
      <w:r>
        <w:t xml:space="preserve">  Segment differentiation is defined as the differences in reported segments either between the firm and its peers or differences among peers themselves. Excess value refers to the difference between the market value of the firm and its implied value.</w:t>
      </w:r>
      <w:r w:rsidRPr="00475463">
        <w:rPr>
          <w:rStyle w:val="FootnoteReference"/>
        </w:rPr>
        <w:footnoteReference w:id="2"/>
      </w:r>
      <w:r>
        <w:t xml:space="preserve">  </w:t>
      </w:r>
      <w:r w:rsidRPr="00475463">
        <w:t>An extensive literature in finance examines how firm operations in multiple, diverse industries impact</w:t>
      </w:r>
      <w:r>
        <w:t>s</w:t>
      </w:r>
      <w:r w:rsidRPr="00475463">
        <w:t xml:space="preserve"> excess value.</w:t>
      </w:r>
      <w:r>
        <w:rPr>
          <w:rStyle w:val="FootnoteReference"/>
        </w:rPr>
        <w:footnoteReference w:id="3"/>
      </w:r>
      <w:r w:rsidRPr="00475463">
        <w:t xml:space="preserve">  </w:t>
      </w:r>
      <w:r>
        <w:t>Specifically, r</w:t>
      </w:r>
      <w:r w:rsidRPr="00475463">
        <w:t xml:space="preserve">esearch </w:t>
      </w:r>
      <w:r>
        <w:t>demonstrates</w:t>
      </w:r>
      <w:r w:rsidRPr="00475463">
        <w:t xml:space="preserve"> firm characteristics or data used when estimating excess value lead to </w:t>
      </w:r>
      <w:r>
        <w:t>differences in firm valuation</w:t>
      </w:r>
      <w:r w:rsidRPr="00475463">
        <w:t xml:space="preserve">.  </w:t>
      </w:r>
      <w:r>
        <w:t>C</w:t>
      </w:r>
      <w:r w:rsidRPr="00475463">
        <w:t xml:space="preserve">onsistent across all research on </w:t>
      </w:r>
      <w:r>
        <w:t xml:space="preserve">operational diversity </w:t>
      </w:r>
      <w:r w:rsidRPr="00475463">
        <w:t>and excess value is (1) diversified firms</w:t>
      </w:r>
      <w:r>
        <w:t>, operating in multiple lines of business,</w:t>
      </w:r>
      <w:r w:rsidRPr="00475463">
        <w:t xml:space="preserve"> are valued differently than their single-segment counter parts and (2) firm characteristics play an important role in determining how diversificatio</w:t>
      </w:r>
      <w:r w:rsidR="004429A9">
        <w:t>n a</w:t>
      </w:r>
      <w:r w:rsidRPr="00475463">
        <w:t>ffects excess value</w:t>
      </w:r>
      <w:r>
        <w:t xml:space="preserve"> (positively or negatively).  However, little research examines how </w:t>
      </w:r>
      <w:proofErr w:type="gramStart"/>
      <w:r>
        <w:t>differences in segment reporting of the firm and its peers affects</w:t>
      </w:r>
      <w:proofErr w:type="gramEnd"/>
      <w:r>
        <w:t xml:space="preserve"> excess value of the firm.</w:t>
      </w:r>
    </w:p>
    <w:p w:rsidR="00F778C8" w:rsidRPr="00475463" w:rsidRDefault="004604A2" w:rsidP="00F778C8">
      <w:pPr>
        <w:ind w:firstLine="432"/>
      </w:pPr>
      <w:hyperlink w:anchor="_ENREF_8" w:tooltip="Bens, 2004 #78" w:history="1">
        <w:r w:rsidR="00F778C8">
          <w:rPr>
            <w:noProof/>
          </w:rPr>
          <w:t>Bens and Monahan (2004</w:t>
        </w:r>
      </w:hyperlink>
      <w:r w:rsidR="00F778C8">
        <w:rPr>
          <w:noProof/>
        </w:rPr>
        <w:t>) examines how the firm’s segment repor</w:t>
      </w:r>
      <w:r w:rsidR="006C0613">
        <w:rPr>
          <w:noProof/>
        </w:rPr>
        <w:t>t</w:t>
      </w:r>
      <w:r w:rsidR="00F778C8">
        <w:rPr>
          <w:noProof/>
        </w:rPr>
        <w:t xml:space="preserve">ing affects its </w:t>
      </w:r>
      <w:r w:rsidR="00B52359">
        <w:rPr>
          <w:noProof/>
        </w:rPr>
        <w:t xml:space="preserve">own </w:t>
      </w:r>
      <w:r w:rsidR="00F778C8">
        <w:rPr>
          <w:noProof/>
        </w:rPr>
        <w:t>excess value (with no comparison to peer firm reporting)</w:t>
      </w:r>
      <w:r w:rsidR="00F778C8">
        <w:t xml:space="preserve">; more disaggregated line </w:t>
      </w:r>
      <w:r w:rsidR="00F778C8">
        <w:lastRenderedPageBreak/>
        <w:t xml:space="preserve">of business segment reporting improves a firm’s excess value.  In this study, I examine segment reporting from a different perspective. I examine how the </w:t>
      </w:r>
      <w:r w:rsidR="00F778C8" w:rsidRPr="0028566B">
        <w:rPr>
          <w:i/>
        </w:rPr>
        <w:t>differences</w:t>
      </w:r>
      <w:r w:rsidR="00F778C8">
        <w:t xml:space="preserve"> in the focal firm’s reported segments and its peer firms’ reported segments affect excess value. Differentiating segment information provides additional insight by breaking down aggregate firm-level performance into more detailed portions of operations that are distinct from peers.  As differences </w:t>
      </w:r>
      <w:r w:rsidR="00B52359">
        <w:t>in reported segments between the focal firm</w:t>
      </w:r>
      <w:r w:rsidR="00F778C8">
        <w:t xml:space="preserve"> and its peers increase, segment reporting </w:t>
      </w:r>
      <w:r w:rsidR="00B52359">
        <w:t xml:space="preserve">is more valuable </w:t>
      </w:r>
      <w:r w:rsidR="00F778C8">
        <w:t xml:space="preserve">to investors in understanding the covariance of </w:t>
      </w:r>
      <w:r w:rsidR="00B52359">
        <w:t>the firm’s</w:t>
      </w:r>
      <w:r w:rsidR="00F778C8">
        <w:t xml:space="preserve"> </w:t>
      </w:r>
      <w:r w:rsidR="00B52359">
        <w:t>cash flows with</w:t>
      </w:r>
      <w:r w:rsidR="00F778C8">
        <w:t xml:space="preserve"> peers’ cash flows.  Further, I also examine the average level of differentiation within a peer group in determining the impact on</w:t>
      </w:r>
      <w:r w:rsidR="00F077D6">
        <w:t xml:space="preserve"> the focal firms’ excess value; higher levels of differentiation within a peer group will affect the assessed covariance within the peer group, </w:t>
      </w:r>
      <w:r w:rsidR="0042093E">
        <w:t xml:space="preserve">also affecting </w:t>
      </w:r>
      <w:r w:rsidR="00F077D6">
        <w:t>focal firm</w:t>
      </w:r>
      <w:r w:rsidR="0042093E">
        <w:t xml:space="preserve"> cash flows</w:t>
      </w:r>
      <w:r w:rsidR="00F077D6">
        <w:t xml:space="preserve">.  </w:t>
      </w:r>
      <w:r w:rsidR="00F778C8">
        <w:t>In summary, I investigate the following two research questions: (1) Are</w:t>
      </w:r>
      <w:r w:rsidR="00F778C8" w:rsidRPr="00475463">
        <w:t xml:space="preserve"> </w:t>
      </w:r>
      <w:r w:rsidR="00F778C8">
        <w:t xml:space="preserve">differences between the focal firm’s reported segments and its peer group’s reported segments associated with focal firm </w:t>
      </w:r>
      <w:r w:rsidR="00F778C8" w:rsidRPr="00475463">
        <w:t>excess value?</w:t>
      </w:r>
      <w:r w:rsidR="00F778C8">
        <w:t xml:space="preserve">  (2) Is the level of differentiation within a peer group associated with focal firm excess value?  </w:t>
      </w:r>
      <w:r w:rsidR="00F778C8" w:rsidRPr="00475463">
        <w:t xml:space="preserve">I expect </w:t>
      </w:r>
      <w:r w:rsidR="00F778C8">
        <w:t xml:space="preserve">larger differences between the focal </w:t>
      </w:r>
      <w:proofErr w:type="gramStart"/>
      <w:r w:rsidR="00F778C8">
        <w:t>firm</w:t>
      </w:r>
      <w:proofErr w:type="gramEnd"/>
      <w:r w:rsidR="00F778C8">
        <w:t xml:space="preserve"> and its peers as well as higher levels of differentiation within a peer group will </w:t>
      </w:r>
      <w:r w:rsidR="00F778C8" w:rsidRPr="00475463">
        <w:t>improve focal firm excess value.</w:t>
      </w:r>
    </w:p>
    <w:p w:rsidR="00F778C8" w:rsidRDefault="00F778C8" w:rsidP="00F778C8">
      <w:pPr>
        <w:ind w:firstLine="432"/>
      </w:pPr>
      <w:r w:rsidRPr="00475463">
        <w:t>Using a large sample of firms from 1996-2011</w:t>
      </w:r>
      <w:r>
        <w:t>,</w:t>
      </w:r>
      <w:r w:rsidRPr="00475463">
        <w:t xml:space="preserve"> I provide empirical evidence o</w:t>
      </w:r>
      <w:r>
        <w:t xml:space="preserve">f how segment reporting differentiation </w:t>
      </w:r>
      <w:r w:rsidRPr="00475463">
        <w:t xml:space="preserve">affects excess value.  I </w:t>
      </w:r>
      <w:r>
        <w:t xml:space="preserve">find that </w:t>
      </w:r>
      <w:r w:rsidRPr="00475463">
        <w:t xml:space="preserve">higher </w:t>
      </w:r>
      <w:r>
        <w:t>segment reporting differentiation between the firm and its peers increases</w:t>
      </w:r>
      <w:r w:rsidRPr="00475463">
        <w:t xml:space="preserve"> </w:t>
      </w:r>
      <w:r>
        <w:t xml:space="preserve">focal firm </w:t>
      </w:r>
      <w:r w:rsidRPr="00475463">
        <w:t xml:space="preserve">excess value.  </w:t>
      </w:r>
      <w:r>
        <w:t xml:space="preserve">I also find that higher segment differentiation among peers increases focal firm excess value.  Peer firms are identified using </w:t>
      </w:r>
      <w:r w:rsidRPr="00475463">
        <w:t>product-level data disclosed in annual 10-</w:t>
      </w:r>
      <w:r w:rsidRPr="00475463">
        <w:lastRenderedPageBreak/>
        <w:t>K filings.</w:t>
      </w:r>
      <w:r>
        <w:rPr>
          <w:rStyle w:val="FootnoteReference"/>
        </w:rPr>
        <w:footnoteReference w:id="4"/>
      </w:r>
      <w:r w:rsidRPr="00475463">
        <w:t xml:space="preserve">  Hoberg and Phillips (2010a; 2013) </w:t>
      </w:r>
      <w:r>
        <w:t>create peer groups based on similarity of product descriptions in annual 10-K filings.</w:t>
      </w:r>
    </w:p>
    <w:p w:rsidR="00F778C8" w:rsidRPr="00475463" w:rsidRDefault="00F778C8" w:rsidP="00F778C8">
      <w:pPr>
        <w:ind w:firstLine="720"/>
      </w:pPr>
      <w:r>
        <w:t>Additionally</w:t>
      </w:r>
      <w:r w:rsidRPr="00475463">
        <w:t xml:space="preserve">, I </w:t>
      </w:r>
      <w:r>
        <w:t xml:space="preserve">examine whether </w:t>
      </w:r>
      <w:r w:rsidRPr="00475463">
        <w:t>increases in mandatory segment disclosure precision create reporting externalities.</w:t>
      </w:r>
      <w:r>
        <w:t xml:space="preserve">  </w:t>
      </w:r>
      <w:r>
        <w:fldChar w:fldCharType="begin"/>
      </w:r>
      <w:r w:rsidR="0091777F">
        <w:instrText xml:space="preserve"> ADDIN EN.CITE &lt;EndNote&gt;&lt;Cite AuthorYear="1"&gt;&lt;Author&gt;Ettredge&lt;/Author&gt;&lt;Year&gt;2006&lt;/Year&gt;&lt;RecNum&gt;235&lt;/RecNum&gt;&lt;DisplayText&gt;Ettredge et al. (2006)&lt;/DisplayText&gt;&lt;record&gt;&lt;rec-number&gt;235&lt;/rec-number&gt;&lt;foreign-keys&gt;&lt;key app="EN" db-id="0svx9dsr8pfxzmere98xdw5cr9vx9fdw2wrt" timestamp="1412391670"&gt;235&lt;/key&gt;&lt;key app="ENWeb" db-id=""&gt;0&lt;/key&gt;&lt;/foreign-keys&gt;&lt;ref-type name="Journal Article"&gt;17&lt;/ref-type&gt;&lt;contributors&gt;&lt;authors&gt;&lt;author&gt;Ettredge, Michael L&lt;/author&gt;&lt;author&gt;Kwon, Soo Young&lt;/author&gt;&lt;author&gt;Smith, David B&lt;/author&gt;&lt;author&gt;Stone, Mary S&lt;/author&gt;&lt;/authors&gt;&lt;/contributors&gt;&lt;titles&gt;&lt;title&gt;The effect of SFAS No. 131 on the cross-segment variability of profits reported by multiple segment firms&lt;/title&gt;&lt;secondary-title&gt;Review of Accounting Studies&lt;/secondary-title&gt;&lt;/titles&gt;&lt;periodical&gt;&lt;full-title&gt;Review of Accounting Studies&lt;/full-title&gt;&lt;/periodical&gt;&lt;pages&gt;91-117&lt;/pages&gt;&lt;volume&gt;11&lt;/volume&gt;&lt;number&gt;1&lt;/number&gt;&lt;dates&gt;&lt;year&gt;2006&lt;/year&gt;&lt;/dates&gt;&lt;isbn&gt;1380-6653&lt;/isbn&gt;&lt;urls&gt;&lt;related-urls&gt;&lt;url&gt;http://download.springer.com/static/pdf/778/art%253A10.1007%252Fs11142-006-6397-9.pdf?auth66=1412363539_f265025c8e2063168d427be1e9dc3b96&amp;amp;ext=.pdf&lt;/url&gt;&lt;/related-urls&gt;&lt;/urls&gt;&lt;/record&gt;&lt;/Cite&gt;&lt;/EndNote&gt;</w:instrText>
      </w:r>
      <w:r>
        <w:fldChar w:fldCharType="separate"/>
      </w:r>
      <w:r w:rsidR="0091777F">
        <w:rPr>
          <w:noProof/>
        </w:rPr>
        <w:t>Ettredge et al. (2006)</w:t>
      </w:r>
      <w:r>
        <w:fldChar w:fldCharType="end"/>
      </w:r>
      <w:r>
        <w:t xml:space="preserve"> find the correlation between segments of multi-segment </w:t>
      </w:r>
      <w:proofErr w:type="gramStart"/>
      <w:r>
        <w:t>firms</w:t>
      </w:r>
      <w:proofErr w:type="gramEnd"/>
      <w:r>
        <w:t xml:space="preserve"> decreases after ASC 280 implementation, suggesting firms report segments in more detail.  Ettredge et al. do not examine how a change in mandatory disclosure requirements affects focal firm value.  I find evidence that increases in mandatory disclosure create reporting externalities for peer firms.</w:t>
      </w:r>
    </w:p>
    <w:p w:rsidR="00F778C8" w:rsidRPr="00475463" w:rsidRDefault="00F778C8" w:rsidP="00F778C8">
      <w:pPr>
        <w:tabs>
          <w:tab w:val="left" w:pos="2430"/>
        </w:tabs>
        <w:ind w:firstLine="432"/>
      </w:pPr>
      <w:r w:rsidRPr="00475463">
        <w:t xml:space="preserve">Examining the </w:t>
      </w:r>
      <w:r>
        <w:t>role</w:t>
      </w:r>
      <w:r w:rsidRPr="00475463">
        <w:t xml:space="preserve"> of segment </w:t>
      </w:r>
      <w:r>
        <w:t xml:space="preserve">differentiation </w:t>
      </w:r>
      <w:r w:rsidRPr="00475463">
        <w:t xml:space="preserve">on excess value is important for four reasons.  First, segment reporting as outlined in ASC 280 (previously SFAS No. 131) remains an area of SEC scrutiny and a topic of debate.  Trade publications note segment reporting is one of the highest areas for which firms receive SEC comment letters </w:t>
      </w:r>
      <w:r>
        <w:fldChar w:fldCharType="begin">
          <w:fldData xml:space="preserve">PEVuZE5vdGU+PENpdGU+PEF1dGhvcj5EZWxvaXR0ZTwvQXV0aG9yPjxZZWFyPjIwMTM8L1llYXI+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</w:fldData>
        </w:fldChar>
      </w:r>
      <w:r w:rsidR="0091777F">
        <w:instrText xml:space="preserve"> ADDIN EN.CITE </w:instrText>
      </w:r>
      <w:r w:rsidR="0091777F">
        <w:fldChar w:fldCharType="begin">
          <w:fldData xml:space="preserve">PEVuZE5vdGU+PENpdGU+PEF1dGhvcj5EZWxvaXR0ZTwvQXV0aG9yPjxZZWFyPjIwMTM8L1llYXI+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</w:fldData>
        </w:fldChar>
      </w:r>
      <w:r w:rsidR="0091777F">
        <w:instrText xml:space="preserve"> ADDIN EN.CITE.DATA </w:instrText>
      </w:r>
      <w:r w:rsidR="0091777F">
        <w:fldChar w:fldCharType="end"/>
      </w:r>
      <w:r>
        <w:fldChar w:fldCharType="separate"/>
      </w:r>
      <w:r w:rsidR="0091777F">
        <w:rPr>
          <w:noProof/>
        </w:rPr>
        <w:t>(Deloitte 2013, PricewaterhouseCoopers 2013, 2014b, a)</w:t>
      </w:r>
      <w:r>
        <w:fldChar w:fldCharType="end"/>
      </w:r>
      <w:r w:rsidRPr="00475463">
        <w:t>.  The majority of SEC staff comments relate to how segments are aggregated</w:t>
      </w:r>
      <w:r>
        <w:t xml:space="preserve"> when reported externally</w:t>
      </w:r>
      <w:r w:rsidRPr="00475463">
        <w:t xml:space="preserve">.  A recent Post-Implementation Review of ASC 280 by the Financial Accounting Foundation (hereafter FAF) states the current standard has improved segment reporting </w:t>
      </w:r>
      <w:r>
        <w:t xml:space="preserve">on average </w:t>
      </w:r>
      <w:r w:rsidRPr="00475463">
        <w:t xml:space="preserve">but may also allow latitude for firms to aggregate segments </w:t>
      </w:r>
      <w:r>
        <w:t>when reported outside the firm</w:t>
      </w:r>
      <w:r w:rsidRPr="00475463">
        <w:t xml:space="preserve"> </w:t>
      </w:r>
      <w:r>
        <w:fldChar w:fldCharType="begin"/>
      </w:r>
      <w:r w:rsidR="0091777F">
        <w:instrText xml:space="preserve"> ADDIN EN.CITE &lt;EndNote&gt;&lt;Cite&gt;&lt;Author&gt;FAF&lt;/Author&gt;&lt;Year&gt;2012&lt;/Year&gt;&lt;RecNum&gt;139&lt;/RecNum&gt;&lt;DisplayText&gt;(FAF 2012)&lt;/DisplayText&gt;&lt;record&gt;&lt;rec-number&gt;139&lt;/rec-number&gt;&lt;foreign-keys&gt;&lt;key app="EN" db-id="0svx9dsr8pfxzmere98xdw5cr9vx9fdw2wrt" timestamp="1392430198"&gt;139&lt;/key&gt;&lt;key app="ENWeb" db-id=""&gt;0&lt;/key&gt;&lt;/foreign-keys&gt;&lt;ref-type name="Report"&gt;27&lt;/ref-type&gt;&lt;contributors&gt;&lt;authors&gt;&lt;author&gt;FAF&lt;/author&gt;&lt;/authors&gt;&lt;tertiary-authors&gt;&lt;author&gt;Financial Accounting Foundation&lt;/author&gt;&lt;/tertiary-authors&gt;&lt;/contributors&gt;&lt;titles&gt;&lt;title&gt;Post-Implementation Review Report on FASB Statement No. 131, Disclosures about Segments of an Enterprise and Related Information&lt;/title&gt;&lt;/titles&gt;&lt;pages&gt;1-12&lt;/pages&gt;&lt;dates&gt;&lt;year&gt;2012&lt;/year&gt;&lt;pub-dates&gt;&lt;date&gt;December 2012&lt;/date&gt;&lt;/pub-dates&gt;&lt;/dates&gt;&lt;pub-location&gt;Norwalk, Connecticut&lt;/pub-location&gt;&lt;publisher&gt;Finanical Accounting Foundation&lt;/publisher&gt;&lt;work-type&gt;Post-Implementation Review Report&lt;/work-type&gt;&lt;urls&gt;&lt;related-urls&gt;&lt;url&gt;http://www.accountingfoundation.org/jsp/Foundation/Page/FAFSectionPage&amp;amp;cid=1176163052005&lt;/url&gt;&lt;/related-urls&gt;&lt;/urls&gt;&lt;/record&gt;&lt;/Cite&gt;&lt;/EndNote&gt;</w:instrText>
      </w:r>
      <w:r>
        <w:fldChar w:fldCharType="separate"/>
      </w:r>
      <w:r w:rsidR="0091777F">
        <w:rPr>
          <w:noProof/>
        </w:rPr>
        <w:t>(FAF 2012)</w:t>
      </w:r>
      <w:r>
        <w:fldChar w:fldCharType="end"/>
      </w:r>
      <w:r w:rsidRPr="00475463">
        <w:t xml:space="preserve">.  Research using plant-level data affirms this supposition; </w:t>
      </w:r>
      <w:r>
        <w:fldChar w:fldCharType="begin"/>
      </w:r>
      <w:r w:rsidR="0091777F">
        <w:instrText xml:space="preserve"> ADDIN EN.CITE &lt;EndNote&gt;&lt;Cite AuthorYear="1"&gt;&lt;Author&gt;Bens&lt;/Author&gt;&lt;Year&gt;2011&lt;/Year&gt;&lt;RecNum&gt;151&lt;/RecNum&gt;&lt;DisplayText&gt;Bens, Berger, and Monahan (2011)&lt;/DisplayText&gt;&lt;record&gt;&lt;rec-number&gt;151&lt;/rec-number&gt;&lt;foreign-keys&gt;&lt;key app="EN" db-id="0svx9dsr8pfxzmere98xdw5cr9vx9fdw2wrt" timestamp="1392430214"&gt;151&lt;/key&gt;&lt;key app="ENWeb" db-id=""&gt;0&lt;/key&gt;&lt;/foreign-keys&gt;&lt;ref-type name="Journal Article"&gt;17&lt;/ref-type&gt;&lt;contributors&gt;&lt;authors&gt;&lt;author&gt;Bens, Daniel A.&lt;/author&gt;&lt;author&gt;Berger, Philip G.&lt;/author&gt;&lt;author&gt;Monahan, Steven J.&lt;/author&gt;&lt;/authors&gt;&lt;/contributors&gt;&lt;auth-address&gt;U AZ&amp;#xD;U Chicago&amp;#xD;INSEAD, Fontainebleau&lt;/auth-address&gt;&lt;titles&gt;&lt;title&gt;Discretionary Disclosure in Financial Reporting: An Examination Comparing Internal Firm Data to Externally Reported Segment Data&lt;/title&gt;&lt;secondary-title&gt;Accounting Review&lt;/secondary-title&gt;&lt;/titles&gt;&lt;periodical&gt;&lt;full-title&gt;Accounting Review&lt;/full-title&gt;&lt;/periodical&gt;&lt;pages&gt;417-449&lt;/pages&gt;&lt;volume&gt;86&lt;/volume&gt;&lt;number&gt;2&lt;/number&gt;&lt;keywords&gt;&lt;keyword&gt;Financing Policy&lt;/keyword&gt;&lt;keyword&gt;Financial Risk and Risk Management&lt;/keyword&gt;&lt;keyword&gt;Capital and Ownership Structure&lt;/keyword&gt;&lt;keyword&gt;Value of Firms&lt;/keyword&gt;&lt;keyword&gt;Goodwill G32&lt;/keyword&gt;&lt;keyword&gt;Accounting M41&lt;/keyword&gt;&lt;/keywords&gt;&lt;dates&gt;&lt;year&gt;2011&lt;/year&gt;&lt;/dates&gt;&lt;isbn&gt;00014826&lt;/isbn&gt;&lt;accession-num&gt;1372048&lt;/accession-num&gt;&lt;urls&gt;&lt;related-urls&gt;&lt;url&gt;http://libraries.ou.edu/access.aspx?url=http://search.ebscohost.com/login.aspx?direct=true&amp;amp;db=ecn&amp;amp;AN=1372048&amp;amp;site=ehost-live&lt;/url&gt;&lt;url&gt;http://aaapubs.org/loi/accr&lt;/url&gt;&lt;/related-urls&gt;&lt;/urls&gt;&lt;electronic-resource-num&gt;http://aaapubs.org/loi/accr&lt;/electronic-resource-num&gt;&lt;remote-database-name&gt;ecn&lt;/remote-database-name&gt;&lt;remote-database-provider&gt;EBSCOhost&lt;/remote-database-provider&gt;&lt;/record&gt;&lt;/Cite&gt;&lt;/EndNote&gt;</w:instrText>
      </w:r>
      <w:r>
        <w:fldChar w:fldCharType="separate"/>
      </w:r>
      <w:r w:rsidR="0091777F">
        <w:rPr>
          <w:noProof/>
        </w:rPr>
        <w:t>Bens, Berger, and Monahan (2011)</w:t>
      </w:r>
      <w:r>
        <w:fldChar w:fldCharType="end"/>
      </w:r>
      <w:r w:rsidRPr="00475463">
        <w:t xml:space="preserve"> find firms with multiple segments aggregate reported segments </w:t>
      </w:r>
      <w:r>
        <w:t>to</w:t>
      </w:r>
      <w:r w:rsidRPr="00475463">
        <w:t xml:space="preserve"> limit stakeholders’ monitoring ability and to maintain competitive advantages.  </w:t>
      </w:r>
      <w:r>
        <w:t xml:space="preserve">Little research examines how differentiating segments firms affect firm </w:t>
      </w:r>
      <w:r>
        <w:lastRenderedPageBreak/>
        <w:t>value.</w:t>
      </w:r>
      <w:r w:rsidRPr="00475463">
        <w:t xml:space="preserve">  </w:t>
      </w:r>
      <w:r>
        <w:t>This study provides evidence that higher focal firm segment differentiation results in higher focal firm excess value.</w:t>
      </w:r>
    </w:p>
    <w:p w:rsidR="00F778C8" w:rsidRPr="00475463" w:rsidRDefault="00F778C8" w:rsidP="00F778C8">
      <w:pPr>
        <w:ind w:firstLine="720"/>
      </w:pPr>
      <w:r>
        <w:t>Second</w:t>
      </w:r>
      <w:r w:rsidRPr="00475463">
        <w:t xml:space="preserve">, while several studies </w:t>
      </w:r>
      <w:r>
        <w:t xml:space="preserve">examine </w:t>
      </w:r>
      <w:r w:rsidRPr="00475463">
        <w:t xml:space="preserve">effects of focal firm segment </w:t>
      </w:r>
      <w:r>
        <w:t>reporting</w:t>
      </w:r>
      <w:r w:rsidRPr="00475463">
        <w:t xml:space="preserve">, limited evidence exists on the role of peer </w:t>
      </w:r>
      <w:r>
        <w:t xml:space="preserve">firm </w:t>
      </w:r>
      <w:r w:rsidRPr="00475463">
        <w:t>segment reporting.  Theoretical evidence suggests more precise segment information</w:t>
      </w:r>
      <w:r>
        <w:t xml:space="preserve"> reduces the perceived systematic correlation between firms’ cash flows,</w:t>
      </w:r>
      <w:r w:rsidRPr="00475463">
        <w:t xml:space="preserve"> </w:t>
      </w:r>
      <w:r>
        <w:t>reducing</w:t>
      </w:r>
      <w:r w:rsidRPr="00475463">
        <w:t xml:space="preserve"> the unconditional covariance </w:t>
      </w:r>
      <w:r>
        <w:t xml:space="preserve">between focal firm and </w:t>
      </w:r>
      <w:r w:rsidRPr="00475463">
        <w:t xml:space="preserve">peer firm segments </w:t>
      </w:r>
      <w:r>
        <w:fldChar w:fldCharType="begin">
          <w:fldData xml:space="preserve">PEVuZE5vdGU+PENpdGU+PEF1dGhvcj5MYW1iZXJ0PC9BdXRob3I+PFllYXI+MjAwNzwvWWVhcj48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</w:fldData>
        </w:fldChar>
      </w:r>
      <w:r w:rsidR="0091777F">
        <w:instrText xml:space="preserve"> ADDIN EN.CITE </w:instrText>
      </w:r>
      <w:r w:rsidR="0091777F">
        <w:fldChar w:fldCharType="begin">
          <w:fldData xml:space="preserve">PEVuZE5vdGU+PENpdGU+PEF1dGhvcj5MYW1iZXJ0PC9BdXRob3I+PFllYXI+MjAwNzwvWWVhcj48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</w:fldData>
        </w:fldChar>
      </w:r>
      <w:r w:rsidR="0091777F">
        <w:instrText xml:space="preserve"> ADDIN EN.CITE.DATA </w:instrText>
      </w:r>
      <w:r w:rsidR="0091777F">
        <w:fldChar w:fldCharType="end"/>
      </w:r>
      <w:r>
        <w:fldChar w:fldCharType="separate"/>
      </w:r>
      <w:r w:rsidR="0091777F">
        <w:rPr>
          <w:noProof/>
        </w:rPr>
        <w:t>(Lambert, Leuz, and Verrecchia 2007, Lambert, Leuz, and Verrecchia 2012)</w:t>
      </w:r>
      <w:r>
        <w:fldChar w:fldCharType="end"/>
      </w:r>
      <w:r>
        <w:t>.  I</w:t>
      </w:r>
      <w:r w:rsidRPr="00475463">
        <w:t xml:space="preserve">ncreased </w:t>
      </w:r>
      <w:r>
        <w:t xml:space="preserve">differentiation between the focal firm and its </w:t>
      </w:r>
      <w:r w:rsidRPr="00475463">
        <w:t xml:space="preserve">peer </w:t>
      </w:r>
      <w:r>
        <w:t xml:space="preserve">group will result in higher </w:t>
      </w:r>
      <w:r w:rsidRPr="00475463">
        <w:t>focal firm excess value.</w:t>
      </w:r>
      <w:r>
        <w:t xml:space="preserve">  Further, </w:t>
      </w:r>
      <w:r>
        <w:fldChar w:fldCharType="begin"/>
      </w:r>
      <w:r w:rsidR="0091777F">
        <w:instrText xml:space="preserve"> ADDIN EN.CITE &lt;EndNote&gt;&lt;Cite AuthorYear="1"&gt;&lt;Author&gt;Lambert&lt;/Author&gt;&lt;Year&gt;2007&lt;/Year&gt;&lt;RecNum&gt;97&lt;/RecNum&gt;&lt;DisplayText&gt;Lambert,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t xml:space="preserve"> also suggest the average level of information precision within a peer group will also help investors better evaluate future cash flows of the focal firm’s segments, improving focal firm value.  A peer group’s average level of segment differentiation will result in higher focal firm excess value.  </w:t>
      </w:r>
      <w:r w:rsidRPr="00475463">
        <w:t xml:space="preserve">I </w:t>
      </w:r>
      <w:r>
        <w:t xml:space="preserve">test these assertions empirically. </w:t>
      </w:r>
    </w:p>
    <w:p w:rsidR="00F778C8" w:rsidRPr="00475463" w:rsidRDefault="00F778C8" w:rsidP="00F778C8">
      <w:r>
        <w:tab/>
        <w:t>Third</w:t>
      </w:r>
      <w:r w:rsidRPr="00475463">
        <w:t xml:space="preserve">, understanding the role of peer segment </w:t>
      </w:r>
      <w:r>
        <w:t xml:space="preserve">reporting </w:t>
      </w:r>
      <w:r w:rsidRPr="00475463">
        <w:t xml:space="preserve">in focal firm valuation is important to standard setters evaluating the possibility of </w:t>
      </w:r>
      <w:r>
        <w:t xml:space="preserve">altering </w:t>
      </w:r>
      <w:r w:rsidRPr="00475463">
        <w:t xml:space="preserve">mandatory disclosure requirements.  </w:t>
      </w:r>
      <w:r>
        <w:t xml:space="preserve">The Post Implementation Review </w:t>
      </w:r>
      <w:r>
        <w:fldChar w:fldCharType="begin"/>
      </w:r>
      <w:r w:rsidR="0091777F">
        <w:instrText xml:space="preserve"> ADDIN EN.CITE &lt;EndNote&gt;&lt;Cite&gt;&lt;Author&gt;FAF&lt;/Author&gt;&lt;Year&gt;2012&lt;/Year&gt;&lt;RecNum&gt;139&lt;/RecNum&gt;&lt;DisplayText&gt;(FAF 2012)&lt;/DisplayText&gt;&lt;record&gt;&lt;rec-number&gt;139&lt;/rec-number&gt;&lt;foreign-keys&gt;&lt;key app="EN" db-id="0svx9dsr8pfxzmere98xdw5cr9vx9fdw2wrt" timestamp="1392430198"&gt;139&lt;/key&gt;&lt;key app="ENWeb" db-id=""&gt;0&lt;/key&gt;&lt;/foreign-keys&gt;&lt;ref-type name="Report"&gt;27&lt;/ref-type&gt;&lt;contributors&gt;&lt;authors&gt;&lt;author&gt;FAF&lt;/author&gt;&lt;/authors&gt;&lt;tertiary-authors&gt;&lt;author&gt;Financial Accounting Foundation&lt;/author&gt;&lt;/tertiary-authors&gt;&lt;/contributors&gt;&lt;titles&gt;&lt;title&gt;Post-Implementation Review Report on FASB Statement No. 131, Disclosures about Segments of an Enterprise and Related Information&lt;/title&gt;&lt;/titles&gt;&lt;pages&gt;1-12&lt;/pages&gt;&lt;dates&gt;&lt;year&gt;2012&lt;/year&gt;&lt;pub-dates&gt;&lt;date&gt;December 2012&lt;/date&gt;&lt;/pub-dates&gt;&lt;/dates&gt;&lt;pub-location&gt;Norwalk, Connecticut&lt;/pub-location&gt;&lt;publisher&gt;Finanical Accounting Foundation&lt;/publisher&gt;&lt;work-type&gt;Post-Implementation Review Report&lt;/work-type&gt;&lt;urls&gt;&lt;related-urls&gt;&lt;url&gt;http://www.accountingfoundation.org/jsp/Foundation/Page/FAFSectionPage&amp;amp;cid=1176163052005&lt;/url&gt;&lt;/related-urls&gt;&lt;/urls&gt;&lt;/record&gt;&lt;/Cite&gt;&lt;/EndNote&gt;</w:instrText>
      </w:r>
      <w:r>
        <w:fldChar w:fldCharType="separate"/>
      </w:r>
      <w:r w:rsidR="0091777F">
        <w:rPr>
          <w:noProof/>
        </w:rPr>
        <w:t>(FAF 2012)</w:t>
      </w:r>
      <w:r>
        <w:fldChar w:fldCharType="end"/>
      </w:r>
      <w:r>
        <w:t xml:space="preserve"> suggests that while ASC 280 is meeting goals </w:t>
      </w:r>
      <w:r w:rsidR="00C814D4">
        <w:t xml:space="preserve">proposed </w:t>
      </w:r>
      <w:r>
        <w:t xml:space="preserve">by standard setters, there is room for improvement.  Except for potential competitive harm due to additional disclosure, little discussion references the importance of peer firm segment disclosure.  </w:t>
      </w:r>
      <w:r w:rsidRPr="00475463">
        <w:t>Research exam</w:t>
      </w:r>
      <w:r>
        <w:t>ining ASC 280 suggests increases in</w:t>
      </w:r>
      <w:r w:rsidRPr="00475463">
        <w:t xml:space="preserve"> </w:t>
      </w:r>
      <w:r>
        <w:t xml:space="preserve">mandatory </w:t>
      </w:r>
      <w:r w:rsidRPr="00475463">
        <w:t xml:space="preserve">segment reporting requirements </w:t>
      </w:r>
      <w:r>
        <w:t xml:space="preserve">for the focal firm </w:t>
      </w:r>
      <w:r w:rsidRPr="00475463">
        <w:t xml:space="preserve">improve segment reporting informativeness </w:t>
      </w:r>
      <w:r>
        <w:fldChar w:fldCharType="begin">
          <w:fldData xml:space="preserve">PEVuZE5vdGU+PENpdGU+PEF1dGhvcj5FdHRyZWRnZTwvQXV0aG9yPjxZZWFyPjIwMDU8L1llYXI+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</w:fldData>
        </w:fldChar>
      </w:r>
      <w:r w:rsidR="0091777F">
        <w:instrText xml:space="preserve"> ADDIN EN.CITE </w:instrText>
      </w:r>
      <w:r w:rsidR="0091777F">
        <w:fldChar w:fldCharType="begin">
          <w:fldData xml:space="preserve">PEVuZE5vdGU+PENpdGU+PEF1dGhvcj5FdHRyZWRnZTwvQXV0aG9yPjxZZWFyPjIwMDU8L1llYXI+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</w:fldData>
        </w:fldChar>
      </w:r>
      <w:r w:rsidR="0091777F">
        <w:instrText xml:space="preserve"> ADDIN EN.CITE.DATA </w:instrText>
      </w:r>
      <w:r w:rsidR="0091777F">
        <w:fldChar w:fldCharType="end"/>
      </w:r>
      <w:r>
        <w:fldChar w:fldCharType="separate"/>
      </w:r>
      <w:r w:rsidR="0091777F">
        <w:rPr>
          <w:noProof/>
        </w:rPr>
        <w:t>(e.g., Ettredge et al. 2005, Ettredge et al. 2006)</w:t>
      </w:r>
      <w:r>
        <w:fldChar w:fldCharType="end"/>
      </w:r>
      <w:r w:rsidRPr="00475463">
        <w:t xml:space="preserve"> and limits managerial ability to aggregate segments </w:t>
      </w:r>
      <w:r>
        <w:fldChar w:fldCharType="begin">
          <w:fldData xml:space="preserve">PEVuZE5vdGU+PENpdGU+PEF1dGhvcj5CZXJnZXI8L0F1dGhvcj48WWVhcj4yMDAzPC9ZZWFyPjxS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</w:fldData>
        </w:fldChar>
      </w:r>
      <w:r w:rsidR="0091777F">
        <w:instrText xml:space="preserve"> ADDIN EN.CITE </w:instrText>
      </w:r>
      <w:r w:rsidR="0091777F">
        <w:fldChar w:fldCharType="begin">
          <w:fldData xml:space="preserve">PEVuZE5vdGU+PENpdGU+PEF1dGhvcj5CZXJnZXI8L0F1dGhvcj48WWVhcj4yMDAzPC9ZZWFyPjxS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</w:fldData>
        </w:fldChar>
      </w:r>
      <w:r w:rsidR="0091777F">
        <w:instrText xml:space="preserve"> ADDIN EN.CITE.DATA </w:instrText>
      </w:r>
      <w:r w:rsidR="0091777F">
        <w:fldChar w:fldCharType="end"/>
      </w:r>
      <w:r>
        <w:fldChar w:fldCharType="separate"/>
      </w:r>
      <w:r w:rsidR="0091777F">
        <w:rPr>
          <w:noProof/>
        </w:rPr>
        <w:t>(e.g., Berger and Hann 2003, Berger and Hann 2007, Botosan and Stanford 2005)</w:t>
      </w:r>
      <w:r>
        <w:fldChar w:fldCharType="end"/>
      </w:r>
      <w:r>
        <w:t>; b</w:t>
      </w:r>
      <w:r w:rsidRPr="00475463">
        <w:t xml:space="preserve">ut </w:t>
      </w:r>
      <w:r>
        <w:t xml:space="preserve">this research </w:t>
      </w:r>
      <w:r w:rsidRPr="00475463">
        <w:t xml:space="preserve">does not address </w:t>
      </w:r>
      <w:r w:rsidRPr="00475463">
        <w:lastRenderedPageBreak/>
        <w:t xml:space="preserve">the </w:t>
      </w:r>
      <w:r>
        <w:t>role of peer firm segment</w:t>
      </w:r>
      <w:r w:rsidRPr="00475463">
        <w:t xml:space="preserve"> reporting</w:t>
      </w:r>
      <w:r>
        <w:t xml:space="preserve"> in evaluating the focal firm</w:t>
      </w:r>
      <w:r w:rsidRPr="00475463">
        <w:t xml:space="preserve">.  Examining the effects of peer firm segment reporting informs </w:t>
      </w:r>
      <w:r>
        <w:t xml:space="preserve">financial statement stakeholders of possible </w:t>
      </w:r>
      <w:r w:rsidRPr="00475463">
        <w:t>extern</w:t>
      </w:r>
      <w:r>
        <w:t xml:space="preserve">alities in segment reporting.  </w:t>
      </w:r>
      <w:r w:rsidRPr="00475463">
        <w:t>I address issues of externalities in segment reporting in this study.</w:t>
      </w:r>
    </w:p>
    <w:p w:rsidR="00F778C8" w:rsidRPr="00475463" w:rsidRDefault="00F778C8" w:rsidP="00F778C8">
      <w:r w:rsidRPr="00475463">
        <w:tab/>
        <w:t xml:space="preserve">Finally, research examining the effects of peer firm financial reporting </w:t>
      </w:r>
      <w:r>
        <w:t xml:space="preserve">quality </w:t>
      </w:r>
      <w:r w:rsidRPr="00475463">
        <w:t xml:space="preserve">on the focal firm </w:t>
      </w:r>
      <w:r>
        <w:t xml:space="preserve">has largely </w:t>
      </w:r>
      <w:r w:rsidRPr="00475463">
        <w:t xml:space="preserve">focused on firm-level disclosures, such as accrual quality </w:t>
      </w:r>
      <w:r>
        <w:fldChar w:fldCharType="begin"/>
      </w:r>
      <w:r w:rsidR="0091777F">
        <w:instrText xml:space="preserve"> ADDIN EN.CITE &lt;EndNote&gt;&lt;Cite&gt;&lt;Author&gt;Ma&lt;/Author&gt;&lt;Year&gt;2013&lt;/Year&gt;&lt;RecNum&gt;130&lt;/RecNum&gt;&lt;DisplayText&gt;(Ma 2013)&lt;/DisplayText&gt;&lt;record&gt;&lt;rec-number&gt;130&lt;/rec-number&gt;&lt;foreign-keys&gt;&lt;key app="EN" db-id="0svx9dsr8pfxzmere98xdw5cr9vx9fdw2wrt" timestamp="1392430169"&gt;130&lt;/key&gt;&lt;key app="ENWeb" db-id=""&gt;0&lt;/key&gt;&lt;/foreign-keys&gt;&lt;ref-type name="Thesis"&gt;32&lt;/ref-type&gt;&lt;contributors&gt;&lt;authors&gt;&lt;author&gt;Ma, Mark Shuai&lt;/author&gt;&lt;/authors&gt;&lt;tertiary-authors&gt;&lt;author&gt;Thomas, Wayne B.&lt;/author&gt;&lt;/tertiary-authors&gt;&lt;/contributors&gt;&lt;titles&gt;&lt;title&gt;Industry Peer Firm Earnings Quality and the Cost of Equity&lt;/title&gt;&lt;secondary-title&gt;John T. Steed School of Accounting&lt;/secondary-title&gt;&lt;/titles&gt;&lt;volume&gt;Doctorate&lt;/volume&gt;&lt;dates&gt;&lt;year&gt;2013&lt;/year&gt;&lt;/dates&gt;&lt;publisher&gt;University of Oklahoma&lt;/publisher&gt;&lt;work-type&gt;Dissertation&lt;/work-type&gt;&lt;urls&gt;&lt;/urls&gt;&lt;/record&gt;&lt;/Cite&gt;&lt;/EndNote&gt;</w:instrText>
      </w:r>
      <w:r>
        <w:fldChar w:fldCharType="separate"/>
      </w:r>
      <w:r w:rsidR="0091777F">
        <w:rPr>
          <w:noProof/>
        </w:rPr>
        <w:t>(Ma 2013)</w:t>
      </w:r>
      <w:r>
        <w:fldChar w:fldCharType="end"/>
      </w:r>
      <w:r>
        <w:t>,</w:t>
      </w:r>
      <w:r w:rsidRPr="00475463">
        <w:t xml:space="preserve"> perceptions of </w:t>
      </w:r>
      <w:r>
        <w:t xml:space="preserve">the </w:t>
      </w:r>
      <w:r w:rsidRPr="00475463">
        <w:t xml:space="preserve">firm </w:t>
      </w:r>
      <w:r>
        <w:fldChar w:fldCharType="begin"/>
      </w:r>
      <w:r w:rsidR="0091777F">
        <w:instrText xml:space="preserve"> ADDIN EN.CITE &lt;EndNote&gt;&lt;Cite&gt;&lt;Author&gt;Welch&lt;/Author&gt;&lt;Year&gt;2014&lt;/Year&gt;&lt;RecNum&gt;143&lt;/RecNum&gt;&lt;DisplayText&gt;(Welch 2014)&lt;/DisplayText&gt;&lt;record&gt;&lt;rec-number&gt;143&lt;/rec-number&gt;&lt;foreign-keys&gt;&lt;key app="EN" db-id="0svx9dsr8pfxzmere98xdw5cr9vx9fdw2wrt" timestamp="1392430200"&gt;143&lt;/key&gt;&lt;key app="ENWeb" db-id=""&gt;0&lt;/key&gt;&lt;/foreign-keys&gt;&lt;ref-type name="Journal Article"&gt;17&lt;/ref-type&gt;&lt;contributors&gt;&lt;authors&gt;&lt;author&gt;Welch, Kyle&lt;/author&gt;&lt;/authors&gt;&lt;/contributors&gt;&lt;titles&gt;&lt;title&gt;Private Equity’s Diversification Illusion: Economic Comovement and Fair Value Reporting&lt;/title&gt;&lt;secondary-title&gt;Available at SSRN&lt;/secondary-title&gt;&lt;/titles&gt;&lt;periodical&gt;&lt;full-title&gt;Available at SSRN&lt;/full-title&gt;&lt;/periodical&gt;&lt;dates&gt;&lt;year&gt;2014&lt;/year&gt;&lt;/dates&gt;&lt;urls&gt;&lt;/urls&gt;&lt;/record&gt;&lt;/Cite&gt;&lt;/EndNote&gt;</w:instrText>
      </w:r>
      <w:r>
        <w:fldChar w:fldCharType="separate"/>
      </w:r>
      <w:r w:rsidR="0091777F">
        <w:rPr>
          <w:noProof/>
        </w:rPr>
        <w:t>(Welch 2014)</w:t>
      </w:r>
      <w:r>
        <w:fldChar w:fldCharType="end"/>
      </w:r>
      <w:r>
        <w:t xml:space="preserve"> or internal control weaknesses </w:t>
      </w:r>
      <w:r>
        <w:fldChar w:fldCharType="begin">
          <w:fldData xml:space="preserve">PEVuZE5vdGU+PENpdGU+PEF1dGhvcj5Bc2hiYXVnaC1Ta2FpZmU8L0F1dGhvcj48WWVhcj4yMDA5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</w:fldData>
        </w:fldChar>
      </w:r>
      <w:r w:rsidR="0091777F">
        <w:instrText xml:space="preserve"> ADDIN EN.CITE </w:instrText>
      </w:r>
      <w:r w:rsidR="0091777F">
        <w:fldChar w:fldCharType="begin">
          <w:fldData xml:space="preserve">PEVuZE5vdGU+PENpdGU+PEF1dGhvcj5Bc2hiYXVnaC1Ta2FpZmU8L0F1dGhvcj48WWVhcj4yMDA5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</w:fldData>
        </w:fldChar>
      </w:r>
      <w:r w:rsidR="0091777F">
        <w:instrText xml:space="preserve"> ADDIN EN.CITE.DATA </w:instrText>
      </w:r>
      <w:r w:rsidR="0091777F">
        <w:fldChar w:fldCharType="end"/>
      </w:r>
      <w:r>
        <w:fldChar w:fldCharType="separate"/>
      </w:r>
      <w:r w:rsidR="0091777F">
        <w:rPr>
          <w:noProof/>
        </w:rPr>
        <w:t>(Ashbaugh-Skaife et al. 2009, Ogneva, Subramanyam, and Raghunandan 2007)</w:t>
      </w:r>
      <w:r>
        <w:fldChar w:fldCharType="end"/>
      </w:r>
      <w:r w:rsidRPr="00475463">
        <w:t xml:space="preserve">.  </w:t>
      </w:r>
      <w:r>
        <w:t xml:space="preserve">Segment reporting breaks up firm-level disclosures into more precise, detailed portions of operations.  </w:t>
      </w:r>
      <w:r w:rsidRPr="00475463">
        <w:t xml:space="preserve">Because diversified firms are constructed of </w:t>
      </w:r>
      <w:r>
        <w:t>less than perfectly correlated</w:t>
      </w:r>
      <w:r w:rsidRPr="00475463">
        <w:t xml:space="preserve"> </w:t>
      </w:r>
      <w:r>
        <w:t>lines of business</w:t>
      </w:r>
      <w:r w:rsidRPr="00475463">
        <w:t xml:space="preserve">, </w:t>
      </w:r>
      <w:r>
        <w:t xml:space="preserve">the manner in which segment operations are reported externally </w:t>
      </w:r>
      <w:r w:rsidRPr="00475463">
        <w:t>becomes important</w:t>
      </w:r>
      <w:r>
        <w:t xml:space="preserve"> when evaluating future cash flows</w:t>
      </w:r>
      <w:r w:rsidRPr="00475463">
        <w:t xml:space="preserve">.  </w:t>
      </w:r>
      <w:r>
        <w:t>Segment disclosures</w:t>
      </w:r>
      <w:r w:rsidRPr="00475463">
        <w:t xml:space="preserve"> provide different signals about </w:t>
      </w:r>
      <w:r>
        <w:t xml:space="preserve">firm prospects that </w:t>
      </w:r>
      <w:r w:rsidRPr="00475463">
        <w:t>aggregate, firm-level disclosures</w:t>
      </w:r>
      <w:r>
        <w:t xml:space="preserve"> cannot </w:t>
      </w:r>
      <w:r>
        <w:fldChar w:fldCharType="begin">
          <w:fldData xml:space="preserve">PEVuZE5vdGU+PENpdGU+PEF1dGhvcj5BcnlhPC9BdXRob3I+PFllYXI+MjAxMDwvWWVhcj48UmVj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</w:fldData>
        </w:fldChar>
      </w:r>
      <w:r w:rsidR="0091777F">
        <w:instrText xml:space="preserve"> ADDIN EN.CITE </w:instrText>
      </w:r>
      <w:r w:rsidR="0091777F">
        <w:fldChar w:fldCharType="begin">
          <w:fldData xml:space="preserve">PEVuZE5vdGU+PENpdGU+PEF1dGhvcj5BcnlhPC9BdXRob3I+PFllYXI+MjAxMDwvWWVhcj48UmVj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</w:fldData>
        </w:fldChar>
      </w:r>
      <w:r w:rsidR="0091777F">
        <w:instrText xml:space="preserve"> ADDIN EN.CITE.DATA </w:instrText>
      </w:r>
      <w:r w:rsidR="0091777F">
        <w:fldChar w:fldCharType="end"/>
      </w:r>
      <w:r>
        <w:fldChar w:fldCharType="separate"/>
      </w:r>
      <w:r w:rsidR="0091777F">
        <w:rPr>
          <w:noProof/>
        </w:rPr>
        <w:t>(i.e., Arya, Frimor, and Mittendorf 2010, Chen and Zhang 2003)</w:t>
      </w:r>
      <w:r>
        <w:fldChar w:fldCharType="end"/>
      </w:r>
      <w:r w:rsidRPr="00475463">
        <w:t xml:space="preserve">.  </w:t>
      </w:r>
      <w:r>
        <w:t xml:space="preserve">Given the nature of reported segments, I capture information specific to operations directly reducing perceived correlation between firms within a peer group.  This reduced correlation is expected to improve firm value </w:t>
      </w:r>
      <w:r>
        <w:fldChar w:fldCharType="begin"/>
      </w:r>
      <w:r w:rsidR="0091777F">
        <w:instrText xml:space="preserve"> ADDIN EN.CITE &lt;EndNote&gt;&lt;Cite&gt;&lt;Author&gt;Lambert&lt;/Author&gt;&lt;Year&gt;2007&lt;/Year&gt;&lt;RecNum&gt;97&lt;/RecNum&gt;&lt;DisplayText&gt;(Lambert,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t>.</w:t>
      </w:r>
    </w:p>
    <w:p w:rsidR="00F778C8" w:rsidRDefault="00F778C8" w:rsidP="00F778C8">
      <w:pPr>
        <w:ind w:firstLine="432"/>
      </w:pPr>
      <w:r w:rsidRPr="00475463">
        <w:t>This paper proceeds as follows</w:t>
      </w:r>
      <w:r>
        <w:t>.</w:t>
      </w:r>
      <w:r w:rsidRPr="00475463">
        <w:t xml:space="preserve"> Section 2 discusses the role of diversification in determining firm value, the role of accounting information in </w:t>
      </w:r>
      <w:r>
        <w:t>determining firm value</w:t>
      </w:r>
      <w:r w:rsidRPr="00475463">
        <w:t>, and the effects of peer firm reporting.  Section 3 develops hypotheses.  Section 4 outlines the research design for empirical analyses.</w:t>
      </w:r>
      <w:r>
        <w:t xml:space="preserve">  Section 5 provides robustness tests and additional tests.  Section 6 concludes.</w:t>
      </w:r>
    </w:p>
    <w:p w:rsidR="00A0094B" w:rsidRDefault="00F778C8" w:rsidP="00F778C8">
      <w:pPr>
        <w:spacing w:line="240" w:lineRule="auto"/>
      </w:pPr>
      <w:r>
        <w:br w:type="page"/>
      </w:r>
    </w:p>
    <w:p w:rsidR="00F778C8" w:rsidRDefault="00F778C8" w:rsidP="00F778C8">
      <w:pPr>
        <w:pStyle w:val="Heading1"/>
      </w:pPr>
      <w:bookmarkStart w:id="9" w:name="_Toc414633027"/>
      <w:r w:rsidRPr="000F56FF">
        <w:lastRenderedPageBreak/>
        <w:t xml:space="preserve">Chapter </w:t>
      </w:r>
      <w:r>
        <w:t>2</w:t>
      </w:r>
      <w:r w:rsidRPr="000F56FF">
        <w:t xml:space="preserve">: </w:t>
      </w:r>
      <w:r>
        <w:t>Literature and Hypotheses Development</w:t>
      </w:r>
      <w:bookmarkEnd w:id="9"/>
    </w:p>
    <w:p w:rsidR="00F778C8" w:rsidRPr="00BD2B63" w:rsidRDefault="00F778C8" w:rsidP="00F778C8">
      <w:pPr>
        <w:ind w:firstLine="720"/>
      </w:pPr>
      <w:r>
        <w:t>Finance and accounting research provides contradictory predictions for the role of segment reporting differentiation in determining excess value.  I discuss each in turn.</w:t>
      </w:r>
    </w:p>
    <w:p w:rsidR="00B26394" w:rsidRDefault="00F778C8" w:rsidP="00BF588B">
      <w:pPr>
        <w:pStyle w:val="Heading2"/>
      </w:pPr>
      <w:bookmarkStart w:id="10" w:name="_Toc414633028"/>
      <w:r>
        <w:t>Finance Research and Focal Firm Excess Value</w:t>
      </w:r>
      <w:bookmarkEnd w:id="10"/>
    </w:p>
    <w:p w:rsidR="00F778C8" w:rsidRDefault="00F778C8" w:rsidP="00F778C8">
      <w:pPr>
        <w:ind w:firstLine="720"/>
      </w:pPr>
      <w:r>
        <w:t>Early f</w:t>
      </w:r>
      <w:r w:rsidRPr="00475463">
        <w:t xml:space="preserve">inance theory </w:t>
      </w:r>
      <w:r>
        <w:t>predicted</w:t>
      </w:r>
      <w:r w:rsidRPr="00475463">
        <w:t xml:space="preserve"> firm diversification does not affect value because individual investors can diversify their own portfolios </w:t>
      </w:r>
      <w:r>
        <w:fldChar w:fldCharType="begin"/>
      </w:r>
      <w:r w:rsidR="0091777F">
        <w:instrText xml:space="preserve"> ADDIN EN.CITE &lt;EndNote&gt;&lt;Cite&gt;&lt;Author&gt;Samuelson&lt;/Author&gt;&lt;Year&gt;1967&lt;/Year&gt;&lt;RecNum&gt;202&lt;/RecNum&gt;&lt;DisplayText&gt;(Samuelson 1967)&lt;/DisplayText&gt;&lt;record&gt;&lt;rec-number&gt;202&lt;/rec-number&gt;&lt;foreign-keys&gt;&lt;key app="EN" db-id="0svx9dsr8pfxzmere98xdw5cr9vx9fdw2wrt" timestamp="1392430367"&gt;202&lt;/key&gt;&lt;key app="ENWeb" db-id=""&gt;0&lt;/key&gt;&lt;/foreign-keys&gt;&lt;ref-type name="Journal Article"&gt;17&lt;/ref-type&gt;&lt;contributors&gt;&lt;authors&gt;&lt;author&gt;Samuelson, P. A.&lt;/author&gt;&lt;/authors&gt;&lt;/contributors&gt;&lt;auth-address&gt;Unlisted&lt;/auth-address&gt;&lt;titles&gt;&lt;title&gt;General proof that diversification pays&lt;/title&gt;&lt;secondary-title&gt;Journal of Financial and Quantitative Analysis&lt;/secondary-title&gt;&lt;/titles&gt;&lt;periodical&gt;&lt;full-title&gt;Journal of Financial and Quantitative Analysis&lt;/full-title&gt;&lt;/periodical&gt;&lt;pages&gt;1-13&lt;/pages&gt;&lt;volume&gt;2&lt;/volume&gt;&lt;keywords&gt;&lt;keyword&gt;Portfolio Selection: General 9.70&lt;/keyword&gt;&lt;/keywords&gt;&lt;dates&gt;&lt;year&gt;1967&lt;/year&gt;&lt;/dates&gt;&lt;accession-num&gt;1221259&lt;/accession-num&gt;&lt;urls&gt;&lt;related-urls&gt;&lt;url&gt;http://libraries.ou.edu/access.aspx?url=http://search.ebscohost.com/login.aspx?direct=true&amp;amp;db=ecn&amp;amp;AN=1221259&amp;amp;site=ehost-live&lt;/url&gt;&lt;/related-urls&gt;&lt;/urls&gt;&lt;remote-database-name&gt;ecn&lt;/remote-database-name&gt;&lt;remote-database-provider&gt;EBSCOhost&lt;/remote-database-provider&gt;&lt;/record&gt;&lt;/Cite&gt;&lt;/EndNote&gt;</w:instrText>
      </w:r>
      <w:r>
        <w:fldChar w:fldCharType="separate"/>
      </w:r>
      <w:r w:rsidR="0091777F">
        <w:rPr>
          <w:noProof/>
        </w:rPr>
        <w:t>(Samuelson 1967)</w:t>
      </w:r>
      <w:r>
        <w:fldChar w:fldCharType="end"/>
      </w:r>
      <w:r w:rsidRPr="00475463">
        <w:t xml:space="preserve">.  In practice, </w:t>
      </w:r>
      <w:r>
        <w:t xml:space="preserve">however, </w:t>
      </w:r>
      <w:r w:rsidRPr="00475463">
        <w:t>capital market imperfections create possibilities for firms to enhance or destroy value through diversification strategies.</w:t>
      </w:r>
      <w:r w:rsidRPr="00475463">
        <w:rPr>
          <w:rStyle w:val="FootnoteReference"/>
        </w:rPr>
        <w:footnoteReference w:id="5"/>
      </w:r>
      <w:r w:rsidRPr="00475463">
        <w:t xml:space="preserve">  Initial </w:t>
      </w:r>
      <w:r>
        <w:t xml:space="preserve">empirical evidence </w:t>
      </w:r>
      <w:r w:rsidRPr="00475463">
        <w:t>indicate</w:t>
      </w:r>
      <w:r>
        <w:t>s</w:t>
      </w:r>
      <w:r w:rsidRPr="00475463">
        <w:t xml:space="preserve"> diversified firms receive a significant discount </w:t>
      </w:r>
      <w:r>
        <w:t>in value</w:t>
      </w:r>
      <w:r w:rsidRPr="00475463">
        <w:t xml:space="preserve"> </w:t>
      </w:r>
      <w:r>
        <w:fldChar w:fldCharType="begin">
          <w:fldData xml:space="preserve">PEVuZE5vdGU+PENpdGU+PEF1dGhvcj5MYW5nPC9BdXRob3I+PFllYXI+MTk5NDwvWWVhcj48UmVj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</w:fldData>
        </w:fldChar>
      </w:r>
      <w:r w:rsidR="0091777F">
        <w:instrText xml:space="preserve"> ADDIN EN.CITE </w:instrText>
      </w:r>
      <w:r w:rsidR="0091777F">
        <w:fldChar w:fldCharType="begin">
          <w:fldData xml:space="preserve">PEVuZE5vdGU+PENpdGU+PEF1dGhvcj5MYW5nPC9BdXRob3I+PFllYXI+MTk5NDwvWWVhcj48UmVj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</w:fldData>
        </w:fldChar>
      </w:r>
      <w:r w:rsidR="0091777F">
        <w:instrText xml:space="preserve"> ADDIN EN.CITE.DATA </w:instrText>
      </w:r>
      <w:r w:rsidR="0091777F">
        <w:fldChar w:fldCharType="end"/>
      </w:r>
      <w:r>
        <w:fldChar w:fldCharType="separate"/>
      </w:r>
      <w:r w:rsidR="0091777F">
        <w:rPr>
          <w:noProof/>
        </w:rPr>
        <w:t>(Lang and Stulz 1994, Berger and Ofek 1995)</w:t>
      </w:r>
      <w:r>
        <w:fldChar w:fldCharType="end"/>
      </w:r>
      <w:r w:rsidRPr="00475463">
        <w:t xml:space="preserve">.  Results demonstrating value-destroying diversification are present across countries </w:t>
      </w:r>
      <w:r>
        <w:fldChar w:fldCharType="begin">
          <w:fldData xml:space="preserve">PEVuZE5vdGU+PENpdGU+PEF1dGhvcj5MaW5zPC9BdXRob3I+PFllYXI+MTk5OTwvWWVhcj48UmVj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</w:fldData>
        </w:fldChar>
      </w:r>
      <w:r w:rsidR="0091777F">
        <w:instrText xml:space="preserve"> ADDIN EN.CITE </w:instrText>
      </w:r>
      <w:r w:rsidR="0091777F">
        <w:fldChar w:fldCharType="begin">
          <w:fldData xml:space="preserve">PEVuZE5vdGU+PENpdGU+PEF1dGhvcj5MaW5zPC9BdXRob3I+PFllYXI+MTk5OTwvWWVhcj48UmVj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</w:fldData>
        </w:fldChar>
      </w:r>
      <w:r w:rsidR="0091777F">
        <w:instrText xml:space="preserve"> ADDIN EN.CITE.DATA </w:instrText>
      </w:r>
      <w:r w:rsidR="0091777F">
        <w:fldChar w:fldCharType="end"/>
      </w:r>
      <w:r>
        <w:fldChar w:fldCharType="separate"/>
      </w:r>
      <w:r w:rsidR="0091777F">
        <w:rPr>
          <w:noProof/>
        </w:rPr>
        <w:t>(Lins and Servaes 1999, Lins and Servaes 2002, Denis, Denis, and Yost 2002, Lang et al. 1999)</w:t>
      </w:r>
      <w:r>
        <w:fldChar w:fldCharType="end"/>
      </w:r>
      <w:r w:rsidRPr="00475463">
        <w:t xml:space="preserve">, across time </w:t>
      </w:r>
      <w:r>
        <w:fldChar w:fldCharType="begin">
          <w:fldData xml:space="preserve">PEVuZE5vdGU+PENpdGU+PEF1dGhvcj5TZXJ2YWVzPC9BdXRob3I+PFllYXI+MTk5NjwvWWVhcj48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</w:fldData>
        </w:fldChar>
      </w:r>
      <w:r w:rsidR="0091777F">
        <w:instrText xml:space="preserve"> ADDIN EN.CITE </w:instrText>
      </w:r>
      <w:r w:rsidR="0091777F">
        <w:fldChar w:fldCharType="begin">
          <w:fldData xml:space="preserve">PEVuZE5vdGU+PENpdGU+PEF1dGhvcj5TZXJ2YWVzPC9BdXRob3I+PFllYXI+MTk5NjwvWWVhcj48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</w:fldData>
        </w:fldChar>
      </w:r>
      <w:r w:rsidR="0091777F">
        <w:instrText xml:space="preserve"> ADDIN EN.CITE.DATA </w:instrText>
      </w:r>
      <w:r w:rsidR="0091777F">
        <w:fldChar w:fldCharType="end"/>
      </w:r>
      <w:r>
        <w:fldChar w:fldCharType="separate"/>
      </w:r>
      <w:r w:rsidR="0091777F">
        <w:rPr>
          <w:noProof/>
        </w:rPr>
        <w:t>(Servaes 1996, Klein 2001, Hoechle et al. 2012)</w:t>
      </w:r>
      <w:r>
        <w:fldChar w:fldCharType="end"/>
      </w:r>
      <w:r w:rsidRPr="00475463">
        <w:t xml:space="preserve">, and when adjusting for accounting methods used at the time of acquisition </w:t>
      </w:r>
      <w:r>
        <w:fldChar w:fldCharType="begin"/>
      </w:r>
      <w:r w:rsidR="0091777F">
        <w:instrText xml:space="preserve"> ADDIN EN.CITE &lt;EndNote&gt;&lt;Cite&gt;&lt;Author&gt;Custodio&lt;/Author&gt;&lt;Year&gt;2014&lt;/Year&gt;&lt;RecNum&gt;181&lt;/RecNum&gt;&lt;DisplayText&gt;(Custodio 2014)&lt;/DisplayText&gt;&lt;record&gt;&lt;rec-number&gt;181&lt;/rec-number&gt;&lt;foreign-keys&gt;&lt;key app="EN" db-id="0svx9dsr8pfxzmere98xdw5cr9vx9fdw2wrt" timestamp="1392430321"&gt;181&lt;/key&gt;&lt;key app="ENWeb" db-id=""&gt;0&lt;/key&gt;&lt;/foreign-keys&gt;&lt;ref-type name="Journal Article"&gt;17&lt;/ref-type&gt;&lt;contributors&gt;&lt;authors&gt;&lt;author&gt;Custodio, Claudia&lt;/author&gt;&lt;/authors&gt;&lt;/contributors&gt;&lt;titles&gt;&lt;title&gt;Mergers and Acquisitions Accounting and the Diversification Discount&lt;/title&gt;&lt;secondary-title&gt;Journal of Finance&lt;/secondary-title&gt;&lt;/titles&gt;&lt;periodical&gt;&lt;full-title&gt;Journal of Finance&lt;/full-title&gt;&lt;/periodical&gt;&lt;pages&gt;219-240&lt;/pages&gt;&lt;volume&gt;69&lt;/volume&gt;&lt;number&gt;1&lt;/number&gt;&lt;keywords&gt;&lt;keyword&gt;CONSOLIDATION &amp;amp; merger of corporations -- Accounting&lt;/keyword&gt;&lt;keyword&gt;ACCOUNTING -- Mathematical models&lt;/keyword&gt;&lt;keyword&gt;DIVERSIFICATION in industry&lt;/keyword&gt;&lt;keyword&gt;CONGLOMERATE corporations&lt;/keyword&gt;&lt;keyword&gt;DIVERSIFIED companies&lt;/keyword&gt;&lt;keyword&gt;CORPORATIONS -- Valuation -- Mathematical models&lt;/keyword&gt;&lt;keyword&gt;TOBIN&amp;apos;S Q ratio&lt;/keyword&gt;&lt;/keywords&gt;&lt;dates&gt;&lt;year&gt;2014&lt;/year&gt;&lt;/dates&gt;&lt;isbn&gt;00221082&lt;/isbn&gt;&lt;accession-num&gt;93525178&lt;/accession-num&gt;&lt;work-type&gt;Article&lt;/work-type&gt;&lt;urls&gt;&lt;related-urls&gt;&lt;url&gt;http://libraries.ou.edu/access.aspx?url=http://search.ebscohost.com/login.aspx?direct=true&amp;amp;db=buh&amp;amp;AN=93525178&amp;amp;site=ehost-live&lt;/url&gt;&lt;url&gt;http://onlinelibrary.wiley.com/doi/10.1111/jofi.12108/abstract&lt;/url&gt;&lt;/related-urls&gt;&lt;/urls&gt;&lt;electronic-resource-num&gt;10.1111/jofi.12108&lt;/electronic-resource-num&gt;&lt;remote-database-name&gt;buh&lt;/remote-database-name&gt;&lt;remote-database-provider&gt;EBSCOhost&lt;/remote-database-provider&gt;&lt;/record&gt;&lt;/Cite&gt;&lt;/EndNote&gt;</w:instrText>
      </w:r>
      <w:r>
        <w:fldChar w:fldCharType="separate"/>
      </w:r>
      <w:r w:rsidR="0091777F">
        <w:rPr>
          <w:noProof/>
        </w:rPr>
        <w:t>(Custodio 2014)</w:t>
      </w:r>
      <w:r>
        <w:fldChar w:fldCharType="end"/>
      </w:r>
      <w:r w:rsidRPr="00475463">
        <w:t>.</w:t>
      </w:r>
      <w:r>
        <w:t xml:space="preserve">  This evidence suggests firms revealing additional diversification in the form of differentiating segments will have a lower excess value than firms that do not disclose differentiating segments.  Conversely, a</w:t>
      </w:r>
      <w:r w:rsidRPr="00C56D88">
        <w:t xml:space="preserve">nother stream of </w:t>
      </w:r>
      <w:r>
        <w:t xml:space="preserve">finance </w:t>
      </w:r>
      <w:r w:rsidRPr="00C56D88">
        <w:t>research assert</w:t>
      </w:r>
      <w:r>
        <w:t>s</w:t>
      </w:r>
      <w:r w:rsidRPr="00C56D88">
        <w:t xml:space="preserve"> the apparent diversification discount is a product of </w:t>
      </w:r>
      <w:r>
        <w:t xml:space="preserve">using </w:t>
      </w:r>
      <w:r w:rsidRPr="00C56D88">
        <w:t xml:space="preserve">data </w:t>
      </w:r>
      <w:r>
        <w:t xml:space="preserve">other than Compustat </w:t>
      </w:r>
      <w:r w:rsidRPr="00C56D88">
        <w:fldChar w:fldCharType="begin">
          <w:fldData xml:space="preserve">PEVuZE5vdGU+PENpdGU+PEF1dGhvcj5WaWxsYWxvbmdhPC9BdXRob3I+PFllYXI+MjAwNDwvWWVh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</w:fldData>
        </w:fldChar>
      </w:r>
      <w:r w:rsidR="0091777F">
        <w:instrText xml:space="preserve"> ADDIN EN.CITE </w:instrText>
      </w:r>
      <w:r w:rsidR="0091777F">
        <w:fldChar w:fldCharType="begin">
          <w:fldData xml:space="preserve">PEVuZE5vdGU+PENpdGU+PEF1dGhvcj5WaWxsYWxvbmdhPC9BdXRob3I+PFllYXI+MjAwNDwvWWVh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</w:fldData>
        </w:fldChar>
      </w:r>
      <w:r w:rsidR="0091777F">
        <w:instrText xml:space="preserve"> ADDIN EN.CITE.DATA </w:instrText>
      </w:r>
      <w:r w:rsidR="0091777F">
        <w:fldChar w:fldCharType="end"/>
      </w:r>
      <w:r w:rsidRPr="00C56D88">
        <w:fldChar w:fldCharType="separate"/>
      </w:r>
      <w:r w:rsidR="0091777F">
        <w:rPr>
          <w:noProof/>
        </w:rPr>
        <w:t>(Villalonga 2004a, b, Maksimovic and Phillips 2002, Schoar 2002)</w:t>
      </w:r>
      <w:r w:rsidRPr="00C56D88">
        <w:fldChar w:fldCharType="end"/>
      </w:r>
      <w:r w:rsidRPr="00C56D88">
        <w:t xml:space="preserve"> or </w:t>
      </w:r>
      <w:r>
        <w:t>making various adjustments when estimating implied value</w:t>
      </w:r>
      <w:r w:rsidRPr="00C56D88">
        <w:t xml:space="preserve"> </w:t>
      </w:r>
      <w:r w:rsidRPr="00C56D88">
        <w:fldChar w:fldCharType="begin"/>
      </w:r>
      <w:r w:rsidR="0091777F">
        <w:instrText xml:space="preserve"> ADDIN EN.CITE &lt;EndNote&gt;&lt;Cite&gt;&lt;Author&gt;Hund&lt;/Author&gt;&lt;Year&gt;2010&lt;/Year&gt;&lt;RecNum&gt;175&lt;/RecNum&gt;&lt;DisplayText&gt;(Hund, Monk, and Tice 2010)&lt;/DisplayText&gt;&lt;record&gt;&lt;rec-number&gt;175&lt;/rec-number&gt;&lt;foreign-keys&gt;&lt;key app="EN" db-id="0svx9dsr8pfxzmere98xdw5cr9vx9fdw2wrt" timestamp="1392430268"&gt;175&lt;/key&gt;&lt;key app="ENWeb" db-id=""&gt;0&lt;/key&gt;&lt;/foreign-keys&gt;&lt;ref-type name="Journal Article"&gt;17&lt;/ref-type&gt;&lt;contributors&gt;&lt;authors&gt;&lt;author&gt;Hund, John&lt;/author&gt;&lt;author&gt;Monk, Donald&lt;/author&gt;&lt;author&gt;Tice, Sheri&lt;/author&gt;&lt;/authors&gt;&lt;/contributors&gt;&lt;auth-address&gt;Rice U&amp;#xD;SEC and Tulane U&amp;#xD;Tulane U&lt;/auth-address&gt;&lt;titles&gt;&lt;title&gt;Uncertainty about Average Profitability and the Diversification Discount&lt;/title&gt;&lt;secondary-title&gt;Journal of Financial Economics&lt;/secondary-title&gt;&lt;/titles&gt;&lt;periodical&gt;&lt;full-title&gt;Journal of Financial Economics&lt;/full-title&gt;&lt;/periodical&gt;&lt;pages&gt;463-484&lt;/pages&gt;&lt;volume&gt;96&lt;/volume&gt;&lt;number&gt;3&lt;/number&gt;&lt;keywords&gt;&lt;keyword&gt;Business Fluctuations&lt;/keyword&gt;&lt;keyword&gt;Cycles E32&lt;/keyword&gt;&lt;keyword&gt;Financing Policy&lt;/keyword&gt;&lt;keyword&gt;Financial Risk and Risk Management&lt;/keyword&gt;&lt;keyword&gt;Capital and Ownership Structure&lt;/keyword&gt;&lt;keyword&gt;Value of Firms&lt;/keyword&gt;&lt;keyword&gt;Goodwill G32&lt;/keyword&gt;&lt;keyword&gt;Firm Performance: Size, Diversification, and Scope L25&lt;/keyword&gt;&lt;/keywords&gt;&lt;dates&gt;&lt;year&gt;2010&lt;/year&gt;&lt;/dates&gt;&lt;isbn&gt;0304405X&lt;/isbn&gt;&lt;accession-num&gt;1108269&lt;/accession-num&gt;&lt;urls&gt;&lt;related-urls&gt;&lt;url&gt;http://libraries.ou.edu/access.aspx?url=http://search.ebscohost.com/login.aspx?direct=true&amp;amp;db=ecn&amp;amp;AN=1108269&amp;amp;site=ehost-live&lt;/url&gt;&lt;url&gt;http://dx.doi.org/10.1016/j.fineco.2010.02.006&lt;/url&gt;&lt;url&gt;http://www.sciencedirect.com/science/journal/0304405X&lt;/url&gt;&lt;/related-urls&gt;&lt;/urls&gt;&lt;electronic-resource-num&gt;http://www.sciencedirect.com/science/journal/0304405X&lt;/electronic-resource-num&gt;&lt;remote-database-name&gt;ecn&lt;/remote-database-name&gt;&lt;remote-database-provider&gt;EBSCOhost&lt;/remote-database-provider&gt;&lt;/record&gt;&lt;/Cite&gt;&lt;/EndNote&gt;</w:instrText>
      </w:r>
      <w:r w:rsidRPr="00C56D88">
        <w:fldChar w:fldCharType="separate"/>
      </w:r>
      <w:r w:rsidR="0091777F">
        <w:rPr>
          <w:noProof/>
        </w:rPr>
        <w:t>(Hund, Monk, and Tice 2010)</w:t>
      </w:r>
      <w:r w:rsidRPr="00C56D88">
        <w:fldChar w:fldCharType="end"/>
      </w:r>
      <w:r w:rsidRPr="00C56D88">
        <w:t xml:space="preserve">.  </w:t>
      </w:r>
      <w:r>
        <w:t>Given that I use the methodology developed by Berger and Ofek, finance research would predict firms that disclose differentiating segments will be valued lower because firms with greater operational diversity will have lower excess value.</w:t>
      </w:r>
    </w:p>
    <w:p w:rsidR="00F778C8" w:rsidRPr="00F778C8" w:rsidRDefault="00F778C8" w:rsidP="00BF588B">
      <w:pPr>
        <w:pStyle w:val="Heading2"/>
      </w:pPr>
      <w:bookmarkStart w:id="11" w:name="_Toc414633029"/>
      <w:r>
        <w:lastRenderedPageBreak/>
        <w:t>Focal Firm Segment Differentiation and Excess Value</w:t>
      </w:r>
      <w:bookmarkEnd w:id="11"/>
    </w:p>
    <w:p w:rsidR="00B26394" w:rsidRDefault="00F778C8" w:rsidP="00992C28">
      <w:pPr>
        <w:pStyle w:val="Heading3"/>
      </w:pPr>
      <w:bookmarkStart w:id="12" w:name="_Toc414633030"/>
      <w:r>
        <w:t>Focal Firm Segment Reporting and Firm Value</w:t>
      </w:r>
      <w:bookmarkEnd w:id="12"/>
    </w:p>
    <w:p w:rsidR="00F778C8" w:rsidRDefault="00F778C8" w:rsidP="00F778C8">
      <w:pPr>
        <w:ind w:firstLine="576"/>
      </w:pPr>
      <w:r w:rsidRPr="00475463">
        <w:t>Accounting information plays an importa</w:t>
      </w:r>
      <w:r>
        <w:t>nt role in evaluating the firm</w:t>
      </w:r>
      <w:r w:rsidRPr="00475463">
        <w:t xml:space="preserve"> </w:t>
      </w:r>
      <w:r>
        <w:fldChar w:fldCharType="begin"/>
      </w:r>
      <w:r w:rsidR="0091777F">
        <w:instrText xml:space="preserve"> ADDIN EN.CITE &lt;EndNote&gt;&lt;Cite&gt;&lt;Author&gt;Watts&lt;/Author&gt;&lt;Year&gt;1986&lt;/Year&gt;&lt;RecNum&gt;136&lt;/RecNum&gt;&lt;DisplayText&gt;(Watts and Zimmerman 1986)&lt;/DisplayText&gt;&lt;record&gt;&lt;rec-number&gt;136&lt;/rec-number&gt;&lt;foreign-keys&gt;&lt;key app="EN" db-id="0svx9dsr8pfxzmere98xdw5cr9vx9fdw2wrt" timestamp="1392430184"&gt;136&lt;/key&gt;&lt;/foreign-keys&gt;&lt;ref-type name="Book"&gt;6&lt;/ref-type&gt;&lt;contributors&gt;&lt;authors&gt;&lt;author&gt;Watts, Ross L.&lt;/author&gt;&lt;author&gt;Zimmerman, Jerold L.&lt;/author&gt;&lt;/authors&gt;&lt;/contributors&gt;&lt;titles&gt;&lt;title&gt;Positive Accounting Theory&lt;/title&gt;&lt;secondary-title&gt;Prentice-Hall contemporary topics in accounting series&lt;/secondary-title&gt;&lt;/titles&gt;&lt;dates&gt;&lt;year&gt;1986&lt;/year&gt;&lt;/dates&gt;&lt;pub-location&gt;Englewood Cliff, N.J.&lt;/pub-location&gt;&lt;publisher&gt;Prentice-Hall&lt;/publisher&gt;&lt;urls&gt;&lt;/urls&gt;&lt;/record&gt;&lt;/Cite&gt;&lt;/EndNote&gt;</w:instrText>
      </w:r>
      <w:r>
        <w:fldChar w:fldCharType="separate"/>
      </w:r>
      <w:r w:rsidR="0091777F">
        <w:rPr>
          <w:noProof/>
        </w:rPr>
        <w:t>(Watts and Zimmerman 1986)</w:t>
      </w:r>
      <w:r>
        <w:fldChar w:fldCharType="end"/>
      </w:r>
      <w:r>
        <w:t xml:space="preserve">, possibly mitigating the diversification discount </w:t>
      </w:r>
      <w:r>
        <w:fldChar w:fldCharType="begin"/>
      </w:r>
      <w:r w:rsidR="0091777F">
        <w:instrText xml:space="preserve"> ADDIN EN.CITE &lt;EndNote&gt;&lt;Cite&gt;&lt;Author&gt;Bens&lt;/Author&gt;&lt;Year&gt;2004&lt;/Year&gt;&lt;RecNum&gt;78&lt;/RecNum&gt;&lt;DisplayText&gt;(Bens and Monahan 2004)&lt;/DisplayText&gt;&lt;record&gt;&lt;rec-number&gt;78&lt;/rec-number&gt;&lt;foreign-keys&gt;&lt;key app="EN" db-id="0svx9dsr8pfxzmere98xdw5cr9vx9fdw2wrt" timestamp="1392430075"&gt;78&lt;/key&gt;&lt;key app="ENWeb" db-id=""&gt;0&lt;/key&gt;&lt;/foreign-keys&gt;&lt;ref-type name="Journal Article"&gt;17&lt;/ref-type&gt;&lt;contributors&gt;&lt;authors&gt;&lt;author&gt;Bens, Daniel A.&lt;/author&gt;&lt;author&gt;Monahan, Steven J.&lt;/author&gt;&lt;/authors&gt;&lt;/contributors&gt;&lt;titles&gt;&lt;title&gt;Disclosure Quality and the Excess Value of Diversification&lt;/title&gt;&lt;secondary-title&gt;Journal of Accounting Research&lt;/secondary-title&gt;&lt;/titles&gt;&lt;periodical&gt;&lt;full-title&gt;Journal of Accounting Research&lt;/full-title&gt;&lt;/periodical&gt;&lt;pages&gt;691-730&lt;/pages&gt;&lt;volume&gt;42&lt;/volume&gt;&lt;number&gt;4&lt;/number&gt;&lt;keywords&gt;&lt;keyword&gt;PORTFOLIO management (Investments)&lt;/keyword&gt;&lt;keyword&gt;DISCLOSURE in accounting&lt;/keyword&gt;&lt;keyword&gt;FINANCIAL performance&lt;/keyword&gt;&lt;keyword&gt;FINANCIAL disclosure&lt;/keyword&gt;&lt;keyword&gt;INVESTMENTS&lt;/keyword&gt;&lt;keyword&gt;VALUATION&lt;/keyword&gt;&lt;keyword&gt;INVESTMENT analysis&lt;/keyword&gt;&lt;keyword&gt;CONSOLIDATION &amp;amp; merger of corporations&lt;/keyword&gt;&lt;keyword&gt;TRUTHFULNESS &amp;amp; falsehood&lt;/keyword&gt;&lt;keyword&gt;UNITED States&lt;/keyword&gt;&lt;/keywords&gt;&lt;dates&gt;&lt;year&gt;2004&lt;/year&gt;&lt;/dates&gt;&lt;publisher&gt;Wiley-Blackwell&lt;/publisher&gt;&lt;isbn&gt;00218456&lt;/isbn&gt;&lt;accession-num&gt;13952718&lt;/accession-num&gt;&lt;work-type&gt;Article&lt;/work-type&gt;&lt;urls&gt;&lt;related-urls&gt;&lt;url&gt;http://libraries.ou.edu/access.aspx?url=http://search.ebscohost.com/login.aspx?direct=true&amp;amp;db=buh&amp;amp;AN=13952718&amp;amp;site=ehost-live&lt;/url&gt;&lt;url&gt;http://onlinelibrary.wiley.com/store/10.1111/j.1475-679X.2004.00154.x/asset/j.1475-679X.2004.00154.x.pdf?v=1&amp;amp;t=hqzlbkn6&amp;amp;s=3c9beaf64a792edb3b968d1157082c5aa3c33bc9&lt;/url&gt;&lt;/related-urls&gt;&lt;/urls&gt;&lt;electronic-resource-num&gt;10.1111/j.1475-679X.2004.00154.x&lt;/electronic-resource-num&gt;&lt;remote-database-name&gt;buh&lt;/remote-database-name&gt;&lt;remote-database-provider&gt;EBSCOhost&lt;/remote-database-provider&gt;&lt;/record&gt;&lt;/Cite&gt;&lt;/EndNote&gt;</w:instrText>
      </w:r>
      <w:r>
        <w:fldChar w:fldCharType="separate"/>
      </w:r>
      <w:r w:rsidR="0091777F">
        <w:rPr>
          <w:noProof/>
        </w:rPr>
        <w:t>(Bens and Monahan 2004)</w:t>
      </w:r>
      <w:r>
        <w:fldChar w:fldCharType="end"/>
      </w:r>
      <w:r w:rsidRPr="00475463">
        <w:t xml:space="preserve">. </w:t>
      </w:r>
      <w:r>
        <w:t xml:space="preserve"> Disaggregated segments provide additional information beyond the firm level, such as earnings, that may improve focal firm valuation and reduce the diversification discount </w:t>
      </w:r>
      <w:r>
        <w:fldChar w:fldCharType="begin">
          <w:fldData xml:space="preserve">PEVuZE5vdGU+PENpdGU+PEF1dGhvcj5DaGVuPC9BdXRob3I+PFllYXI+MjAwMzwvWWVhcj48UmVj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</w:fldData>
        </w:fldChar>
      </w:r>
      <w:r w:rsidR="0091777F">
        <w:instrText xml:space="preserve"> ADDIN EN.CITE </w:instrText>
      </w:r>
      <w:r w:rsidR="0091777F">
        <w:fldChar w:fldCharType="begin">
          <w:fldData xml:space="preserve">PEVuZE5vdGU+PENpdGU+PEF1dGhvcj5DaGVuPC9BdXRob3I+PFllYXI+MjAwMzwvWWVhcj48UmVj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</w:fldData>
        </w:fldChar>
      </w:r>
      <w:r w:rsidR="0091777F">
        <w:instrText xml:space="preserve"> ADDIN EN.CITE.DATA </w:instrText>
      </w:r>
      <w:r w:rsidR="0091777F">
        <w:fldChar w:fldCharType="end"/>
      </w:r>
      <w:r>
        <w:fldChar w:fldCharType="separate"/>
      </w:r>
      <w:r w:rsidR="0091777F">
        <w:rPr>
          <w:noProof/>
        </w:rPr>
        <w:t>(i.e.,Chen and Zhang 2003, Ettredge et al. 2005, Bens and Monahan 2004, Ettredge et al. 2006)</w:t>
      </w:r>
      <w:r>
        <w:fldChar w:fldCharType="end"/>
      </w:r>
      <w:r>
        <w:t>.</w:t>
      </w:r>
    </w:p>
    <w:p w:rsidR="00F778C8" w:rsidRDefault="00F778C8" w:rsidP="00F778C8">
      <w:pPr>
        <w:ind w:firstLine="576"/>
      </w:pPr>
      <w:r>
        <w:t xml:space="preserve">Analytical models suggest reporting more operational diversity in segments will improve focal firm value.  Segments provide more precise information only when segment reports demonstrate the firm’s operational diversity </w:t>
      </w:r>
      <w:r>
        <w:fldChar w:fldCharType="begin"/>
      </w:r>
      <w:r w:rsidR="0091777F">
        <w:instrText xml:space="preserve"> ADDIN EN.CITE &lt;EndNote&gt;&lt;Cite&gt;&lt;Author&gt;Chen&lt;/Author&gt;&lt;Year&gt;2003&lt;/Year&gt;&lt;RecNum&gt;160&lt;/RecNum&gt;&lt;DisplayText&gt;(Chen and Zhang 2003)&lt;/DisplayText&gt;&lt;record&gt;&lt;rec-number&gt;160&lt;/rec-number&gt;&lt;foreign-keys&gt;&lt;key app="EN" db-id="0svx9dsr8pfxzmere98xdw5cr9vx9fdw2wrt" timestamp="1392430242"&gt;160&lt;/key&gt;&lt;key app="ENWeb" db-id=""&gt;0&lt;/key&gt;&lt;/foreign-keys&gt;&lt;ref-type name="Journal Article"&gt;17&lt;/ref-type&gt;&lt;contributors&gt;&lt;authors&gt;&lt;author&gt;Chen, Peter, F.&lt;/author&gt;&lt;author&gt;Zhang, Guochang &lt;/author&gt;&lt;/authors&gt;&lt;/contributors&gt;&lt;titles&gt;&lt;title&gt;Heterogeneous Investment Opportunities in Multiple-Segment Firms and the Incremental Value Relevance of Segment Accounting Data&lt;/title&gt;&lt;secondary-title&gt;Accounting Review&lt;/secondary-title&gt;&lt;/titles&gt;&lt;periodical&gt;&lt;full-title&gt;Accounting Review&lt;/full-title&gt;&lt;/periodical&gt;&lt;pages&gt;397&lt;/pages&gt;&lt;volume&gt;78&lt;/volume&gt;&lt;number&gt;2&lt;/number&gt;&lt;keywords&gt;&lt;keyword&gt;ACCOUNTING&lt;/keyword&gt;&lt;keyword&gt;INVESTMENTS&lt;/keyword&gt;&lt;keyword&gt;VALUATION&lt;/keyword&gt;&lt;keyword&gt;INVESTMENT analysis&lt;/keyword&gt;&lt;keyword&gt;divergence of profitability&lt;/keyword&gt;&lt;keyword&gt;incremental value relevance&lt;/keyword&gt;&lt;keyword&gt;real options&lt;/keyword&gt;&lt;keyword&gt;segment accounting data&lt;/keyword&gt;&lt;keyword&gt;segment growth opportunity.&lt;/keyword&gt;&lt;/keywords&gt;&lt;dates&gt;&lt;year&gt;2003&lt;/year&gt;&lt;/dates&gt;&lt;publisher&gt;American Accounting Association&lt;/publisher&gt;&lt;isbn&gt;00014826&lt;/isbn&gt;&lt;accession-num&gt;9682223&lt;/accession-num&gt;&lt;work-type&gt;Article&lt;/work-type&gt;&lt;urls&gt;&lt;related-urls&gt;&lt;url&gt;http://libraries.ou.edu/access.aspx?url=http://search.ebscohost.com/login.aspx?direct=true&amp;amp;db=buh&amp;amp;AN=9682223&amp;amp;site=ehost-live&lt;/url&gt;&lt;/related-urls&gt;&lt;/urls&gt;&lt;remote-database-name&gt;buh&lt;/remote-database-name&gt;&lt;remote-database-provider&gt;EBSCOhost&lt;/remote-database-provider&gt;&lt;/record&gt;&lt;/Cite&gt;&lt;/EndNote&gt;</w:instrText>
      </w:r>
      <w:r>
        <w:fldChar w:fldCharType="separate"/>
      </w:r>
      <w:r w:rsidR="0091777F">
        <w:rPr>
          <w:noProof/>
        </w:rPr>
        <w:t>(Chen and Zhang 2003)</w:t>
      </w:r>
      <w:r>
        <w:fldChar w:fldCharType="end"/>
      </w:r>
      <w:r>
        <w:t>.  Also, f</w:t>
      </w:r>
      <w:r w:rsidRPr="00475463">
        <w:t>irms report more precise segments to verify good investment choices</w:t>
      </w:r>
      <w:r>
        <w:t xml:space="preserve"> and signal firm quality</w:t>
      </w:r>
      <w:r w:rsidRPr="00475463">
        <w:t xml:space="preserve"> </w:t>
      </w:r>
      <w:r>
        <w:fldChar w:fldCharType="begin"/>
      </w:r>
      <w:r w:rsidR="0091777F">
        <w:instrText xml:space="preserve"> ADDIN EN.CITE &lt;EndNote&gt;&lt;Cite&gt;&lt;Author&gt;Kanodia&lt;/Author&gt;&lt;Year&gt;1998&lt;/Year&gt;&lt;RecNum&gt;140&lt;/RecNum&gt;&lt;DisplayText&gt;(Kanodia and Lee 1998)&lt;/DisplayText&gt;&lt;record&gt;&lt;rec-number&gt;140&lt;/rec-number&gt;&lt;foreign-keys&gt;&lt;key app="EN" db-id="0svx9dsr8pfxzmere98xdw5cr9vx9fdw2wrt" timestamp="1392430199"&gt;140&lt;/key&gt;&lt;/foreign-keys&gt;&lt;ref-type name="Journal Article"&gt;17&lt;/ref-type&gt;&lt;contributors&gt;&lt;authors&gt;&lt;author&gt;Kanodia, Chandra&lt;/author&gt;&lt;author&gt;Lee, Deokheon&lt;/author&gt;&lt;/authors&gt;&lt;/contributors&gt;&lt;titles&gt;&lt;title&gt;Investment and Disclosure: The Disciplinary Role of Periodic Performance Reports&lt;/title&gt;&lt;secondary-title&gt;Journal of Accounting Research&lt;/secondary-title&gt;&lt;/titles&gt;&lt;periodical&gt;&lt;full-title&gt;Journal of Accounting Research&lt;/full-title&gt;&lt;/periodical&gt;&lt;pages&gt;33-55&lt;/pages&gt;&lt;volume&gt;36&lt;/volume&gt;&lt;number&gt;1&lt;/number&gt;&lt;keywords&gt;&lt;keyword&gt;FINANCIAL statements&lt;/keyword&gt;&lt;keyword&gt;EFFICIENT market theory&lt;/keyword&gt;&lt;keyword&gt;CAPITAL market&lt;/keyword&gt;&lt;keyword&gt;FINANCIAL institutions&lt;/keyword&gt;&lt;keyword&gt;CASH management&lt;/keyword&gt;&lt;keyword&gt;DEBT management&lt;/keyword&gt;&lt;keyword&gt;FINANCE&lt;/keyword&gt;&lt;keyword&gt;INVESTMENT analysis&lt;/keyword&gt;&lt;keyword&gt;PERSONNEL management&lt;/keyword&gt;&lt;keyword&gt;MARKETS&lt;/keyword&gt;&lt;/keywords&gt;&lt;dates&gt;&lt;year&gt;1998&lt;/year&gt;&lt;pub-dates&gt;&lt;date&gt;Spring98&lt;/date&gt;&lt;/pub-dates&gt;&lt;/dates&gt;&lt;publisher&gt;Wiley-Blackwell&lt;/publisher&gt;&lt;isbn&gt;00218456&lt;/isbn&gt;&lt;accession-num&gt;1031900&lt;/accession-num&gt;&lt;work-type&gt;Article&lt;/work-type&gt;&lt;urls&gt;&lt;related-urls&gt;&lt;url&gt;http://libraries.ou.edu/access.aspx?url=http://search.ebscohost.com/login.aspx?direct=true&amp;amp;db=buh&amp;amp;AN=1031900&amp;amp;site=ehost-live&lt;/url&gt;&lt;/related-urls&gt;&lt;/urls&gt;&lt;remote-database-name&gt;buh&lt;/remote-database-name&gt;&lt;remote-database-provider&gt;EBSCOhost&lt;/remote-database-provider&gt;&lt;/record&gt;&lt;/Cite&gt;&lt;/EndNote&gt;</w:instrText>
      </w:r>
      <w:r>
        <w:fldChar w:fldCharType="separate"/>
      </w:r>
      <w:r w:rsidR="0091777F">
        <w:rPr>
          <w:noProof/>
        </w:rPr>
        <w:t>(Kanodia and Lee 1998)</w:t>
      </w:r>
      <w:r>
        <w:fldChar w:fldCharType="end"/>
      </w:r>
      <w:r>
        <w:t xml:space="preserve">.  Managers will differentiate themselves from poorly performing firms by providing precise segment information in the form of differentiating segments (i.e., segments disclosed by the focal firm but not peers).  </w:t>
      </w:r>
      <w:r>
        <w:fldChar w:fldCharType="begin"/>
      </w:r>
      <w:r w:rsidR="0091777F">
        <w:instrText xml:space="preserve"> ADDIN EN.CITE &lt;EndNote&gt;&lt;Cite AuthorYear="1"&gt;&lt;Author&gt;Lambert&lt;/Author&gt;&lt;Year&gt;2007&lt;/Year&gt;&lt;RecNum&gt;97&lt;/RecNum&gt;&lt;DisplayText&gt;Lambert,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t xml:space="preserve"> suggest more precise disclosure</w:t>
      </w:r>
      <w:r w:rsidR="00883BD6">
        <w:t>s</w:t>
      </w:r>
      <w:r>
        <w:t xml:space="preserve"> </w:t>
      </w:r>
      <w:r w:rsidR="00C814D4">
        <w:t>improve</w:t>
      </w:r>
      <w:r>
        <w:t xml:space="preserve"> estimation of future cash flow, which in turn </w:t>
      </w:r>
      <w:r w:rsidR="00883BD6">
        <w:t>improves</w:t>
      </w:r>
      <w:r>
        <w:t xml:space="preserve"> focal firm excess value.  Therefore, firms reporting differentiating segments will reduce the unconditional covariance between the focal firm and its peers, improving future cash flow estimation, also improving focal firm excess value.</w:t>
      </w:r>
    </w:p>
    <w:p w:rsidR="00F778C8" w:rsidRPr="00475463" w:rsidRDefault="00F778C8" w:rsidP="00F778C8">
      <w:pPr>
        <w:ind w:firstLine="576"/>
      </w:pPr>
      <w:r>
        <w:t>Limited empirical evidence exists with respect to the role of segment differentiation in firm value.  Existent research demonstrates firms benefit when more precise, disaggregated segment information is reported.  Higher quality s</w:t>
      </w:r>
      <w:r w:rsidRPr="00475463">
        <w:t xml:space="preserve">egment </w:t>
      </w:r>
      <w:r w:rsidRPr="00475463">
        <w:lastRenderedPageBreak/>
        <w:t xml:space="preserve">reporting increases the market’s ability to reduce agency costs through monitoring </w:t>
      </w:r>
      <w:r>
        <w:fldChar w:fldCharType="begin">
          <w:fldData xml:space="preserve">PEVuZE5vdGU+PENpdGU+PEF1dGhvcj5CZXJnZXI8L0F1dGhvcj48WWVhcj4yMDAzPC9ZZWFyPjxS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</w:fldData>
        </w:fldChar>
      </w:r>
      <w:r w:rsidR="0091777F">
        <w:instrText xml:space="preserve"> ADDIN EN.CITE </w:instrText>
      </w:r>
      <w:r w:rsidR="0091777F">
        <w:fldChar w:fldCharType="begin">
          <w:fldData xml:space="preserve">PEVuZE5vdGU+PENpdGU+PEF1dGhvcj5CZXJnZXI8L0F1dGhvcj48WWVhcj4yMDAzPC9ZZWFyPjxS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</w:fldData>
        </w:fldChar>
      </w:r>
      <w:r w:rsidR="0091777F">
        <w:instrText xml:space="preserve"> ADDIN EN.CITE.DATA </w:instrText>
      </w:r>
      <w:r w:rsidR="0091777F">
        <w:fldChar w:fldCharType="end"/>
      </w:r>
      <w:r>
        <w:fldChar w:fldCharType="separate"/>
      </w:r>
      <w:r w:rsidR="0091777F">
        <w:rPr>
          <w:noProof/>
        </w:rPr>
        <w:t>(Berger and Hann 2003)</w:t>
      </w:r>
      <w:r>
        <w:fldChar w:fldCharType="end"/>
      </w:r>
      <w:r w:rsidRPr="00475463">
        <w:t xml:space="preserve">, to reduce information asymmetries </w:t>
      </w:r>
      <w:r>
        <w:fldChar w:fldCharType="begin">
          <w:fldData xml:space="preserve">PEVuZE5vdGU+PENpdGU+PEF1dGhvcj5HcmVlbnN0ZWluPC9BdXRob3I+PFllYXI+MTk5NDwvWWVh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</w:fldData>
        </w:fldChar>
      </w:r>
      <w:r w:rsidR="0091777F">
        <w:instrText xml:space="preserve"> ADDIN EN.CITE </w:instrText>
      </w:r>
      <w:r w:rsidR="0091777F">
        <w:fldChar w:fldCharType="begin">
          <w:fldData xml:space="preserve">PEVuZE5vdGU+PENpdGU+PEF1dGhvcj5HcmVlbnN0ZWluPC9BdXRob3I+PFllYXI+MTk5NDwvWWVh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</w:fldData>
        </w:fldChar>
      </w:r>
      <w:r w:rsidR="0091777F">
        <w:instrText xml:space="preserve"> ADDIN EN.CITE.DATA </w:instrText>
      </w:r>
      <w:r w:rsidR="0091777F">
        <w:fldChar w:fldCharType="end"/>
      </w:r>
      <w:r>
        <w:fldChar w:fldCharType="separate"/>
      </w:r>
      <w:r w:rsidR="0091777F">
        <w:rPr>
          <w:noProof/>
        </w:rPr>
        <w:t>(Greenstein and Sami 1994, Hope, Thomas, and Winterbotham 2009)</w:t>
      </w:r>
      <w:r>
        <w:fldChar w:fldCharType="end"/>
      </w:r>
      <w:r w:rsidRPr="00475463">
        <w:t xml:space="preserve">, to limit overinvestment </w:t>
      </w:r>
      <w:r>
        <w:fldChar w:fldCharType="begin"/>
      </w:r>
      <w:r w:rsidR="0091777F">
        <w:instrText xml:space="preserve"> ADDIN EN.CITE &lt;EndNote&gt;&lt;Cite&gt;&lt;Author&gt;Hope&lt;/Author&gt;&lt;Year&gt;2008&lt;/Year&gt;&lt;RecNum&gt;90&lt;/RecNum&gt;&lt;DisplayText&gt;(Hope and Thomas 2008)&lt;/DisplayText&gt;&lt;record&gt;&lt;rec-number&gt;90&lt;/rec-number&gt;&lt;foreign-keys&gt;&lt;key app="EN" db-id="0svx9dsr8pfxzmere98xdw5cr9vx9fdw2wrt" timestamp="1392430096"&gt;90&lt;/key&gt;&lt;key app="ENWeb" db-id=""&gt;0&lt;/key&gt;&lt;/foreign-keys&gt;&lt;ref-type name="Journal Article"&gt;17&lt;/ref-type&gt;&lt;contributors&gt;&lt;authors&gt;&lt;author&gt;Hope, Ole-Kristian&lt;/author&gt;&lt;author&gt;Thomas, Wayne B.&lt;/author&gt;&lt;/authors&gt;&lt;/contributors&gt;&lt;titles&gt;&lt;title&gt;Managerial Empire Building and Firm Disclosure&lt;/title&gt;&lt;secondary-title&gt;Journal of Accounting Research&lt;/secondary-title&gt;&lt;/titles&gt;&lt;periodical&gt;&lt;full-title&gt;Journal of Accounting Research&lt;/full-title&gt;&lt;/periodical&gt;&lt;pages&gt;591-626&lt;/pages&gt;&lt;volume&gt;46&lt;/volume&gt;&lt;number&gt;3&lt;/number&gt;&lt;keywords&gt;&lt;keyword&gt;DISCLOSURE&lt;/keyword&gt;&lt;keyword&gt;EXECUTIVES&lt;/keyword&gt;&lt;keyword&gt;INTERNATIONAL business enterprises&lt;/keyword&gt;&lt;keyword&gt;COST analysis&lt;/keyword&gt;&lt;keyword&gt;STOCKHOLDERS&lt;/keyword&gt;&lt;keyword&gt;HYPOTHESIS&lt;/keyword&gt;&lt;keyword&gt;MEXICO&lt;/keyword&gt;&lt;keyword&gt;EAST Asia&lt;/keyword&gt;&lt;keyword&gt;UNITED States&lt;/keyword&gt;&lt;/keywords&gt;&lt;dates&gt;&lt;year&gt;2008&lt;/year&gt;&lt;/dates&gt;&lt;publisher&gt;Wiley-Blackwell&lt;/publisher&gt;&lt;isbn&gt;00218456&lt;/isbn&gt;&lt;accession-num&gt;31601025&lt;/accession-num&gt;&lt;work-type&gt;Article&lt;/work-type&gt;&lt;urls&gt;&lt;related-urls&gt;&lt;url&gt;http://libraries.ou.edu/access.aspx?url=http://search.ebscohost.com/login.aspx?direct=true&amp;amp;db=buh&amp;amp;AN=31601025&amp;amp;site=ehost-live&lt;/url&gt;&lt;url&gt;http://onlinelibrary.wiley.com/store/10.1111/j.1475-679X.2008.00289.x/asset/j.1475-679X.2008.00289.x.pdf?v=1&amp;amp;t=hr0voosl&amp;amp;s=b8c52fee508adcf15673f09456c6f9391403002f&lt;/url&gt;&lt;/related-urls&gt;&lt;/urls&gt;&lt;electronic-resource-num&gt;10.1111/j.1475-679X.2008.00289.x&lt;/electronic-resource-num&gt;&lt;remote-database-name&gt;buh&lt;/remote-database-name&gt;&lt;remote-database-provider&gt;EBSCOhost&lt;/remote-database-provider&gt;&lt;/record&gt;&lt;/Cite&gt;&lt;/EndNote&gt;</w:instrText>
      </w:r>
      <w:r>
        <w:fldChar w:fldCharType="separate"/>
      </w:r>
      <w:r w:rsidR="0091777F">
        <w:rPr>
          <w:noProof/>
        </w:rPr>
        <w:t>(Hope and Thomas 2008)</w:t>
      </w:r>
      <w:r>
        <w:fldChar w:fldCharType="end"/>
      </w:r>
      <w:r w:rsidRPr="00475463">
        <w:t xml:space="preserve">, and to uncover cross-subsidization of poor performing segments </w:t>
      </w:r>
      <w:r>
        <w:fldChar w:fldCharType="begin"/>
      </w:r>
      <w:r w:rsidR="0091777F">
        <w:instrText xml:space="preserve"> ADDIN EN.CITE &lt;EndNote&gt;&lt;Cite&gt;&lt;Author&gt;Berger&lt;/Author&gt;&lt;Year&gt;2007&lt;/Year&gt;&lt;RecNum&gt;152&lt;/RecNum&gt;&lt;DisplayText&gt;(Berger and Hann 2007)&lt;/DisplayText&gt;&lt;record&gt;&lt;rec-number&gt;152&lt;/rec-number&gt;&lt;foreign-keys&gt;&lt;key app="EN" db-id="0svx9dsr8pfxzmere98xdw5cr9vx9fdw2wrt" timestamp="1392430216"&gt;152&lt;/key&gt;&lt;key app="ENWeb" db-id=""&gt;0&lt;/key&gt;&lt;/foreign-keys&gt;&lt;ref-type name="Journal Article"&gt;17&lt;/ref-type&gt;&lt;contributors&gt;&lt;authors&gt;&lt;author&gt;Berger, Philip G.&lt;/author&gt;&lt;author&gt;Hann, Rebecca N.&lt;/author&gt;&lt;/authors&gt;&lt;/contributors&gt;&lt;titles&gt;&lt;title&gt;Segment Profitability and the Proprietary and Agency Costs of Disclosure&lt;/title&gt;&lt;secondary-title&gt;Accounting Review&lt;/secondary-title&gt;&lt;/titles&gt;&lt;periodical&gt;&lt;full-title&gt;Accounting Review&lt;/full-title&gt;&lt;/periodical&gt;&lt;pages&gt;869-906&lt;/pages&gt;&lt;volume&gt;82&lt;/volume&gt;&lt;number&gt;4&lt;/number&gt;&lt;keywords&gt;&lt;keyword&gt;PROFITABILITY&lt;/keyword&gt;&lt;keyword&gt;LINE of business reporting&lt;/keyword&gt;&lt;keyword&gt;DISCLOSURE in accounting&lt;/keyword&gt;&lt;keyword&gt;FINANCIAL disclosure&lt;/keyword&gt;&lt;keyword&gt;AGENCY costs&lt;/keyword&gt;&lt;keyword&gt;CONFIDENTIAL business information&lt;/keyword&gt;&lt;keyword&gt;ACCOUNTING &amp;amp; price fluctuations&lt;/keyword&gt;&lt;keyword&gt;PROFIT&lt;/keyword&gt;&lt;keyword&gt;MANAGEMENT&lt;/keyword&gt;&lt;keyword&gt;COST accounting&lt;/keyword&gt;&lt;keyword&gt;FINANCIAL statements&lt;/keyword&gt;&lt;keyword&gt;CORPORATE profits&lt;/keyword&gt;&lt;keyword&gt;ACCOUNTING&lt;/keyword&gt;&lt;keyword&gt;discretionary disclosure&lt;/keyword&gt;&lt;keyword&gt;proprietary costs&lt;/keyword&gt;&lt;keyword&gt;segment profitability&lt;/keyword&gt;&lt;keyword&gt;segment reporting&lt;/keyword&gt;&lt;/keywords&gt;&lt;dates&gt;&lt;year&gt;2007&lt;/year&gt;&lt;/dates&gt;&lt;publisher&gt;American Accounting Association&lt;/publisher&gt;&lt;isbn&gt;00014826&lt;/isbn&gt;&lt;accession-num&gt;25812999&lt;/accession-num&gt;&lt;work-type&gt;Article&lt;/work-type&gt;&lt;urls&gt;&lt;related-urls&gt;&lt;url&gt;http://libraries.ou.edu/access.aspx?url=http://search.ebscohost.com/login.aspx?direct=true&amp;amp;db=buh&amp;amp;AN=25812999&amp;amp;site=ehost-live&lt;/url&gt;&lt;/related-urls&gt;&lt;/urls&gt;&lt;remote-database-name&gt;buh&lt;/remote-database-name&gt;&lt;remote-database-provider&gt;EBSCOhost&lt;/remote-database-provider&gt;&lt;/record&gt;&lt;/Cite&gt;&lt;/EndNote&gt;</w:instrText>
      </w:r>
      <w:r>
        <w:fldChar w:fldCharType="separate"/>
      </w:r>
      <w:r w:rsidR="0091777F">
        <w:rPr>
          <w:noProof/>
        </w:rPr>
        <w:t>(Berger and Hann 2007)</w:t>
      </w:r>
      <w:r>
        <w:fldChar w:fldCharType="end"/>
      </w:r>
      <w:r w:rsidRPr="00475463">
        <w:t xml:space="preserve">.  More precise segment disclosures also provide information incremental to overall financial reporting quality that increases the firm’s excess value </w:t>
      </w:r>
      <w:r>
        <w:fldChar w:fldCharType="begin"/>
      </w:r>
      <w:r w:rsidR="0091777F">
        <w:instrText xml:space="preserve"> ADDIN EN.CITE &lt;EndNote&gt;&lt;Cite&gt;&lt;Author&gt;Bens&lt;/Author&gt;&lt;Year&gt;2004&lt;/Year&gt;&lt;RecNum&gt;78&lt;/RecNum&gt;&lt;DisplayText&gt;(Bens and Monahan 2004)&lt;/DisplayText&gt;&lt;record&gt;&lt;rec-number&gt;78&lt;/rec-number&gt;&lt;foreign-keys&gt;&lt;key app="EN" db-id="0svx9dsr8pfxzmere98xdw5cr9vx9fdw2wrt" timestamp="1392430075"&gt;78&lt;/key&gt;&lt;key app="ENWeb" db-id=""&gt;0&lt;/key&gt;&lt;/foreign-keys&gt;&lt;ref-type name="Journal Article"&gt;17&lt;/ref-type&gt;&lt;contributors&gt;&lt;authors&gt;&lt;author&gt;Bens, Daniel A.&lt;/author&gt;&lt;author&gt;Monahan, Steven J.&lt;/author&gt;&lt;/authors&gt;&lt;/contributors&gt;&lt;titles&gt;&lt;title&gt;Disclosure Quality and the Excess Value of Diversification&lt;/title&gt;&lt;secondary-title&gt;Journal of Accounting Research&lt;/secondary-title&gt;&lt;/titles&gt;&lt;periodical&gt;&lt;full-title&gt;Journal of Accounting Research&lt;/full-title&gt;&lt;/periodical&gt;&lt;pages&gt;691-730&lt;/pages&gt;&lt;volume&gt;42&lt;/volume&gt;&lt;number&gt;4&lt;/number&gt;&lt;keywords&gt;&lt;keyword&gt;PORTFOLIO management (Investments)&lt;/keyword&gt;&lt;keyword&gt;DISCLOSURE in accounting&lt;/keyword&gt;&lt;keyword&gt;FINANCIAL performance&lt;/keyword&gt;&lt;keyword&gt;FINANCIAL disclosure&lt;/keyword&gt;&lt;keyword&gt;INVESTMENTS&lt;/keyword&gt;&lt;keyword&gt;VALUATION&lt;/keyword&gt;&lt;keyword&gt;INVESTMENT analysis&lt;/keyword&gt;&lt;keyword&gt;CONSOLIDATION &amp;amp; merger of corporations&lt;/keyword&gt;&lt;keyword&gt;TRUTHFULNESS &amp;amp; falsehood&lt;/keyword&gt;&lt;keyword&gt;UNITED States&lt;/keyword&gt;&lt;/keywords&gt;&lt;dates&gt;&lt;year&gt;2004&lt;/year&gt;&lt;/dates&gt;&lt;publisher&gt;Wiley-Blackwell&lt;/publisher&gt;&lt;isbn&gt;00218456&lt;/isbn&gt;&lt;accession-num&gt;13952718&lt;/accession-num&gt;&lt;work-type&gt;Article&lt;/work-type&gt;&lt;urls&gt;&lt;related-urls&gt;&lt;url&gt;http://libraries.ou.edu/access.aspx?url=http://search.ebscohost.com/login.aspx?direct=true&amp;amp;db=buh&amp;amp;AN=13952718&amp;amp;site=ehost-live&lt;/url&gt;&lt;url&gt;http://onlinelibrary.wiley.com/store/10.1111/j.1475-679X.2004.00154.x/asset/j.1475-679X.2004.00154.x.pdf?v=1&amp;amp;t=hqzlbkn6&amp;amp;s=3c9beaf64a792edb3b968d1157082c5aa3c33bc9&lt;/url&gt;&lt;/related-urls&gt;&lt;/urls&gt;&lt;electronic-resource-num&gt;10.1111/j.1475-679X.2004.00154.x&lt;/electronic-resource-num&gt;&lt;remote-database-name&gt;buh&lt;/remote-database-name&gt;&lt;remote-database-provider&gt;EBSCOhost&lt;/remote-database-provider&gt;&lt;/record&gt;&lt;/Cite&gt;&lt;/EndNote&gt;</w:instrText>
      </w:r>
      <w:r>
        <w:fldChar w:fldCharType="separate"/>
      </w:r>
      <w:r w:rsidR="0091777F">
        <w:rPr>
          <w:noProof/>
        </w:rPr>
        <w:t>(Bens and Monahan 2004)</w:t>
      </w:r>
      <w:r>
        <w:fldChar w:fldCharType="end"/>
      </w:r>
      <w:r>
        <w:t xml:space="preserve"> and improves the market’s ability to predict earnings </w:t>
      </w:r>
      <w:r>
        <w:fldChar w:fldCharType="begin"/>
      </w:r>
      <w:r w:rsidR="0091777F">
        <w:instrText xml:space="preserve"> ADDIN EN.CITE &lt;EndNote&gt;&lt;Cite&gt;&lt;Author&gt;Ettredge&lt;/Author&gt;&lt;Year&gt;2005&lt;/Year&gt;&lt;RecNum&gt;219&lt;/RecNum&gt;&lt;DisplayText&gt;(Ettredge et al. 2005)&lt;/DisplayText&gt;&lt;record&gt;&lt;rec-number&gt;219&lt;/rec-number&gt;&lt;foreign-keys&gt;&lt;key app="EN" db-id="0svx9dsr8pfxzmere98xdw5cr9vx9fdw2wrt" timestamp="1392430404"&gt;219&lt;/key&gt;&lt;/foreign-keys&gt;&lt;ref-type name="Journal Article"&gt;17&lt;/ref-type&gt;&lt;contributors&gt;&lt;authors&gt;&lt;author&gt;Ettredge, Michael L.&lt;/author&gt;&lt;author&gt;Soo Young, Kwon&lt;/author&gt;&lt;author&gt;Smith, David B.&lt;/author&gt;&lt;author&gt;Zarowin, Paul A.&lt;/author&gt;&lt;/authors&gt;&lt;/contributors&gt;&lt;titles&gt;&lt;title&gt;The Impact of SFAS No. 131 Business Segment Data on the Market&amp;apos;s Ability to Anticipate Future Earnings&lt;/title&gt;&lt;secondary-title&gt;Accounting Review&lt;/secondary-title&gt;&lt;/titles&gt;&lt;periodical&gt;&lt;full-title&gt;Accounting Review&lt;/full-title&gt;&lt;/periodical&gt;&lt;pages&gt;773-804&lt;/pages&gt;&lt;volume&gt;80&lt;/volume&gt;&lt;number&gt;3&lt;/number&gt;&lt;keywords&gt;&lt;keyword&gt;STOCKS (Finance) -- Prices&lt;/keyword&gt;&lt;keyword&gt;FINANCIAL statements&lt;/keyword&gt;&lt;keyword&gt;ECONOMIC forecasting&lt;/keyword&gt;&lt;keyword&gt;WAGES&lt;/keyword&gt;&lt;keyword&gt;EARNINGS forecasting&lt;/keyword&gt;&lt;keyword&gt;forward earnings response coefficient.&lt;/keyword&gt;&lt;keyword&gt;segment reporting&lt;/keyword&gt;&lt;keyword&gt;SFAS No. 131&lt;/keyword&gt;&lt;/keywords&gt;&lt;dates&gt;&lt;year&gt;2005&lt;/year&gt;&lt;/dates&gt;&lt;publisher&gt;American Accounting Association&lt;/publisher&gt;&lt;isbn&gt;00014826&lt;/isbn&gt;&lt;accession-num&gt;17651991&lt;/accession-num&gt;&lt;work-type&gt;Article&lt;/work-type&gt;&lt;urls&gt;&lt;related-urls&gt;&lt;url&gt;http://libraries.ou.edu/access.aspx?url=http://search.ebscohost.com/login.aspx?direct=true&amp;amp;db=buh&amp;amp;AN=17651991&amp;amp;site=ehost-live&lt;/url&gt;&lt;/related-urls&gt;&lt;/urls&gt;&lt;remote-database-name&gt;buh&lt;/remote-database-name&gt;&lt;remote-database-provider&gt;EBSCOhost&lt;/remote-database-provider&gt;&lt;/record&gt;&lt;/Cite&gt;&lt;/EndNote&gt;</w:instrText>
      </w:r>
      <w:r>
        <w:fldChar w:fldCharType="separate"/>
      </w:r>
      <w:r w:rsidR="0091777F">
        <w:rPr>
          <w:noProof/>
        </w:rPr>
        <w:t>(Ettredge et al. 2005)</w:t>
      </w:r>
      <w:r>
        <w:fldChar w:fldCharType="end"/>
      </w:r>
      <w:r w:rsidRPr="00475463">
        <w:t>.</w:t>
      </w:r>
      <w:r>
        <w:t xml:space="preserve">  Overall, these results demonstrate more precise segment information improves focal firm value, suggesting higher levels of differentiating segments may also improve focal firm value.  None of these studies measures reporting differences between the focal firm and its peers.</w:t>
      </w:r>
    </w:p>
    <w:p w:rsidR="00F778C8" w:rsidRDefault="00F778C8" w:rsidP="00F778C8">
      <w:pPr>
        <w:pStyle w:val="Heading3"/>
      </w:pPr>
      <w:bookmarkStart w:id="13" w:name="_Toc414633031"/>
      <w:r>
        <w:t>Focal Firm Segment Differentiation and Excess Value</w:t>
      </w:r>
      <w:bookmarkEnd w:id="13"/>
    </w:p>
    <w:p w:rsidR="00F778C8" w:rsidRDefault="00F778C8" w:rsidP="00F778C8">
      <w:pPr>
        <w:ind w:firstLine="576"/>
      </w:pPr>
      <w:r>
        <w:t xml:space="preserve">Finance research finds disclosure of a greater number of diverse segments will result in lower </w:t>
      </w:r>
      <w:r w:rsidR="00B271BD">
        <w:t xml:space="preserve">focal firm </w:t>
      </w:r>
      <w:r>
        <w:t xml:space="preserve">excess value </w:t>
      </w:r>
      <w:r>
        <w:fldChar w:fldCharType="begin"/>
      </w:r>
      <w:r w:rsidR="0091777F">
        <w:instrText xml:space="preserve"> ADDIN EN.CITE &lt;EndNote&gt;&lt;Cite&gt;&lt;Author&gt;Berger&lt;/Author&gt;&lt;Year&gt;1995&lt;/Year&gt;&lt;RecNum&gt;153&lt;/RecNum&gt;&lt;DisplayText&gt;(Berger and Ofek 1995)&lt;/DisplayText&gt;&lt;record&gt;&lt;rec-number&gt;153&lt;/rec-number&gt;&lt;foreign-keys&gt;&lt;key app="EN" db-id="0svx9dsr8pfxzmere98xdw5cr9vx9fdw2wrt" timestamp="1392430217"&gt;153&lt;/key&gt;&lt;key app="ENWeb" db-id=""&gt;0&lt;/key&gt;&lt;/foreign-keys&gt;&lt;ref-type name="Journal Article"&gt;17&lt;/ref-type&gt;&lt;contributors&gt;&lt;authors&gt;&lt;author&gt;Berger, Philip G.&lt;/author&gt;&lt;author&gt;Ofek, Eli&lt;/author&gt;&lt;/authors&gt;&lt;/contributors&gt;&lt;auth-address&gt;Wharton School&amp;#xD;Stern School of Business, NYU&lt;/auth-address&gt;&lt;titles&gt;&lt;title&gt;Diversification&amp;apos;s Effect on Firm Value&lt;/title&gt;&lt;secondary-title&gt;Journal of Financial Economics&lt;/secondary-title&gt;&lt;/titles&gt;&lt;periodical&gt;&lt;full-title&gt;Journal of Financial Economics&lt;/full-title&gt;&lt;/periodical&gt;&lt;pages&gt;39-65&lt;/pages&gt;&lt;volume&gt;37&lt;/volume&gt;&lt;number&gt;1&lt;/number&gt;&lt;keywords&gt;&lt;keyword&gt;Financing Policy&lt;/keyword&gt;&lt;keyword&gt;Financial Risk and Risk Management&lt;/keyword&gt;&lt;keyword&gt;Capital and Ownership Structure&lt;/keyword&gt;&lt;keyword&gt;Value of Firms&lt;/keyword&gt;&lt;keyword&gt;Goodwill G32&lt;/keyword&gt;&lt;/keywords&gt;&lt;dates&gt;&lt;year&gt;1995&lt;/year&gt;&lt;/dates&gt;&lt;isbn&gt;0304405X&lt;/isbn&gt;&lt;accession-num&gt;0354453&lt;/accession-num&gt;&lt;urls&gt;&lt;related-urls&gt;&lt;url&gt;http://libraries.ou.edu/access.aspx?url=http://search.ebscohost.com/login.aspx?direct=true&amp;amp;db=ecn&amp;amp;AN=0354453&amp;amp;site=ehost-live&lt;/url&gt;&lt;url&gt;http://www.sciencedirect.com/science/journal/0304405X&lt;/url&gt;&lt;/related-urls&gt;&lt;/urls&gt;&lt;electronic-resource-num&gt;http://www.sciencedirect.com/science/journal/0304405X&lt;/electronic-resource-num&gt;&lt;remote-database-name&gt;ecn&lt;/remote-database-name&gt;&lt;remote-database-provider&gt;EBSCOhost&lt;/remote-database-provider&gt;&lt;/record&gt;&lt;/Cite&gt;&lt;/EndNote&gt;</w:instrText>
      </w:r>
      <w:r>
        <w:fldChar w:fldCharType="separate"/>
      </w:r>
      <w:r w:rsidR="0091777F">
        <w:rPr>
          <w:noProof/>
        </w:rPr>
        <w:t>(Berger and Ofek 1995)</w:t>
      </w:r>
      <w:r>
        <w:fldChar w:fldCharType="end"/>
      </w:r>
      <w:r>
        <w:t xml:space="preserve">.  But, accounting research shows more disaggregated segment reporting improves excess value, reducing the diversification discount </w:t>
      </w:r>
      <w:r>
        <w:fldChar w:fldCharType="begin"/>
      </w:r>
      <w:r w:rsidR="0091777F">
        <w:instrText xml:space="preserve"> ADDIN EN.CITE &lt;EndNote&gt;&lt;Cite&gt;&lt;Author&gt;Bens&lt;/Author&gt;&lt;Year&gt;2004&lt;/Year&gt;&lt;RecNum&gt;78&lt;/RecNum&gt;&lt;DisplayText&gt;(Bens and Monahan 2004)&lt;/DisplayText&gt;&lt;record&gt;&lt;rec-number&gt;78&lt;/rec-number&gt;&lt;foreign-keys&gt;&lt;key app="EN" db-id="0svx9dsr8pfxzmere98xdw5cr9vx9fdw2wrt" timestamp="1392430075"&gt;78&lt;/key&gt;&lt;key app="ENWeb" db-id=""&gt;0&lt;/key&gt;&lt;/foreign-keys&gt;&lt;ref-type name="Journal Article"&gt;17&lt;/ref-type&gt;&lt;contributors&gt;&lt;authors&gt;&lt;author&gt;Bens, Daniel A.&lt;/author&gt;&lt;author&gt;Monahan, Steven J.&lt;/author&gt;&lt;/authors&gt;&lt;/contributors&gt;&lt;titles&gt;&lt;title&gt;Disclosure Quality and the Excess Value of Diversification&lt;/title&gt;&lt;secondary-title&gt;Journal of Accounting Research&lt;/secondary-title&gt;&lt;/titles&gt;&lt;periodical&gt;&lt;full-title&gt;Journal of Accounting Research&lt;/full-title&gt;&lt;/periodical&gt;&lt;pages&gt;691-730&lt;/pages&gt;&lt;volume&gt;42&lt;/volume&gt;&lt;number&gt;4&lt;/number&gt;&lt;keywords&gt;&lt;keyword&gt;PORTFOLIO management (Investments)&lt;/keyword&gt;&lt;keyword&gt;DISCLOSURE in accounting&lt;/keyword&gt;&lt;keyword&gt;FINANCIAL performance&lt;/keyword&gt;&lt;keyword&gt;FINANCIAL disclosure&lt;/keyword&gt;&lt;keyword&gt;INVESTMENTS&lt;/keyword&gt;&lt;keyword&gt;VALUATION&lt;/keyword&gt;&lt;keyword&gt;INVESTMENT analysis&lt;/keyword&gt;&lt;keyword&gt;CONSOLIDATION &amp;amp; merger of corporations&lt;/keyword&gt;&lt;keyword&gt;TRUTHFULNESS &amp;amp; falsehood&lt;/keyword&gt;&lt;keyword&gt;UNITED States&lt;/keyword&gt;&lt;/keywords&gt;&lt;dates&gt;&lt;year&gt;2004&lt;/year&gt;&lt;/dates&gt;&lt;publisher&gt;Wiley-Blackwell&lt;/publisher&gt;&lt;isbn&gt;00218456&lt;/isbn&gt;&lt;accession-num&gt;13952718&lt;/accession-num&gt;&lt;work-type&gt;Article&lt;/work-type&gt;&lt;urls&gt;&lt;related-urls&gt;&lt;url&gt;http://libraries.ou.edu/access.aspx?url=http://search.ebscohost.com/login.aspx?direct=true&amp;amp;db=buh&amp;amp;AN=13952718&amp;amp;site=ehost-live&lt;/url&gt;&lt;url&gt;http://onlinelibrary.wiley.com/store/10.1111/j.1475-679X.2004.00154.x/asset/j.1475-679X.2004.00154.x.pdf?v=1&amp;amp;t=hqzlbkn6&amp;amp;s=3c9beaf64a792edb3b968d1157082c5aa3c33bc9&lt;/url&gt;&lt;/related-urls&gt;&lt;/urls&gt;&lt;electronic-resource-num&gt;10.1111/j.1475-679X.2004.00154.x&lt;/electronic-resource-num&gt;&lt;remote-database-name&gt;buh&lt;/remote-database-name&gt;&lt;remote-database-provider&gt;EBSCOhost&lt;/remote-database-provider&gt;&lt;/record&gt;&lt;/Cite&gt;&lt;/EndNote&gt;</w:instrText>
      </w:r>
      <w:r>
        <w:fldChar w:fldCharType="separate"/>
      </w:r>
      <w:r w:rsidR="0091777F">
        <w:rPr>
          <w:noProof/>
        </w:rPr>
        <w:t>(Bens and Monahan 2004)</w:t>
      </w:r>
      <w:r>
        <w:fldChar w:fldCharType="end"/>
      </w:r>
      <w:r>
        <w:t xml:space="preserve">.  Further, </w:t>
      </w:r>
      <w:r>
        <w:fldChar w:fldCharType="begin"/>
      </w:r>
      <w:r w:rsidR="0091777F">
        <w:instrText xml:space="preserve"> ADDIN EN.CITE &lt;EndNote&gt;&lt;Cite AuthorYear="1"&gt;&lt;Author&gt;Lambert&lt;/Author&gt;&lt;Year&gt;2007&lt;/Year&gt;&lt;RecNum&gt;97&lt;/RecNum&gt;&lt;DisplayText&gt;Lambert,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t xml:space="preserve"> suggest more precise information reduces the unconditional covariance between firms, improving firm value.  Thus, I expect firms that report </w:t>
      </w:r>
      <w:r w:rsidR="0096307F">
        <w:t xml:space="preserve">more </w:t>
      </w:r>
      <w:r>
        <w:t xml:space="preserve">segments </w:t>
      </w:r>
      <w:r w:rsidR="0096307F">
        <w:t xml:space="preserve">that differentiate the focal firm </w:t>
      </w:r>
      <w:r>
        <w:t>from its peers will have higher excess value.</w:t>
      </w:r>
    </w:p>
    <w:p w:rsidR="00F778C8" w:rsidRPr="00F778C8" w:rsidRDefault="00F778C8" w:rsidP="00BF588B">
      <w:pPr>
        <w:pStyle w:val="BlockQuotation"/>
        <w:ind w:left="1260" w:hanging="540"/>
      </w:pPr>
      <w:r w:rsidRPr="0046523F">
        <w:rPr>
          <w:b/>
        </w:rPr>
        <w:t>H</w:t>
      </w:r>
      <w:r w:rsidRPr="0046523F">
        <w:rPr>
          <w:b/>
          <w:vertAlign w:val="subscript"/>
        </w:rPr>
        <w:t>1</w:t>
      </w:r>
      <w:r>
        <w:rPr>
          <w:b/>
          <w:vertAlign w:val="subscript"/>
        </w:rPr>
        <w:t>a</w:t>
      </w:r>
      <w:r w:rsidRPr="0046523F">
        <w:rPr>
          <w:b/>
        </w:rPr>
        <w:t>:</w:t>
      </w:r>
      <w:r>
        <w:t xml:space="preserve"> Higher levels of segment differentiation between the focal firm and its peers wi</w:t>
      </w:r>
      <w:r w:rsidR="00B271BD">
        <w:t>ll increase</w:t>
      </w:r>
      <w:r>
        <w:t xml:space="preserve"> focal firm excess value.</w:t>
      </w:r>
    </w:p>
    <w:p w:rsidR="00FB4562" w:rsidRDefault="00FB4562">
      <w:pPr>
        <w:spacing w:line="240" w:lineRule="auto"/>
        <w:rPr>
          <w:rFonts w:asciiTheme="majorHAnsi" w:hAnsiTheme="majorHAnsi"/>
          <w:b/>
          <w:bCs/>
          <w:iCs/>
          <w:szCs w:val="28"/>
        </w:rPr>
      </w:pPr>
      <w:r>
        <w:br w:type="page"/>
      </w:r>
    </w:p>
    <w:p w:rsidR="00F778C8" w:rsidRDefault="00FB4562" w:rsidP="00BF588B">
      <w:pPr>
        <w:pStyle w:val="Heading2"/>
      </w:pPr>
      <w:bookmarkStart w:id="14" w:name="_Toc414633032"/>
      <w:r>
        <w:lastRenderedPageBreak/>
        <w:t>Peer Firm Segment Differentiation and Excess Value</w:t>
      </w:r>
      <w:bookmarkEnd w:id="14"/>
    </w:p>
    <w:p w:rsidR="00FB4562" w:rsidRPr="00475463" w:rsidRDefault="00FB4562" w:rsidP="00FB4562">
      <w:pPr>
        <w:ind w:firstLine="720"/>
      </w:pPr>
      <w:r>
        <w:fldChar w:fldCharType="begin"/>
      </w:r>
      <w:r w:rsidR="0091777F">
        <w:instrText xml:space="preserve"> ADDIN EN.CITE &lt;EndNote&gt;&lt;Cite AuthorYear="1"&gt;&lt;Author&gt;Lambert&lt;/Author&gt;&lt;Year&gt;2007&lt;/Year&gt;&lt;RecNum&gt;97&lt;/RecNum&gt;&lt;DisplayText&gt;Lambert,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rsidRPr="00475463">
        <w:t xml:space="preserve"> </w:t>
      </w:r>
      <w:r>
        <w:t>demonstrate</w:t>
      </w:r>
      <w:r w:rsidRPr="00475463">
        <w:t xml:space="preserve"> how the </w:t>
      </w:r>
      <w:r>
        <w:t>quality (or precision)</w:t>
      </w:r>
      <w:r w:rsidRPr="00475463">
        <w:t xml:space="preserve"> of accounting disclosure affects a firm’s cost of capital in a multi-firm setting.  Using CAPM, Lambert et al. </w:t>
      </w:r>
      <w:r>
        <w:t xml:space="preserve">assert more precise accounting </w:t>
      </w:r>
      <w:r w:rsidRPr="00475463">
        <w:t xml:space="preserve">information affects not only the focal firm by reducing the variance of the focal firm’s expected future cash flows but also peer firms </w:t>
      </w:r>
      <w:r>
        <w:t xml:space="preserve">by reducing </w:t>
      </w:r>
      <w:r w:rsidRPr="00475463">
        <w:t>the assessed covariance of the focal firm’s cash flows with correlated peers.</w:t>
      </w:r>
      <w:r>
        <w:rPr>
          <w:rStyle w:val="FootnoteReference"/>
        </w:rPr>
        <w:footnoteReference w:id="6"/>
      </w:r>
      <w:r w:rsidRPr="00475463">
        <w:t xml:space="preserve">  Effects of </w:t>
      </w:r>
      <w:r>
        <w:t xml:space="preserve">more precise accounting disclosure </w:t>
      </w:r>
      <w:r w:rsidRPr="00475463">
        <w:t>are undiversifiable in a multi-firm setting</w:t>
      </w:r>
      <w:r>
        <w:t xml:space="preserve"> because of changes in the systematic correlation</w:t>
      </w:r>
      <w:r w:rsidRPr="00475463">
        <w:t>.</w:t>
      </w:r>
      <w:r w:rsidRPr="00475463">
        <w:rPr>
          <w:rStyle w:val="FootnoteReference"/>
        </w:rPr>
        <w:footnoteReference w:id="7"/>
      </w:r>
      <w:r>
        <w:t xml:space="preserve">  In the present context, firms that disclose differentiating segments reduce not only the variance of focal firm cash flow estimation but also the perceived correlation between the focal firm and its peers, improving future cash flow estimation.  Extended to a peer group, firms disclosing differentiating segments will affect all members of the peer group, not only the firm disclosing the differentiating segment.  </w:t>
      </w:r>
      <w:r>
        <w:lastRenderedPageBreak/>
        <w:t>The result is lower estimation risk, improved future cash flow estimation, a lower cost of capital, and therefore improved excess value.</w:t>
      </w:r>
      <w:r>
        <w:rPr>
          <w:rStyle w:val="FootnoteReference"/>
        </w:rPr>
        <w:footnoteReference w:id="8"/>
      </w:r>
    </w:p>
    <w:p w:rsidR="00FB4562" w:rsidRDefault="00FB4562" w:rsidP="00FB4562">
      <w:pPr>
        <w:ind w:firstLine="720"/>
      </w:pPr>
      <w:r>
        <w:t xml:space="preserve">Two studies examine the effects of peer </w:t>
      </w:r>
      <w:r w:rsidRPr="00475463">
        <w:t xml:space="preserve">accounting information </w:t>
      </w:r>
      <w:r>
        <w:t xml:space="preserve">quality </w:t>
      </w:r>
      <w:r w:rsidRPr="00475463">
        <w:t xml:space="preserve">on </w:t>
      </w:r>
      <w:r>
        <w:t>firm valuation.</w:t>
      </w:r>
      <w:r w:rsidRPr="00475463">
        <w:t xml:space="preserve">  </w:t>
      </w:r>
      <w:r>
        <w:fldChar w:fldCharType="begin"/>
      </w:r>
      <w:r w:rsidR="0091777F">
        <w:instrText xml:space="preserve"> ADDIN EN.CITE &lt;EndNote&gt;&lt;Cite AuthorYear="1"&gt;&lt;Author&gt;Welch&lt;/Author&gt;&lt;Year&gt;2014&lt;/Year&gt;&lt;RecNum&gt;143&lt;/RecNum&gt;&lt;DisplayText&gt;Welch (2014)&lt;/DisplayText&gt;&lt;record&gt;&lt;rec-number&gt;143&lt;/rec-number&gt;&lt;foreign-keys&gt;&lt;key app="EN" db-id="0svx9dsr8pfxzmere98xdw5cr9vx9fdw2wrt" timestamp="1392430200"&gt;143&lt;/key&gt;&lt;key app="ENWeb" db-id=""&gt;0&lt;/key&gt;&lt;/foreign-keys&gt;&lt;ref-type name="Journal Article"&gt;17&lt;/ref-type&gt;&lt;contributors&gt;&lt;authors&gt;&lt;author&gt;Welch, Kyle&lt;/author&gt;&lt;/authors&gt;&lt;/contributors&gt;&lt;titles&gt;&lt;title&gt;Private Equity’s Diversification Illusion: Economic Comovement and Fair Value Reporting&lt;/title&gt;&lt;secondary-title&gt;Available at SSRN&lt;/secondary-title&gt;&lt;/titles&gt;&lt;periodical&gt;&lt;full-title&gt;Available at SSRN&lt;/full-title&gt;&lt;/periodical&gt;&lt;dates&gt;&lt;year&gt;2014&lt;/year&gt;&lt;/dates&gt;&lt;urls&gt;&lt;/urls&gt;&lt;/record&gt;&lt;/Cite&gt;&lt;/EndNote&gt;</w:instrText>
      </w:r>
      <w:r>
        <w:fldChar w:fldCharType="separate"/>
      </w:r>
      <w:r w:rsidR="0091777F">
        <w:rPr>
          <w:noProof/>
        </w:rPr>
        <w:t>Welch (2014)</w:t>
      </w:r>
      <w:r>
        <w:fldChar w:fldCharType="end"/>
      </w:r>
      <w:r w:rsidRPr="00475463">
        <w:t xml:space="preserve"> examines the effects of fair value reporting on private equity firms’ ability to raise funds.  Private equity firm peers with better fair value reporting expose previously unknown correlation across private equity firms, decreasing the amount of capital the focal firm can raise.  In other words, higher fair value reporting by one firm changes the market’s perception of its peers, reducing the ability the focal firm’s peers to raise capital.  </w:t>
      </w:r>
      <w:r>
        <w:fldChar w:fldCharType="begin"/>
      </w:r>
      <w:r w:rsidR="0091777F">
        <w:instrText xml:space="preserve"> ADDIN EN.CITE &lt;EndNote&gt;&lt;Cite AuthorYear="1"&gt;&lt;Author&gt;Ma&lt;/Author&gt;&lt;Year&gt;2013&lt;/Year&gt;&lt;RecNum&gt;130&lt;/RecNum&gt;&lt;DisplayText&gt;Ma (2013)&lt;/DisplayText&gt;&lt;record&gt;&lt;rec-number&gt;130&lt;/rec-number&gt;&lt;foreign-keys&gt;&lt;key app="EN" db-id="0svx9dsr8pfxzmere98xdw5cr9vx9fdw2wrt" timestamp="1392430169"&gt;130&lt;/key&gt;&lt;key app="ENWeb" db-id=""&gt;0&lt;/key&gt;&lt;/foreign-keys&gt;&lt;ref-type name="Thesis"&gt;32&lt;/ref-type&gt;&lt;contributors&gt;&lt;authors&gt;&lt;author&gt;Ma, Mark Shuai&lt;/author&gt;&lt;/authors&gt;&lt;tertiary-authors&gt;&lt;author&gt;Thomas, Wayne B.&lt;/author&gt;&lt;/tertiary-authors&gt;&lt;/contributors&gt;&lt;titles&gt;&lt;title&gt;Industry Peer Firm Earnings Quality and the Cost of Equity&lt;/title&gt;&lt;secondary-title&gt;John T. Steed School of Accounting&lt;/secondary-title&gt;&lt;/titles&gt;&lt;volume&gt;Doctorate&lt;/volume&gt;&lt;dates&gt;&lt;year&gt;2013&lt;/year&gt;&lt;/dates&gt;&lt;publisher&gt;University of Oklahoma&lt;/publisher&gt;&lt;work-type&gt;Dissertation&lt;/work-type&gt;&lt;urls&gt;&lt;/urls&gt;&lt;/record&gt;&lt;/Cite&gt;&lt;/EndNote&gt;</w:instrText>
      </w:r>
      <w:r>
        <w:fldChar w:fldCharType="separate"/>
      </w:r>
      <w:r w:rsidR="0091777F">
        <w:rPr>
          <w:noProof/>
        </w:rPr>
        <w:t>Ma (2013)</w:t>
      </w:r>
      <w:r>
        <w:fldChar w:fldCharType="end"/>
      </w:r>
      <w:r w:rsidRPr="00475463">
        <w:t xml:space="preserve"> tests effects of accrual quality of the focal and peer firms on the focal firm’s cost of </w:t>
      </w:r>
      <w:r>
        <w:t xml:space="preserve">equity </w:t>
      </w:r>
      <w:r w:rsidRPr="00475463">
        <w:t xml:space="preserve">capital.  Ma shows not only </w:t>
      </w:r>
      <w:r>
        <w:t xml:space="preserve">the </w:t>
      </w:r>
      <w:r w:rsidRPr="00475463">
        <w:t>focal firm’s accrual quality but also peer firm accrual quality play</w:t>
      </w:r>
      <w:r>
        <w:t>s</w:t>
      </w:r>
      <w:r w:rsidRPr="00475463">
        <w:t xml:space="preserve"> an important role in determining the focal firm’s cost of </w:t>
      </w:r>
      <w:r>
        <w:t xml:space="preserve">equity </w:t>
      </w:r>
      <w:r w:rsidRPr="00475463">
        <w:t xml:space="preserve">capital. </w:t>
      </w:r>
      <w:r>
        <w:t xml:space="preserve"> </w:t>
      </w:r>
      <w:r w:rsidRPr="00475463">
        <w:t>I extend Ma by examining the role of segment i</w:t>
      </w:r>
      <w:r>
        <w:t xml:space="preserve">nformation.  Specifically, differences in reported segment among peers </w:t>
      </w:r>
      <w:r w:rsidRPr="00475463">
        <w:t>may be important when valuing the focal firm.</w:t>
      </w:r>
      <w:r>
        <w:t xml:space="preserve">  Consistent with Lambert et al., I expect higher peer firm segment reporting differentiation will reduce the focal firm’s covariance with peer firms, increasing focal firm value.</w:t>
      </w:r>
    </w:p>
    <w:p w:rsidR="00BF588B" w:rsidRDefault="00FB4562" w:rsidP="00BF588B">
      <w:pPr>
        <w:pStyle w:val="BlockQuotation"/>
        <w:ind w:left="1260" w:hanging="540"/>
      </w:pPr>
      <w:r w:rsidRPr="00E15C36">
        <w:rPr>
          <w:b/>
        </w:rPr>
        <w:t>H</w:t>
      </w:r>
      <w:r>
        <w:rPr>
          <w:b/>
          <w:vertAlign w:val="subscript"/>
        </w:rPr>
        <w:t>1b</w:t>
      </w:r>
      <w:r w:rsidRPr="00E15C36">
        <w:rPr>
          <w:b/>
        </w:rPr>
        <w:t>:</w:t>
      </w:r>
      <w:r>
        <w:t xml:space="preserve"> Higher levels of segment differentiation among the focal firm’s peer group will increase focal firm excess value.</w:t>
      </w:r>
    </w:p>
    <w:p w:rsidR="00FB4562" w:rsidRDefault="00BF588B" w:rsidP="00BF588B">
      <w:pPr>
        <w:spacing w:line="240" w:lineRule="auto"/>
      </w:pPr>
      <w:r>
        <w:br w:type="page"/>
      </w:r>
    </w:p>
    <w:p w:rsidR="00BF588B" w:rsidRDefault="00BF588B" w:rsidP="00BF588B">
      <w:pPr>
        <w:pStyle w:val="Heading2"/>
      </w:pPr>
      <w:bookmarkStart w:id="15" w:name="_Toc414633033"/>
      <w:r>
        <w:lastRenderedPageBreak/>
        <w:t>Increases in Mandatory Disclosure and Externalities</w:t>
      </w:r>
      <w:bookmarkEnd w:id="15"/>
    </w:p>
    <w:p w:rsidR="00BF588B" w:rsidRPr="00475463" w:rsidRDefault="00BF588B" w:rsidP="00BF588B">
      <w:pPr>
        <w:ind w:firstLine="576"/>
      </w:pPr>
      <w:r w:rsidRPr="00475463">
        <w:t xml:space="preserve">Mandatory disclosure arises from management’s inability to integrate the full cost of disclosure into the voluntary disclosure decision-making process </w:t>
      </w:r>
      <w:r>
        <w:fldChar w:fldCharType="begin">
          <w:fldData xml:space="preserve">PEVuZE5vdGU+PENpdGU+PEF1dGhvcj5Ba2VybG9mPC9BdXRob3I+PFllYXI+MTk3MDwvWWVhcj48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</w:fldData>
        </w:fldChar>
      </w:r>
      <w:r w:rsidR="0091777F">
        <w:instrText xml:space="preserve"> ADDIN EN.CITE </w:instrText>
      </w:r>
      <w:r w:rsidR="0091777F">
        <w:fldChar w:fldCharType="begin">
          <w:fldData xml:space="preserve">PEVuZE5vdGU+PENpdGU+PEF1dGhvcj5Ba2VybG9mPC9BdXRob3I+PFllYXI+MTk3MDwvWWVhcj48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</w:fldData>
        </w:fldChar>
      </w:r>
      <w:r w:rsidR="0091777F">
        <w:instrText xml:space="preserve"> ADDIN EN.CITE.DATA </w:instrText>
      </w:r>
      <w:r w:rsidR="0091777F">
        <w:fldChar w:fldCharType="end"/>
      </w:r>
      <w:r>
        <w:fldChar w:fldCharType="separate"/>
      </w:r>
      <w:r w:rsidR="0091777F">
        <w:rPr>
          <w:noProof/>
        </w:rPr>
        <w:t>(Akerlof 1970, Admati and Pfleiderer 2000, Leuz and Wysocki 2008)</w:t>
      </w:r>
      <w:r>
        <w:fldChar w:fldCharType="end"/>
      </w:r>
      <w:r w:rsidRPr="00475463">
        <w:t xml:space="preserve">.  Rational managers only weigh costs and benefits directly affecting the firm, excluding social costs and benefits generated from externalities of disclosure </w:t>
      </w:r>
      <w:r>
        <w:fldChar w:fldCharType="begin"/>
      </w:r>
      <w:r w:rsidR="0091777F">
        <w:instrText xml:space="preserve"> ADDIN EN.CITE &lt;EndNote&gt;&lt;Cite&gt;&lt;Author&gt;Coase&lt;/Author&gt;&lt;Year&gt;1960&lt;/Year&gt;&lt;RecNum&gt;176&lt;/RecNum&gt;&lt;DisplayText&gt;(Coase 1960)&lt;/DisplayText&gt;&lt;record&gt;&lt;rec-number&gt;176&lt;/rec-number&gt;&lt;foreign-keys&gt;&lt;key app="EN" db-id="0svx9dsr8pfxzmere98xdw5cr9vx9fdw2wrt" timestamp="1392430269"&gt;176&lt;/key&gt;&lt;key app="ENWeb" db-id=""&gt;0&lt;/key&gt;&lt;/foreign-keys&gt;&lt;ref-type name="Journal Article"&gt;17&lt;/ref-type&gt;&lt;contributors&gt;&lt;authors&gt;&lt;author&gt;Coase, R. H.&lt;/author&gt;&lt;/authors&gt;&lt;/contributors&gt;&lt;auth-address&gt;Unlisted&lt;/auth-address&gt;&lt;titles&gt;&lt;title&gt;The problem of social cost&lt;/title&gt;&lt;secondary-title&gt;Journal of Law and Economics&lt;/secondary-title&gt;&lt;/titles&gt;&lt;periodical&gt;&lt;full-title&gt;Journal of Law and Economics&lt;/full-title&gt;&lt;/periodical&gt;&lt;pages&gt;1-44&lt;/pages&gt;&lt;volume&gt;3&lt;/volume&gt;&lt;keywords&gt;&lt;keyword&gt;Social Choice. Distributive Justice 2.162&lt;/keyword&gt;&lt;/keywords&gt;&lt;dates&gt;&lt;year&gt;1960&lt;/year&gt;&lt;/dates&gt;&lt;accession-num&gt;1205455&lt;/accession-num&gt;&lt;urls&gt;&lt;related-urls&gt;&lt;url&gt;http://libraries.ou.edu/access.aspx?url=http://search.ebscohost.com/login.aspx?direct=true&amp;amp;db=ecn&amp;amp;AN=1205455&amp;amp;site=ehost-live&lt;/url&gt;&lt;/related-urls&gt;&lt;/urls&gt;&lt;remote-database-name&gt;ecn&lt;/remote-database-name&gt;&lt;remote-database-provider&gt;EBSCOhost&lt;/remote-database-provider&gt;&lt;/record&gt;&lt;/Cite&gt;&lt;/EndNote&gt;</w:instrText>
      </w:r>
      <w:r>
        <w:fldChar w:fldCharType="separate"/>
      </w:r>
      <w:r w:rsidR="0091777F">
        <w:rPr>
          <w:noProof/>
        </w:rPr>
        <w:t>(Coase 1960)</w:t>
      </w:r>
      <w:r>
        <w:fldChar w:fldCharType="end"/>
      </w:r>
      <w:r w:rsidRPr="00475463">
        <w:t xml:space="preserve">.  </w:t>
      </w:r>
      <w:r>
        <w:fldChar w:fldCharType="begin"/>
      </w:r>
      <w:r w:rsidR="0091777F">
        <w:instrText xml:space="preserve"> ADDIN EN.CITE &lt;EndNote&gt;&lt;Cite AuthorYear="1"&gt;&lt;Author&gt;Fischer&lt;/Author&gt;&lt;Year&gt;2004&lt;/Year&gt;&lt;RecNum&gt;100&lt;/RecNum&gt;&lt;DisplayText&gt;Fischer and Verrecchia (2004)&lt;/DisplayText&gt;&lt;record&gt;&lt;rec-number&gt;100&lt;/rec-number&gt;&lt;foreign-keys&gt;&lt;key app="EN" db-id="0svx9dsr8pfxzmere98xdw5cr9vx9fdw2wrt" timestamp="1392430105"&gt;100&lt;/key&gt;&lt;key app="ENWeb" db-id=""&gt;0&lt;/key&gt;&lt;/foreign-keys&gt;&lt;ref-type name="Journal Article"&gt;17&lt;/ref-type&gt;&lt;contributors&gt;&lt;authors&gt;&lt;author&gt;Fischer, Paul E.&lt;/author&gt;&lt;author&gt;Verrecchia, Robert E.&lt;/author&gt;&lt;/authors&gt;&lt;/contributors&gt;&lt;titles&gt;&lt;title&gt;Disclosure bias&lt;/title&gt;&lt;secondary-title&gt;Journal of Accounting &amp;amp; Economics&lt;/secondary-title&gt;&lt;/titles&gt;&lt;periodical&gt;&lt;full-title&gt;Journal of Accounting &amp;amp; Economics&lt;/full-title&gt;&lt;/periodical&gt;&lt;pages&gt;223-250&lt;/pages&gt;&lt;volume&gt;38&lt;/volume&gt;&lt;number&gt;1-3&lt;/number&gt;&lt;keywords&gt;&lt;keyword&gt;DISCLOSURE in accounting&lt;/keyword&gt;&lt;keyword&gt;BAYESIAN analysis&lt;/keyword&gt;&lt;keyword&gt;FINANCIAL disclosure&lt;/keyword&gt;&lt;keyword&gt;Capital markets&lt;/keyword&gt;&lt;keyword&gt;Disclosure&lt;/keyword&gt;&lt;keyword&gt;Heuristic behavior&lt;/keyword&gt;&lt;/keywords&gt;&lt;dates&gt;&lt;year&gt;2004&lt;/year&gt;&lt;/dates&gt;&lt;isbn&gt;01654101&lt;/isbn&gt;&lt;accession-num&gt;16275198&lt;/accession-num&gt;&lt;work-type&gt;Article&lt;/work-type&gt;&lt;urls&gt;&lt;related-urls&gt;&lt;url&gt;http://libraries.ou.edu/access.aspx?url=http://search.ebscohost.com/login.aspx?direct=true&amp;amp;db=buh&amp;amp;AN=16275198&amp;amp;site=ehost-live&lt;/url&gt;&lt;url&gt;http://ac.els-cdn.com/S0165410104000722/1-s2.0-S0165410104000722-main.pdf?_tid=ccd73884-89f8-11e3-b5f7-00000aab0f02&amp;amp;acdnat=1391118923_1c70b58237bd393cd65825f4605011ec&lt;/url&gt;&lt;/related-urls&gt;&lt;/urls&gt;&lt;electronic-resource-num&gt;10.1016/j.jacceco.2004.07.001&lt;/electronic-resource-num&gt;&lt;remote-database-name&gt;buh&lt;/remote-database-name&gt;&lt;remote-database-provider&gt;EBSCOhost&lt;/remote-database-provider&gt;&lt;/record&gt;&lt;/Cite&gt;&lt;/EndNote&gt;</w:instrText>
      </w:r>
      <w:r>
        <w:fldChar w:fldCharType="separate"/>
      </w:r>
      <w:r w:rsidR="0091777F">
        <w:rPr>
          <w:noProof/>
        </w:rPr>
        <w:t>Fischer and Verrecchia (2004)</w:t>
      </w:r>
      <w:r>
        <w:fldChar w:fldCharType="end"/>
      </w:r>
      <w:r w:rsidRPr="00475463">
        <w:t xml:space="preserve"> and </w:t>
      </w:r>
      <w:r>
        <w:fldChar w:fldCharType="begin"/>
      </w:r>
      <w:r w:rsidR="0091777F">
        <w:instrText xml:space="preserve"> ADDIN EN.CITE &lt;EndNote&gt;&lt;Cite AuthorYear="1"&gt;&lt;Author&gt;Arya&lt;/Author&gt;&lt;Year&gt;2010&lt;/Year&gt;&lt;RecNum&gt;150&lt;/RecNum&gt;&lt;DisplayText&gt;Arya, Frimor, and Mittendorf (2010)&lt;/DisplayText&gt;&lt;record&gt;&lt;rec-number&gt;150&lt;/rec-number&gt;&lt;foreign-keys&gt;&lt;key app="EN" db-id="0svx9dsr8pfxzmere98xdw5cr9vx9fdw2wrt" timestamp="1392430213"&gt;150&lt;/key&gt;&lt;key app="ENWeb" db-id=""&gt;0&lt;/key&gt;&lt;/foreign-keys&gt;&lt;ref-type name="Journal Article"&gt;17&lt;/ref-type&gt;&lt;contributors&gt;&lt;authors&gt;&lt;author&gt;Arya, Anil&lt;/author&gt;&lt;author&gt;Frimor, Hans&lt;/author&gt;&lt;author&gt;Mittendorf, Brian&lt;/author&gt;&lt;/authors&gt;&lt;/contributors&gt;&lt;titles&gt;&lt;title&gt;Discretionary Disclosure of Proprietary Information in a Multisegment Firm&lt;/title&gt;&lt;secondary-title&gt;Management Science&lt;/secondary-title&gt;&lt;/titles&gt;&lt;periodical&gt;&lt;full-title&gt;Management Science&lt;/full-title&gt;&lt;/periodical&gt;&lt;pages&gt;645-658&lt;/pages&gt;&lt;volume&gt;56&lt;/volume&gt;&lt;number&gt;4&lt;/number&gt;&lt;keywords&gt;&lt;keyword&gt;CONFIDENTIAL business information&lt;/keyword&gt;&lt;keyword&gt;DISCLOSURE of information&lt;/keyword&gt;&lt;keyword&gt;RESEARCH&lt;/keyword&gt;&lt;keyword&gt;INDUSTRIAL property&lt;/keyword&gt;&lt;keyword&gt;INTELLECTUAL property&lt;/keyword&gt;&lt;keyword&gt;COMPETITION (Economics)&lt;/keyword&gt;&lt;keyword&gt;MARKETS&lt;/keyword&gt;&lt;keyword&gt;PROFIT maximization&lt;/keyword&gt;&lt;keyword&gt;EVALUATION&lt;/keyword&gt;&lt;keyword&gt;aggregation&lt;/keyword&gt;&lt;keyword&gt;competition&lt;/keyword&gt;&lt;keyword&gt;disclosure&lt;/keyword&gt;&lt;/keywords&gt;&lt;dates&gt;&lt;year&gt;2010&lt;/year&gt;&lt;/dates&gt;&lt;isbn&gt;00251909&lt;/isbn&gt;&lt;accession-num&gt;51806412&lt;/accession-num&gt;&lt;work-type&gt;Article&lt;/work-type&gt;&lt;urls&gt;&lt;related-urls&gt;&lt;url&gt;http://libraries.ou.edu/access.aspx?url=http://search.ebscohost.com/login.aspx?direct=true&amp;amp;db=buh&amp;amp;AN=51806412&amp;amp;site=ehost-live&lt;/url&gt;&lt;/related-urls&gt;&lt;/urls&gt;&lt;remote-database-name&gt;buh&lt;/remote-database-name&gt;&lt;remote-database-provider&gt;EBSCOhost&lt;/remote-database-provider&gt;&lt;/record&gt;&lt;/Cite&gt;&lt;/EndNote&gt;</w:instrText>
      </w:r>
      <w:r>
        <w:fldChar w:fldCharType="separate"/>
      </w:r>
      <w:r w:rsidR="0091777F">
        <w:rPr>
          <w:noProof/>
        </w:rPr>
        <w:t>Arya, Frimor, and Mittendorf (2010)</w:t>
      </w:r>
      <w:r>
        <w:fldChar w:fldCharType="end"/>
      </w:r>
      <w:r w:rsidRPr="00475463">
        <w:t xml:space="preserve"> predict diversified firms </w:t>
      </w:r>
      <w:r>
        <w:t xml:space="preserve">will </w:t>
      </w:r>
      <w:r w:rsidRPr="00475463">
        <w:t xml:space="preserve">aggregate </w:t>
      </w:r>
      <w:r>
        <w:t xml:space="preserve">reported segments </w:t>
      </w:r>
      <w:r w:rsidRPr="00475463">
        <w:t>as much as possible to keep from differentiating low investment outcomes from high investment outcomes.  Segment aggregation inhibits monitoring and protects competitive advantages</w:t>
      </w:r>
      <w:r>
        <w:t xml:space="preserve"> </w:t>
      </w:r>
      <w:r w:rsidR="007122F2">
        <w:t xml:space="preserve">and was the result of lower quality mandatory reporting requirements, SFAS No. 14 </w:t>
      </w:r>
      <w:r>
        <w:fldChar w:fldCharType="begin">
          <w:fldData xml:space="preserve">PEVuZE5vdGU+PENpdGU+PEF1dGhvcj5CZXJnZXI8L0F1dGhvcj48WWVhcj4yMDAzPC9ZZWFyPjxS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</w:fldData>
        </w:fldChar>
      </w:r>
      <w:r w:rsidR="0091777F">
        <w:instrText xml:space="preserve"> ADDIN EN.CITE </w:instrText>
      </w:r>
      <w:r w:rsidR="0091777F">
        <w:fldChar w:fldCharType="begin">
          <w:fldData xml:space="preserve">PEVuZE5vdGU+PENpdGU+PEF1dGhvcj5CZXJnZXI8L0F1dGhvcj48WWVhcj4yMDAzPC9ZZWFyPjxS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</w:fldData>
        </w:fldChar>
      </w:r>
      <w:r w:rsidR="0091777F">
        <w:instrText xml:space="preserve"> ADDIN EN.CITE.DATA </w:instrText>
      </w:r>
      <w:r w:rsidR="0091777F">
        <w:fldChar w:fldCharType="end"/>
      </w:r>
      <w:r>
        <w:fldChar w:fldCharType="separate"/>
      </w:r>
      <w:r w:rsidR="0091777F">
        <w:rPr>
          <w:noProof/>
        </w:rPr>
        <w:t>(Berger and Hann 2003, Berger and Hann 2007, Botosan and Stanford 2005)</w:t>
      </w:r>
      <w:r>
        <w:fldChar w:fldCharType="end"/>
      </w:r>
      <w:r w:rsidRPr="00475463">
        <w:t xml:space="preserve">.  Thus, </w:t>
      </w:r>
      <w:r>
        <w:t xml:space="preserve">more precise segment </w:t>
      </w:r>
      <w:r w:rsidRPr="00475463">
        <w:t>disclosure</w:t>
      </w:r>
      <w:r>
        <w:t xml:space="preserve"> </w:t>
      </w:r>
      <w:r w:rsidRPr="00475463">
        <w:t>is under produced</w:t>
      </w:r>
      <w:r>
        <w:t xml:space="preserve"> in the absence of mandatory disclosure requirements</w:t>
      </w:r>
      <w:r w:rsidRPr="00475463">
        <w:t>.</w:t>
      </w:r>
    </w:p>
    <w:p w:rsidR="00BF588B" w:rsidRDefault="00BF588B" w:rsidP="00BF588B">
      <w:pPr>
        <w:ind w:firstLine="576"/>
      </w:pPr>
      <w:r w:rsidRPr="00475463">
        <w:t xml:space="preserve">Prior to implementation of SFAS No. 131 (now ASC 280), </w:t>
      </w:r>
      <w:r>
        <w:t>managers disclosed limited segment information.  Known as the industry approach, SFAS No. 14 required a</w:t>
      </w:r>
      <w:r w:rsidRPr="00475463">
        <w:t xml:space="preserve">ny segment over 10 percent </w:t>
      </w:r>
      <w:r>
        <w:t xml:space="preserve">of total sales or assets </w:t>
      </w:r>
      <w:r w:rsidRPr="00475463">
        <w:t xml:space="preserve">to be reported as </w:t>
      </w:r>
      <w:r w:rsidR="00B271BD">
        <w:t xml:space="preserve">an </w:t>
      </w:r>
      <w:r w:rsidRPr="00475463">
        <w:t xml:space="preserve">individual segment.  </w:t>
      </w:r>
      <w:r>
        <w:t>Under SFAS No. 14, m</w:t>
      </w:r>
      <w:r w:rsidRPr="00475463">
        <w:t xml:space="preserve">anagers overly aggregated segments, hiding segments later reported under ASC 280.  Research indicates the level </w:t>
      </w:r>
      <w:r>
        <w:t xml:space="preserve">of </w:t>
      </w:r>
      <w:r w:rsidRPr="00475463">
        <w:t xml:space="preserve">segment reporting </w:t>
      </w:r>
      <w:r>
        <w:t xml:space="preserve">precision </w:t>
      </w:r>
      <w:r>
        <w:fldChar w:fldCharType="begin">
          <w:fldData xml:space="preserve">PEVuZE5vdGU+PENpdGU+PEF1dGhvcj5IZXJybWFubjwvQXV0aG9yPjxZZWFyPjIwMDA8L1llYXI+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</w:fldData>
        </w:fldChar>
      </w:r>
      <w:r w:rsidR="0091777F">
        <w:instrText xml:space="preserve"> ADDIN EN.CITE </w:instrText>
      </w:r>
      <w:r w:rsidR="0091777F">
        <w:fldChar w:fldCharType="begin">
          <w:fldData xml:space="preserve">PEVuZE5vdGU+PENpdGU+PEF1dGhvcj5IZXJybWFubjwvQXV0aG9yPjxZZWFyPjIwMDA8L1llYXI+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</w:fldData>
        </w:fldChar>
      </w:r>
      <w:r w:rsidR="0091777F">
        <w:instrText xml:space="preserve"> ADDIN EN.CITE.DATA </w:instrText>
      </w:r>
      <w:r w:rsidR="0091777F">
        <w:fldChar w:fldCharType="end"/>
      </w:r>
      <w:r>
        <w:fldChar w:fldCharType="separate"/>
      </w:r>
      <w:r w:rsidR="0091777F">
        <w:rPr>
          <w:noProof/>
        </w:rPr>
        <w:t>(Herrmann and Thomas 2000, Street, Nichols, and Gray 2000)</w:t>
      </w:r>
      <w:r>
        <w:fldChar w:fldCharType="end"/>
      </w:r>
      <w:r w:rsidRPr="00475463">
        <w:t xml:space="preserve"> </w:t>
      </w:r>
      <w:r>
        <w:t xml:space="preserve">and </w:t>
      </w:r>
      <w:r w:rsidRPr="00475463">
        <w:t xml:space="preserve">informativeness </w:t>
      </w:r>
      <w:r>
        <w:fldChar w:fldCharType="begin">
          <w:fldData xml:space="preserve">PEVuZE5vdGU+PENpdGU+PEF1dGhvcj5FdHRyZWRnZTwvQXV0aG9yPjxZZWFyPjIwMDU8L1llYXI+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</w:fldData>
        </w:fldChar>
      </w:r>
      <w:r w:rsidR="0091777F">
        <w:instrText xml:space="preserve"> ADDIN EN.CITE </w:instrText>
      </w:r>
      <w:r w:rsidR="0091777F">
        <w:fldChar w:fldCharType="begin">
          <w:fldData xml:space="preserve">PEVuZE5vdGU+PENpdGU+PEF1dGhvcj5FdHRyZWRnZTwvQXV0aG9yPjxZZWFyPjIwMDU8L1llYXI+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</w:fldData>
        </w:fldChar>
      </w:r>
      <w:r w:rsidR="0091777F">
        <w:instrText xml:space="preserve"> ADDIN EN.CITE.DATA </w:instrText>
      </w:r>
      <w:r w:rsidR="0091777F">
        <w:fldChar w:fldCharType="end"/>
      </w:r>
      <w:r>
        <w:fldChar w:fldCharType="separate"/>
      </w:r>
      <w:r w:rsidR="0091777F">
        <w:rPr>
          <w:noProof/>
        </w:rPr>
        <w:t>(Ettredge et al. 2005, Ettredge et al. 2006)</w:t>
      </w:r>
      <w:r>
        <w:fldChar w:fldCharType="end"/>
      </w:r>
      <w:r w:rsidRPr="00475463">
        <w:t xml:space="preserve"> </w:t>
      </w:r>
      <w:r>
        <w:t xml:space="preserve">increased </w:t>
      </w:r>
      <w:r w:rsidRPr="00475463">
        <w:t>after ASC 280 implementation.</w:t>
      </w:r>
      <w:r>
        <w:t xml:space="preserve">   No study has yet to examine potential externalities created by mandatory segment reporting requirements.</w:t>
      </w:r>
    </w:p>
    <w:p w:rsidR="00BF588B" w:rsidRDefault="00BF588B" w:rsidP="00BF588B">
      <w:pPr>
        <w:ind w:firstLine="576"/>
      </w:pPr>
      <w:r w:rsidRPr="00475463">
        <w:lastRenderedPageBreak/>
        <w:t xml:space="preserve">Critics of SFAS No. 14 cite low segment disclosure precision and poor segment transparency as reasons for increased mandatory disclosure enacted by ASC 280 </w:t>
      </w:r>
      <w:r>
        <w:fldChar w:fldCharType="begin">
          <w:fldData xml:space="preserve">PEVuZE5vdGU+PENpdGU+PEF1dGhvcj5IZXJybWFubjwvQXV0aG9yPjxZZWFyPjIwMDA8L1llYXI+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</w:fldData>
        </w:fldChar>
      </w:r>
      <w:r w:rsidR="0091777F">
        <w:instrText xml:space="preserve"> ADDIN EN.CITE </w:instrText>
      </w:r>
      <w:r w:rsidR="0091777F">
        <w:fldChar w:fldCharType="begin">
          <w:fldData xml:space="preserve">PEVuZE5vdGU+PENpdGU+PEF1dGhvcj5IZXJybWFubjwvQXV0aG9yPjxZZWFyPjIwMDA8L1llYXI+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</w:fldData>
        </w:fldChar>
      </w:r>
      <w:r w:rsidR="0091777F">
        <w:instrText xml:space="preserve"> ADDIN EN.CITE.DATA </w:instrText>
      </w:r>
      <w:r w:rsidR="0091777F">
        <w:fldChar w:fldCharType="end"/>
      </w:r>
      <w:r>
        <w:fldChar w:fldCharType="separate"/>
      </w:r>
      <w:r w:rsidR="0091777F">
        <w:rPr>
          <w:noProof/>
        </w:rPr>
        <w:t>(e.g., Herrmann and Thomas 2000, Street, Nichols, and Gray 2000)</w:t>
      </w:r>
      <w:r>
        <w:fldChar w:fldCharType="end"/>
      </w:r>
      <w:r w:rsidRPr="00475463">
        <w:t xml:space="preserve">.  While segment reporting has improved on average </w:t>
      </w:r>
      <w:r>
        <w:fldChar w:fldCharType="begin">
          <w:fldData xml:space="preserve">PEVuZE5vdGU+PENpdGU+PEF1dGhvcj5FdHRyZWRnZTwvQXV0aG9yPjxZZWFyPjIwMDU8L1llYXI+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==
</w:fldData>
        </w:fldChar>
      </w:r>
      <w:r w:rsidR="0091777F">
        <w:instrText xml:space="preserve"> ADDIN EN.CITE </w:instrText>
      </w:r>
      <w:r w:rsidR="0091777F">
        <w:fldChar w:fldCharType="begin">
          <w:fldData xml:space="preserve">PEVuZE5vdGU+PENpdGU+PEF1dGhvcj5FdHRyZWRnZTwvQXV0aG9yPjxZZWFyPjIwMDU8L1llYXI+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==
</w:fldData>
        </w:fldChar>
      </w:r>
      <w:r w:rsidR="0091777F">
        <w:instrText xml:space="preserve"> ADDIN EN.CITE.DATA </w:instrText>
      </w:r>
      <w:r w:rsidR="0091777F">
        <w:fldChar w:fldCharType="end"/>
      </w:r>
      <w:r>
        <w:fldChar w:fldCharType="separate"/>
      </w:r>
      <w:r w:rsidR="0091777F">
        <w:rPr>
          <w:noProof/>
        </w:rPr>
        <w:t>(Ettredge et al. 2005, Botosan and Stanford 2005, Berger and Hann 2003, Berger and Hann 2007, Ettredge et al. 2006)</w:t>
      </w:r>
      <w:r>
        <w:fldChar w:fldCharType="end"/>
      </w:r>
      <w:r w:rsidRPr="00475463">
        <w:t xml:space="preserve">, recent research and the Post-Implementation Review suggest </w:t>
      </w:r>
      <w:r>
        <w:t xml:space="preserve">some </w:t>
      </w:r>
      <w:r w:rsidRPr="00475463">
        <w:t xml:space="preserve">firms </w:t>
      </w:r>
      <w:r>
        <w:t xml:space="preserve">still </w:t>
      </w:r>
      <w:r w:rsidRPr="00475463">
        <w:t>aggregate segments</w:t>
      </w:r>
      <w:r>
        <w:t xml:space="preserve"> beyond recommendations in ASC 280, impairing segment reporting informativeness</w:t>
      </w:r>
      <w:r w:rsidRPr="00475463">
        <w:t xml:space="preserve"> </w:t>
      </w:r>
      <w:r>
        <w:fldChar w:fldCharType="begin">
          <w:fldData xml:space="preserve">PEVuZE5vdGU+PENpdGU+PEF1dGhvcj5CZW5zPC9BdXRob3I+PFllYXI+MjAxMTwvWWVhcj48UmVj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</w:fldData>
        </w:fldChar>
      </w:r>
      <w:r w:rsidR="0091777F">
        <w:instrText xml:space="preserve"> ADDIN EN.CITE </w:instrText>
      </w:r>
      <w:r w:rsidR="0091777F">
        <w:fldChar w:fldCharType="begin">
          <w:fldData xml:space="preserve">PEVuZE5vdGU+PENpdGU+PEF1dGhvcj5CZW5zPC9BdXRob3I+PFllYXI+MjAxMTwvWWVhcj48UmVj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</w:fldData>
        </w:fldChar>
      </w:r>
      <w:r w:rsidR="0091777F">
        <w:instrText xml:space="preserve"> ADDIN EN.CITE.DATA </w:instrText>
      </w:r>
      <w:r w:rsidR="0091777F">
        <w:fldChar w:fldCharType="end"/>
      </w:r>
      <w:r>
        <w:fldChar w:fldCharType="separate"/>
      </w:r>
      <w:r w:rsidR="0091777F">
        <w:rPr>
          <w:noProof/>
        </w:rPr>
        <w:t>(Bens, Berger, and Monahan 2011, FAF 2012)</w:t>
      </w:r>
      <w:r>
        <w:fldChar w:fldCharType="end"/>
      </w:r>
      <w:r w:rsidRPr="00475463">
        <w:t xml:space="preserve">.  </w:t>
      </w:r>
      <w:r>
        <w:t>R</w:t>
      </w:r>
      <w:r w:rsidRPr="00475463">
        <w:t xml:space="preserve">esearch has yet to examine </w:t>
      </w:r>
      <w:r>
        <w:t xml:space="preserve">possible </w:t>
      </w:r>
      <w:r w:rsidRPr="00475463">
        <w:t>externalities created by peer firm segment reporting due to increased mandatory segment disclosure</w:t>
      </w:r>
      <w:r>
        <w:t xml:space="preserve"> that may not necessitate increased segment disclosure by the focal firm</w:t>
      </w:r>
      <w:r w:rsidRPr="00475463">
        <w:t xml:space="preserve">, one possible reason for mandating accounting disclosure </w:t>
      </w:r>
      <w:r>
        <w:fldChar w:fldCharType="begin"/>
      </w:r>
      <w:r w:rsidR="0091777F">
        <w:instrText xml:space="preserve"> ADDIN EN.CITE &lt;EndNote&gt;&lt;Cite&gt;&lt;Author&gt;Lambert&lt;/Author&gt;&lt;Year&gt;2007&lt;/Year&gt;&lt;RecNum&gt;97&lt;/RecNum&gt;&lt;DisplayText&gt;(Lambert,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rsidRPr="00475463">
        <w:t>.</w:t>
      </w:r>
    </w:p>
    <w:p w:rsidR="00BF588B" w:rsidRDefault="00BF588B" w:rsidP="00BF588B">
      <w:pPr>
        <w:ind w:firstLine="720"/>
      </w:pPr>
      <w:r>
        <w:t xml:space="preserve">If changes in mandatory requirements improved the precision and informativeness of segment reports, all firms may benefit from increased disclosure, reducing the perceived covariance between firms within a peer group.  Firms and peer groups reporting differentiating segments will receive an additional benefit from the differentiating segment information, reducing covariances between firms even more after ASC 280.  Thus, reporting differentiating segments may have a larger effect after ASC 280 implementation for both the focal firm and the average level of peer firm differentiation.  </w:t>
      </w:r>
      <w:r w:rsidR="007122F2">
        <w:t>Lambert et al. (2007) predicts a larger positive effect due to increased mandatory disclosure</w:t>
      </w:r>
      <w:r w:rsidR="004E33E7">
        <w:t xml:space="preserve"> precision</w:t>
      </w:r>
      <w:r w:rsidR="007122F2">
        <w:t>.</w:t>
      </w:r>
    </w:p>
    <w:p w:rsidR="00BF588B" w:rsidRDefault="00BF588B" w:rsidP="00BF588B">
      <w:pPr>
        <w:ind w:firstLine="720"/>
      </w:pPr>
      <w:r>
        <w:t xml:space="preserve">Conversely, the increase in mandatory disclosure precision may increase disclosure of less </w:t>
      </w:r>
      <w:proofErr w:type="gramStart"/>
      <w:r>
        <w:t>profitable,</w:t>
      </w:r>
      <w:proofErr w:type="gramEnd"/>
      <w:r>
        <w:t xml:space="preserve"> value destroying segments previously unreported </w:t>
      </w:r>
      <w:r>
        <w:fldChar w:fldCharType="begin">
          <w:fldData xml:space="preserve">PEVuZE5vdGU+PENpdGU+PEF1dGhvcj5CZXJnZXI8L0F1dGhvcj48WWVhcj4yMDAzPC9ZZWFyPjxS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</w:fldData>
        </w:fldChar>
      </w:r>
      <w:r w:rsidR="0091777F">
        <w:instrText xml:space="preserve"> ADDIN EN.CITE </w:instrText>
      </w:r>
      <w:r w:rsidR="0091777F">
        <w:fldChar w:fldCharType="begin">
          <w:fldData xml:space="preserve">PEVuZE5vdGU+PENpdGU+PEF1dGhvcj5CZXJnZXI8L0F1dGhvcj48WWVhcj4yMDAzPC9ZZWFyPjxS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</w:fldData>
        </w:fldChar>
      </w:r>
      <w:r w:rsidR="0091777F">
        <w:instrText xml:space="preserve"> ADDIN EN.CITE.DATA </w:instrText>
      </w:r>
      <w:r w:rsidR="0091777F">
        <w:fldChar w:fldCharType="end"/>
      </w:r>
      <w:r>
        <w:fldChar w:fldCharType="separate"/>
      </w:r>
      <w:r w:rsidR="0091777F">
        <w:rPr>
          <w:noProof/>
        </w:rPr>
        <w:t xml:space="preserve">(Berger </w:t>
      </w:r>
      <w:r w:rsidR="0091777F">
        <w:rPr>
          <w:noProof/>
        </w:rPr>
        <w:lastRenderedPageBreak/>
        <w:t>and Hann 2003, Berger and Hann 2007)</w:t>
      </w:r>
      <w:r>
        <w:fldChar w:fldCharType="end"/>
      </w:r>
      <w:r>
        <w:t xml:space="preserve">.  If the increase in differentiation around the standard change is due to additional disclosure of less profitable segments, peer firms will receive an additional decrease in value due to peer firm information.  This effect may subsume the prediction of reduced covariance among peer firms predicted by Lambert et al.  Given predictions in opposing directions, I state my hypotheses </w:t>
      </w:r>
      <w:proofErr w:type="spellStart"/>
      <w:r>
        <w:t>nondirectionally</w:t>
      </w:r>
      <w:proofErr w:type="spellEnd"/>
      <w:r>
        <w:t>.</w:t>
      </w:r>
    </w:p>
    <w:p w:rsidR="00BF588B" w:rsidRPr="00BF588B" w:rsidRDefault="00BF588B" w:rsidP="00BF588B">
      <w:pPr>
        <w:pStyle w:val="BlockQuotation"/>
        <w:ind w:left="1260" w:hanging="540"/>
        <w:rPr>
          <w:b/>
        </w:rPr>
      </w:pPr>
      <w:r w:rsidRPr="00475463">
        <w:rPr>
          <w:b/>
        </w:rPr>
        <w:t>H</w:t>
      </w:r>
      <w:r w:rsidRPr="00BF588B">
        <w:rPr>
          <w:b/>
        </w:rPr>
        <w:t xml:space="preserve">2a: </w:t>
      </w:r>
      <w:r w:rsidRPr="00BF588B">
        <w:t>The impact of focal firm segment differentiation on focal firm excess value is affected by ASC 280 implementation.</w:t>
      </w:r>
    </w:p>
    <w:p w:rsidR="00BF588B" w:rsidRPr="00BF588B" w:rsidRDefault="00BF588B" w:rsidP="00BF588B">
      <w:pPr>
        <w:pStyle w:val="BlockQuotation"/>
        <w:ind w:left="1260" w:hanging="540"/>
        <w:rPr>
          <w:b/>
        </w:rPr>
      </w:pPr>
      <w:r>
        <w:rPr>
          <w:b/>
        </w:rPr>
        <w:t>H</w:t>
      </w:r>
      <w:r w:rsidRPr="00BF588B">
        <w:rPr>
          <w:b/>
        </w:rPr>
        <w:t>2b</w:t>
      </w:r>
      <w:r>
        <w:rPr>
          <w:b/>
        </w:rPr>
        <w:t xml:space="preserve">: </w:t>
      </w:r>
      <w:r w:rsidRPr="00BF588B">
        <w:t>The impact of peer firm segment differentiation on focal firm excess value is affected by ASC 280 implementation.</w:t>
      </w:r>
    </w:p>
    <w:p w:rsidR="00BF588B" w:rsidRDefault="00BF588B">
      <w:pPr>
        <w:spacing w:line="240" w:lineRule="auto"/>
        <w:rPr>
          <w:rFonts w:ascii="Times New Roman" w:eastAsiaTheme="minorEastAsia" w:hAnsi="Times New Roman"/>
          <w:i/>
          <w:iCs/>
          <w:lang w:eastAsia="ja-JP" w:bidi="ar-SA"/>
        </w:rPr>
      </w:pPr>
      <w:r>
        <w:br w:type="page"/>
      </w:r>
    </w:p>
    <w:p w:rsidR="00BF588B" w:rsidRDefault="00BF588B" w:rsidP="00BF588B">
      <w:pPr>
        <w:pStyle w:val="Heading1"/>
      </w:pPr>
      <w:bookmarkStart w:id="16" w:name="_Toc414633034"/>
      <w:r w:rsidRPr="000F56FF">
        <w:lastRenderedPageBreak/>
        <w:t xml:space="preserve">Chapter </w:t>
      </w:r>
      <w:r>
        <w:t>3</w:t>
      </w:r>
      <w:r w:rsidRPr="000F56FF">
        <w:t xml:space="preserve">: </w:t>
      </w:r>
      <w:r>
        <w:t>Data and Research Design</w:t>
      </w:r>
      <w:bookmarkEnd w:id="16"/>
    </w:p>
    <w:p w:rsidR="00BF588B" w:rsidRPr="00475463" w:rsidRDefault="00BF588B" w:rsidP="00BF588B">
      <w:pPr>
        <w:ind w:firstLine="432"/>
      </w:pPr>
      <w:r w:rsidRPr="00475463">
        <w:t xml:space="preserve">In this section I describe data sources used in empirical analysis.  I describe how my segment reporting </w:t>
      </w:r>
      <w:r>
        <w:t xml:space="preserve">differentiation </w:t>
      </w:r>
      <w:r w:rsidRPr="00475463">
        <w:t xml:space="preserve">measure is constructed from publicly available data </w:t>
      </w:r>
      <w:r w:rsidRPr="00475463">
        <w:fldChar w:fldCharType="begin">
          <w:fldData xml:space="preserve">PEVuZE5vdGU+PENpdGU+PEF1dGhvcj5Ib2Jlcmc8L0F1dGhvcj48WWVhcj4yMDEwPC9ZZWFyPjxS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</w:fldData>
        </w:fldChar>
      </w:r>
      <w:r w:rsidR="0091777F">
        <w:instrText xml:space="preserve"> ADDIN EN.CITE </w:instrText>
      </w:r>
      <w:r w:rsidR="0091777F">
        <w:fldChar w:fldCharType="begin">
          <w:fldData xml:space="preserve">PEVuZE5vdGU+PENpdGU+PEF1dGhvcj5Ib2Jlcmc8L0F1dGhvcj48WWVhcj4yMDEwPC9ZZWFyPjxS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</w:fldData>
        </w:fldChar>
      </w:r>
      <w:r w:rsidR="0091777F">
        <w:instrText xml:space="preserve"> ADDIN EN.CITE.DATA </w:instrText>
      </w:r>
      <w:r w:rsidR="0091777F">
        <w:fldChar w:fldCharType="end"/>
      </w:r>
      <w:r w:rsidRPr="00475463">
        <w:fldChar w:fldCharType="separate"/>
      </w:r>
      <w:r w:rsidR="0091777F">
        <w:rPr>
          <w:noProof/>
        </w:rPr>
        <w:t>(Hoberg and Phillips 2010a, 2013)</w:t>
      </w:r>
      <w:r w:rsidRPr="00475463">
        <w:fldChar w:fldCharType="end"/>
      </w:r>
      <w:r w:rsidRPr="00475463">
        <w:t xml:space="preserve"> and the Compustat Segment file.  I conclude this section by discussing models used to test my hypotheses. </w:t>
      </w:r>
    </w:p>
    <w:p w:rsidR="00BF588B" w:rsidRDefault="00BF588B" w:rsidP="00BF588B">
      <w:pPr>
        <w:pStyle w:val="Heading2"/>
      </w:pPr>
      <w:bookmarkStart w:id="17" w:name="_Toc414633035"/>
      <w:r>
        <w:t>Data and Sample Selection</w:t>
      </w:r>
      <w:bookmarkEnd w:id="17"/>
    </w:p>
    <w:p w:rsidR="00BF588B" w:rsidRPr="00475463" w:rsidRDefault="00BF588B" w:rsidP="00BF588B">
      <w:pPr>
        <w:ind w:firstLine="720"/>
      </w:pPr>
      <w:r w:rsidRPr="00475463">
        <w:t xml:space="preserve">Data in this study come from publicly available sources.  Data for product market peers based on product descriptions come from </w:t>
      </w:r>
      <w:r>
        <w:t>Hoberg and Phillips (2010a, 2013)</w:t>
      </w:r>
      <w:r w:rsidRPr="00475463">
        <w:t>.</w:t>
      </w:r>
      <w:r w:rsidRPr="00475463">
        <w:rPr>
          <w:rStyle w:val="FootnoteReference"/>
        </w:rPr>
        <w:footnoteReference w:id="9"/>
      </w:r>
      <w:r w:rsidRPr="00475463">
        <w:t xml:space="preserve">  These data are constructed using all available financial statements available on the SEC’s EDGAR website.  </w:t>
      </w:r>
      <w:r w:rsidRPr="002A7AF2">
        <w:t>The current version of the data covers financial statements from 1996-2011 for 12,187 different firms.</w:t>
      </w:r>
      <w:r w:rsidRPr="002A7AF2">
        <w:rPr>
          <w:rStyle w:val="FootnoteReference"/>
        </w:rPr>
        <w:footnoteReference w:id="10"/>
      </w:r>
      <w:r w:rsidRPr="002A7AF2">
        <w:t xml:space="preserve">  All other data are </w:t>
      </w:r>
      <w:r>
        <w:t xml:space="preserve">obtained </w:t>
      </w:r>
      <w:r w:rsidRPr="002A7AF2">
        <w:t>from Compustat</w:t>
      </w:r>
      <w:r>
        <w:t xml:space="preserve"> and CRSP</w:t>
      </w:r>
      <w:r w:rsidRPr="002A7AF2">
        <w:t>.</w:t>
      </w:r>
      <w:r w:rsidRPr="00F2308C">
        <w:t xml:space="preserve">  </w:t>
      </w:r>
      <w:r>
        <w:t>Firms in the sample must have sufficient information to calculate control variables and variables of interests.  Firms with segments in the financial sector (SIC codes 6000 to 6999) are eliminated.</w:t>
      </w:r>
      <w:r>
        <w:rPr>
          <w:rStyle w:val="FootnoteReference"/>
        </w:rPr>
        <w:footnoteReference w:id="11"/>
      </w:r>
      <w:r>
        <w:t xml:space="preserve">  Total segment sales must be within 1 percent of total firm sales and firms must have more </w:t>
      </w:r>
      <w:r w:rsidRPr="00F73BBB">
        <w:t xml:space="preserve">than $20 million in total sales.  The combination of </w:t>
      </w:r>
      <w:r w:rsidR="00354526">
        <w:t xml:space="preserve">data from </w:t>
      </w:r>
      <w:r w:rsidRPr="00F73BBB">
        <w:t xml:space="preserve">Hoberg and Phillips, Compustat, </w:t>
      </w:r>
      <w:r>
        <w:t xml:space="preserve">CRSP, </w:t>
      </w:r>
      <w:r w:rsidRPr="00F73BBB">
        <w:t>and control variables yields</w:t>
      </w:r>
      <w:r>
        <w:t xml:space="preserve"> 29,13</w:t>
      </w:r>
      <w:r w:rsidRPr="00F73BBB">
        <w:t xml:space="preserve">7 </w:t>
      </w:r>
      <w:r>
        <w:t xml:space="preserve">(4,725) </w:t>
      </w:r>
      <w:r w:rsidRPr="00F73BBB">
        <w:t xml:space="preserve">firm-year </w:t>
      </w:r>
      <w:r>
        <w:t xml:space="preserve">(firm) </w:t>
      </w:r>
      <w:r w:rsidRPr="00F73BBB">
        <w:t>observations.  Of those obs</w:t>
      </w:r>
      <w:r>
        <w:t>ervations, 16,620</w:t>
      </w:r>
      <w:r w:rsidRPr="00F73BBB">
        <w:t xml:space="preserve"> are single segment firms-years</w:t>
      </w:r>
      <w:r>
        <w:t xml:space="preserve"> and</w:t>
      </w:r>
      <w:r w:rsidRPr="00F73BBB">
        <w:t xml:space="preserve"> 1</w:t>
      </w:r>
      <w:r>
        <w:t>2,517</w:t>
      </w:r>
      <w:r w:rsidRPr="00F73BBB">
        <w:t xml:space="preserve"> are multi-segment firm-</w:t>
      </w:r>
      <w:r w:rsidRPr="00F73BBB">
        <w:lastRenderedPageBreak/>
        <w:t>years.</w:t>
      </w:r>
      <w:r>
        <w:t xml:space="preserve">  Of the 4,725 firms, 3,561 are single segment firms throughout the sample period, and 2,470 are multi-segment firms at some point during the sample period.</w:t>
      </w:r>
      <w:r w:rsidRPr="00475463">
        <w:rPr>
          <w:rStyle w:val="FootnoteReference"/>
        </w:rPr>
        <w:footnoteReference w:id="12"/>
      </w:r>
    </w:p>
    <w:p w:rsidR="00BF588B" w:rsidRDefault="00BF588B" w:rsidP="00BF588B">
      <w:pPr>
        <w:pStyle w:val="Heading2"/>
      </w:pPr>
      <w:bookmarkStart w:id="18" w:name="_Toc414633036"/>
      <w:r>
        <w:t>Measure of Segment Differentiation</w:t>
      </w:r>
      <w:bookmarkEnd w:id="18"/>
    </w:p>
    <w:p w:rsidR="00BF588B" w:rsidRDefault="00BF588B" w:rsidP="00BF588B">
      <w:pPr>
        <w:ind w:firstLine="432"/>
      </w:pPr>
      <w:r>
        <w:t>My measure of segment differentiation focuses on segments reported by the firm and by its peers.</w:t>
      </w:r>
      <w:r>
        <w:rPr>
          <w:rStyle w:val="FootnoteReference"/>
        </w:rPr>
        <w:footnoteReference w:id="13"/>
      </w:r>
      <w:r>
        <w:t xml:space="preserve">  </w:t>
      </w:r>
      <w:r w:rsidRPr="00475463">
        <w:t>I use product descriptions from Form 10-K filings obtained from Hoberg and Phillips (2010a; 2013)</w:t>
      </w:r>
      <w:r>
        <w:t xml:space="preserve"> to identify</w:t>
      </w:r>
      <w:r w:rsidR="00EE7F41">
        <w:t xml:space="preserve"> product market</w:t>
      </w:r>
      <w:r>
        <w:t xml:space="preserve"> peers</w:t>
      </w:r>
      <w:r w:rsidRPr="00475463">
        <w:t>.  Hoberg and Phillips extract product descriptions from annual Form 10-K filings to create groups of peers based on the similarity of product description</w:t>
      </w:r>
      <w:r>
        <w:t>s</w:t>
      </w:r>
      <w:r w:rsidRPr="00475463">
        <w:t xml:space="preserve">.  These groups are referred to as product market competitors or Text-Based </w:t>
      </w:r>
      <w:r>
        <w:t>Network Industry Classification</w:t>
      </w:r>
      <w:r w:rsidRPr="00475463">
        <w:t xml:space="preserve"> (hereafter TNIC) peers.</w:t>
      </w:r>
      <w:r w:rsidRPr="00475463">
        <w:rPr>
          <w:rStyle w:val="FootnoteReference"/>
        </w:rPr>
        <w:footnoteReference w:id="14"/>
      </w:r>
      <w:r w:rsidRPr="00475463">
        <w:t xml:space="preserve">  TNIC </w:t>
      </w:r>
      <w:proofErr w:type="gramStart"/>
      <w:r w:rsidRPr="00475463">
        <w:t>peers</w:t>
      </w:r>
      <w:proofErr w:type="gramEnd"/>
      <w:r w:rsidRPr="00475463">
        <w:t xml:space="preserve"> </w:t>
      </w:r>
      <w:r w:rsidR="00E86B37">
        <w:t xml:space="preserve">cluster firms into </w:t>
      </w:r>
      <w:r w:rsidRPr="00475463">
        <w:t>local area networks</w:t>
      </w:r>
      <w:r w:rsidR="00E86B37">
        <w:t xml:space="preserve"> by products. </w:t>
      </w:r>
      <w:r w:rsidRPr="00475463">
        <w:t xml:space="preserve"> </w:t>
      </w:r>
      <w:r w:rsidR="00695237">
        <w:t xml:space="preserve">This clustering is like the grouping of </w:t>
      </w:r>
      <w:r w:rsidRPr="00475463">
        <w:t xml:space="preserve">colleagues in a department of a college or </w:t>
      </w:r>
      <w:r w:rsidR="00695237">
        <w:t xml:space="preserve">like </w:t>
      </w:r>
      <w:r w:rsidRPr="00475463">
        <w:t>a circle of friends in a social networking group.</w:t>
      </w:r>
      <w:r>
        <w:t xml:space="preserve"> </w:t>
      </w:r>
      <w:r w:rsidRPr="00475463">
        <w:t xml:space="preserve"> TNIC peers share similar product descriptions/product characteristics.  Firms in TNIC groups often share several products in common.</w:t>
      </w:r>
      <w:r>
        <w:t xml:space="preserve">  Thus, if the focal firm does not share an industry code with its peer group, it is most likely that the segment in which it operates differentiates the focal firm from its peers.</w:t>
      </w:r>
    </w:p>
    <w:p w:rsidR="00BF588B" w:rsidRDefault="00BF588B" w:rsidP="00BF588B">
      <w:pPr>
        <w:ind w:firstLine="432"/>
      </w:pPr>
      <w:r w:rsidRPr="00475463">
        <w:lastRenderedPageBreak/>
        <w:t xml:space="preserve">My measure of segment </w:t>
      </w:r>
      <w:r>
        <w:t>differentiation</w:t>
      </w:r>
      <w:r w:rsidRPr="00475463">
        <w:t xml:space="preserve">, </w:t>
      </w:r>
      <w:r>
        <w:rPr>
          <w:i/>
        </w:rPr>
        <w:t>DIFF</w:t>
      </w:r>
      <w:r w:rsidRPr="00475463">
        <w:t>, measures the</w:t>
      </w:r>
      <w:r>
        <w:t xml:space="preserve"> difference between focal firm’s reported segments and the core operations of its peer group.  </w:t>
      </w:r>
      <w:r>
        <w:rPr>
          <w:i/>
        </w:rPr>
        <w:t xml:space="preserve">DIFF </w:t>
      </w:r>
      <w:r>
        <w:t>is measured as the</w:t>
      </w:r>
      <w:r w:rsidRPr="00475463">
        <w:t xml:space="preserve"> </w:t>
      </w:r>
      <w:r>
        <w:t xml:space="preserve">percentage segment sales of the focal firm not disclosed by the peer group.  </w:t>
      </w:r>
      <w:r>
        <w:rPr>
          <w:i/>
        </w:rPr>
        <w:t>DIFF</w:t>
      </w:r>
      <w:r>
        <w:t xml:space="preserve"> </w:t>
      </w:r>
      <w:r w:rsidRPr="00475463">
        <w:t>is estimated in three steps.</w:t>
      </w:r>
      <w:r w:rsidRPr="00475463">
        <w:rPr>
          <w:rStyle w:val="FootnoteReference"/>
        </w:rPr>
        <w:footnoteReference w:id="15"/>
      </w:r>
      <w:r w:rsidRPr="00475463">
        <w:t xml:space="preserve">  First, I identify all segment SIC codes disclosed by </w:t>
      </w:r>
      <w:r>
        <w:t xml:space="preserve">at least five percent of </w:t>
      </w:r>
      <w:r w:rsidRPr="00475463">
        <w:t xml:space="preserve">TNIC </w:t>
      </w:r>
      <w:proofErr w:type="gramStart"/>
      <w:r w:rsidRPr="00475463">
        <w:t>peers.</w:t>
      </w:r>
      <w:r w:rsidRPr="00475463">
        <w:rPr>
          <w:rStyle w:val="FootnoteReference"/>
        </w:rPr>
        <w:footnoteReference w:id="16"/>
      </w:r>
      <w:r w:rsidRPr="00475463">
        <w:rPr>
          <w:vertAlign w:val="superscript"/>
        </w:rPr>
        <w:t>,</w:t>
      </w:r>
      <w:proofErr w:type="gramEnd"/>
      <w:r>
        <w:rPr>
          <w:vertAlign w:val="superscript"/>
        </w:rPr>
        <w:t xml:space="preserve"> </w:t>
      </w:r>
      <w:r w:rsidRPr="00475463">
        <w:rPr>
          <w:rStyle w:val="FootnoteReference"/>
        </w:rPr>
        <w:footnoteReference w:id="17"/>
      </w:r>
      <w:r w:rsidRPr="00475463">
        <w:t xml:space="preserve"> </w:t>
      </w:r>
      <w:r>
        <w:t>Consider a simplified example. Suppose</w:t>
      </w:r>
      <w:r w:rsidRPr="00475463">
        <w:t xml:space="preserve"> </w:t>
      </w:r>
      <w:r>
        <w:t>F</w:t>
      </w:r>
      <w:r w:rsidRPr="00475463">
        <w:t>irm A has TNIC peers X, Y, and Z</w:t>
      </w:r>
      <w:r>
        <w:t xml:space="preserve"> as identified by Hoberg and Phillips</w:t>
      </w:r>
      <w:r w:rsidRPr="00475463">
        <w:t xml:space="preserve">.  </w:t>
      </w:r>
      <w:r>
        <w:t xml:space="preserve">Compustat reports that </w:t>
      </w:r>
      <w:r w:rsidRPr="00475463">
        <w:t xml:space="preserve">Firm X operates in </w:t>
      </w:r>
      <w:r>
        <w:t xml:space="preserve">SIC </w:t>
      </w:r>
      <w:r w:rsidRPr="00475463">
        <w:t>industr</w:t>
      </w:r>
      <w:r>
        <w:t xml:space="preserve">y </w:t>
      </w:r>
      <w:r w:rsidRPr="00475463">
        <w:t xml:space="preserve">2; Firm Y operates in </w:t>
      </w:r>
      <w:r>
        <w:t xml:space="preserve">SIC </w:t>
      </w:r>
      <w:r w:rsidRPr="00475463">
        <w:t xml:space="preserve">industries </w:t>
      </w:r>
      <w:r>
        <w:t>2 and 3</w:t>
      </w:r>
      <w:r w:rsidRPr="00475463">
        <w:t xml:space="preserve">; </w:t>
      </w:r>
      <w:r>
        <w:t xml:space="preserve">and </w:t>
      </w:r>
      <w:r w:rsidRPr="00475463">
        <w:t xml:space="preserve">Firm Z operates in </w:t>
      </w:r>
      <w:r>
        <w:t xml:space="preserve">SIC </w:t>
      </w:r>
      <w:r w:rsidRPr="00475463">
        <w:t xml:space="preserve">industries </w:t>
      </w:r>
      <w:r>
        <w:t>2</w:t>
      </w:r>
      <w:r w:rsidRPr="00475463">
        <w:t xml:space="preserve"> and 4.  The </w:t>
      </w:r>
      <w:r>
        <w:t>core peer</w:t>
      </w:r>
      <w:r w:rsidRPr="00475463">
        <w:t xml:space="preserve"> </w:t>
      </w:r>
      <w:r>
        <w:t xml:space="preserve">operations </w:t>
      </w:r>
      <w:r w:rsidRPr="00475463">
        <w:t xml:space="preserve">portfolio based on TNIC peers X, Y, and Z would be </w:t>
      </w:r>
      <w:r>
        <w:t xml:space="preserve">SIC </w:t>
      </w:r>
      <w:r w:rsidRPr="00475463">
        <w:t>industries 2, 3, and 4</w:t>
      </w:r>
      <w:r>
        <w:t xml:space="preserve"> (see </w:t>
      </w:r>
      <w:r w:rsidR="00CF7DCB">
        <w:t>Figure 2</w:t>
      </w:r>
      <w:r>
        <w:t>)</w:t>
      </w:r>
      <w:r w:rsidRPr="00475463">
        <w:t>.</w:t>
      </w:r>
      <w:r>
        <w:t xml:space="preserve"> </w:t>
      </w:r>
    </w:p>
    <w:p w:rsidR="00BF588B" w:rsidRPr="00475463" w:rsidRDefault="00BF588B" w:rsidP="00BF588B">
      <w:pPr>
        <w:ind w:firstLine="432"/>
      </w:pPr>
      <w:r w:rsidRPr="00475463">
        <w:t xml:space="preserve">Second, I </w:t>
      </w:r>
      <w:r>
        <w:t xml:space="preserve">compare the focal firm’s segment SIC industry codes with the peer SIC codes.  If a segment SIC of the focal firm matches a peer SIC code, the focal firm’s segment is considered common (i.e., no differentiation).  If the focal firm’s segment SIC code does not match a peer SIC code, the segment differentiates the focal firm from its peers.  </w:t>
      </w:r>
      <w:r w:rsidRPr="00475463">
        <w:t xml:space="preserve">Continuing with </w:t>
      </w:r>
      <w:r>
        <w:t>the</w:t>
      </w:r>
      <w:r w:rsidRPr="00475463">
        <w:t xml:space="preserve"> previous example, if Firm A discloses segments in </w:t>
      </w:r>
      <w:r w:rsidR="003F5681">
        <w:t xml:space="preserve">SIC </w:t>
      </w:r>
      <w:r w:rsidRPr="00475463">
        <w:t xml:space="preserve">industries 1 </w:t>
      </w:r>
      <w:r>
        <w:t>and 2</w:t>
      </w:r>
      <w:r w:rsidRPr="00475463">
        <w:t xml:space="preserve">, </w:t>
      </w:r>
      <w:r>
        <w:t xml:space="preserve">only segment 1 is included in </w:t>
      </w:r>
      <w:r>
        <w:rPr>
          <w:i/>
        </w:rPr>
        <w:t>DIFF</w:t>
      </w:r>
      <w:r>
        <w:t>.  Segment 1 differentiates the focal firm from its peers. Segment 2 is reported by (at least five percent of) its peers.</w:t>
      </w:r>
    </w:p>
    <w:p w:rsidR="00BF588B" w:rsidRPr="00A81E88" w:rsidRDefault="00BF588B" w:rsidP="00BF588B">
      <w:pPr>
        <w:ind w:firstLine="432"/>
      </w:pPr>
      <w:r>
        <w:lastRenderedPageBreak/>
        <w:t>Third</w:t>
      </w:r>
      <w:r w:rsidRPr="00475463">
        <w:t>,</w:t>
      </w:r>
      <w:r>
        <w:t xml:space="preserve"> I divide </w:t>
      </w:r>
      <w:r w:rsidR="00B87C6D">
        <w:t xml:space="preserve">the sum of sales from focal firm differentiating segments </w:t>
      </w:r>
      <w:r>
        <w:t xml:space="preserve">by total sales of the focal firm.  From the example above, if segment 1 of Firm A has $35 million in sales, and firm A has total sales of $100 million, </w:t>
      </w:r>
      <w:r>
        <w:rPr>
          <w:i/>
        </w:rPr>
        <w:t xml:space="preserve">DIFF </w:t>
      </w:r>
      <w:r>
        <w:t>will be thirty-five percent ($35 million divided by $100 million).</w:t>
      </w:r>
    </w:p>
    <w:tbl>
      <w:tblPr>
        <w:tblStyle w:val="TableGrid"/>
        <w:tblW w:w="918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540"/>
      </w:tblGrid>
      <w:tr w:rsidR="00BF588B" w:rsidRPr="00475463" w:rsidTr="00E82B31">
        <w:trPr>
          <w:jc w:val="right"/>
        </w:trPr>
        <w:tc>
          <w:tcPr>
            <w:tcW w:w="8640" w:type="dxa"/>
          </w:tcPr>
          <w:p w:rsidR="00BF588B" w:rsidRPr="00475463" w:rsidRDefault="00BF588B" w:rsidP="00E82B31">
            <w:pPr>
              <w:ind w:firstLine="432"/>
            </w:pPr>
            <m:oMathPara>
              <m:oMathParaPr>
                <m:jc m:val="center"/>
              </m:oMathParaPr>
              <m:oMath>
                <m:r>
                  <w:rPr>
                    <w:rFonts w:ascii="Cambria Math" w:hAnsi="Cambria Math"/>
                  </w:rPr>
                  <m:t>DIFF=</m:t>
                </m:r>
                <m:f>
                  <m:fPr>
                    <m:ctrlPr>
                      <w:rPr>
                        <w:rFonts w:ascii="Cambria Math" w:hAnsi="Cambria Math"/>
                        <w:i/>
                      </w:rPr>
                    </m:ctrlPr>
                  </m:fPr>
                  <m:num>
                    <m:r>
                      <w:rPr>
                        <w:rFonts w:ascii="Cambria Math" w:hAnsi="Cambria Math"/>
                      </w:rPr>
                      <m:t>Sales of Seg</m:t>
                    </m:r>
                    <m:r>
                      <w:rPr>
                        <w:rFonts w:ascii="Cambria Math" w:hAnsi="Cambria Math"/>
                      </w:rPr>
                      <m:t xml:space="preserve">ments not Disclosed by Peers </m:t>
                    </m:r>
                  </m:num>
                  <m:den>
                    <m:r>
                      <w:rPr>
                        <w:rFonts w:ascii="Cambria Math" w:hAnsi="Cambria Math"/>
                      </w:rPr>
                      <m:t>Total Sales for the Focal Firm</m:t>
                    </m:r>
                  </m:den>
                </m:f>
              </m:oMath>
            </m:oMathPara>
          </w:p>
        </w:tc>
        <w:tc>
          <w:tcPr>
            <w:tcW w:w="540" w:type="dxa"/>
            <w:vAlign w:val="center"/>
          </w:tcPr>
          <w:p w:rsidR="00BF588B" w:rsidRPr="00475463" w:rsidRDefault="00BF588B" w:rsidP="00E82B31">
            <w:pPr>
              <w:jc w:val="right"/>
            </w:pPr>
            <w:r w:rsidRPr="00475463">
              <w:t>(1)</w:t>
            </w:r>
          </w:p>
        </w:tc>
      </w:tr>
    </w:tbl>
    <w:p w:rsidR="00A76E5D" w:rsidRDefault="00A76E5D" w:rsidP="00BF588B">
      <w:r w:rsidRPr="00475463">
        <w:t xml:space="preserve">Higher levels of </w:t>
      </w:r>
      <w:r>
        <w:rPr>
          <w:i/>
        </w:rPr>
        <w:t xml:space="preserve">DIFF </w:t>
      </w:r>
      <w:r w:rsidRPr="00475463">
        <w:t xml:space="preserve">indicate the </w:t>
      </w:r>
      <w:r>
        <w:t xml:space="preserve">focal </w:t>
      </w:r>
      <w:r w:rsidRPr="00475463">
        <w:t xml:space="preserve">firm is reporting </w:t>
      </w:r>
      <w:r>
        <w:t>a larger portion of differentiating sales in its segments.  Focal firm segment reporting differentiation (</w:t>
      </w:r>
      <w:r w:rsidRPr="008569FF">
        <w:rPr>
          <w:i/>
        </w:rPr>
        <w:t>FFDIFF</w:t>
      </w:r>
      <w:r>
        <w:t xml:space="preserve">) is the natural log of one plus </w:t>
      </w:r>
      <w:r>
        <w:rPr>
          <w:i/>
        </w:rPr>
        <w:t>DIFF</w:t>
      </w:r>
      <w:r>
        <w:t>.</w:t>
      </w:r>
    </w:p>
    <w:tbl>
      <w:tblPr>
        <w:tblStyle w:val="TableGrid"/>
        <w:tblW w:w="9180"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0"/>
        <w:gridCol w:w="540"/>
      </w:tblGrid>
      <w:tr w:rsidR="00A76E5D" w:rsidRPr="00475463" w:rsidTr="0094664B">
        <w:trPr>
          <w:jc w:val="right"/>
        </w:trPr>
        <w:tc>
          <w:tcPr>
            <w:tcW w:w="8640" w:type="dxa"/>
            <w:vAlign w:val="center"/>
          </w:tcPr>
          <w:p w:rsidR="00A76E5D" w:rsidRDefault="00A76E5D" w:rsidP="0094664B">
            <w:pPr>
              <w:jc w:val="center"/>
              <w:rPr>
                <w:rFonts w:eastAsia="MS Mincho"/>
              </w:rPr>
            </w:pPr>
            <m:oMathPara>
              <m:oMath>
                <m:r>
                  <w:rPr>
                    <w:rFonts w:ascii="Cambria Math" w:eastAsia="MS Mincho" w:hAnsi="Cambria Math"/>
                  </w:rPr>
                  <m:t xml:space="preserve">FFDIFF = </m:t>
                </m:r>
                <m:func>
                  <m:funcPr>
                    <m:ctrlPr>
                      <w:rPr>
                        <w:rFonts w:ascii="Cambria Math" w:eastAsia="MS Mincho" w:hAnsi="Cambria Math"/>
                        <w:i/>
                      </w:rPr>
                    </m:ctrlPr>
                  </m:funcPr>
                  <m:fName>
                    <m:r>
                      <w:rPr>
                        <w:rFonts w:ascii="Cambria Math" w:eastAsia="MS Mincho" w:hAnsi="Cambria Math"/>
                      </w:rPr>
                      <m:t>ln</m:t>
                    </m:r>
                  </m:fName>
                  <m:e>
                    <m:d>
                      <m:dPr>
                        <m:ctrlPr>
                          <w:rPr>
                            <w:rFonts w:ascii="Cambria Math" w:eastAsia="MS Mincho" w:hAnsi="Cambria Math"/>
                            <w:i/>
                          </w:rPr>
                        </m:ctrlPr>
                      </m:dPr>
                      <m:e>
                        <m:r>
                          <w:rPr>
                            <w:rFonts w:ascii="Cambria Math" w:eastAsia="MS Mincho" w:hAnsi="Cambria Math"/>
                          </w:rPr>
                          <m:t>1+DIFF</m:t>
                        </m:r>
                      </m:e>
                    </m:d>
                  </m:e>
                </m:func>
              </m:oMath>
            </m:oMathPara>
          </w:p>
        </w:tc>
        <w:tc>
          <w:tcPr>
            <w:tcW w:w="540" w:type="dxa"/>
            <w:vAlign w:val="center"/>
          </w:tcPr>
          <w:p w:rsidR="00A76E5D" w:rsidRPr="00475463" w:rsidRDefault="00A76E5D" w:rsidP="0094664B">
            <w:pPr>
              <w:jc w:val="right"/>
            </w:pPr>
            <w:r>
              <w:t>(2)</w:t>
            </w:r>
          </w:p>
        </w:tc>
      </w:tr>
    </w:tbl>
    <w:p w:rsidR="00BF588B" w:rsidRPr="00475463" w:rsidRDefault="00BF588B" w:rsidP="00BF588B">
      <w:r>
        <w:t>To measure the impact of peer firm differentiation (</w:t>
      </w:r>
      <w:r w:rsidRPr="008569FF">
        <w:rPr>
          <w:i/>
        </w:rPr>
        <w:t>PFDIFF</w:t>
      </w:r>
      <w:r>
        <w:t xml:space="preserve">) on the focal firm, I calculate the market value-weighted average of peer firms’ </w:t>
      </w:r>
      <w:r>
        <w:rPr>
          <w:i/>
        </w:rPr>
        <w:t xml:space="preserve">DIFF. </w:t>
      </w:r>
      <w:r>
        <w:t xml:space="preserve"> I define peer groups when calculating the value-weighted </w:t>
      </w:r>
      <w:r w:rsidRPr="008569FF">
        <w:rPr>
          <w:i/>
        </w:rPr>
        <w:t>DIFF</w:t>
      </w:r>
      <w:r>
        <w:rPr>
          <w:i/>
        </w:rPr>
        <w:t xml:space="preserve"> </w:t>
      </w:r>
      <w:r>
        <w:t xml:space="preserve">using three-digit SIC </w:t>
      </w:r>
      <w:proofErr w:type="gramStart"/>
      <w:r>
        <w:t>codes.</w:t>
      </w:r>
      <w:r>
        <w:rPr>
          <w:rStyle w:val="FootnoteReference"/>
        </w:rPr>
        <w:footnoteReference w:id="18"/>
      </w:r>
      <w:r>
        <w:rPr>
          <w:vertAlign w:val="superscript"/>
        </w:rPr>
        <w:t>,</w:t>
      </w:r>
      <w:proofErr w:type="gramEnd"/>
      <w:r w:rsidRPr="00475463">
        <w:rPr>
          <w:rStyle w:val="FootnoteReference"/>
        </w:rPr>
        <w:footnoteReference w:id="19"/>
      </w:r>
      <w:r>
        <w:t xml:space="preserve">  Higher </w:t>
      </w:r>
      <w:r>
        <w:rPr>
          <w:i/>
        </w:rPr>
        <w:t>PFDIFF</w:t>
      </w:r>
      <w:r>
        <w:t xml:space="preserve"> indicates the three-digit SIC code group reports higher levels of differentiating segments.</w:t>
      </w:r>
    </w:p>
    <w:tbl>
      <w:tblPr>
        <w:tblStyle w:val="TableGrid"/>
        <w:tblW w:w="903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96"/>
        <w:gridCol w:w="540"/>
      </w:tblGrid>
      <w:tr w:rsidR="00BF588B" w:rsidRPr="00475463" w:rsidTr="002E1C13">
        <w:trPr>
          <w:jc w:val="right"/>
        </w:trPr>
        <w:tc>
          <w:tcPr>
            <w:tcW w:w="8496" w:type="dxa"/>
            <w:vAlign w:val="center"/>
          </w:tcPr>
          <w:p w:rsidR="00BF588B" w:rsidRPr="00E85445" w:rsidRDefault="00BF588B" w:rsidP="00E82B31">
            <m:oMathPara>
              <m:oMathParaPr>
                <m:jc m:val="center"/>
              </m:oMathParaPr>
              <m:oMath>
                <m:r>
                  <w:rPr>
                    <w:rFonts w:ascii="Cambria Math" w:hAnsi="Cambria Math"/>
                  </w:rPr>
                  <m:t>PFDIFF=</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rPr>
                          <m:t>1+</m:t>
                        </m:r>
                        <m:nary>
                          <m:naryPr>
                            <m:chr m:val="∑"/>
                            <m:limLoc m:val="undOvr"/>
                            <m:ctrlPr>
                              <w:rPr>
                                <w:rFonts w:ascii="Cambria Math" w:hAnsi="Cambria Math"/>
                                <w:i/>
                              </w:rPr>
                            </m:ctrlPr>
                          </m:naryPr>
                          <m:sub>
                            <m:r>
                              <w:rPr>
                                <w:rFonts w:ascii="Cambria Math" w:hAnsi="Cambria Math"/>
                              </w:rPr>
                              <m:t>p=1</m:t>
                            </m:r>
                          </m:sub>
                          <m:sup>
                            <m:r>
                              <w:rPr>
                                <w:rFonts w:ascii="Cambria Math" w:hAnsi="Cambria Math"/>
                              </w:rPr>
                              <m:t>n</m:t>
                            </m:r>
                          </m:sup>
                          <m:e>
                            <m:f>
                              <m:fPr>
                                <m:ctrlPr>
                                  <w:rPr>
                                    <w:rFonts w:ascii="Cambria Math" w:hAnsi="Cambria Math"/>
                                    <w:i/>
                                  </w:rPr>
                                </m:ctrlPr>
                              </m:fPr>
                              <m:num>
                                <m:sSub>
                                  <m:sSubPr>
                                    <m:ctrlPr>
                                      <w:rPr>
                                        <w:rFonts w:ascii="Cambria Math" w:hAnsi="Cambria Math"/>
                                        <w:i/>
                                      </w:rPr>
                                    </m:ctrlPr>
                                  </m:sSubPr>
                                  <m:e>
                                    <m:r>
                                      <w:rPr>
                                        <w:rFonts w:ascii="Cambria Math" w:hAnsi="Cambria Math"/>
                                      </w:rPr>
                                      <m:t>MV</m:t>
                                    </m:r>
                                  </m:e>
                                  <m:sub>
                                    <m:r>
                                      <w:rPr>
                                        <w:rFonts w:ascii="Cambria Math" w:hAnsi="Cambria Math"/>
                                      </w:rPr>
                                      <m:t>p</m:t>
                                    </m:r>
                                  </m:sub>
                                </m:sSub>
                              </m:num>
                              <m:den>
                                <m:r>
                                  <w:rPr>
                                    <w:rFonts w:ascii="Cambria Math" w:hAnsi="Cambria Math"/>
                                  </w:rPr>
                                  <m:t>MV</m:t>
                                </m:r>
                              </m:den>
                            </m:f>
                          </m:e>
                        </m:nary>
                        <m:r>
                          <w:rPr>
                            <w:rFonts w:ascii="Cambria Math" w:hAnsi="Cambria Math"/>
                          </w:rPr>
                          <m:t>*</m:t>
                        </m:r>
                        <m:sSub>
                          <m:sSubPr>
                            <m:ctrlPr>
                              <w:rPr>
                                <w:rFonts w:ascii="Cambria Math" w:hAnsi="Cambria Math"/>
                                <w:i/>
                              </w:rPr>
                            </m:ctrlPr>
                          </m:sSubPr>
                          <m:e>
                            <m:r>
                              <w:rPr>
                                <w:rFonts w:ascii="Cambria Math" w:hAnsi="Cambria Math"/>
                              </w:rPr>
                              <m:t>DIFF</m:t>
                            </m:r>
                          </m:e>
                          <m:sub>
                            <m:r>
                              <w:rPr>
                                <w:rFonts w:ascii="Cambria Math" w:hAnsi="Cambria Math"/>
                              </w:rPr>
                              <m:t>p</m:t>
                            </m:r>
                          </m:sub>
                        </m:sSub>
                      </m:e>
                    </m:d>
                  </m:e>
                </m:func>
              </m:oMath>
            </m:oMathPara>
          </w:p>
        </w:tc>
        <w:tc>
          <w:tcPr>
            <w:tcW w:w="540" w:type="dxa"/>
            <w:vAlign w:val="center"/>
          </w:tcPr>
          <w:p w:rsidR="00BF588B" w:rsidRPr="00475463" w:rsidRDefault="00BF588B" w:rsidP="00E82B31">
            <w:pPr>
              <w:jc w:val="right"/>
            </w:pPr>
            <w:r>
              <w:t>(3)</w:t>
            </w:r>
          </w:p>
        </w:tc>
      </w:tr>
    </w:tbl>
    <w:p w:rsidR="00BF588B" w:rsidRDefault="00BF588B" w:rsidP="00BF588B"/>
    <w:p w:rsidR="00BF588B" w:rsidRDefault="00BF588B">
      <w:pPr>
        <w:spacing w:line="240" w:lineRule="auto"/>
      </w:pPr>
      <w:r>
        <w:br w:type="page"/>
      </w:r>
    </w:p>
    <w:p w:rsidR="00BF588B" w:rsidRPr="00E85445" w:rsidRDefault="00BF588B" w:rsidP="00BF588B">
      <w:r>
        <w:lastRenderedPageBreak/>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352"/>
        <w:gridCol w:w="6094"/>
      </w:tblGrid>
      <w:tr w:rsidR="00BF588B" w:rsidRPr="00475463" w:rsidTr="00E82B31">
        <w:tc>
          <w:tcPr>
            <w:tcW w:w="2614" w:type="dxa"/>
          </w:tcPr>
          <w:p w:rsidR="00BF588B" w:rsidRPr="00475463" w:rsidRDefault="004604A2" w:rsidP="00E82B31">
            <w:pPr>
              <w:rPr>
                <w:rFonts w:eastAsia="MS Mincho"/>
              </w:rPr>
            </w:pPr>
            <m:oMathPara>
              <m:oMathParaPr>
                <m:jc m:val="right"/>
              </m:oMathParaPr>
              <m:oMath>
                <m:sSub>
                  <m:sSubPr>
                    <m:ctrlPr>
                      <w:rPr>
                        <w:rFonts w:ascii="Cambria Math" w:hAnsi="Cambria Math"/>
                        <w:i/>
                      </w:rPr>
                    </m:ctrlPr>
                  </m:sSubPr>
                  <m:e>
                    <m:r>
                      <w:rPr>
                        <w:rFonts w:ascii="Cambria Math" w:hAnsi="Cambria Math"/>
                      </w:rPr>
                      <m:t>MV</m:t>
                    </m:r>
                  </m:e>
                  <m:sub>
                    <m:r>
                      <w:rPr>
                        <w:rFonts w:ascii="Cambria Math" w:hAnsi="Cambria Math"/>
                      </w:rPr>
                      <m:t>p</m:t>
                    </m:r>
                  </m:sub>
                </m:sSub>
              </m:oMath>
            </m:oMathPara>
          </w:p>
        </w:tc>
        <w:tc>
          <w:tcPr>
            <w:tcW w:w="352" w:type="dxa"/>
          </w:tcPr>
          <w:p w:rsidR="00BF588B" w:rsidRPr="00475463" w:rsidRDefault="00BF588B" w:rsidP="00E82B31">
            <w:r w:rsidRPr="00475463">
              <w:t>=</w:t>
            </w:r>
          </w:p>
        </w:tc>
        <w:tc>
          <w:tcPr>
            <w:tcW w:w="7330" w:type="dxa"/>
          </w:tcPr>
          <w:p w:rsidR="00BF588B" w:rsidRPr="005C0BC2" w:rsidRDefault="00BF588B" w:rsidP="00E82B31">
            <w:pPr>
              <w:spacing w:line="240" w:lineRule="auto"/>
              <w:rPr>
                <w:i/>
              </w:rPr>
            </w:pPr>
            <w:r>
              <w:t xml:space="preserve">The market value of peer firm </w:t>
            </w:r>
            <w:r>
              <w:rPr>
                <w:i/>
              </w:rPr>
              <w:t>p</w:t>
            </w:r>
          </w:p>
        </w:tc>
      </w:tr>
      <w:tr w:rsidR="00BF588B" w:rsidRPr="00475463" w:rsidTr="00E82B31">
        <w:tc>
          <w:tcPr>
            <w:tcW w:w="2614" w:type="dxa"/>
          </w:tcPr>
          <w:p w:rsidR="00BF588B" w:rsidRPr="005C0BC2" w:rsidRDefault="00BF588B" w:rsidP="00E82B31">
            <w:pPr>
              <w:jc w:val="right"/>
              <w:rPr>
                <w:rFonts w:eastAsia="MS Mincho"/>
              </w:rPr>
            </w:pPr>
            <m:oMathPara>
              <m:oMathParaPr>
                <m:jc m:val="right"/>
              </m:oMathParaPr>
              <m:oMath>
                <m:r>
                  <w:rPr>
                    <w:rFonts w:ascii="Cambria Math" w:eastAsia="MS Mincho" w:hAnsi="Cambria Math"/>
                  </w:rPr>
                  <m:t>MV</m:t>
                </m:r>
              </m:oMath>
            </m:oMathPara>
          </w:p>
        </w:tc>
        <w:tc>
          <w:tcPr>
            <w:tcW w:w="352" w:type="dxa"/>
          </w:tcPr>
          <w:p w:rsidR="00BF588B" w:rsidRPr="00475463" w:rsidRDefault="00BF588B" w:rsidP="00E82B31">
            <w:r>
              <w:t>=</w:t>
            </w:r>
          </w:p>
        </w:tc>
        <w:tc>
          <w:tcPr>
            <w:tcW w:w="7330" w:type="dxa"/>
          </w:tcPr>
          <w:p w:rsidR="00BF588B" w:rsidRDefault="00BF588B" w:rsidP="00E82B31">
            <w:pPr>
              <w:spacing w:line="240" w:lineRule="auto"/>
            </w:pPr>
            <w:r>
              <w:t>Total market value of the industry defined by three-digit SIC codes</w:t>
            </w:r>
          </w:p>
        </w:tc>
      </w:tr>
      <w:tr w:rsidR="00BF588B" w:rsidRPr="00475463" w:rsidTr="00E82B31">
        <w:tc>
          <w:tcPr>
            <w:tcW w:w="2614" w:type="dxa"/>
          </w:tcPr>
          <w:p w:rsidR="00BF588B" w:rsidRPr="004212E7" w:rsidRDefault="004604A2" w:rsidP="00E82B31">
            <w:pPr>
              <w:jc w:val="right"/>
              <w:rPr>
                <w:rFonts w:eastAsia="MS Mincho"/>
              </w:rPr>
            </w:pPr>
            <m:oMathPara>
              <m:oMathParaPr>
                <m:jc m:val="right"/>
              </m:oMathParaPr>
              <m:oMath>
                <m:sSub>
                  <m:sSubPr>
                    <m:ctrlPr>
                      <w:rPr>
                        <w:rFonts w:ascii="Cambria Math" w:hAnsi="Cambria Math"/>
                        <w:i/>
                      </w:rPr>
                    </m:ctrlPr>
                  </m:sSubPr>
                  <m:e>
                    <m:r>
                      <w:rPr>
                        <w:rFonts w:ascii="Cambria Math" w:hAnsi="Cambria Math"/>
                      </w:rPr>
                      <m:t>DIFF</m:t>
                    </m:r>
                  </m:e>
                  <m:sub>
                    <m:r>
                      <w:rPr>
                        <w:rFonts w:ascii="Cambria Math" w:hAnsi="Cambria Math"/>
                      </w:rPr>
                      <m:t>p</m:t>
                    </m:r>
                  </m:sub>
                </m:sSub>
              </m:oMath>
            </m:oMathPara>
          </w:p>
        </w:tc>
        <w:tc>
          <w:tcPr>
            <w:tcW w:w="352" w:type="dxa"/>
          </w:tcPr>
          <w:p w:rsidR="00BF588B" w:rsidRDefault="00BF588B" w:rsidP="00E82B31">
            <w:r>
              <w:t>=</w:t>
            </w:r>
          </w:p>
        </w:tc>
        <w:tc>
          <w:tcPr>
            <w:tcW w:w="7330" w:type="dxa"/>
          </w:tcPr>
          <w:p w:rsidR="00BF588B" w:rsidRPr="005C0BC2" w:rsidRDefault="00BF588B" w:rsidP="00E82B31">
            <w:pPr>
              <w:spacing w:line="240" w:lineRule="auto"/>
              <w:rPr>
                <w:i/>
              </w:rPr>
            </w:pPr>
            <w:r>
              <w:t xml:space="preserve">The measure </w:t>
            </w:r>
            <w:r>
              <w:rPr>
                <w:i/>
              </w:rPr>
              <w:t>DIFF</w:t>
            </w:r>
            <w:r>
              <w:t xml:space="preserve"> for peer firm </w:t>
            </w:r>
            <w:r>
              <w:rPr>
                <w:i/>
              </w:rPr>
              <w:t>p</w:t>
            </w:r>
          </w:p>
        </w:tc>
      </w:tr>
      <w:tr w:rsidR="00BF588B" w:rsidRPr="00475463" w:rsidTr="00E82B31">
        <w:tc>
          <w:tcPr>
            <w:tcW w:w="2614" w:type="dxa"/>
          </w:tcPr>
          <w:p w:rsidR="00BF588B" w:rsidRPr="00357D77" w:rsidRDefault="00BF588B" w:rsidP="00E82B31">
            <w:pPr>
              <w:jc w:val="right"/>
              <w:rPr>
                <w:rFonts w:eastAsia="MS Mincho"/>
                <w:i/>
              </w:rPr>
            </w:pPr>
            <w:r>
              <w:rPr>
                <w:rFonts w:eastAsia="MS Mincho"/>
                <w:i/>
              </w:rPr>
              <w:t>n</w:t>
            </w:r>
          </w:p>
        </w:tc>
        <w:tc>
          <w:tcPr>
            <w:tcW w:w="352" w:type="dxa"/>
          </w:tcPr>
          <w:p w:rsidR="00BF588B" w:rsidRDefault="00BF588B" w:rsidP="00E82B31">
            <w:r>
              <w:t>=</w:t>
            </w:r>
          </w:p>
        </w:tc>
        <w:tc>
          <w:tcPr>
            <w:tcW w:w="7330" w:type="dxa"/>
          </w:tcPr>
          <w:p w:rsidR="00BF588B" w:rsidRDefault="00BF588B" w:rsidP="00E82B31">
            <w:pPr>
              <w:spacing w:line="240" w:lineRule="auto"/>
            </w:pPr>
            <w:r>
              <w:t>Number of three-digit SIC code peers</w:t>
            </w:r>
          </w:p>
        </w:tc>
      </w:tr>
    </w:tbl>
    <w:p w:rsidR="00BF588B" w:rsidRPr="00E021C2" w:rsidRDefault="00C9420C" w:rsidP="00BF588B">
      <w:r>
        <w:tab/>
        <w:t>Continuing with the previous example, e</w:t>
      </w:r>
      <w:r w:rsidR="00BF588B">
        <w:t xml:space="preserve">ach firm within the peer group will have </w:t>
      </w:r>
      <w:r w:rsidR="00BF588B">
        <w:rPr>
          <w:i/>
        </w:rPr>
        <w:t>FFDIFF</w:t>
      </w:r>
      <w:r w:rsidR="00BF588B">
        <w:t xml:space="preserve"> and </w:t>
      </w:r>
      <w:r w:rsidR="00BF588B">
        <w:rPr>
          <w:i/>
        </w:rPr>
        <w:t>PFDIFF</w:t>
      </w:r>
      <w:r w:rsidR="00BF588B">
        <w:t xml:space="preserve"> in turn.  That is to say that Firm X will be compared to Firms A, Y, and Z.  Firm X has no differentiating segments and receives a </w:t>
      </w:r>
      <w:r w:rsidR="00BF588B" w:rsidRPr="003F3831">
        <w:rPr>
          <w:i/>
        </w:rPr>
        <w:t>DIFF</w:t>
      </w:r>
      <w:r w:rsidR="00BF588B">
        <w:t xml:space="preserve"> equal to zero.  Firm Y differentiates itself from its peers by reporting segment 3.  </w:t>
      </w:r>
      <w:r w:rsidR="00BF588B">
        <w:rPr>
          <w:i/>
        </w:rPr>
        <w:t>DIFF</w:t>
      </w:r>
      <w:r w:rsidR="00BF588B">
        <w:t xml:space="preserve"> for firm Y equals the percentage of sale</w:t>
      </w:r>
      <w:r w:rsidR="00A76E5D">
        <w:t>s</w:t>
      </w:r>
      <w:r w:rsidR="00BF588B">
        <w:t xml:space="preserve"> reported for segment 3.  Firm Z differentiates itself from its peers by reporting segment 4.  </w:t>
      </w:r>
      <w:r w:rsidR="00BF588B">
        <w:rPr>
          <w:i/>
        </w:rPr>
        <w:t xml:space="preserve">DIFF </w:t>
      </w:r>
      <w:r w:rsidR="00BF588B">
        <w:t xml:space="preserve">for firm Z equals the percentage of sales reported for segment 4.  </w:t>
      </w:r>
      <w:r w:rsidR="00BF588B">
        <w:rPr>
          <w:i/>
        </w:rPr>
        <w:t>PFDIFF</w:t>
      </w:r>
      <w:r w:rsidR="00BF588B">
        <w:t xml:space="preserve"> for firm A is the market value-weighted average of </w:t>
      </w:r>
      <w:r w:rsidR="00BF588B">
        <w:rPr>
          <w:i/>
        </w:rPr>
        <w:t xml:space="preserve">DIFF </w:t>
      </w:r>
      <w:r w:rsidR="00BF588B">
        <w:t>for firms X, Y, and Z.</w:t>
      </w:r>
    </w:p>
    <w:p w:rsidR="00BF588B" w:rsidRDefault="00E82B31" w:rsidP="00E82B31">
      <w:pPr>
        <w:pStyle w:val="Heading2"/>
      </w:pPr>
      <w:bookmarkStart w:id="19" w:name="_Toc414633037"/>
      <w:r>
        <w:t>Measure of Excess Value of Diversification</w:t>
      </w:r>
      <w:bookmarkEnd w:id="19"/>
    </w:p>
    <w:p w:rsidR="00E82B31" w:rsidRDefault="00E82B31" w:rsidP="00E82B31">
      <w:pPr>
        <w:ind w:firstLine="432"/>
      </w:pPr>
      <w:r w:rsidRPr="00475463">
        <w:t xml:space="preserve">I use the methodology developed by </w:t>
      </w:r>
      <w:r w:rsidRPr="00475463">
        <w:fldChar w:fldCharType="begin"/>
      </w:r>
      <w:r w:rsidR="0091777F">
        <w:instrText xml:space="preserve"> ADDIN EN.CITE &lt;EndNote&gt;&lt;Cite AuthorYear="1"&gt;&lt;Author&gt;Berger&lt;/Author&gt;&lt;Year&gt;1995&lt;/Year&gt;&lt;RecNum&gt;153&lt;/RecNum&gt;&lt;DisplayText&gt;Berger and Ofek (1995)&lt;/DisplayText&gt;&lt;record&gt;&lt;rec-number&gt;153&lt;/rec-number&gt;&lt;foreign-keys&gt;&lt;key app="EN" db-id="0svx9dsr8pfxzmere98xdw5cr9vx9fdw2wrt" timestamp="1392430217"&gt;153&lt;/key&gt;&lt;key app="ENWeb" db-id=""&gt;0&lt;/key&gt;&lt;/foreign-keys&gt;&lt;ref-type name="Journal Article"&gt;17&lt;/ref-type&gt;&lt;contributors&gt;&lt;authors&gt;&lt;author&gt;Berger, Philip G.&lt;/author&gt;&lt;author&gt;Ofek, Eli&lt;/author&gt;&lt;/authors&gt;&lt;/contributors&gt;&lt;auth-address&gt;Wharton School&amp;#xD;Stern School of Business, NYU&lt;/auth-address&gt;&lt;titles&gt;&lt;title&gt;Diversification&amp;apos;s Effect on Firm Value&lt;/title&gt;&lt;secondary-title&gt;Journal of Financial Economics&lt;/secondary-title&gt;&lt;/titles&gt;&lt;periodical&gt;&lt;full-title&gt;Journal of Financial Economics&lt;/full-title&gt;&lt;/periodical&gt;&lt;pages&gt;39-65&lt;/pages&gt;&lt;volume&gt;37&lt;/volume&gt;&lt;number&gt;1&lt;/number&gt;&lt;keywords&gt;&lt;keyword&gt;Financing Policy&lt;/keyword&gt;&lt;keyword&gt;Financial Risk and Risk Management&lt;/keyword&gt;&lt;keyword&gt;Capital and Ownership Structure&lt;/keyword&gt;&lt;keyword&gt;Value of Firms&lt;/keyword&gt;&lt;keyword&gt;Goodwill G32&lt;/keyword&gt;&lt;/keywords&gt;&lt;dates&gt;&lt;year&gt;1995&lt;/year&gt;&lt;/dates&gt;&lt;isbn&gt;0304405X&lt;/isbn&gt;&lt;accession-num&gt;0354453&lt;/accession-num&gt;&lt;urls&gt;&lt;related-urls&gt;&lt;url&gt;http://libraries.ou.edu/access.aspx?url=http://search.ebscohost.com/login.aspx?direct=true&amp;amp;db=ecn&amp;amp;AN=0354453&amp;amp;site=ehost-live&lt;/url&gt;&lt;url&gt;http://www.sciencedirect.com/science/journal/0304405X&lt;/url&gt;&lt;/related-urls&gt;&lt;/urls&gt;&lt;electronic-resource-num&gt;http://www.sciencedirect.com/science/journal/0304405X&lt;/electronic-resource-num&gt;&lt;remote-database-name&gt;ecn&lt;/remote-database-name&gt;&lt;remote-database-provider&gt;EBSCOhost&lt;/remote-database-provider&gt;&lt;/record&gt;&lt;/Cite&gt;&lt;/EndNote&gt;</w:instrText>
      </w:r>
      <w:r w:rsidRPr="00475463">
        <w:fldChar w:fldCharType="separate"/>
      </w:r>
      <w:r w:rsidR="0091777F">
        <w:rPr>
          <w:noProof/>
        </w:rPr>
        <w:t>Berger and Ofek (1995)</w:t>
      </w:r>
      <w:r w:rsidRPr="00475463">
        <w:fldChar w:fldCharType="end"/>
      </w:r>
      <w:r w:rsidRPr="00475463">
        <w:t xml:space="preserve"> to calculate excess value with data from the Compustat Segment file.  </w:t>
      </w:r>
      <w:r>
        <w:t>Excess value captures the difference between the market value of the firm and the implied/estimated value of t</w:t>
      </w:r>
      <w:r w:rsidR="00936C82">
        <w:t>he firm based on the valuation o</w:t>
      </w:r>
      <w:r>
        <w:t xml:space="preserve">f its individual segments.  Implied value is estimated using the “chop shop” approach: estimating the value for each individual segment as if it were being purchased from the market separately using an industry multiplier, </w:t>
      </w:r>
      <w:proofErr w:type="gramStart"/>
      <w:r>
        <w:t>then</w:t>
      </w:r>
      <w:proofErr w:type="gramEnd"/>
      <w:r>
        <w:t xml:space="preserve"> adding up the value of all individual parts.  By comparing the market value to the implied value, we gain insight into the market’s valuation of the combined segment portfolio of a multi-segment firm</w:t>
      </w:r>
      <w:r w:rsidR="00424418">
        <w:t xml:space="preserve"> relative to purchasing a similar portfolio of segments on the market</w:t>
      </w:r>
      <w:r>
        <w:t xml:space="preserve">.  </w:t>
      </w:r>
      <w:r>
        <w:lastRenderedPageBreak/>
        <w:t>Firms with market values less than the implied value are valued at a discount, referred to as a diversification discount.  Firms with market values greater than the implied value are valued at a premium, referred to as a diversification premium.</w:t>
      </w:r>
    </w:p>
    <w:p w:rsidR="00E82B31" w:rsidRPr="00475463" w:rsidRDefault="00E82B31" w:rsidP="00E82B31">
      <w:pPr>
        <w:ind w:firstLine="432"/>
      </w:pPr>
      <w:r>
        <w:t xml:space="preserve">I make one deviation from Berger and </w:t>
      </w:r>
      <w:proofErr w:type="spellStart"/>
      <w:r>
        <w:t>Ofek’s</w:t>
      </w:r>
      <w:proofErr w:type="spellEnd"/>
      <w:r>
        <w:t xml:space="preserve"> methodology.  Berger and Ofek use the median industry multiplier to estimate the value of each segment because their research question asks if multi-segment fir</w:t>
      </w:r>
      <w:r w:rsidR="005E68C0">
        <w:t xml:space="preserve">ms are valued at a discount, or </w:t>
      </w:r>
      <w:r>
        <w:t>the distance from zero</w:t>
      </w:r>
      <w:r w:rsidR="005E68C0">
        <w:t xml:space="preserve"> of the difference between the market and implied values</w:t>
      </w:r>
      <w:r>
        <w:t xml:space="preserve">.  Median values are more appropriate for their research question due to outliers or a skewed distribution of </w:t>
      </w:r>
      <w:r w:rsidRPr="00E00A56">
        <w:rPr>
          <w:i/>
        </w:rPr>
        <w:t>ExVal</w:t>
      </w:r>
      <w:r>
        <w:t xml:space="preserve">. </w:t>
      </w:r>
      <w:r w:rsidR="00F27648">
        <w:t xml:space="preserve"> </w:t>
      </w:r>
      <w:r w:rsidRPr="00475463">
        <w:t xml:space="preserve">Any values less than </w:t>
      </w:r>
      <w:r>
        <w:t>−</w:t>
      </w:r>
      <w:r w:rsidRPr="00475463">
        <w:t xml:space="preserve">1.386 or greater than 1.386 are removed to limit the influence of </w:t>
      </w:r>
      <w:r w:rsidR="002341F1">
        <w:t xml:space="preserve">extreme </w:t>
      </w:r>
      <w:r w:rsidRPr="00475463">
        <w:t xml:space="preserve">outliers </w:t>
      </w:r>
      <w:r w:rsidRPr="00475463">
        <w:fldChar w:fldCharType="begin">
          <w:fldData xml:space="preserve">PEVuZE5vdGU+PENpdGU+PEF1dGhvcj5CZXJnZXI8L0F1dGhvcj48WWVhcj4xOTk1PC9ZZWFyPjxS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</w:fldData>
        </w:fldChar>
      </w:r>
      <w:r w:rsidR="0091777F">
        <w:instrText xml:space="preserve"> ADDIN EN.CITE </w:instrText>
      </w:r>
      <w:r w:rsidR="0091777F">
        <w:fldChar w:fldCharType="begin">
          <w:fldData xml:space="preserve">PEVuZE5vdGU+PENpdGU+PEF1dGhvcj5CZXJnZXI8L0F1dGhvcj48WWVhcj4xOTk1PC9ZZWFyPjxS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</w:fldData>
        </w:fldChar>
      </w:r>
      <w:r w:rsidR="0091777F">
        <w:instrText xml:space="preserve"> ADDIN EN.CITE.DATA </w:instrText>
      </w:r>
      <w:r w:rsidR="0091777F">
        <w:fldChar w:fldCharType="end"/>
      </w:r>
      <w:r w:rsidRPr="00475463">
        <w:fldChar w:fldCharType="separate"/>
      </w:r>
      <w:r w:rsidR="0091777F">
        <w:rPr>
          <w:noProof/>
        </w:rPr>
        <w:t>(Berger and Ofek 1995, Bens and Monahan 2004)</w:t>
      </w:r>
      <w:r w:rsidRPr="00475463">
        <w:fldChar w:fldCharType="end"/>
      </w:r>
      <w:r w:rsidRPr="00475463">
        <w:t>.</w:t>
      </w:r>
      <w:r w:rsidRPr="00475463">
        <w:rPr>
          <w:rStyle w:val="FootnoteReference"/>
        </w:rPr>
        <w:footnoteReference w:id="20"/>
      </w:r>
      <w:r>
        <w:t xml:space="preserve">  After comparing median and mean multipliers, I find mean industry multipliers to be better suited for my research question.</w:t>
      </w:r>
      <w:r>
        <w:rPr>
          <w:rStyle w:val="FootnoteReference"/>
        </w:rPr>
        <w:footnoteReference w:id="21"/>
      </w:r>
      <w:r>
        <w:t xml:space="preserve">  I</w:t>
      </w:r>
      <w:r w:rsidRPr="00475463">
        <w:t xml:space="preserve"> estimate excess value, </w:t>
      </w:r>
      <w:r w:rsidRPr="001A2F09">
        <w:rPr>
          <w:i/>
        </w:rPr>
        <w:t>ExVal</w:t>
      </w:r>
      <w:r w:rsidRPr="00475463">
        <w:t>, using the implied value</w:t>
      </w:r>
      <w:proofErr w:type="gramStart"/>
      <w:r w:rsidRPr="00475463">
        <w:t>,</w:t>
      </w:r>
      <w:r>
        <w:t xml:space="preserve"> </w:t>
      </w:r>
      <w:proofErr w:type="gramEnd"/>
      <m:oMath>
        <m:r>
          <w:rPr>
            <w:rFonts w:ascii="Cambria Math" w:hAnsi="Cambria Math"/>
          </w:rPr>
          <m:t>ImpVal</m:t>
        </m:r>
      </m:oMath>
      <w:r w:rsidRPr="00475463">
        <w:t>, as follows:</w:t>
      </w:r>
    </w:p>
    <w:tbl>
      <w:tblPr>
        <w:tblStyle w:val="TableGrid"/>
        <w:tblW w:w="8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36"/>
        <w:gridCol w:w="540"/>
      </w:tblGrid>
      <w:tr w:rsidR="00E82B31" w:rsidRPr="00475463" w:rsidTr="00140EE1">
        <w:tc>
          <w:tcPr>
            <w:tcW w:w="8136" w:type="dxa"/>
          </w:tcPr>
          <w:p w:rsidR="00E82B31" w:rsidRPr="00475463" w:rsidRDefault="00E82B31" w:rsidP="00E82B31">
            <w:pPr>
              <w:ind w:firstLine="432"/>
            </w:pPr>
            <m:oMathPara>
              <m:oMathParaPr>
                <m:jc m:val="center"/>
              </m:oMathParaPr>
              <m:oMath>
                <m:r>
                  <w:rPr>
                    <w:rFonts w:ascii="Cambria Math" w:hAnsi="Cambria Math"/>
                  </w:rPr>
                  <m:t>ImpVal=</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AccItem</m:t>
                        </m:r>
                      </m:e>
                      <m:sub>
                        <m:r>
                          <w:rPr>
                            <w:rFonts w:ascii="Cambria Math" w:hAnsi="Cambria Math"/>
                          </w:rPr>
                          <m:t>i</m:t>
                        </m:r>
                      </m:sub>
                    </m:sSub>
                  </m:e>
                </m:nary>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Ind</m:t>
                        </m:r>
                      </m:e>
                      <m:sub>
                        <m:r>
                          <w:rPr>
                            <w:rFonts w:ascii="Cambria Math" w:hAnsi="Cambria Math"/>
                          </w:rPr>
                          <m:t>i</m:t>
                        </m:r>
                      </m:sub>
                    </m:sSub>
                    <m:sSub>
                      <m:sSubPr>
                        <m:ctrlPr>
                          <w:rPr>
                            <w:rFonts w:ascii="Cambria Math" w:hAnsi="Cambria Math"/>
                            <w:i/>
                          </w:rPr>
                        </m:ctrlPr>
                      </m:sSubPr>
                      <m:e>
                        <m:d>
                          <m:dPr>
                            <m:ctrlPr>
                              <w:rPr>
                                <w:rFonts w:ascii="Cambria Math" w:hAnsi="Cambria Math"/>
                                <w:i/>
                              </w:rPr>
                            </m:ctrlPr>
                          </m:dPr>
                          <m:e>
                            <m:f>
                              <m:fPr>
                                <m:type m:val="skw"/>
                                <m:ctrlPr>
                                  <w:rPr>
                                    <w:rFonts w:ascii="Cambria Math" w:hAnsi="Cambria Math"/>
                                    <w:i/>
                                  </w:rPr>
                                </m:ctrlPr>
                              </m:fPr>
                              <m:num>
                                <m:r>
                                  <w:rPr>
                                    <w:rFonts w:ascii="Cambria Math" w:hAnsi="Cambria Math"/>
                                  </w:rPr>
                                  <m:t>Val</m:t>
                                </m:r>
                              </m:num>
                              <m:den>
                                <m:r>
                                  <w:rPr>
                                    <w:rFonts w:ascii="Cambria Math" w:hAnsi="Cambria Math"/>
                                  </w:rPr>
                                  <m:t>AccItem</m:t>
                                </m:r>
                              </m:den>
                            </m:f>
                          </m:e>
                        </m:d>
                      </m:e>
                      <m:sub>
                        <m:r>
                          <w:rPr>
                            <w:rFonts w:ascii="Cambria Math" w:hAnsi="Cambria Math"/>
                          </w:rPr>
                          <m:t>mean</m:t>
                        </m:r>
                      </m:sub>
                    </m:sSub>
                  </m:e>
                </m:d>
              </m:oMath>
            </m:oMathPara>
          </w:p>
        </w:tc>
        <w:tc>
          <w:tcPr>
            <w:tcW w:w="540" w:type="dxa"/>
          </w:tcPr>
          <w:p w:rsidR="00E82B31" w:rsidRPr="00475463" w:rsidRDefault="00E82B31" w:rsidP="00E82B31">
            <w:pPr>
              <w:jc w:val="right"/>
            </w:pPr>
            <w:r w:rsidRPr="00475463">
              <w:t>(4)</w:t>
            </w:r>
          </w:p>
        </w:tc>
      </w:tr>
    </w:tbl>
    <w:p w:rsidR="00E82B31" w:rsidRPr="00475463" w:rsidRDefault="00E82B31" w:rsidP="00E82B31">
      <w:r w:rsidRPr="00475463">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9"/>
        <w:gridCol w:w="352"/>
        <w:gridCol w:w="5641"/>
      </w:tblGrid>
      <w:tr w:rsidR="00E82B31" w:rsidRPr="00475463" w:rsidTr="00E82B31">
        <w:tc>
          <w:tcPr>
            <w:tcW w:w="2614" w:type="dxa"/>
          </w:tcPr>
          <w:p w:rsidR="00E82B31" w:rsidRPr="00475463" w:rsidRDefault="004604A2" w:rsidP="00E82B31">
            <w:pPr>
              <w:rPr>
                <w:rFonts w:eastAsia="MS Mincho"/>
              </w:rPr>
            </w:pPr>
            <m:oMathPara>
              <m:oMathParaPr>
                <m:jc m:val="right"/>
              </m:oMathParaPr>
              <m:oMath>
                <m:sSub>
                  <m:sSubPr>
                    <m:ctrlPr>
                      <w:rPr>
                        <w:rFonts w:ascii="Cambria Math" w:eastAsia="MS Mincho" w:hAnsi="Cambria Math"/>
                        <w:i/>
                      </w:rPr>
                    </m:ctrlPr>
                  </m:sSubPr>
                  <m:e>
                    <m:r>
                      <w:rPr>
                        <w:rFonts w:ascii="Cambria Math" w:eastAsia="MS Mincho" w:hAnsi="Cambria Math"/>
                      </w:rPr>
                      <m:t>AccItem</m:t>
                    </m:r>
                  </m:e>
                  <m:sub>
                    <m:r>
                      <w:rPr>
                        <w:rFonts w:ascii="Cambria Math" w:eastAsia="MS Mincho" w:hAnsi="Cambria Math"/>
                      </w:rPr>
                      <m:t>i</m:t>
                    </m:r>
                  </m:sub>
                </m:sSub>
              </m:oMath>
            </m:oMathPara>
          </w:p>
        </w:tc>
        <w:tc>
          <w:tcPr>
            <w:tcW w:w="352" w:type="dxa"/>
          </w:tcPr>
          <w:p w:rsidR="00E82B31" w:rsidRPr="00475463" w:rsidRDefault="00E82B31" w:rsidP="00E82B31">
            <w:r w:rsidRPr="00475463">
              <w:t>=</w:t>
            </w:r>
          </w:p>
        </w:tc>
        <w:tc>
          <w:tcPr>
            <w:tcW w:w="7330" w:type="dxa"/>
          </w:tcPr>
          <w:p w:rsidR="00E82B31" w:rsidRPr="00475463" w:rsidRDefault="00E82B31" w:rsidP="00E82B31">
            <w:pPr>
              <w:spacing w:line="240" w:lineRule="auto"/>
              <w:rPr>
                <w:i/>
              </w:rPr>
            </w:pPr>
            <w:r w:rsidRPr="00475463">
              <w:t xml:space="preserve">Accounting item of interest, such as sales or assets, for segment </w:t>
            </w:r>
            <w:proofErr w:type="spellStart"/>
            <w:r w:rsidRPr="00475463">
              <w:rPr>
                <w:i/>
              </w:rPr>
              <w:t>i</w:t>
            </w:r>
            <w:proofErr w:type="spellEnd"/>
          </w:p>
        </w:tc>
      </w:tr>
      <w:tr w:rsidR="00E82B31" w:rsidRPr="00475463" w:rsidTr="00E82B31">
        <w:tc>
          <w:tcPr>
            <w:tcW w:w="2614" w:type="dxa"/>
          </w:tcPr>
          <w:p w:rsidR="00E82B31" w:rsidRPr="00475463" w:rsidRDefault="004604A2" w:rsidP="00E82B31">
            <w:pPr>
              <w:rPr>
                <w:rFonts w:eastAsia="MS Mincho"/>
              </w:rPr>
            </w:pPr>
            <m:oMathPara>
              <m:oMathParaPr>
                <m:jc m:val="right"/>
              </m:oMathParaPr>
              <m:oMath>
                <m:sSub>
                  <m:sSubPr>
                    <m:ctrlPr>
                      <w:rPr>
                        <w:rFonts w:ascii="Cambria Math" w:hAnsi="Cambria Math"/>
                        <w:i/>
                      </w:rPr>
                    </m:ctrlPr>
                  </m:sSubPr>
                  <m:e>
                    <m:r>
                      <w:rPr>
                        <w:rFonts w:ascii="Cambria Math" w:hAnsi="Cambria Math"/>
                      </w:rPr>
                      <m:t>Ind</m:t>
                    </m:r>
                  </m:e>
                  <m:sub>
                    <m:r>
                      <w:rPr>
                        <w:rFonts w:ascii="Cambria Math" w:hAnsi="Cambria Math"/>
                      </w:rPr>
                      <m:t>i</m:t>
                    </m:r>
                  </m:sub>
                </m:sSub>
                <m:sSub>
                  <m:sSubPr>
                    <m:ctrlPr>
                      <w:rPr>
                        <w:rFonts w:ascii="Cambria Math" w:hAnsi="Cambria Math"/>
                        <w:i/>
                      </w:rPr>
                    </m:ctrlPr>
                  </m:sSubPr>
                  <m:e>
                    <m:d>
                      <m:dPr>
                        <m:ctrlPr>
                          <w:rPr>
                            <w:rFonts w:ascii="Cambria Math" w:hAnsi="Cambria Math"/>
                            <w:i/>
                          </w:rPr>
                        </m:ctrlPr>
                      </m:dPr>
                      <m:e>
                        <m:f>
                          <m:fPr>
                            <m:type m:val="skw"/>
                            <m:ctrlPr>
                              <w:rPr>
                                <w:rFonts w:ascii="Cambria Math" w:hAnsi="Cambria Math"/>
                                <w:i/>
                              </w:rPr>
                            </m:ctrlPr>
                          </m:fPr>
                          <m:num>
                            <m:r>
                              <w:rPr>
                                <w:rFonts w:ascii="Cambria Math" w:hAnsi="Cambria Math"/>
                              </w:rPr>
                              <m:t>Val</m:t>
                            </m:r>
                          </m:num>
                          <m:den>
                            <m:r>
                              <w:rPr>
                                <w:rFonts w:ascii="Cambria Math" w:hAnsi="Cambria Math"/>
                              </w:rPr>
                              <m:t>AccItem</m:t>
                            </m:r>
                          </m:den>
                        </m:f>
                      </m:e>
                    </m:d>
                  </m:e>
                  <m:sub>
                    <m:r>
                      <w:rPr>
                        <w:rFonts w:ascii="Cambria Math" w:hAnsi="Cambria Math"/>
                      </w:rPr>
                      <m:t>mean</m:t>
                    </m:r>
                  </m:sub>
                </m:sSub>
              </m:oMath>
            </m:oMathPara>
          </w:p>
        </w:tc>
        <w:tc>
          <w:tcPr>
            <w:tcW w:w="352" w:type="dxa"/>
          </w:tcPr>
          <w:p w:rsidR="00E82B31" w:rsidRPr="00475463" w:rsidRDefault="00E82B31" w:rsidP="00E82B31">
            <w:r w:rsidRPr="00475463">
              <w:t>=</w:t>
            </w:r>
          </w:p>
        </w:tc>
        <w:tc>
          <w:tcPr>
            <w:tcW w:w="7330" w:type="dxa"/>
          </w:tcPr>
          <w:p w:rsidR="00E82B31" w:rsidRPr="00475463" w:rsidRDefault="00E82B31" w:rsidP="00E82B31">
            <w:pPr>
              <w:spacing w:line="240" w:lineRule="auto"/>
            </w:pPr>
            <w:r w:rsidRPr="00475463">
              <w:t>The multiple of firm value to the accounting</w:t>
            </w:r>
            <w:r>
              <w:t xml:space="preserve"> item of interest for the mean</w:t>
            </w:r>
            <w:r w:rsidRPr="00475463">
              <w:t xml:space="preserve"> single-segment firm in segment </w:t>
            </w:r>
            <w:r w:rsidRPr="00475463">
              <w:rPr>
                <w:i/>
              </w:rPr>
              <w:t>i</w:t>
            </w:r>
            <w:r w:rsidRPr="00475463">
              <w:t>'s industry</w:t>
            </w:r>
          </w:p>
        </w:tc>
      </w:tr>
      <w:tr w:rsidR="00E82B31" w:rsidRPr="00475463" w:rsidTr="00E82B31">
        <w:tc>
          <w:tcPr>
            <w:tcW w:w="2614" w:type="dxa"/>
          </w:tcPr>
          <w:p w:rsidR="00E82B31" w:rsidRPr="003F3831" w:rsidRDefault="00E82B31" w:rsidP="00E82B31">
            <w:pPr>
              <w:rPr>
                <w:rFonts w:eastAsia="MS Mincho"/>
              </w:rPr>
            </w:pPr>
            <m:oMathPara>
              <m:oMathParaPr>
                <m:jc m:val="right"/>
              </m:oMathParaPr>
              <m:oMath>
                <m:r>
                  <w:rPr>
                    <w:rFonts w:ascii="Cambria Math" w:hAnsi="Cambria Math"/>
                  </w:rPr>
                  <m:t>Val</m:t>
                </m:r>
              </m:oMath>
            </m:oMathPara>
          </w:p>
        </w:tc>
        <w:tc>
          <w:tcPr>
            <w:tcW w:w="352" w:type="dxa"/>
          </w:tcPr>
          <w:p w:rsidR="00E82B31" w:rsidRPr="00475463" w:rsidRDefault="00E82B31" w:rsidP="00E82B31">
            <w:r>
              <w:t>=</w:t>
            </w:r>
          </w:p>
        </w:tc>
        <w:tc>
          <w:tcPr>
            <w:tcW w:w="7330" w:type="dxa"/>
          </w:tcPr>
          <w:p w:rsidR="00E82B31" w:rsidRPr="00475463" w:rsidRDefault="00E82B31" w:rsidP="00E82B31">
            <w:pPr>
              <w:spacing w:line="240" w:lineRule="auto"/>
            </w:pPr>
            <w:r w:rsidRPr="00475463">
              <w:t>Actual firm value at the end of the fiscal year defined as the sum of equity market value and book value of debt</w:t>
            </w:r>
          </w:p>
        </w:tc>
      </w:tr>
      <w:tr w:rsidR="00E82B31" w:rsidRPr="00475463" w:rsidTr="00E82B31">
        <w:tc>
          <w:tcPr>
            <w:tcW w:w="2614" w:type="dxa"/>
          </w:tcPr>
          <w:p w:rsidR="00E82B31" w:rsidRPr="00475463" w:rsidRDefault="00E82B31" w:rsidP="00E82B31">
            <w:pPr>
              <w:rPr>
                <w:rFonts w:eastAsia="MS Mincho"/>
              </w:rPr>
            </w:pPr>
            <m:oMathPara>
              <m:oMathParaPr>
                <m:jc m:val="right"/>
              </m:oMathParaPr>
              <m:oMath>
                <m:r>
                  <w:rPr>
                    <w:rFonts w:ascii="Cambria Math" w:eastAsia="MS Mincho" w:hAnsi="Cambria Math"/>
                  </w:rPr>
                  <m:t>n</m:t>
                </m:r>
              </m:oMath>
            </m:oMathPara>
          </w:p>
        </w:tc>
        <w:tc>
          <w:tcPr>
            <w:tcW w:w="352" w:type="dxa"/>
          </w:tcPr>
          <w:p w:rsidR="00E82B31" w:rsidRPr="00475463" w:rsidRDefault="00E82B31" w:rsidP="00E82B31">
            <w:r w:rsidRPr="00475463">
              <w:t>=</w:t>
            </w:r>
          </w:p>
        </w:tc>
        <w:tc>
          <w:tcPr>
            <w:tcW w:w="7330" w:type="dxa"/>
          </w:tcPr>
          <w:p w:rsidR="00E82B31" w:rsidRPr="00475463" w:rsidRDefault="00E82B31" w:rsidP="006F1794">
            <w:pPr>
              <w:spacing w:after="240" w:line="240" w:lineRule="auto"/>
            </w:pPr>
            <w:r w:rsidRPr="00475463">
              <w:t>The total number of segments reported by the firm in the Form 10-K filings</w:t>
            </w:r>
          </w:p>
        </w:tc>
      </w:tr>
    </w:tbl>
    <w:p w:rsidR="00E82B31" w:rsidRPr="00475463" w:rsidRDefault="00E82B31" w:rsidP="00E82B31">
      <w:r w:rsidRPr="00475463">
        <w:lastRenderedPageBreak/>
        <w:t>For each segment,</w:t>
      </w:r>
      <w:r>
        <w:t xml:space="preserve"> the estimated value</w:t>
      </w:r>
      <w:r w:rsidRPr="00475463">
        <w:t xml:space="preserve"> </w:t>
      </w:r>
      <w:r>
        <w:t>is the product of the mean</w:t>
      </w:r>
      <w:r w:rsidRPr="00475463">
        <w:t xml:space="preserve"> industry multiplier</w:t>
      </w:r>
      <w:proofErr w:type="gramStart"/>
      <w:r w:rsidRPr="00475463">
        <w:t xml:space="preserve">, </w:t>
      </w:r>
      <w:proofErr w:type="gramEnd"/>
      <m:oMath>
        <m:sSub>
          <m:sSubPr>
            <m:ctrlPr>
              <w:rPr>
                <w:rFonts w:ascii="Cambria Math" w:hAnsi="Cambria Math"/>
                <w:i/>
              </w:rPr>
            </m:ctrlPr>
          </m:sSubPr>
          <m:e>
            <m:r>
              <w:rPr>
                <w:rFonts w:ascii="Cambria Math" w:hAnsi="Cambria Math"/>
              </w:rPr>
              <m:t>Ind</m:t>
            </m:r>
          </m:e>
          <m:sub>
            <m:r>
              <w:rPr>
                <w:rFonts w:ascii="Cambria Math" w:hAnsi="Cambria Math"/>
              </w:rPr>
              <m:t>i</m:t>
            </m:r>
          </m:sub>
        </m:sSub>
        <m:sSub>
          <m:sSubPr>
            <m:ctrlPr>
              <w:rPr>
                <w:rFonts w:ascii="Cambria Math" w:hAnsi="Cambria Math"/>
                <w:i/>
              </w:rPr>
            </m:ctrlPr>
          </m:sSubPr>
          <m:e>
            <m:d>
              <m:dPr>
                <m:ctrlPr>
                  <w:rPr>
                    <w:rFonts w:ascii="Cambria Math" w:hAnsi="Cambria Math"/>
                    <w:i/>
                  </w:rPr>
                </m:ctrlPr>
              </m:dPr>
              <m:e>
                <m:f>
                  <m:fPr>
                    <m:type m:val="skw"/>
                    <m:ctrlPr>
                      <w:rPr>
                        <w:rFonts w:ascii="Cambria Math" w:hAnsi="Cambria Math"/>
                        <w:i/>
                      </w:rPr>
                    </m:ctrlPr>
                  </m:fPr>
                  <m:num>
                    <m:r>
                      <w:rPr>
                        <w:rFonts w:ascii="Cambria Math" w:hAnsi="Cambria Math"/>
                      </w:rPr>
                      <m:t>Val</m:t>
                    </m:r>
                  </m:num>
                  <m:den>
                    <m:r>
                      <w:rPr>
                        <w:rFonts w:ascii="Cambria Math" w:hAnsi="Cambria Math"/>
                      </w:rPr>
                      <m:t>AccItem</m:t>
                    </m:r>
                  </m:den>
                </m:f>
              </m:e>
            </m:d>
          </m:e>
          <m:sub>
            <m:r>
              <w:rPr>
                <w:rFonts w:ascii="Cambria Math" w:hAnsi="Cambria Math"/>
              </w:rPr>
              <m:t>mean</m:t>
            </m:r>
          </m:sub>
        </m:sSub>
      </m:oMath>
      <w:r w:rsidRPr="00475463">
        <w:t xml:space="preserve">, and the accounting item of interest, segment sales or assets.  Industries are defined for each segment as the narrowest SIC grouping </w:t>
      </w:r>
      <w:r>
        <w:t xml:space="preserve">with </w:t>
      </w:r>
      <w:r w:rsidRPr="00475463">
        <w:t>at least five single-segment firms</w:t>
      </w:r>
      <w:r>
        <w:t>,</w:t>
      </w:r>
      <w:r w:rsidRPr="00475463">
        <w:t xml:space="preserve"> sales of $20 million</w:t>
      </w:r>
      <w:r>
        <w:t>,</w:t>
      </w:r>
      <w:r w:rsidRPr="00475463">
        <w:t xml:space="preserve"> and sufficient data to calculate the valuation multiple.  Industries are defined first by four-digit SIC codes if five or more single-segment firms with the same four-digit SIC code as the segment of interest have sufficient data and meet s</w:t>
      </w:r>
      <w:r w:rsidR="00D64C0A">
        <w:t>ize requirements.  If a segment-</w:t>
      </w:r>
      <w:r w:rsidRPr="00475463">
        <w:t>industry does not occur at the four-digit SIC code,</w:t>
      </w:r>
      <w:r w:rsidR="009B434F">
        <w:t xml:space="preserve"> the</w:t>
      </w:r>
      <w:r w:rsidRPr="00475463">
        <w:t xml:space="preserve"> industry is defined by three-digit SIC code, then two-digit SIC code.</w:t>
      </w:r>
      <w:r w:rsidRPr="00475463">
        <w:rPr>
          <w:rStyle w:val="FootnoteReference"/>
        </w:rPr>
        <w:footnoteReference w:id="22"/>
      </w:r>
      <w:r w:rsidRPr="00475463">
        <w:t xml:space="preserve">  All firms from financial services industries (SIC codes 6000-6999) are excluded.</w:t>
      </w:r>
    </w:p>
    <w:p w:rsidR="00E82B31" w:rsidRPr="00475463" w:rsidRDefault="00E82B31" w:rsidP="00E82B31">
      <w:pPr>
        <w:ind w:firstLine="720"/>
      </w:pPr>
      <w:r w:rsidRPr="00475463">
        <w:t xml:space="preserve">The </w:t>
      </w:r>
      <w:r>
        <w:t xml:space="preserve">ratio of actual value to </w:t>
      </w:r>
      <w:r w:rsidRPr="00475463">
        <w:t>imputed value is used to determine excess value of the firm by calculating the following ratio:</w:t>
      </w:r>
    </w:p>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08"/>
        <w:gridCol w:w="547"/>
      </w:tblGrid>
      <w:tr w:rsidR="00E82B31" w:rsidRPr="00475463" w:rsidTr="00F84962">
        <w:tc>
          <w:tcPr>
            <w:tcW w:w="8208" w:type="dxa"/>
          </w:tcPr>
          <w:p w:rsidR="00E82B31" w:rsidRPr="00475463" w:rsidRDefault="00E82B31" w:rsidP="00E82B31">
            <w:pPr>
              <w:ind w:firstLine="432"/>
            </w:pPr>
            <m:oMathPara>
              <m:oMathParaPr>
                <m:jc m:val="center"/>
              </m:oMathParaPr>
              <m:oMath>
                <m:r>
                  <w:rPr>
                    <w:rFonts w:ascii="Cambria Math" w:hAnsi="Cambria Math"/>
                  </w:rPr>
                  <m:t>ExVal=ln</m:t>
                </m:r>
                <m:d>
                  <m:dPr>
                    <m:ctrlPr>
                      <w:rPr>
                        <w:rFonts w:ascii="Cambria Math" w:hAnsi="Cambria Math"/>
                        <w:i/>
                      </w:rPr>
                    </m:ctrlPr>
                  </m:dPr>
                  <m:e>
                    <m:f>
                      <m:fPr>
                        <m:ctrlPr>
                          <w:rPr>
                            <w:rFonts w:ascii="Cambria Math" w:hAnsi="Cambria Math"/>
                            <w:i/>
                          </w:rPr>
                        </m:ctrlPr>
                      </m:fPr>
                      <m:num>
                        <m:r>
                          <w:rPr>
                            <w:rFonts w:ascii="Cambria Math" w:hAnsi="Cambria Math"/>
                          </w:rPr>
                          <m:t>Val</m:t>
                        </m:r>
                      </m:num>
                      <m:den>
                        <m:r>
                          <w:rPr>
                            <w:rFonts w:ascii="Cambria Math" w:hAnsi="Cambria Math"/>
                          </w:rPr>
                          <m:t>ImpVal</m:t>
                        </m:r>
                      </m:den>
                    </m:f>
                  </m:e>
                </m:d>
              </m:oMath>
            </m:oMathPara>
          </w:p>
        </w:tc>
        <w:tc>
          <w:tcPr>
            <w:tcW w:w="547" w:type="dxa"/>
          </w:tcPr>
          <w:p w:rsidR="00E82B31" w:rsidRPr="00475463" w:rsidRDefault="00E82B31" w:rsidP="00E82B31">
            <w:r w:rsidRPr="00475463">
              <w:t>(5)</w:t>
            </w:r>
          </w:p>
        </w:tc>
      </w:tr>
    </w:tbl>
    <w:p w:rsidR="00E82B31" w:rsidRPr="00475463" w:rsidRDefault="00E82B31" w:rsidP="00E82B31">
      <w:r w:rsidRPr="00475463">
        <w:t xml:space="preserve">Firms for which the sum of segment sales is not within one percent of total sales are excluded.  Firms with segment assets that deviate more than 25 percent are </w:t>
      </w:r>
      <w:r>
        <w:t>also excluded</w:t>
      </w:r>
      <w:r w:rsidRPr="00475463">
        <w:t>.</w:t>
      </w:r>
      <w:r w:rsidRPr="00475463">
        <w:rPr>
          <w:rStyle w:val="FootnoteReference"/>
        </w:rPr>
        <w:footnoteReference w:id="23"/>
      </w:r>
      <w:r w:rsidRPr="00475463">
        <w:t xml:space="preserve">  In regression analysis, </w:t>
      </w:r>
      <w:r>
        <w:rPr>
          <w:i/>
        </w:rPr>
        <w:t xml:space="preserve">ExVal </w:t>
      </w:r>
      <w:r w:rsidRPr="00475463">
        <w:t xml:space="preserve">takes one of two values, </w:t>
      </w:r>
      <w:r w:rsidRPr="001A2F09">
        <w:rPr>
          <w:i/>
        </w:rPr>
        <w:t>ExVal</w:t>
      </w:r>
      <w:r w:rsidRPr="001A2F09">
        <w:rPr>
          <w:i/>
          <w:vertAlign w:val="subscript"/>
        </w:rPr>
        <w:t>Re</w:t>
      </w:r>
      <w:r>
        <w:rPr>
          <w:i/>
          <w:vertAlign w:val="subscript"/>
        </w:rPr>
        <w:t>v</w:t>
      </w:r>
      <w:r>
        <w:t xml:space="preserve"> or </w:t>
      </w:r>
      <w:r w:rsidRPr="001A2F09">
        <w:rPr>
          <w:i/>
        </w:rPr>
        <w:t>ExVal</w:t>
      </w:r>
      <w:r w:rsidRPr="001A2F09">
        <w:rPr>
          <w:i/>
          <w:vertAlign w:val="subscript"/>
        </w:rPr>
        <w:t>AT</w:t>
      </w:r>
      <w:r w:rsidRPr="00475463">
        <w:t xml:space="preserve">. </w:t>
      </w:r>
      <w:r>
        <w:t xml:space="preserve"> </w:t>
      </w:r>
      <w:r w:rsidRPr="001A2F09">
        <w:rPr>
          <w:i/>
        </w:rPr>
        <w:t>ExVal</w:t>
      </w:r>
      <w:r w:rsidRPr="001A2F09">
        <w:rPr>
          <w:i/>
          <w:vertAlign w:val="subscript"/>
        </w:rPr>
        <w:t>Re</w:t>
      </w:r>
      <w:r>
        <w:rPr>
          <w:i/>
          <w:vertAlign w:val="subscript"/>
        </w:rPr>
        <w:t xml:space="preserve">v </w:t>
      </w:r>
      <w:r w:rsidRPr="001A2F09">
        <w:t>uses</w:t>
      </w:r>
      <w:r w:rsidRPr="00475463">
        <w:t xml:space="preserve"> </w:t>
      </w:r>
      <w:r>
        <w:t xml:space="preserve">segment </w:t>
      </w:r>
      <w:r w:rsidRPr="00475463">
        <w:t xml:space="preserve">sales as </w:t>
      </w:r>
      <w:r w:rsidRPr="001A2F09">
        <w:rPr>
          <w:i/>
        </w:rPr>
        <w:t>AccItem</w:t>
      </w:r>
      <w:r w:rsidRPr="001A2F09">
        <w:rPr>
          <w:i/>
          <w:vertAlign w:val="subscript"/>
        </w:rPr>
        <w:t>i</w:t>
      </w:r>
      <w:r w:rsidRPr="00475463">
        <w:t xml:space="preserve"> where </w:t>
      </w:r>
      <w:r w:rsidRPr="001A2F09">
        <w:rPr>
          <w:i/>
        </w:rPr>
        <w:t>ExVal</w:t>
      </w:r>
      <w:r w:rsidRPr="001A2F09">
        <w:rPr>
          <w:i/>
          <w:vertAlign w:val="subscript"/>
        </w:rPr>
        <w:t>AT</w:t>
      </w:r>
      <w:r w:rsidRPr="00475463">
        <w:t xml:space="preserve"> uses </w:t>
      </w:r>
      <w:r>
        <w:t xml:space="preserve">segment </w:t>
      </w:r>
      <w:r w:rsidRPr="00475463">
        <w:t>assets as the accounting item of interest.</w:t>
      </w:r>
    </w:p>
    <w:p w:rsidR="00E82B31" w:rsidRDefault="00E82B31" w:rsidP="00E82B31">
      <w:pPr>
        <w:pStyle w:val="Heading2"/>
      </w:pPr>
      <w:bookmarkStart w:id="20" w:name="_Toc414633038"/>
      <w:r>
        <w:lastRenderedPageBreak/>
        <w:t>Tests of Segment Reporting Differentiation and Excess Value</w:t>
      </w:r>
      <w:bookmarkEnd w:id="20"/>
    </w:p>
    <w:p w:rsidR="00E82B31" w:rsidRDefault="00E82B31" w:rsidP="00E82B31">
      <w:pPr>
        <w:pStyle w:val="Heading3"/>
      </w:pPr>
      <w:bookmarkStart w:id="21" w:name="_Toc414633039"/>
      <w:r>
        <w:t>Segment Reporting Differentiation and Excess Value</w:t>
      </w:r>
      <w:bookmarkEnd w:id="21"/>
    </w:p>
    <w:p w:rsidR="00E82B31" w:rsidRPr="00475463" w:rsidRDefault="00E82B31" w:rsidP="00E82B31">
      <w:pPr>
        <w:ind w:firstLine="432"/>
      </w:pPr>
      <w:r w:rsidRPr="00475463">
        <w:t xml:space="preserve">I use the model from </w:t>
      </w:r>
      <w:r w:rsidRPr="00475463">
        <w:fldChar w:fldCharType="begin"/>
      </w:r>
      <w:r w:rsidR="0091777F">
        <w:instrText xml:space="preserve"> ADDIN EN.CITE &lt;EndNote&gt;&lt;Cite AuthorYear="1"&gt;&lt;Author&gt;Bens&lt;/Author&gt;&lt;Year&gt;2004&lt;/Year&gt;&lt;RecNum&gt;78&lt;/RecNum&gt;&lt;DisplayText&gt;Bens and Monahan (2004)&lt;/DisplayText&gt;&lt;record&gt;&lt;rec-number&gt;78&lt;/rec-number&gt;&lt;foreign-keys&gt;&lt;key app="EN" db-id="0svx9dsr8pfxzmere98xdw5cr9vx9fdw2wrt" timestamp="1392430075"&gt;78&lt;/key&gt;&lt;key app="ENWeb" db-id=""&gt;0&lt;/key&gt;&lt;/foreign-keys&gt;&lt;ref-type name="Journal Article"&gt;17&lt;/ref-type&gt;&lt;contributors&gt;&lt;authors&gt;&lt;author&gt;Bens, Daniel A.&lt;/author&gt;&lt;author&gt;Monahan, Steven J.&lt;/author&gt;&lt;/authors&gt;&lt;/contributors&gt;&lt;titles&gt;&lt;title&gt;Disclosure Quality and the Excess Value of Diversification&lt;/title&gt;&lt;secondary-title&gt;Journal of Accounting Research&lt;/secondary-title&gt;&lt;/titles&gt;&lt;periodical&gt;&lt;full-title&gt;Journal of Accounting Research&lt;/full-title&gt;&lt;/periodical&gt;&lt;pages&gt;691-730&lt;/pages&gt;&lt;volume&gt;42&lt;/volume&gt;&lt;number&gt;4&lt;/number&gt;&lt;keywords&gt;&lt;keyword&gt;PORTFOLIO management (Investments)&lt;/keyword&gt;&lt;keyword&gt;DISCLOSURE in accounting&lt;/keyword&gt;&lt;keyword&gt;FINANCIAL performance&lt;/keyword&gt;&lt;keyword&gt;FINANCIAL disclosure&lt;/keyword&gt;&lt;keyword&gt;INVESTMENTS&lt;/keyword&gt;&lt;keyword&gt;VALUATION&lt;/keyword&gt;&lt;keyword&gt;INVESTMENT analysis&lt;/keyword&gt;&lt;keyword&gt;CONSOLIDATION &amp;amp; merger of corporations&lt;/keyword&gt;&lt;keyword&gt;TRUTHFULNESS &amp;amp; falsehood&lt;/keyword&gt;&lt;keyword&gt;UNITED States&lt;/keyword&gt;&lt;/keywords&gt;&lt;dates&gt;&lt;year&gt;2004&lt;/year&gt;&lt;/dates&gt;&lt;publisher&gt;Wiley-Blackwell&lt;/publisher&gt;&lt;isbn&gt;00218456&lt;/isbn&gt;&lt;accession-num&gt;13952718&lt;/accession-num&gt;&lt;work-type&gt;Article&lt;/work-type&gt;&lt;urls&gt;&lt;related-urls&gt;&lt;url&gt;http://libraries.ou.edu/access.aspx?url=http://search.ebscohost.com/login.aspx?direct=true&amp;amp;db=buh&amp;amp;AN=13952718&amp;amp;site=ehost-live&lt;/url&gt;&lt;url&gt;http://onlinelibrary.wiley.com/store/10.1111/j.1475-679X.2004.00154.x/asset/j.1475-679X.2004.00154.x.pdf?v=1&amp;amp;t=hqzlbkn6&amp;amp;s=3c9beaf64a792edb3b968d1157082c5aa3c33bc9&lt;/url&gt;&lt;/related-urls&gt;&lt;/urls&gt;&lt;electronic-resource-num&gt;10.1111/j.1475-679X.2004.00154.x&lt;/electronic-resource-num&gt;&lt;remote-database-name&gt;buh&lt;/remote-database-name&gt;&lt;remote-database-provider&gt;EBSCOhost&lt;/remote-database-provider&gt;&lt;/record&gt;&lt;/Cite&gt;&lt;/EndNote&gt;</w:instrText>
      </w:r>
      <w:r w:rsidRPr="00475463">
        <w:fldChar w:fldCharType="separate"/>
      </w:r>
      <w:r w:rsidR="0091777F">
        <w:rPr>
          <w:noProof/>
        </w:rPr>
        <w:t>Bens and Monahan (2004)</w:t>
      </w:r>
      <w:r w:rsidRPr="00475463">
        <w:fldChar w:fldCharType="end"/>
      </w:r>
      <w:r w:rsidRPr="00475463">
        <w:t xml:space="preserve"> to test H</w:t>
      </w:r>
      <w:r w:rsidRPr="00475463">
        <w:rPr>
          <w:vertAlign w:val="subscript"/>
        </w:rPr>
        <w:t>1</w:t>
      </w:r>
      <w:r>
        <w:rPr>
          <w:vertAlign w:val="subscript"/>
        </w:rPr>
        <w:t>a</w:t>
      </w:r>
      <w:r>
        <w:t xml:space="preserve"> and </w:t>
      </w:r>
      <w:r w:rsidRPr="00475463">
        <w:t>H</w:t>
      </w:r>
      <w:r w:rsidRPr="00475463">
        <w:rPr>
          <w:vertAlign w:val="subscript"/>
        </w:rPr>
        <w:t>1</w:t>
      </w:r>
      <w:r>
        <w:rPr>
          <w:vertAlign w:val="subscript"/>
        </w:rPr>
        <w:t>b</w:t>
      </w:r>
      <w:r w:rsidRPr="00475463">
        <w:t xml:space="preserve">, the effects of </w:t>
      </w:r>
      <w:r>
        <w:t xml:space="preserve">segment differentiation </w:t>
      </w:r>
      <w:r w:rsidRPr="00475463">
        <w:t>on excess value</w:t>
      </w:r>
      <w:r>
        <w:t>, adding controls related to TNIC peers</w:t>
      </w:r>
      <w:r w:rsidRPr="00475463">
        <w:t>.  I estimate the following regression</w:t>
      </w:r>
      <w:r>
        <w:t>, clustered by firm and year</w:t>
      </w:r>
      <w:r w:rsidRPr="00475463">
        <w:t>:</w:t>
      </w:r>
    </w:p>
    <w:tbl>
      <w:tblPr>
        <w:tblStyle w:val="TableGrid"/>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352"/>
        <w:gridCol w:w="6912"/>
        <w:gridCol w:w="496"/>
      </w:tblGrid>
      <w:tr w:rsidR="00E82B31" w:rsidRPr="00475463" w:rsidTr="00B22E82">
        <w:tc>
          <w:tcPr>
            <w:tcW w:w="917" w:type="dxa"/>
          </w:tcPr>
          <w:p w:rsidR="00E82B31" w:rsidRPr="00475463" w:rsidRDefault="00E82B31" w:rsidP="00E82B31">
            <m:oMathPara>
              <m:oMath>
                <m:r>
                  <w:rPr>
                    <w:rFonts w:ascii="Cambria Math" w:hAnsi="Cambria Math"/>
                  </w:rPr>
                  <m:t>ExVal</m:t>
                </m:r>
              </m:oMath>
            </m:oMathPara>
          </w:p>
        </w:tc>
        <w:tc>
          <w:tcPr>
            <w:tcW w:w="352" w:type="dxa"/>
          </w:tcPr>
          <w:p w:rsidR="00E82B31" w:rsidRPr="00475463" w:rsidRDefault="00E82B31" w:rsidP="00E82B31">
            <w:r w:rsidRPr="00475463">
              <w:t>=</w:t>
            </w:r>
          </w:p>
        </w:tc>
        <w:tc>
          <w:tcPr>
            <w:tcW w:w="6912" w:type="dxa"/>
            <w:vAlign w:val="center"/>
          </w:tcPr>
          <w:p w:rsidR="00786A89" w:rsidRPr="00786A89" w:rsidRDefault="004604A2" w:rsidP="00786A89">
            <w:pPr>
              <w:tabs>
                <w:tab w:val="left" w:pos="351"/>
              </w:tabs>
              <w:spacing w:line="240" w:lineRule="auto"/>
            </w:pPr>
            <m:oMathPara>
              <m:oMathParaPr>
                <m:jc m:val="left"/>
              </m:oMathParaPr>
              <m:oMath>
                <m:sSub>
                  <m:sSubPr>
                    <m:ctrlPr>
                      <w:rPr>
                        <w:rFonts w:ascii="Cambria Math" w:hAnsi="Cambria Math"/>
                        <w:i/>
                      </w:rPr>
                    </m:ctrlPr>
                  </m:sSubPr>
                  <m:e>
                    <m:r>
                      <w:rPr>
                        <w:rFonts w:ascii="Cambria Math" w:hAnsi="Cambria Math"/>
                      </w:rPr>
                      <m:t>α</m:t>
                    </m:r>
                  </m:e>
                  <m:sub>
                    <m:r>
                      <w:rPr>
                        <w:rFonts w:ascii="Cambria Math" w:hAnsi="Cambria Math"/>
                      </w:rPr>
                      <m:t>0</m:t>
                    </m:r>
                  </m:sub>
                </m:sSub>
                <m:r>
                  <w:rPr>
                    <w:rFonts w:ascii="Cambria Math" w:hAnsi="Cambria Math"/>
                  </w:rPr>
                  <m:t>+</m:t>
                </m:r>
                <m:sSub>
                  <m:sSubPr>
                    <m:ctrlPr>
                      <w:rPr>
                        <w:rFonts w:ascii="Cambria Math" w:hAnsi="Cambria Math"/>
                        <w:b/>
                        <w:i/>
                      </w:rPr>
                    </m:ctrlPr>
                  </m:sSubPr>
                  <m:e>
                    <m:r>
                      <m:rPr>
                        <m:sty m:val="bi"/>
                      </m:rPr>
                      <w:rPr>
                        <w:rFonts w:ascii="Cambria Math" w:hAnsi="Cambria Math"/>
                      </w:rPr>
                      <m:t>α</m:t>
                    </m:r>
                  </m:e>
                  <m:sub>
                    <m:r>
                      <m:rPr>
                        <m:sty m:val="bi"/>
                      </m:rPr>
                      <w:rPr>
                        <w:rFonts w:ascii="Cambria Math" w:hAnsi="Cambria Math"/>
                      </w:rPr>
                      <m:t>1</m:t>
                    </m:r>
                  </m:sub>
                </m:sSub>
                <m:r>
                  <m:rPr>
                    <m:sty m:val="bi"/>
                  </m:rPr>
                  <w:rPr>
                    <w:rFonts w:ascii="Cambria Math" w:hAnsi="Cambria Math"/>
                  </w:rPr>
                  <m:t>FFDIFF</m:t>
                </m:r>
                <m:r>
                  <w:rPr>
                    <w:rFonts w:ascii="Cambria Math" w:hAnsi="Cambria Math"/>
                  </w:rPr>
                  <m:t>+</m:t>
                </m:r>
                <m:sSub>
                  <m:sSubPr>
                    <m:ctrlPr>
                      <w:rPr>
                        <w:rFonts w:ascii="Cambria Math" w:hAnsi="Cambria Math"/>
                        <w:b/>
                        <w:i/>
                      </w:rPr>
                    </m:ctrlPr>
                  </m:sSubPr>
                  <m:e>
                    <m:r>
                      <m:rPr>
                        <m:sty m:val="bi"/>
                      </m:rPr>
                      <w:rPr>
                        <w:rFonts w:ascii="Cambria Math" w:hAnsi="Cambria Math"/>
                      </w:rPr>
                      <m:t>α</m:t>
                    </m:r>
                  </m:e>
                  <m:sub>
                    <m:r>
                      <m:rPr>
                        <m:sty m:val="bi"/>
                      </m:rPr>
                      <w:rPr>
                        <w:rFonts w:ascii="Cambria Math" w:hAnsi="Cambria Math"/>
                      </w:rPr>
                      <m:t>2</m:t>
                    </m:r>
                  </m:sub>
                </m:sSub>
                <m:r>
                  <m:rPr>
                    <m:sty m:val="bi"/>
                  </m:rPr>
                  <w:rPr>
                    <w:rFonts w:ascii="Cambria Math" w:hAnsi="Cambria Math"/>
                  </w:rPr>
                  <m:t>PFDIFF+</m:t>
                </m:r>
                <m:sSub>
                  <m:sSubPr>
                    <m:ctrlPr>
                      <w:rPr>
                        <w:rFonts w:ascii="Cambria Math" w:hAnsi="Cambria Math"/>
                        <w:i/>
                      </w:rPr>
                    </m:ctrlPr>
                  </m:sSubPr>
                  <m:e>
                    <m:r>
                      <w:rPr>
                        <w:rFonts w:ascii="Cambria Math" w:hAnsi="Cambria Math"/>
                      </w:rPr>
                      <m:t>α</m:t>
                    </m:r>
                  </m:e>
                  <m:sub>
                    <m:r>
                      <w:rPr>
                        <w:rFonts w:ascii="Cambria Math" w:hAnsi="Cambria Math"/>
                      </w:rPr>
                      <m:t>3</m:t>
                    </m:r>
                  </m:sub>
                </m:sSub>
                <m:r>
                  <w:rPr>
                    <w:rFonts w:ascii="Cambria Math" w:hAnsi="Cambria Math"/>
                  </w:rPr>
                  <m:t>NumSeg+</m:t>
                </m:r>
                <m:sSub>
                  <m:sSubPr>
                    <m:ctrlPr>
                      <w:rPr>
                        <w:rFonts w:ascii="Cambria Math" w:hAnsi="Cambria Math"/>
                        <w:i/>
                      </w:rPr>
                    </m:ctrlPr>
                  </m:sSubPr>
                  <m:e>
                    <m:r>
                      <w:rPr>
                        <w:rFonts w:ascii="Cambria Math" w:hAnsi="Cambria Math"/>
                      </w:rPr>
                      <m:t>α</m:t>
                    </m:r>
                  </m:e>
                  <m:sub>
                    <m:r>
                      <w:rPr>
                        <w:rFonts w:ascii="Cambria Math" w:hAnsi="Cambria Math"/>
                      </w:rPr>
                      <m:t>4</m:t>
                    </m:r>
                  </m:sub>
                </m:sSub>
                <m:r>
                  <w:rPr>
                    <w:rFonts w:ascii="Cambria Math" w:hAnsi="Cambria Math"/>
                  </w:rPr>
                  <m:t>Relate</m:t>
                </m:r>
              </m:oMath>
            </m:oMathPara>
          </w:p>
          <w:p w:rsidR="00E82B31" w:rsidRPr="00786A89" w:rsidRDefault="00E82B31" w:rsidP="00786A89">
            <w:pPr>
              <w:tabs>
                <w:tab w:val="left" w:pos="351"/>
              </w:tabs>
              <w:spacing w:before="80" w:line="240" w:lineRule="auto"/>
              <w:ind w:left="302"/>
            </w:pPr>
            <m:oMathPara>
              <m:oMathParaPr>
                <m:jc m:val="left"/>
              </m:oMathParaPr>
              <m:oMath>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5</m:t>
                    </m:r>
                  </m:sub>
                </m:sSub>
                <m:r>
                  <w:rPr>
                    <w:rFonts w:ascii="Cambria Math" w:hAnsi="Cambria Math"/>
                  </w:rPr>
                  <m:t>NumTNICPrs</m:t>
                </m:r>
                <m:sSub>
                  <m:sSubPr>
                    <m:ctrlPr>
                      <w:rPr>
                        <w:rFonts w:ascii="Cambria Math" w:hAnsi="Cambria Math"/>
                        <w:i/>
                      </w:rPr>
                    </m:ctrlPr>
                  </m:sSubPr>
                  <m:e>
                    <m:r>
                      <w:rPr>
                        <w:rFonts w:ascii="Cambria Math" w:hAnsi="Cambria Math"/>
                      </w:rPr>
                      <m:t>+α</m:t>
                    </m:r>
                  </m:e>
                  <m:sub>
                    <m:r>
                      <w:rPr>
                        <w:rFonts w:ascii="Cambria Math" w:hAnsi="Cambria Math"/>
                      </w:rPr>
                      <m:t>6</m:t>
                    </m:r>
                  </m:sub>
                </m:sSub>
                <m:r>
                  <w:rPr>
                    <w:rFonts w:ascii="Cambria Math" w:hAnsi="Cambria Math"/>
                  </w:rPr>
                  <m:t>HHI+</m:t>
                </m:r>
                <m:nary>
                  <m:naryPr>
                    <m:chr m:val="∑"/>
                    <m:limLoc m:val="undOvr"/>
                    <m:ctrlPr>
                      <w:rPr>
                        <w:rFonts w:ascii="Cambria Math" w:hAnsi="Cambria Math"/>
                        <w:i/>
                      </w:rPr>
                    </m:ctrlPr>
                  </m:naryPr>
                  <m:sub>
                    <m:r>
                      <w:rPr>
                        <w:rFonts w:ascii="Cambria Math" w:hAnsi="Cambria Math"/>
                      </w:rPr>
                      <m:t>c=1</m:t>
                    </m:r>
                  </m:sub>
                  <m:sup>
                    <m:r>
                      <w:rPr>
                        <w:rFonts w:ascii="Cambria Math" w:hAnsi="Cambria Math"/>
                      </w:rPr>
                      <m:t>9</m:t>
                    </m:r>
                  </m:sup>
                  <m:e>
                    <m:sSub>
                      <m:sSubPr>
                        <m:ctrlPr>
                          <w:rPr>
                            <w:rFonts w:ascii="Cambria Math" w:hAnsi="Cambria Math"/>
                            <w:i/>
                          </w:rPr>
                        </m:ctrlPr>
                      </m:sSubPr>
                      <m:e>
                        <m:r>
                          <w:rPr>
                            <w:rFonts w:ascii="Cambria Math" w:hAnsi="Cambria Math"/>
                          </w:rPr>
                          <m:t>α</m:t>
                        </m:r>
                      </m:e>
                      <m:sub>
                        <m:r>
                          <w:rPr>
                            <w:rFonts w:ascii="Cambria Math" w:hAnsi="Cambria Math"/>
                          </w:rPr>
                          <m:t>c</m:t>
                        </m:r>
                      </m:sub>
                    </m:sSub>
                    <m:r>
                      <w:rPr>
                        <w:rFonts w:ascii="Cambria Math" w:hAnsi="Cambria Math"/>
                      </w:rPr>
                      <m:t>Contro</m:t>
                    </m:r>
                    <m:sSub>
                      <m:sSubPr>
                        <m:ctrlPr>
                          <w:rPr>
                            <w:rFonts w:ascii="Cambria Math" w:hAnsi="Cambria Math"/>
                            <w:i/>
                          </w:rPr>
                        </m:ctrlPr>
                      </m:sSubPr>
                      <m:e>
                        <m:r>
                          <w:rPr>
                            <w:rFonts w:ascii="Cambria Math" w:hAnsi="Cambria Math"/>
                          </w:rPr>
                          <m:t>l</m:t>
                        </m:r>
                      </m:e>
                      <m:sub>
                        <m:r>
                          <w:rPr>
                            <w:rFonts w:ascii="Cambria Math" w:hAnsi="Cambria Math"/>
                          </w:rPr>
                          <m:t>c</m:t>
                        </m:r>
                      </m:sub>
                    </m:sSub>
                  </m:e>
                </m:nary>
                <m:r>
                  <w:rPr>
                    <w:rFonts w:ascii="Cambria Math" w:hAnsi="Cambria Math"/>
                  </w:rPr>
                  <m:t>+ε</m:t>
                </m:r>
              </m:oMath>
            </m:oMathPara>
          </w:p>
          <w:p w:rsidR="00E82B31" w:rsidRPr="00475463" w:rsidRDefault="00E82B31" w:rsidP="00E82B31">
            <w:pPr>
              <w:tabs>
                <w:tab w:val="left" w:pos="351"/>
              </w:tabs>
              <w:spacing w:line="240" w:lineRule="auto"/>
            </w:pPr>
          </w:p>
        </w:tc>
        <w:tc>
          <w:tcPr>
            <w:tcW w:w="496" w:type="dxa"/>
          </w:tcPr>
          <w:p w:rsidR="00E82B31" w:rsidRPr="00475463" w:rsidRDefault="00E82B31" w:rsidP="00E82B31">
            <w:pPr>
              <w:jc w:val="right"/>
            </w:pPr>
            <w:r w:rsidRPr="00475463">
              <w:t>(6)</w:t>
            </w:r>
          </w:p>
        </w:tc>
      </w:tr>
    </w:tbl>
    <w:p w:rsidR="00E82B31" w:rsidRDefault="00E82B31" w:rsidP="00E82B31">
      <w:r w:rsidRPr="001A2F09">
        <w:rPr>
          <w:i/>
        </w:rPr>
        <w:t>ExVal</w:t>
      </w:r>
      <w:r>
        <w:t xml:space="preserve">, </w:t>
      </w:r>
      <w:r>
        <w:rPr>
          <w:i/>
        </w:rPr>
        <w:t>FFDIFF</w:t>
      </w:r>
      <w:r w:rsidRPr="001A2F09">
        <w:rPr>
          <w:i/>
        </w:rPr>
        <w:t xml:space="preserve">, </w:t>
      </w:r>
      <w:r w:rsidRPr="001A2F09">
        <w:t>and</w:t>
      </w:r>
      <w:r w:rsidRPr="001A2F09">
        <w:rPr>
          <w:i/>
        </w:rPr>
        <w:t xml:space="preserve"> </w:t>
      </w:r>
      <w:r>
        <w:rPr>
          <w:i/>
        </w:rPr>
        <w:t>PFDIFF</w:t>
      </w:r>
      <w:r w:rsidRPr="00475463">
        <w:t xml:space="preserve"> are defined previously.  The coefficient</w:t>
      </w:r>
      <w:r>
        <w:t>s</w:t>
      </w:r>
      <w:r w:rsidRPr="00475463">
        <w:t xml:space="preserve"> of interest </w:t>
      </w:r>
      <w:r>
        <w:t xml:space="preserve">are </w:t>
      </w:r>
      <m:oMath>
        <m:sSub>
          <m:sSubPr>
            <m:ctrlPr>
              <w:rPr>
                <w:rFonts w:ascii="Cambria Math" w:hAnsi="Cambria Math"/>
                <w:i/>
              </w:rPr>
            </m:ctrlPr>
          </m:sSubPr>
          <m:e>
            <m:r>
              <w:rPr>
                <w:rFonts w:ascii="Cambria Math" w:hAnsi="Cambria Math"/>
              </w:rPr>
              <m:t>α</m:t>
            </m:r>
          </m:e>
          <m:sub>
            <m:r>
              <w:rPr>
                <w:rFonts w:ascii="Cambria Math" w:hAnsi="Cambria Math"/>
              </w:rPr>
              <m:t>1</m:t>
            </m:r>
          </m:sub>
        </m:sSub>
      </m:oMath>
      <w:r>
        <w:t xml:space="preserve"> </w:t>
      </w:r>
      <w:proofErr w:type="gramStart"/>
      <w:r>
        <w:t xml:space="preserve">and </w:t>
      </w:r>
      <w:proofErr w:type="gramEnd"/>
      <m:oMath>
        <m:sSub>
          <m:sSubPr>
            <m:ctrlPr>
              <w:rPr>
                <w:rFonts w:ascii="Cambria Math" w:hAnsi="Cambria Math"/>
                <w:i/>
              </w:rPr>
            </m:ctrlPr>
          </m:sSubPr>
          <m:e>
            <m:r>
              <w:rPr>
                <w:rFonts w:ascii="Cambria Math" w:hAnsi="Cambria Math"/>
              </w:rPr>
              <m:t>α</m:t>
            </m:r>
          </m:e>
          <m:sub>
            <m:r>
              <w:rPr>
                <w:rFonts w:ascii="Cambria Math" w:hAnsi="Cambria Math"/>
              </w:rPr>
              <m:t>2</m:t>
            </m:r>
          </m:sub>
        </m:sSub>
      </m:oMath>
      <w:r w:rsidRPr="00475463">
        <w:t>.  H</w:t>
      </w:r>
      <w:r w:rsidRPr="00475463">
        <w:rPr>
          <w:vertAlign w:val="subscript"/>
        </w:rPr>
        <w:t>1</w:t>
      </w:r>
      <w:r>
        <w:rPr>
          <w:vertAlign w:val="subscript"/>
        </w:rPr>
        <w:t>a</w:t>
      </w:r>
      <w:r w:rsidRPr="00475463">
        <w:t xml:space="preserve"> predicts</w:t>
      </w:r>
      <w:r>
        <w:t xml:space="preserve"> that as</w:t>
      </w:r>
      <w:r w:rsidRPr="00475463">
        <w:t xml:space="preserve"> </w:t>
      </w:r>
      <w:r>
        <w:t>the difference between the focal firm and its peers increases, the unconditional correlation between the focal firm and its peers will decrease, increasing focal firm</w:t>
      </w:r>
      <w:r w:rsidRPr="00475463">
        <w:t xml:space="preserve"> excess </w:t>
      </w:r>
      <w:r>
        <w:t>value;</w:t>
      </w:r>
      <w:r w:rsidRPr="00475463">
        <w:t xml:space="preserve"> therefore </w:t>
      </w:r>
      <m:oMath>
        <m:sSub>
          <m:sSubPr>
            <m:ctrlPr>
              <w:rPr>
                <w:rFonts w:ascii="Cambria Math" w:hAnsi="Cambria Math"/>
                <w:i/>
              </w:rPr>
            </m:ctrlPr>
          </m:sSubPr>
          <m:e>
            <m:r>
              <w:rPr>
                <w:rFonts w:ascii="Cambria Math" w:hAnsi="Cambria Math"/>
              </w:rPr>
              <m:t>α</m:t>
            </m:r>
          </m:e>
          <m:sub>
            <m:r>
              <w:rPr>
                <w:rFonts w:ascii="Cambria Math" w:hAnsi="Cambria Math"/>
              </w:rPr>
              <m:t>1</m:t>
            </m:r>
          </m:sub>
        </m:sSub>
      </m:oMath>
      <w:r w:rsidRPr="00475463">
        <w:t xml:space="preserve"> </w:t>
      </w:r>
      <w:r>
        <w:t xml:space="preserve">will </w:t>
      </w:r>
      <w:r w:rsidRPr="00475463">
        <w:t xml:space="preserve">be positive.  </w:t>
      </w:r>
      <w:r>
        <w:t>H</w:t>
      </w:r>
      <w:r>
        <w:rPr>
          <w:vertAlign w:val="subscript"/>
        </w:rPr>
        <w:t>1b</w:t>
      </w:r>
      <w:r>
        <w:t xml:space="preserve"> predicts that as the average level of segment reporting differences increases across the peer group, the focal firm will experience reduced systematic correlation, increasing focal firm excess value; thus </w:t>
      </w:r>
      <m:oMath>
        <m:sSub>
          <m:sSubPr>
            <m:ctrlPr>
              <w:rPr>
                <w:rFonts w:ascii="Cambria Math" w:hAnsi="Cambria Math"/>
                <w:i/>
              </w:rPr>
            </m:ctrlPr>
          </m:sSubPr>
          <m:e>
            <m:r>
              <w:rPr>
                <w:rFonts w:ascii="Cambria Math" w:hAnsi="Cambria Math"/>
              </w:rPr>
              <m:t>α</m:t>
            </m:r>
          </m:e>
          <m:sub>
            <m:r>
              <w:rPr>
                <w:rFonts w:ascii="Cambria Math" w:hAnsi="Cambria Math"/>
              </w:rPr>
              <m:t>2</m:t>
            </m:r>
          </m:sub>
        </m:sSub>
      </m:oMath>
      <w:r>
        <w:t xml:space="preserve"> will be positive. </w:t>
      </w:r>
    </w:p>
    <w:p w:rsidR="00E82B31" w:rsidRPr="00475463" w:rsidRDefault="00E82B31" w:rsidP="00E82B31">
      <w:pPr>
        <w:ind w:firstLine="720"/>
      </w:pPr>
      <w:r w:rsidRPr="00475463">
        <w:t xml:space="preserve">I include the number of TNIC peer firms, </w:t>
      </w:r>
      <w:r w:rsidRPr="00570278">
        <w:rPr>
          <w:i/>
        </w:rPr>
        <w:t>NumTNICPrs</w:t>
      </w:r>
      <w:r w:rsidRPr="00475463">
        <w:t>, and a Herfindahl index</w:t>
      </w:r>
      <w:r>
        <w:t xml:space="preserve">, </w:t>
      </w:r>
      <w:r>
        <w:rPr>
          <w:i/>
        </w:rPr>
        <w:t>HHI</w:t>
      </w:r>
      <w:r>
        <w:t>,</w:t>
      </w:r>
      <w:r w:rsidRPr="00475463">
        <w:t xml:space="preserve"> provided by </w:t>
      </w:r>
      <w:r w:rsidRPr="00475463">
        <w:fldChar w:fldCharType="begin"/>
      </w:r>
      <w:r w:rsidR="0091777F">
        <w:instrText xml:space="preserve"> ADDIN EN.CITE &lt;EndNote&gt;&lt;Cite AuthorYear="1"&gt;&lt;Author&gt;Hoberg&lt;/Author&gt;&lt;Year&gt;2010&lt;/Year&gt;&lt;RecNum&gt;232&lt;/RecNum&gt;&lt;DisplayText&gt;Hoberg and Phillips (2010b)&lt;/DisplayText&gt;&lt;record&gt;&lt;rec-number&gt;232&lt;/rec-number&gt;&lt;foreign-keys&gt;&lt;key app="EN" db-id="0svx9dsr8pfxzmere98xdw5cr9vx9fdw2wrt" timestamp="1395952066"&gt;232&lt;/key&gt;&lt;/foreign-keys&gt;&lt;ref-type name="Journal Article"&gt;17&lt;/ref-type&gt;&lt;contributors&gt;&lt;authors&gt;&lt;author&gt;Hoberg, Gerard&lt;/author&gt;&lt;author&gt;Phillips, Gordon&lt;/author&gt;&lt;/authors&gt;&lt;/contributors&gt;&lt;titles&gt;&lt;title&gt;Real and financial industry booms and busts&lt;/title&gt;&lt;secondary-title&gt;The Journal of Finance&lt;/secondary-title&gt;&lt;/titles&gt;&lt;periodical&gt;&lt;full-title&gt;The Journal of Finance&lt;/full-title&gt;&lt;/periodical&gt;&lt;pages&gt;45-86&lt;/pages&gt;&lt;volume&gt;65&lt;/volume&gt;&lt;number&gt;1&lt;/number&gt;&lt;dates&gt;&lt;year&gt;2010&lt;/year&gt;&lt;/dates&gt;&lt;isbn&gt;1540-6261&lt;/isbn&gt;&lt;urls&gt;&lt;/urls&gt;&lt;/record&gt;&lt;/Cite&gt;&lt;/EndNote&gt;</w:instrText>
      </w:r>
      <w:r w:rsidRPr="00475463">
        <w:fldChar w:fldCharType="separate"/>
      </w:r>
      <w:r w:rsidR="0091777F">
        <w:rPr>
          <w:noProof/>
        </w:rPr>
        <w:t>Hoberg and Phillips (2010b)</w:t>
      </w:r>
      <w:r w:rsidRPr="00475463">
        <w:fldChar w:fldCharType="end"/>
      </w:r>
      <w:r w:rsidRPr="00475463">
        <w:t xml:space="preserve"> to control for the number of possible SIC codes and for competition that may drive disclosure aggregation decisions, respectively.</w:t>
      </w:r>
      <w:r w:rsidRPr="00475463">
        <w:rPr>
          <w:rStyle w:val="FootnoteReference"/>
        </w:rPr>
        <w:footnoteReference w:id="24"/>
      </w:r>
    </w:p>
    <w:p w:rsidR="00E82B31" w:rsidRPr="00475463" w:rsidRDefault="00E82B31" w:rsidP="00E82B31">
      <w:pPr>
        <w:ind w:firstLine="720"/>
      </w:pPr>
      <w:r>
        <w:t>The remaining c</w:t>
      </w:r>
      <w:r w:rsidRPr="00475463">
        <w:t xml:space="preserve">ontrols follow </w:t>
      </w:r>
      <w:r w:rsidRPr="00475463">
        <w:fldChar w:fldCharType="begin"/>
      </w:r>
      <w:r w:rsidR="0091777F">
        <w:instrText xml:space="preserve"> ADDIN EN.CITE &lt;EndNote&gt;&lt;Cite AuthorYear="1"&gt;&lt;Author&gt;Bens&lt;/Author&gt;&lt;Year&gt;2004&lt;/Year&gt;&lt;RecNum&gt;78&lt;/RecNum&gt;&lt;DisplayText&gt;Bens and Monahan (2004)&lt;/DisplayText&gt;&lt;record&gt;&lt;rec-number&gt;78&lt;/rec-number&gt;&lt;foreign-keys&gt;&lt;key app="EN" db-id="0svx9dsr8pfxzmere98xdw5cr9vx9fdw2wrt" timestamp="1392430075"&gt;78&lt;/key&gt;&lt;key app="ENWeb" db-id=""&gt;0&lt;/key&gt;&lt;/foreign-keys&gt;&lt;ref-type name="Journal Article"&gt;17&lt;/ref-type&gt;&lt;contributors&gt;&lt;authors&gt;&lt;author&gt;Bens, Daniel A.&lt;/author&gt;&lt;author&gt;Monahan, Steven J.&lt;/author&gt;&lt;/authors&gt;&lt;/contributors&gt;&lt;titles&gt;&lt;title&gt;Disclosure Quality and the Excess Value of Diversification&lt;/title&gt;&lt;secondary-title&gt;Journal of Accounting Research&lt;/secondary-title&gt;&lt;/titles&gt;&lt;periodical&gt;&lt;full-title&gt;Journal of Accounting Research&lt;/full-title&gt;&lt;/periodical&gt;&lt;pages&gt;691-730&lt;/pages&gt;&lt;volume&gt;42&lt;/volume&gt;&lt;number&gt;4&lt;/number&gt;&lt;keywords&gt;&lt;keyword&gt;PORTFOLIO management (Investments)&lt;/keyword&gt;&lt;keyword&gt;DISCLOSURE in accounting&lt;/keyword&gt;&lt;keyword&gt;FINANCIAL performance&lt;/keyword&gt;&lt;keyword&gt;FINANCIAL disclosure&lt;/keyword&gt;&lt;keyword&gt;INVESTMENTS&lt;/keyword&gt;&lt;keyword&gt;VALUATION&lt;/keyword&gt;&lt;keyword&gt;INVESTMENT analysis&lt;/keyword&gt;&lt;keyword&gt;CONSOLIDATION &amp;amp; merger of corporations&lt;/keyword&gt;&lt;keyword&gt;TRUTHFULNESS &amp;amp; falsehood&lt;/keyword&gt;&lt;keyword&gt;UNITED States&lt;/keyword&gt;&lt;/keywords&gt;&lt;dates&gt;&lt;year&gt;2004&lt;/year&gt;&lt;/dates&gt;&lt;publisher&gt;Wiley-Blackwell&lt;/publisher&gt;&lt;isbn&gt;00218456&lt;/isbn&gt;&lt;accession-num&gt;13952718&lt;/accession-num&gt;&lt;work-type&gt;Article&lt;/work-type&gt;&lt;urls&gt;&lt;related-urls&gt;&lt;url&gt;http://libraries.ou.edu/access.aspx?url=http://search.ebscohost.com/login.aspx?direct=true&amp;amp;db=buh&amp;amp;AN=13952718&amp;amp;site=ehost-live&lt;/url&gt;&lt;url&gt;http://onlinelibrary.wiley.com/store/10.1111/j.1475-679X.2004.00154.x/asset/j.1475-679X.2004.00154.x.pdf?v=1&amp;amp;t=hqzlbkn6&amp;amp;s=3c9beaf64a792edb3b968d1157082c5aa3c33bc9&lt;/url&gt;&lt;/related-urls&gt;&lt;/urls&gt;&lt;electronic-resource-num&gt;10.1111/j.1475-679X.2004.00154.x&lt;/electronic-resource-num&gt;&lt;remote-database-name&gt;buh&lt;/remote-database-name&gt;&lt;remote-database-provider&gt;EBSCOhost&lt;/remote-database-provider&gt;&lt;/record&gt;&lt;/Cite&gt;&lt;/EndNote&gt;</w:instrText>
      </w:r>
      <w:r w:rsidRPr="00475463">
        <w:fldChar w:fldCharType="separate"/>
      </w:r>
      <w:r w:rsidR="0091777F">
        <w:rPr>
          <w:noProof/>
        </w:rPr>
        <w:t>Bens and Monahan (2004)</w:t>
      </w:r>
      <w:r w:rsidRPr="00475463">
        <w:fldChar w:fldCharType="end"/>
      </w:r>
      <w:r w:rsidRPr="00475463">
        <w:t xml:space="preserve"> and are designed to capture the complexity of the focal firm, its information environment, and firm </w:t>
      </w:r>
      <w:r w:rsidRPr="00475463">
        <w:lastRenderedPageBreak/>
        <w:t>characteristics that affect value.</w:t>
      </w:r>
      <w:r>
        <w:t xml:space="preserve">  </w:t>
      </w:r>
      <w:r>
        <w:rPr>
          <w:i/>
        </w:rPr>
        <w:t>NumSeg</w:t>
      </w:r>
      <w:r>
        <w:t xml:space="preserve"> is the number of segments reported by the focal firm.  </w:t>
      </w:r>
      <w:r>
        <w:rPr>
          <w:i/>
        </w:rPr>
        <w:t>Related</w:t>
      </w:r>
      <w:r>
        <w:t xml:space="preserve"> </w:t>
      </w:r>
      <w:r w:rsidRPr="00475463">
        <w:t xml:space="preserve">captures the relatedness of the firm’s operations and is measured as the total number of reported segments less the number of unique three-digit SIC codes from reported segments.  </w:t>
      </w:r>
      <w:r>
        <w:t>As discussed previously, finance research has found firms receive either a discount or a premium for diversification, based on firm characteristics or the data source.  Adding these controls holds constant factors that affect excess value due to diversification and not segment reporting.</w:t>
      </w:r>
      <w:r w:rsidRPr="00475463">
        <w:t xml:space="preserve">  Firm size, </w:t>
      </w:r>
      <w:r w:rsidR="00CC6745">
        <w:t xml:space="preserve">labeled </w:t>
      </w:r>
      <w:r>
        <w:rPr>
          <w:i/>
        </w:rPr>
        <w:t>Size</w:t>
      </w:r>
      <w:r w:rsidRPr="00475463">
        <w:t xml:space="preserve">, relates to many factors that capture the focal firm’s information environment </w:t>
      </w:r>
      <w:r w:rsidRPr="00475463">
        <w:fldChar w:fldCharType="begin"/>
      </w:r>
      <w:r w:rsidR="0091777F">
        <w:instrText xml:space="preserve"> ADDIN EN.CITE &lt;EndNote&gt;&lt;Cite&gt;&lt;Author&gt;Lang&lt;/Author&gt;&lt;Year&gt;1996&lt;/Year&gt;&lt;RecNum&gt;228&lt;/RecNum&gt;&lt;Prefix&gt;i.e.`, &lt;/Prefix&gt;&lt;DisplayText&gt;(i.e., Lang and Lundholm 1996)&lt;/DisplayText&gt;&lt;record&gt;&lt;rec-number&gt;228&lt;/rec-number&gt;&lt;foreign-keys&gt;&lt;key app="EN" db-id="0svx9dsr8pfxzmere98xdw5cr9vx9fdw2wrt" timestamp="1392430406"&gt;228&lt;/key&gt;&lt;/foreign-keys&gt;&lt;ref-type name="Journal Article"&gt;17&lt;/ref-type&gt;&lt;contributors&gt;&lt;authors&gt;&lt;author&gt;Lang, Mark H.&lt;/author&gt;&lt;author&gt;Lundholm, Russell J.&lt;/author&gt;&lt;/authors&gt;&lt;/contributors&gt;&lt;titles&gt;&lt;title&gt;Corporate Disclosure Policy and Analyst Behavior&lt;/title&gt;&lt;secondary-title&gt;Accounting Review&lt;/secondary-title&gt;&lt;/titles&gt;&lt;periodical&gt;&lt;full-title&gt;Accounting Review&lt;/full-title&gt;&lt;/periodical&gt;&lt;pages&gt;467-492&lt;/pages&gt;&lt;volume&gt;71&lt;/volume&gt;&lt;number&gt;4&lt;/number&gt;&lt;keywords&gt;&lt;keyword&gt;DISCLOSURE in accounting&lt;/keyword&gt;&lt;keyword&gt;CORPORATE governance&lt;/keyword&gt;&lt;/keywords&gt;&lt;dates&gt;&lt;year&gt;1996&lt;/year&gt;&lt;/dates&gt;&lt;publisher&gt;American Accounting Association&lt;/publisher&gt;&lt;isbn&gt;00014826&lt;/isbn&gt;&lt;accession-num&gt;9611271989&lt;/accession-num&gt;&lt;work-type&gt;Article&lt;/work-type&gt;&lt;urls&gt;&lt;related-urls&gt;&lt;url&gt;http://libraries.ou.edu/access.aspx?url=http://search.ebscohost.com/login.aspx?direct=true&amp;amp;db=buh&amp;amp;AN=9611271989&amp;amp;site=ehost-live&lt;/url&gt;&lt;/related-urls&gt;&lt;/urls&gt;&lt;remote-database-name&gt;buh&lt;/remote-database-name&gt;&lt;remote-database-provider&gt;EBSCOhost&lt;/remote-database-provider&gt;&lt;/record&gt;&lt;/Cite&gt;&lt;/EndNote&gt;</w:instrText>
      </w:r>
      <w:r w:rsidRPr="00475463">
        <w:fldChar w:fldCharType="separate"/>
      </w:r>
      <w:r w:rsidR="0091777F">
        <w:rPr>
          <w:noProof/>
        </w:rPr>
        <w:t>(i.e., Lang and Lundholm 1996)</w:t>
      </w:r>
      <w:r w:rsidRPr="00475463">
        <w:fldChar w:fldCharType="end"/>
      </w:r>
      <w:r w:rsidRPr="00475463">
        <w:t xml:space="preserve"> and is defined as the natural log of total assets.  </w:t>
      </w:r>
      <w:r>
        <w:rPr>
          <w:i/>
        </w:rPr>
        <w:t>Profit</w:t>
      </w:r>
      <w:r w:rsidRPr="00475463">
        <w:t xml:space="preserve"> is defined as the return on assets and captures excess value related to firm performance. </w:t>
      </w:r>
      <w:r w:rsidRPr="00D66F65">
        <w:rPr>
          <w:i/>
        </w:rPr>
        <w:t xml:space="preserve">Invest </w:t>
      </w:r>
      <w:r w:rsidRPr="00475463">
        <w:t>is defined as the ratio of capital expenditures to total assets.</w:t>
      </w:r>
    </w:p>
    <w:p w:rsidR="00E82B31" w:rsidRPr="00475463" w:rsidRDefault="00E82B31" w:rsidP="00E82B31">
      <w:pPr>
        <w:ind w:firstLine="720"/>
      </w:pPr>
      <w:r w:rsidRPr="00475463">
        <w:t>I also control for firm characteristics related to value.</w:t>
      </w:r>
      <w:r w:rsidRPr="00475463">
        <w:rPr>
          <w:rStyle w:val="FootnoteReference"/>
        </w:rPr>
        <w:footnoteReference w:id="25"/>
      </w:r>
      <w:r w:rsidRPr="00475463">
        <w:t xml:space="preserve">  </w:t>
      </w:r>
      <w:r>
        <w:rPr>
          <w:i/>
        </w:rPr>
        <w:t>Leverage</w:t>
      </w:r>
      <w:r w:rsidRPr="00475463">
        <w:t xml:space="preserve"> measures firm indebtedness and is defined as the book value of debt, long and short-term, divided by total assets. </w:t>
      </w:r>
      <w:r>
        <w:rPr>
          <w:i/>
        </w:rPr>
        <w:t xml:space="preserve">SalesGrow </w:t>
      </w:r>
      <w:r w:rsidRPr="00475463">
        <w:t xml:space="preserve">captures the current growth of the firm and is measured as the sales in the current period divided by sales in the previous period. </w:t>
      </w:r>
      <w:r>
        <w:rPr>
          <w:i/>
        </w:rPr>
        <w:t xml:space="preserve">MAR </w:t>
      </w:r>
      <w:r w:rsidRPr="00475463">
        <w:t xml:space="preserve">captures the stock market performance of the firm over the current year and is measured as one plus the market-adjusted stock return for the fiscal year. </w:t>
      </w:r>
      <w:r>
        <w:rPr>
          <w:i/>
        </w:rPr>
        <w:t xml:space="preserve">StdROE </w:t>
      </w:r>
      <w:r w:rsidRPr="00475463">
        <w:t xml:space="preserve">measures the volatility of the firm’s past performance and is computed as the standard deviation of return on equity over the past five years. </w:t>
      </w:r>
      <w:r>
        <w:rPr>
          <w:i/>
        </w:rPr>
        <w:t xml:space="preserve">Corr5yr </w:t>
      </w:r>
      <w:r w:rsidRPr="00475463">
        <w:t>measures the correlation between the annual stock return and earnings per share.</w:t>
      </w:r>
      <w:r>
        <w:t xml:space="preserve"> </w:t>
      </w:r>
      <w:r w:rsidRPr="00475463">
        <w:t xml:space="preserve"> </w:t>
      </w:r>
      <w:r>
        <w:rPr>
          <w:i/>
        </w:rPr>
        <w:t xml:space="preserve">Corr5yr </w:t>
      </w:r>
      <w:r w:rsidRPr="00475463">
        <w:t xml:space="preserve">is defined as the correlation between the </w:t>
      </w:r>
      <w:r w:rsidRPr="00475463">
        <w:lastRenderedPageBreak/>
        <w:t xml:space="preserve">annual stock return and earnings per share computed over the preceding five years.  Finally, </w:t>
      </w:r>
      <w:r>
        <w:rPr>
          <w:i/>
        </w:rPr>
        <w:t>Surprise</w:t>
      </w:r>
      <w:r w:rsidRPr="00475463">
        <w:t xml:space="preserve"> captures additional information from current earnings and is measured as the absolute value of the difference between current-year earnings per share and previous-year earnings per share, divided by the stock price at the beginning of the fiscal year.</w:t>
      </w:r>
    </w:p>
    <w:p w:rsidR="00E82B31" w:rsidRDefault="00E82B31" w:rsidP="00E82B31">
      <w:pPr>
        <w:pStyle w:val="Heading3"/>
      </w:pPr>
      <w:bookmarkStart w:id="22" w:name="_Toc414633040"/>
      <w:r>
        <w:t>Changes in Mandatory Disclosure and Excess Value</w:t>
      </w:r>
      <w:bookmarkEnd w:id="22"/>
    </w:p>
    <w:p w:rsidR="00E82B31" w:rsidRPr="00475463" w:rsidRDefault="00E82B31" w:rsidP="00E82B31">
      <w:pPr>
        <w:ind w:firstLine="720"/>
      </w:pPr>
      <w:r w:rsidRPr="00475463">
        <w:t>The change in accounting standard provides an opportunity to test H</w:t>
      </w:r>
      <w:r w:rsidRPr="00475463">
        <w:rPr>
          <w:vertAlign w:val="subscript"/>
        </w:rPr>
        <w:t>2</w:t>
      </w:r>
      <w:r>
        <w:rPr>
          <w:vertAlign w:val="subscript"/>
        </w:rPr>
        <w:t>a</w:t>
      </w:r>
      <w:r w:rsidRPr="00475463">
        <w:t xml:space="preserve"> </w:t>
      </w:r>
      <w:r>
        <w:t xml:space="preserve">and </w:t>
      </w:r>
      <w:r w:rsidRPr="00475463">
        <w:t>H</w:t>
      </w:r>
      <w:r w:rsidRPr="00475463">
        <w:rPr>
          <w:vertAlign w:val="subscript"/>
        </w:rPr>
        <w:t>2</w:t>
      </w:r>
      <w:r>
        <w:rPr>
          <w:vertAlign w:val="subscript"/>
        </w:rPr>
        <w:t>b</w:t>
      </w:r>
      <w:r w:rsidRPr="00475463">
        <w:t>.  Low mandatory segment reporting quality occur</w:t>
      </w:r>
      <w:r>
        <w:t>red</w:t>
      </w:r>
      <w:r w:rsidRPr="00475463">
        <w:t xml:space="preserve"> pre-ASC 280; high mandatory segment reporting quality occur</w:t>
      </w:r>
      <w:r>
        <w:t>s</w:t>
      </w:r>
      <w:r w:rsidRPr="00475463">
        <w:t xml:space="preserve"> after ASC 280 implementation.  </w:t>
      </w:r>
      <w:r w:rsidRPr="00475463">
        <w:rPr>
          <w:i/>
        </w:rPr>
        <w:t xml:space="preserve">Post </w:t>
      </w:r>
      <w:r w:rsidRPr="00475463">
        <w:t xml:space="preserve">is an indicator variable equal to one if the firm-year observation is after ASC 280 </w:t>
      </w:r>
      <w:r>
        <w:t>implementation</w:t>
      </w:r>
      <w:r w:rsidRPr="00475463">
        <w:t>, all firm-year observations after December 1998, and zero otherwise.</w:t>
      </w:r>
      <w:r w:rsidRPr="00475463">
        <w:rPr>
          <w:rStyle w:val="FootnoteReference"/>
        </w:rPr>
        <w:footnoteReference w:id="26"/>
      </w:r>
      <w:r>
        <w:t xml:space="preserve">  I estimate the following equation, clustering by firm and year:</w:t>
      </w:r>
    </w:p>
    <w:tbl>
      <w:tblPr>
        <w:tblStyle w:val="TableGrid"/>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352"/>
        <w:gridCol w:w="6912"/>
        <w:gridCol w:w="496"/>
      </w:tblGrid>
      <w:tr w:rsidR="00E82B31" w:rsidRPr="00475463" w:rsidTr="00205C64">
        <w:tc>
          <w:tcPr>
            <w:tcW w:w="917" w:type="dxa"/>
          </w:tcPr>
          <w:p w:rsidR="00E82B31" w:rsidRPr="00475463" w:rsidRDefault="00E82B31" w:rsidP="00E82B31">
            <m:oMathPara>
              <m:oMath>
                <m:r>
                  <w:rPr>
                    <w:rFonts w:ascii="Cambria Math" w:hAnsi="Cambria Math"/>
                  </w:rPr>
                  <m:t>ExVal</m:t>
                </m:r>
              </m:oMath>
            </m:oMathPara>
          </w:p>
        </w:tc>
        <w:tc>
          <w:tcPr>
            <w:tcW w:w="352" w:type="dxa"/>
          </w:tcPr>
          <w:p w:rsidR="00E82B31" w:rsidRPr="00475463" w:rsidRDefault="00E82B31" w:rsidP="00E82B31">
            <w:r w:rsidRPr="00475463">
              <w:t>=</w:t>
            </w:r>
          </w:p>
        </w:tc>
        <w:tc>
          <w:tcPr>
            <w:tcW w:w="6912" w:type="dxa"/>
          </w:tcPr>
          <w:p w:rsidR="00786A89" w:rsidRPr="00786A89" w:rsidRDefault="004604A2" w:rsidP="00420E38">
            <w:pPr>
              <w:spacing w:after="120" w:line="240" w:lineRule="auto"/>
            </w:pPr>
            <m:oMathPara>
              <m:oMathParaPr>
                <m:jc m:val="left"/>
              </m:oMathParaPr>
              <m:oMath>
                <m:sSub>
                  <m:sSubPr>
                    <m:ctrlPr>
                      <w:rPr>
                        <w:rFonts w:ascii="Cambria Math" w:hAnsi="Cambria Math"/>
                        <w:i/>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rPr>
                  <m:t>Post+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rPr>
                  <m:t>FFDIFF+</m:t>
                </m:r>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3</m:t>
                    </m:r>
                  </m:sub>
                </m:sSub>
                <m:r>
                  <m:rPr>
                    <m:sty m:val="bi"/>
                  </m:rPr>
                  <w:rPr>
                    <w:rFonts w:ascii="Cambria Math" w:hAnsi="Cambria Math"/>
                  </w:rPr>
                  <m:t>FFDIFF×Post</m:t>
                </m:r>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4</m:t>
                    </m:r>
                  </m:sub>
                </m:sSub>
                <m:r>
                  <w:rPr>
                    <w:rFonts w:ascii="Cambria Math" w:hAnsi="Cambria Math"/>
                  </w:rPr>
                  <m:t>PFDIFF</m:t>
                </m:r>
              </m:oMath>
            </m:oMathPara>
          </w:p>
          <w:p w:rsidR="00871252" w:rsidRPr="00871252" w:rsidRDefault="00E82B31" w:rsidP="00205C64">
            <w:pPr>
              <w:spacing w:before="80" w:line="240" w:lineRule="auto"/>
              <w:ind w:left="-1152"/>
            </w:pPr>
            <m:oMathPara>
              <m:oMath>
                <m:r>
                  <w:rPr>
                    <w:rFonts w:ascii="Cambria Math" w:hAnsi="Cambria Math"/>
                  </w:rPr>
                  <m:t>+</m:t>
                </m:r>
                <m:sSub>
                  <m:sSubPr>
                    <m:ctrlPr>
                      <w:rPr>
                        <w:rFonts w:ascii="Cambria Math" w:hAnsi="Cambria Math"/>
                        <w:b/>
                        <w:i/>
                      </w:rPr>
                    </m:ctrlPr>
                  </m:sSubPr>
                  <m:e>
                    <m:r>
                      <m:rPr>
                        <m:sty m:val="bi"/>
                      </m:rPr>
                      <w:rPr>
                        <w:rFonts w:ascii="Cambria Math" w:hAnsi="Cambria Math"/>
                      </w:rPr>
                      <m:t>β</m:t>
                    </m:r>
                  </m:e>
                  <m:sub>
                    <m:r>
                      <m:rPr>
                        <m:sty m:val="bi"/>
                      </m:rPr>
                      <w:rPr>
                        <w:rFonts w:ascii="Cambria Math" w:hAnsi="Cambria Math"/>
                      </w:rPr>
                      <m:t>5</m:t>
                    </m:r>
                  </m:sub>
                </m:sSub>
                <m:r>
                  <m:rPr>
                    <m:sty m:val="bi"/>
                  </m:rPr>
                  <w:rPr>
                    <w:rFonts w:ascii="Cambria Math" w:hAnsi="Cambria Math"/>
                  </w:rPr>
                  <m:t>PFDIFF×Post</m:t>
                </m:r>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6</m:t>
                    </m:r>
                  </m:sub>
                </m:sSub>
                <m:r>
                  <w:rPr>
                    <w:rFonts w:ascii="Cambria Math" w:hAnsi="Cambria Math"/>
                  </w:rPr>
                  <m:t>NumSeg+</m:t>
                </m:r>
                <m:sSub>
                  <m:sSubPr>
                    <m:ctrlPr>
                      <w:rPr>
                        <w:rFonts w:ascii="Cambria Math" w:hAnsi="Cambria Math"/>
                        <w:i/>
                      </w:rPr>
                    </m:ctrlPr>
                  </m:sSubPr>
                  <m:e>
                    <m:r>
                      <w:rPr>
                        <w:rFonts w:ascii="Cambria Math" w:hAnsi="Cambria Math"/>
                      </w:rPr>
                      <m:t>β</m:t>
                    </m:r>
                  </m:e>
                  <m:sub>
                    <m:r>
                      <w:rPr>
                        <w:rFonts w:ascii="Cambria Math" w:hAnsi="Cambria Math"/>
                      </w:rPr>
                      <m:t>7</m:t>
                    </m:r>
                  </m:sub>
                </m:sSub>
                <m:r>
                  <w:rPr>
                    <w:rFonts w:ascii="Cambria Math" w:hAnsi="Cambria Math"/>
                  </w:rPr>
                  <m:t>Related</m:t>
                </m:r>
              </m:oMath>
            </m:oMathPara>
          </w:p>
          <w:p w:rsidR="00E82B31" w:rsidRPr="0095552C" w:rsidRDefault="004604A2" w:rsidP="00205C64">
            <w:pPr>
              <w:spacing w:before="80" w:line="240" w:lineRule="auto"/>
              <w:ind w:left="-1296"/>
            </w:pPr>
            <m:oMathPara>
              <m:oMath>
                <m:sSub>
                  <m:sSubPr>
                    <m:ctrlPr>
                      <w:rPr>
                        <w:rFonts w:ascii="Cambria Math" w:hAnsi="Cambria Math"/>
                        <w:i/>
                      </w:rPr>
                    </m:ctrlPr>
                  </m:sSubPr>
                  <m:e>
                    <m:r>
                      <w:rPr>
                        <w:rFonts w:ascii="Cambria Math" w:hAnsi="Cambria Math"/>
                      </w:rPr>
                      <m:t>+β</m:t>
                    </m:r>
                  </m:e>
                  <m:sub>
                    <m:r>
                      <w:rPr>
                        <w:rFonts w:ascii="Cambria Math" w:hAnsi="Cambria Math"/>
                      </w:rPr>
                      <m:t>8</m:t>
                    </m:r>
                  </m:sub>
                </m:sSub>
                <m:r>
                  <w:rPr>
                    <w:rFonts w:ascii="Cambria Math" w:hAnsi="Cambria Math"/>
                  </w:rPr>
                  <m:t>NumTNICP+</m:t>
                </m:r>
                <m:sSub>
                  <m:sSubPr>
                    <m:ctrlPr>
                      <w:rPr>
                        <w:rFonts w:ascii="Cambria Math" w:hAnsi="Cambria Math"/>
                        <w:i/>
                      </w:rPr>
                    </m:ctrlPr>
                  </m:sSubPr>
                  <m:e>
                    <m:r>
                      <w:rPr>
                        <w:rFonts w:ascii="Cambria Math" w:hAnsi="Cambria Math"/>
                      </w:rPr>
                      <m:t>β</m:t>
                    </m:r>
                  </m:e>
                  <m:sub>
                    <m:r>
                      <w:rPr>
                        <w:rFonts w:ascii="Cambria Math" w:hAnsi="Cambria Math"/>
                      </w:rPr>
                      <m:t>9</m:t>
                    </m:r>
                  </m:sub>
                </m:sSub>
                <m:r>
                  <w:rPr>
                    <w:rFonts w:ascii="Cambria Math" w:hAnsi="Cambria Math"/>
                  </w:rPr>
                  <m:t>HHI+</m:t>
                </m:r>
                <m:nary>
                  <m:naryPr>
                    <m:chr m:val="∑"/>
                    <m:limLoc m:val="undOvr"/>
                    <m:ctrlPr>
                      <w:rPr>
                        <w:rFonts w:ascii="Cambria Math" w:hAnsi="Cambria Math"/>
                        <w:i/>
                      </w:rPr>
                    </m:ctrlPr>
                  </m:naryPr>
                  <m:sub>
                    <m:r>
                      <w:rPr>
                        <w:rFonts w:ascii="Cambria Math" w:hAnsi="Cambria Math"/>
                      </w:rPr>
                      <m:t>c=1</m:t>
                    </m:r>
                  </m:sub>
                  <m:sup>
                    <m:r>
                      <w:rPr>
                        <w:rFonts w:ascii="Cambria Math" w:hAnsi="Cambria Math"/>
                      </w:rPr>
                      <m:t>9</m:t>
                    </m:r>
                  </m:sup>
                  <m:e>
                    <m:sSub>
                      <m:sSubPr>
                        <m:ctrlPr>
                          <w:rPr>
                            <w:rFonts w:ascii="Cambria Math" w:hAnsi="Cambria Math"/>
                            <w:i/>
                          </w:rPr>
                        </m:ctrlPr>
                      </m:sSubPr>
                      <m:e>
                        <m:r>
                          <w:rPr>
                            <w:rFonts w:ascii="Cambria Math" w:hAnsi="Cambria Math"/>
                          </w:rPr>
                          <m:t>β</m:t>
                        </m:r>
                      </m:e>
                      <m:sub>
                        <m:r>
                          <w:rPr>
                            <w:rFonts w:ascii="Cambria Math" w:hAnsi="Cambria Math"/>
                          </w:rPr>
                          <m:t>c</m:t>
                        </m:r>
                      </m:sub>
                    </m:sSub>
                    <m:r>
                      <w:rPr>
                        <w:rFonts w:ascii="Cambria Math" w:hAnsi="Cambria Math"/>
                      </w:rPr>
                      <m:t>Contro</m:t>
                    </m:r>
                    <m:sSub>
                      <m:sSubPr>
                        <m:ctrlPr>
                          <w:rPr>
                            <w:rFonts w:ascii="Cambria Math" w:hAnsi="Cambria Math"/>
                            <w:i/>
                          </w:rPr>
                        </m:ctrlPr>
                      </m:sSubPr>
                      <m:e>
                        <m:r>
                          <w:rPr>
                            <w:rFonts w:ascii="Cambria Math" w:hAnsi="Cambria Math"/>
                          </w:rPr>
                          <m:t>l</m:t>
                        </m:r>
                      </m:e>
                      <m:sub>
                        <m:r>
                          <w:rPr>
                            <w:rFonts w:ascii="Cambria Math" w:hAnsi="Cambria Math"/>
                          </w:rPr>
                          <m:t>c</m:t>
                        </m:r>
                      </m:sub>
                    </m:sSub>
                  </m:e>
                </m:nary>
                <m:r>
                  <w:rPr>
                    <w:rFonts w:ascii="Cambria Math" w:hAnsi="Cambria Math"/>
                  </w:rPr>
                  <m:t>+ξ</m:t>
                </m:r>
              </m:oMath>
            </m:oMathPara>
          </w:p>
          <w:p w:rsidR="00E82B31" w:rsidRPr="00475463" w:rsidRDefault="00E82B31" w:rsidP="00E82B31">
            <w:pPr>
              <w:tabs>
                <w:tab w:val="left" w:pos="351"/>
              </w:tabs>
              <w:spacing w:line="240" w:lineRule="auto"/>
            </w:pPr>
          </w:p>
        </w:tc>
        <w:tc>
          <w:tcPr>
            <w:tcW w:w="496" w:type="dxa"/>
          </w:tcPr>
          <w:p w:rsidR="00E82B31" w:rsidRPr="00475463" w:rsidRDefault="00E82B31" w:rsidP="00E82B31">
            <w:pPr>
              <w:ind w:left="-80" w:firstLine="80"/>
            </w:pPr>
            <w:r w:rsidRPr="00475463">
              <w:t>(7)</w:t>
            </w:r>
          </w:p>
        </w:tc>
      </w:tr>
    </w:tbl>
    <w:p w:rsidR="00786A89" w:rsidRDefault="00E82B31" w:rsidP="00420E38">
      <w:r w:rsidRPr="00475463">
        <w:t>H</w:t>
      </w:r>
      <w:r w:rsidRPr="00475463">
        <w:rPr>
          <w:vertAlign w:val="subscript"/>
        </w:rPr>
        <w:t>2</w:t>
      </w:r>
      <w:r>
        <w:rPr>
          <w:vertAlign w:val="subscript"/>
        </w:rPr>
        <w:t>a</w:t>
      </w:r>
      <w:r w:rsidRPr="00475463">
        <w:t xml:space="preserve"> </w:t>
      </w:r>
      <w:r>
        <w:t>poses whether</w:t>
      </w:r>
      <w:r w:rsidRPr="00475463">
        <w:t xml:space="preserve"> higher mandatory disclosure </w:t>
      </w:r>
      <w:r>
        <w:t>affects</w:t>
      </w:r>
      <w:r w:rsidRPr="00475463">
        <w:t xml:space="preserve"> </w:t>
      </w:r>
      <w:r>
        <w:t xml:space="preserve">the impact of focal firm differentiation on the focal firm’s excess value; </w:t>
      </w:r>
      <w:r w:rsidRPr="00475463">
        <w:t>H</w:t>
      </w:r>
      <w:r w:rsidRPr="00475463">
        <w:rPr>
          <w:vertAlign w:val="subscript"/>
        </w:rPr>
        <w:t>2</w:t>
      </w:r>
      <w:r>
        <w:rPr>
          <w:vertAlign w:val="subscript"/>
        </w:rPr>
        <w:t>b</w:t>
      </w:r>
      <w:r>
        <w:t xml:space="preserve"> poses whether higher mandatory disclosure affects the impact of peer firm differentiation on the focal firm’s excess value.</w:t>
      </w:r>
      <w:r w:rsidRPr="00475463">
        <w:t xml:space="preserve">  The coefficient</w:t>
      </w:r>
      <w:r>
        <w:t>s</w:t>
      </w:r>
      <w:r w:rsidRPr="00475463">
        <w:t xml:space="preserve"> of interest </w:t>
      </w:r>
      <w:r>
        <w:t>are</w:t>
      </w:r>
      <w:r w:rsidRPr="00475463">
        <w:t xml:space="preserve"> </w:t>
      </w:r>
      <m:oMath>
        <m:sSub>
          <m:sSubPr>
            <m:ctrlPr>
              <w:rPr>
                <w:rFonts w:ascii="Cambria Math" w:hAnsi="Cambria Math"/>
                <w:i/>
              </w:rPr>
            </m:ctrlPr>
          </m:sSubPr>
          <m:e>
            <m:r>
              <w:rPr>
                <w:rFonts w:ascii="Cambria Math" w:hAnsi="Cambria Math"/>
              </w:rPr>
              <m:t>β</m:t>
            </m:r>
          </m:e>
          <m:sub>
            <m:r>
              <w:rPr>
                <w:rFonts w:ascii="Cambria Math" w:hAnsi="Cambria Math"/>
              </w:rPr>
              <m:t>3</m:t>
            </m:r>
          </m:sub>
        </m:sSub>
      </m:oMath>
      <w:r>
        <w:t xml:space="preserve"> </w:t>
      </w:r>
      <w:proofErr w:type="gramStart"/>
      <w:r>
        <w:t xml:space="preserve">and </w:t>
      </w:r>
      <w:proofErr w:type="gramEnd"/>
      <m:oMath>
        <m:sSub>
          <m:sSubPr>
            <m:ctrlPr>
              <w:rPr>
                <w:rFonts w:ascii="Cambria Math" w:hAnsi="Cambria Math"/>
                <w:i/>
              </w:rPr>
            </m:ctrlPr>
          </m:sSubPr>
          <m:e>
            <m:r>
              <w:rPr>
                <w:rFonts w:ascii="Cambria Math" w:hAnsi="Cambria Math"/>
              </w:rPr>
              <m:t>β</m:t>
            </m:r>
          </m:e>
          <m:sub>
            <m:r>
              <w:rPr>
                <w:rFonts w:ascii="Cambria Math" w:hAnsi="Cambria Math"/>
              </w:rPr>
              <m:t>5</m:t>
            </m:r>
          </m:sub>
        </m:sSub>
      </m:oMath>
      <w:r>
        <w:t>.  Coefficients can be either negative or positive depending on whether higher-quality mandatory segment disclosures created positive or negative externalities.</w:t>
      </w:r>
    </w:p>
    <w:p w:rsidR="00E82B31" w:rsidRDefault="00786A89" w:rsidP="00786A89">
      <w:pPr>
        <w:pStyle w:val="Heading1"/>
      </w:pPr>
      <w:bookmarkStart w:id="23" w:name="_Toc414633041"/>
      <w:r>
        <w:lastRenderedPageBreak/>
        <w:t>Chapter 4: Descriptive Statistics and Results</w:t>
      </w:r>
      <w:bookmarkEnd w:id="23"/>
    </w:p>
    <w:p w:rsidR="00786A89" w:rsidRPr="0022726D" w:rsidRDefault="006A39CF" w:rsidP="00786A89">
      <w:pPr>
        <w:ind w:firstLine="720"/>
      </w:pPr>
      <w:r>
        <w:t>In this section I provide</w:t>
      </w:r>
      <w:r w:rsidR="00786A89">
        <w:t xml:space="preserve"> descriptive statistics for my sample, correlations between variables in equations (6), and estimation of equations (6) and (7).  I provide statistics for both single segment and multi-segment firms.</w:t>
      </w:r>
    </w:p>
    <w:p w:rsidR="00786A89" w:rsidRDefault="00786A89" w:rsidP="00786A89">
      <w:pPr>
        <w:pStyle w:val="Heading2"/>
      </w:pPr>
      <w:bookmarkStart w:id="24" w:name="_Toc414633042"/>
      <w:r>
        <w:t>Descriptive Statistics</w:t>
      </w:r>
      <w:bookmarkEnd w:id="24"/>
    </w:p>
    <w:p w:rsidR="00786A89" w:rsidRDefault="00786A89" w:rsidP="00786A89">
      <w:pPr>
        <w:ind w:firstLine="720"/>
      </w:pPr>
      <w:r>
        <w:t>Table 1 provides the industry composition for single and multi-segment firms.</w:t>
      </w:r>
      <w:r>
        <w:rPr>
          <w:rStyle w:val="FootnoteReference"/>
        </w:rPr>
        <w:footnoteReference w:id="27"/>
      </w:r>
      <w:r>
        <w:t xml:space="preserve">  No one industry dominates the sample and the mix of firm and firm-year observations is mostly homogenous across single and multi-segment samples.  Only business services comprise a larger portion of the sample for both single and multi-segment firms, 13.27 percent and 12.82 percent of firm-year observations, respectively.  Retail </w:t>
      </w:r>
      <w:r w:rsidR="00420E38">
        <w:t xml:space="preserve">(10.10 percent) </w:t>
      </w:r>
      <w:r>
        <w:t xml:space="preserve">and Electronic Equipment </w:t>
      </w:r>
      <w:r w:rsidR="00420E38">
        <w:t xml:space="preserve">(10.79 percent) </w:t>
      </w:r>
      <w:r>
        <w:t>also comprise larger relative portions of the sample for single segment firms.</w:t>
      </w:r>
    </w:p>
    <w:p w:rsidR="00786A89" w:rsidRDefault="00786A89" w:rsidP="00786A89">
      <w:pPr>
        <w:ind w:firstLine="720"/>
      </w:pPr>
      <w:r>
        <w:t xml:space="preserve">Table 2 presents descriptive statistics for single and multi-segment firms.  Descriptive statistics for </w:t>
      </w:r>
      <w:r>
        <w:rPr>
          <w:i/>
        </w:rPr>
        <w:t>ExVal</w:t>
      </w:r>
      <w:r>
        <w:rPr>
          <w:i/>
          <w:vertAlign w:val="subscript"/>
        </w:rPr>
        <w:t>Rev</w:t>
      </w:r>
      <w:r>
        <w:rPr>
          <w:i/>
        </w:rPr>
        <w:t xml:space="preserve"> </w:t>
      </w:r>
      <w:r>
        <w:t xml:space="preserve">and </w:t>
      </w:r>
      <w:r>
        <w:rPr>
          <w:i/>
        </w:rPr>
        <w:t>ExVal</w:t>
      </w:r>
      <w:r w:rsidR="00420E38">
        <w:rPr>
          <w:i/>
          <w:vertAlign w:val="subscript"/>
        </w:rPr>
        <w:t>AT</w:t>
      </w:r>
      <w:r w:rsidR="00420E38">
        <w:t xml:space="preserve"> a</w:t>
      </w:r>
      <w:r>
        <w:t>re generally consistent with previous research.</w:t>
      </w:r>
      <w:r>
        <w:rPr>
          <w:rStyle w:val="FootnoteReference"/>
        </w:rPr>
        <w:footnoteReference w:id="28"/>
      </w:r>
      <w:r>
        <w:t xml:space="preserve">   Given that I use mean industry multiplier, I find </w:t>
      </w:r>
      <w:r>
        <w:rPr>
          <w:i/>
        </w:rPr>
        <w:t>ExVal</w:t>
      </w:r>
      <w:r>
        <w:rPr>
          <w:i/>
          <w:vertAlign w:val="subscript"/>
        </w:rPr>
        <w:t>Rev</w:t>
      </w:r>
      <w:r>
        <w:rPr>
          <w:i/>
        </w:rPr>
        <w:t xml:space="preserve"> </w:t>
      </w:r>
      <w:r>
        <w:t xml:space="preserve">and </w:t>
      </w:r>
      <w:r>
        <w:rPr>
          <w:i/>
        </w:rPr>
        <w:t>ExVal</w:t>
      </w:r>
      <w:r>
        <w:rPr>
          <w:i/>
          <w:vertAlign w:val="subscript"/>
        </w:rPr>
        <w:t>AT</w:t>
      </w:r>
      <w:r>
        <w:t xml:space="preserve"> are lower than median values, untabulated.   My research question does not make inferences on the proximity of </w:t>
      </w:r>
      <w:r>
        <w:rPr>
          <w:i/>
        </w:rPr>
        <w:t>ExVal</w:t>
      </w:r>
      <w:r>
        <w:t xml:space="preserve"> to zero as does previous research establishing the diversification discount; therefore, lower mean values will not impact my results.  Overall, descriptive statistics demonstrate </w:t>
      </w:r>
      <w:r>
        <w:rPr>
          <w:i/>
        </w:rPr>
        <w:t xml:space="preserve">ExVal </w:t>
      </w:r>
      <w:r>
        <w:t>is different for single and multi-segm</w:t>
      </w:r>
      <w:r w:rsidR="00420E38">
        <w:t>ent firms with multi-segment firms generally receiving lower excess value.</w:t>
      </w:r>
    </w:p>
    <w:p w:rsidR="00786A89" w:rsidRDefault="00786A89" w:rsidP="00786A89">
      <w:pPr>
        <w:ind w:firstLine="720"/>
      </w:pPr>
      <w:r>
        <w:lastRenderedPageBreak/>
        <w:t xml:space="preserve">My measure of segment reporting differentiation suggests firms report a large portion of sales not disclosed by peer firms.  To ease interpretation of my measures I include descriptive statistics for </w:t>
      </w:r>
      <w:r>
        <w:rPr>
          <w:i/>
        </w:rPr>
        <w:t>DIFF</w:t>
      </w:r>
      <w:r>
        <w:rPr>
          <w:i/>
          <w:vertAlign w:val="subscript"/>
        </w:rPr>
        <w:t>FF</w:t>
      </w:r>
      <w:r>
        <w:t xml:space="preserve"> and </w:t>
      </w:r>
      <w:r>
        <w:rPr>
          <w:i/>
        </w:rPr>
        <w:t>DIFF</w:t>
      </w:r>
      <w:r>
        <w:rPr>
          <w:i/>
          <w:vertAlign w:val="subscript"/>
        </w:rPr>
        <w:t>PF</w:t>
      </w:r>
      <w:r>
        <w:t xml:space="preserve">, before the log transformation used in regressions labeled </w:t>
      </w:r>
      <w:r>
        <w:rPr>
          <w:i/>
        </w:rPr>
        <w:t xml:space="preserve">FFDIFF </w:t>
      </w:r>
      <w:r>
        <w:t xml:space="preserve">and </w:t>
      </w:r>
      <w:r>
        <w:rPr>
          <w:i/>
        </w:rPr>
        <w:t>PFDIFF</w:t>
      </w:r>
      <w:r>
        <w:t>.</w:t>
      </w:r>
      <w:r>
        <w:rPr>
          <w:rStyle w:val="FootnoteReference"/>
        </w:rPr>
        <w:footnoteReference w:id="29"/>
      </w:r>
      <w:r>
        <w:t xml:space="preserve">  For multi-segment firms, the mean (median) percent of segment sales not disclosed by peer firms is 37 percent (16 percent).  </w:t>
      </w:r>
      <w:r>
        <w:rPr>
          <w:i/>
        </w:rPr>
        <w:t>DIFF</w:t>
      </w:r>
      <w:r w:rsidRPr="00C96056">
        <w:rPr>
          <w:i/>
          <w:vertAlign w:val="subscript"/>
        </w:rPr>
        <w:t>FF</w:t>
      </w:r>
      <w:r>
        <w:t xml:space="preserve"> for single segment firms indicates the focal firm does not operate in the same four-digit SIC code as their product market peers 25 percent of the time.</w:t>
      </w:r>
      <w:r>
        <w:rPr>
          <w:rStyle w:val="FootnoteReference"/>
        </w:rPr>
        <w:footnoteReference w:id="30"/>
      </w:r>
      <w:r>
        <w:t xml:space="preserve">  For multi-segment firms, the mean (median) value-weighted </w:t>
      </w:r>
      <w:r w:rsidR="003F5D94">
        <w:t xml:space="preserve">peer firm differentiation, </w:t>
      </w:r>
      <w:r>
        <w:rPr>
          <w:i/>
        </w:rPr>
        <w:t>DIFF</w:t>
      </w:r>
      <w:r>
        <w:rPr>
          <w:i/>
          <w:vertAlign w:val="subscript"/>
        </w:rPr>
        <w:t>PF</w:t>
      </w:r>
      <w:r w:rsidR="003F5D94">
        <w:rPr>
          <w:vertAlign w:val="subscript"/>
        </w:rPr>
        <w:t>,</w:t>
      </w:r>
      <w:r>
        <w:rPr>
          <w:i/>
        </w:rPr>
        <w:t xml:space="preserve"> </w:t>
      </w:r>
      <w:r>
        <w:t>is 20 percent (9 percent).  Single segment firms have peers with more similar s</w:t>
      </w:r>
      <w:r w:rsidR="003F5D94">
        <w:t>egments;</w:t>
      </w:r>
      <w:r>
        <w:t xml:space="preserve"> mean (median) value-weighted </w:t>
      </w:r>
      <w:r>
        <w:rPr>
          <w:i/>
        </w:rPr>
        <w:t>DIFF</w:t>
      </w:r>
      <w:r>
        <w:rPr>
          <w:i/>
          <w:vertAlign w:val="subscript"/>
        </w:rPr>
        <w:t>PF</w:t>
      </w:r>
      <w:r>
        <w:t xml:space="preserve"> is 15 percent (6 percent).</w:t>
      </w:r>
    </w:p>
    <w:p w:rsidR="00786A89" w:rsidRDefault="00786A89" w:rsidP="00786A89">
      <w:r>
        <w:tab/>
        <w:t xml:space="preserve">Multi-segment firms are on average larger than single segment firms with </w:t>
      </w:r>
      <w:r w:rsidR="003F5D94">
        <w:t xml:space="preserve">mean (median) </w:t>
      </w:r>
      <w:r>
        <w:t xml:space="preserve">assets of 2,927.75 (610.14) </w:t>
      </w:r>
      <w:r w:rsidR="003F5D94">
        <w:t xml:space="preserve">for multi-segment firms </w:t>
      </w:r>
      <w:r w:rsidR="00BA27E1">
        <w:t>versus</w:t>
      </w:r>
      <w:r>
        <w:t xml:space="preserve"> 1,214.17 (234.00) for single segment firms.  Multi-segment firms have less product market peers with a mean (median) of 46 competitors (23 competitors) than single segment firms with a mean (median) 75 competitors (42 competitors).  As previous studies demonstrate, firm performance as measured by </w:t>
      </w:r>
      <w:r>
        <w:rPr>
          <w:i/>
        </w:rPr>
        <w:t xml:space="preserve">ROA </w:t>
      </w:r>
      <w:r>
        <w:t xml:space="preserve">and </w:t>
      </w:r>
      <w:r w:rsidRPr="001E760E">
        <w:rPr>
          <w:i/>
        </w:rPr>
        <w:t>PM</w:t>
      </w:r>
      <w:r>
        <w:rPr>
          <w:i/>
        </w:rPr>
        <w:t xml:space="preserve"> </w:t>
      </w:r>
      <w:r w:rsidRPr="001E760E">
        <w:t>does</w:t>
      </w:r>
      <w:r>
        <w:t xml:space="preserve"> not vary significantly between single and multi-segment firms.</w:t>
      </w:r>
    </w:p>
    <w:p w:rsidR="00786A89" w:rsidRPr="00EB4146" w:rsidRDefault="00786A89" w:rsidP="00786A89">
      <w:r w:rsidRPr="00AA4191">
        <w:tab/>
        <w:t xml:space="preserve">Table 3 provides correlations between variables in equations (6).  </w:t>
      </w:r>
      <w:r>
        <w:t xml:space="preserve">As would be expected, </w:t>
      </w:r>
      <w:r w:rsidRPr="00AA4191">
        <w:rPr>
          <w:i/>
        </w:rPr>
        <w:t>FF</w:t>
      </w:r>
      <w:r>
        <w:rPr>
          <w:i/>
        </w:rPr>
        <w:t>DIFF</w:t>
      </w:r>
      <w:r w:rsidRPr="00AA4191">
        <w:t xml:space="preserve"> </w:t>
      </w:r>
      <w:r>
        <w:t xml:space="preserve">and </w:t>
      </w:r>
      <w:r w:rsidRPr="007606E9">
        <w:rPr>
          <w:i/>
        </w:rPr>
        <w:t>PFDIF</w:t>
      </w:r>
      <w:r>
        <w:rPr>
          <w:i/>
        </w:rPr>
        <w:t>F</w:t>
      </w:r>
      <w:r>
        <w:t xml:space="preserve"> are strongly and positively correlated with </w:t>
      </w:r>
      <w:r>
        <w:rPr>
          <w:i/>
        </w:rPr>
        <w:t xml:space="preserve">ExVal </w:t>
      </w:r>
      <w:r>
        <w:t>for single segment and multi-segment firms.</w:t>
      </w:r>
    </w:p>
    <w:p w:rsidR="00786A89" w:rsidRDefault="00786A89" w:rsidP="00786A89">
      <w:pPr>
        <w:pStyle w:val="Heading2"/>
      </w:pPr>
      <w:bookmarkStart w:id="25" w:name="_Toc414633043"/>
      <w:r>
        <w:lastRenderedPageBreak/>
        <w:t>Multivariate Analyses of Excess Value and Segment Reporting Differentiation</w:t>
      </w:r>
      <w:bookmarkEnd w:id="25"/>
    </w:p>
    <w:p w:rsidR="00786A89" w:rsidRDefault="00786A89" w:rsidP="00786A89">
      <w:pPr>
        <w:ind w:firstLine="720"/>
      </w:pPr>
      <w:r>
        <w:t xml:space="preserve">Table 4 provides results for estimation of equation (6).  Equation (6) is estimated separately for single and multi-segment firms using two-way clustering by firm and year.  To address issues related to the standard change from SFAS No. 14 to ASC 280, I estimate equation (6) </w:t>
      </w:r>
      <w:r w:rsidR="00E475C4">
        <w:t xml:space="preserve">for </w:t>
      </w:r>
      <w:r>
        <w:t xml:space="preserve">the full sample from 1996 to 2011 and then </w:t>
      </w:r>
      <w:r w:rsidR="00E475C4">
        <w:t xml:space="preserve">for </w:t>
      </w:r>
      <w:r>
        <w:t>the post implementation period, December 1998 to 2011, to hold constant the reporting regime.</w:t>
      </w:r>
      <w:r>
        <w:rPr>
          <w:rStyle w:val="FootnoteReference"/>
        </w:rPr>
        <w:footnoteReference w:id="31"/>
      </w:r>
    </w:p>
    <w:p w:rsidR="00786A89" w:rsidRDefault="00786A89" w:rsidP="00786A89">
      <w:pPr>
        <w:pStyle w:val="Heading3"/>
      </w:pPr>
      <w:bookmarkStart w:id="26" w:name="_Toc414633044"/>
      <w:r>
        <w:t>Multi-Segment Firm Differentiation</w:t>
      </w:r>
      <w:bookmarkEnd w:id="26"/>
    </w:p>
    <w:p w:rsidR="00786A89" w:rsidRDefault="00A50CCC" w:rsidP="00786A89">
      <w:pPr>
        <w:ind w:firstLine="720"/>
      </w:pPr>
      <w:r>
        <w:t xml:space="preserve">Table 4 </w:t>
      </w:r>
      <w:r w:rsidR="00786A89">
        <w:t xml:space="preserve">Panel A provides results for multi-segment firms.  The main coefficients of interest are </w:t>
      </w:r>
      <w:r w:rsidR="00786A89" w:rsidRPr="002A33CF">
        <w:rPr>
          <w:i/>
        </w:rPr>
        <w:t>FF</w:t>
      </w:r>
      <w:r w:rsidR="00786A89">
        <w:rPr>
          <w:i/>
        </w:rPr>
        <w:t>DIFF</w:t>
      </w:r>
      <w:r w:rsidR="00786A89">
        <w:t xml:space="preserve"> and </w:t>
      </w:r>
      <w:r w:rsidR="00786A89">
        <w:rPr>
          <w:i/>
        </w:rPr>
        <w:t>PFDIFF</w:t>
      </w:r>
      <w:r w:rsidR="006572C9">
        <w:t xml:space="preserve">, </w:t>
      </w:r>
      <m:oMath>
        <m:sSub>
          <m:sSubPr>
            <m:ctrlPr>
              <w:rPr>
                <w:rFonts w:ascii="Cambria Math" w:hAnsi="Cambria Math"/>
                <w:i/>
              </w:rPr>
            </m:ctrlPr>
          </m:sSubPr>
          <m:e>
            <m:r>
              <w:rPr>
                <w:rFonts w:ascii="Cambria Math" w:hAnsi="Cambria Math"/>
              </w:rPr>
              <m:t>α</m:t>
            </m:r>
          </m:e>
          <m:sub>
            <m:r>
              <w:rPr>
                <w:rFonts w:ascii="Cambria Math" w:hAnsi="Cambria Math"/>
              </w:rPr>
              <m:t>1</m:t>
            </m:r>
          </m:sub>
        </m:sSub>
      </m:oMath>
      <w:r w:rsidR="006572C9">
        <w:t xml:space="preserve"> and </w:t>
      </w:r>
      <m:oMath>
        <m:sSub>
          <m:sSubPr>
            <m:ctrlPr>
              <w:rPr>
                <w:rFonts w:ascii="Cambria Math" w:hAnsi="Cambria Math"/>
                <w:i/>
              </w:rPr>
            </m:ctrlPr>
          </m:sSubPr>
          <m:e>
            <m:r>
              <w:rPr>
                <w:rFonts w:ascii="Cambria Math" w:hAnsi="Cambria Math"/>
              </w:rPr>
              <m:t>α</m:t>
            </m:r>
          </m:e>
          <m:sub>
            <m:r>
              <w:rPr>
                <w:rFonts w:ascii="Cambria Math" w:hAnsi="Cambria Math"/>
              </w:rPr>
              <m:t>2</m:t>
            </m:r>
          </m:sub>
        </m:sSub>
      </m:oMath>
      <w:r w:rsidR="006572C9">
        <w:t xml:space="preserve"> respectivley</w:t>
      </w:r>
      <w:r w:rsidR="00786A89">
        <w:t xml:space="preserve">.  As predicted by </w:t>
      </w:r>
      <w:r w:rsidR="00786A89" w:rsidRPr="002A33CF">
        <w:t>H</w:t>
      </w:r>
      <w:r w:rsidR="00786A89" w:rsidRPr="002A33CF">
        <w:rPr>
          <w:vertAlign w:val="subscript"/>
        </w:rPr>
        <w:t>1</w:t>
      </w:r>
      <w:r w:rsidR="00786A89">
        <w:rPr>
          <w:vertAlign w:val="subscript"/>
        </w:rPr>
        <w:t>a</w:t>
      </w:r>
      <w:r w:rsidR="00786A89">
        <w:t xml:space="preserve">, </w:t>
      </w:r>
      <w:r w:rsidR="00786A89">
        <w:rPr>
          <w:i/>
        </w:rPr>
        <w:t xml:space="preserve">FFDIFF </w:t>
      </w:r>
      <w:r w:rsidR="00786A89">
        <w:t xml:space="preserve">is positive and significant in all cases (at least p-value &lt;0.10).  This result is consistent for the </w:t>
      </w:r>
      <w:r w:rsidR="00395B7F">
        <w:t xml:space="preserve">full </w:t>
      </w:r>
      <w:r w:rsidR="00786A89">
        <w:t xml:space="preserve">sample and after ASC 280 implementation.  This result is economically significant; using regression (3) as a basis for comparison, for ten percent change in </w:t>
      </w:r>
      <w:r w:rsidR="00786A89">
        <w:rPr>
          <w:i/>
        </w:rPr>
        <w:t>FFDIFF</w:t>
      </w:r>
      <w:r w:rsidR="00786A89">
        <w:t xml:space="preserve">, there is a 1.1 percent increase in excess value.  While this result may not seem large, small percentage changes </w:t>
      </w:r>
      <w:r w:rsidR="00BA27E1">
        <w:t xml:space="preserve">in differentiation </w:t>
      </w:r>
      <w:r w:rsidR="00786A89">
        <w:t>result</w:t>
      </w:r>
      <w:r w:rsidR="00BA27E1">
        <w:t>s</w:t>
      </w:r>
      <w:r w:rsidR="00786A89">
        <w:t xml:space="preserve"> in large changes in dollar values.  Holding constant mean values, a ten percent increase in </w:t>
      </w:r>
      <w:r w:rsidR="00786A89">
        <w:rPr>
          <w:i/>
        </w:rPr>
        <w:t>FFDIFF—</w:t>
      </w:r>
      <w:r w:rsidR="00786A89">
        <w:t xml:space="preserve">equivalent to reporting an additional 3.7 percent of differentiating segment sales—increases implied value by roughly $66.54 million when </w:t>
      </w:r>
      <w:r w:rsidR="00BA27E1">
        <w:t xml:space="preserve">excess value is estimated using </w:t>
      </w:r>
      <w:r w:rsidR="00786A89">
        <w:t xml:space="preserve">revenues and $57.40 million when </w:t>
      </w:r>
      <w:r w:rsidR="00BA27E1">
        <w:t>excess value is estimated using assets</w:t>
      </w:r>
      <w:r w:rsidR="00786A89">
        <w:t>.</w:t>
      </w:r>
      <w:r w:rsidR="00786A89">
        <w:rPr>
          <w:rStyle w:val="FootnoteReference"/>
        </w:rPr>
        <w:footnoteReference w:id="32"/>
      </w:r>
    </w:p>
    <w:p w:rsidR="00786A89" w:rsidRDefault="00786A89" w:rsidP="00786A89">
      <w:pPr>
        <w:ind w:firstLine="720"/>
      </w:pPr>
      <w:r>
        <w:t>H</w:t>
      </w:r>
      <w:r>
        <w:rPr>
          <w:vertAlign w:val="subscript"/>
        </w:rPr>
        <w:t>1b</w:t>
      </w:r>
      <w:r>
        <w:t xml:space="preserve"> predicts the average level of segment differentiation within a peer group, </w:t>
      </w:r>
      <w:r>
        <w:rPr>
          <w:i/>
        </w:rPr>
        <w:t>PFDIFF</w:t>
      </w:r>
      <w:r>
        <w:t>, will be positive (</w:t>
      </w:r>
      <m:oMath>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&gt;0</m:t>
        </m:r>
      </m:oMath>
      <w:r>
        <w:t xml:space="preserve">).  Results for multi-segment firms in panel A are </w:t>
      </w:r>
      <w:r>
        <w:lastRenderedPageBreak/>
        <w:t xml:space="preserve">positive and significant indicating that peer group differentiation provides information associated with higher focal firm excess value (at least p-value &lt; 0.10).  </w:t>
      </w:r>
      <w:r>
        <w:rPr>
          <w:i/>
        </w:rPr>
        <w:t>PFDIFF</w:t>
      </w:r>
      <w:r>
        <w:t xml:space="preserve"> has an equally important economic significance.  For a ten percent change in </w:t>
      </w:r>
      <w:r>
        <w:rPr>
          <w:i/>
        </w:rPr>
        <w:t xml:space="preserve">PFDIFF </w:t>
      </w:r>
      <w:r>
        <w:t xml:space="preserve">—the average level of differentiating segments within a peer group increases by 2 percent—focal firm excess value is associated with an increase of 1.5 percent for implied value.  This result indicates an increase by roughly $90.38 million when excess value </w:t>
      </w:r>
      <w:r w:rsidR="00BA27E1">
        <w:t xml:space="preserve">is estimated using revenues </w:t>
      </w:r>
      <w:r>
        <w:t>and $77.97 million when excess value</w:t>
      </w:r>
      <w:r w:rsidR="00BA27E1">
        <w:t xml:space="preserve"> is estimated using assets</w:t>
      </w:r>
      <w:r>
        <w:t>.</w:t>
      </w:r>
      <w:r>
        <w:rPr>
          <w:rStyle w:val="FootnoteReference"/>
        </w:rPr>
        <w:footnoteReference w:id="33"/>
      </w:r>
      <w:r>
        <w:t xml:space="preserve">  It is important to note that </w:t>
      </w:r>
      <w:r>
        <w:rPr>
          <w:i/>
        </w:rPr>
        <w:t>FFDIFF</w:t>
      </w:r>
      <w:r>
        <w:t xml:space="preserve"> has incremental explanatory power once </w:t>
      </w:r>
      <w:r>
        <w:rPr>
          <w:i/>
        </w:rPr>
        <w:t>PFDIFF</w:t>
      </w:r>
      <w:r>
        <w:t xml:space="preserve"> is included in the model, indicating that the focal firm will benefit from reporting differentiating segments even though peer firm differentiation exists. Overall, these results are consistent with </w:t>
      </w:r>
      <w:r>
        <w:fldChar w:fldCharType="begin"/>
      </w:r>
      <w:r w:rsidR="0091777F">
        <w:instrText xml:space="preserve"> ADDIN EN.CITE &lt;EndNote&gt;&lt;Cite AuthorYear="1"&gt;&lt;Author&gt;Lambert&lt;/Author&gt;&lt;Year&gt;2007&lt;/Year&gt;&lt;RecNum&gt;97&lt;/RecNum&gt;&lt;DisplayText&gt;Lambert,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t>: both focal firm and peer firms disclosure precision will positively affect focal firm value.</w:t>
      </w:r>
    </w:p>
    <w:p w:rsidR="00786A89" w:rsidRDefault="00786A89" w:rsidP="00786A89">
      <w:pPr>
        <w:ind w:firstLine="720"/>
      </w:pPr>
      <w:r>
        <w:t xml:space="preserve">It is important to note </w:t>
      </w:r>
      <w:r w:rsidR="00C64524">
        <w:t>the coefficients</w:t>
      </w:r>
      <w:r>
        <w:t xml:space="preserve"> </w:t>
      </w:r>
      <w:r w:rsidR="00C64524">
        <w:t xml:space="preserve">for </w:t>
      </w:r>
      <w:r>
        <w:rPr>
          <w:i/>
        </w:rPr>
        <w:t>NumSeg</w:t>
      </w:r>
      <w:r>
        <w:t xml:space="preserve"> and </w:t>
      </w:r>
      <w:r w:rsidRPr="00BC0BA1">
        <w:rPr>
          <w:i/>
        </w:rPr>
        <w:t>Related</w:t>
      </w:r>
      <w:r>
        <w:rPr>
          <w:i/>
        </w:rPr>
        <w:t xml:space="preserve"> </w:t>
      </w:r>
      <w:r>
        <w:t>for multi-segment firms</w:t>
      </w:r>
      <w:r w:rsidRPr="00BC0BA1">
        <w:t xml:space="preserve">.  </w:t>
      </w:r>
      <w:r>
        <w:t xml:space="preserve">These variables hold constant </w:t>
      </w:r>
      <w:r w:rsidR="00225DD1">
        <w:t>operational diversity of the firm</w:t>
      </w:r>
      <w:r>
        <w:t xml:space="preserve">, </w:t>
      </w:r>
      <w:r w:rsidR="00225DD1">
        <w:t>often related to the diversification discount</w:t>
      </w:r>
      <w:r>
        <w:t xml:space="preserve">.  Previous literature is mixed on predictions for </w:t>
      </w:r>
      <w:r>
        <w:rPr>
          <w:i/>
        </w:rPr>
        <w:t>NumSeg</w:t>
      </w:r>
      <w:r>
        <w:t xml:space="preserve"> and </w:t>
      </w:r>
      <w:r>
        <w:rPr>
          <w:i/>
        </w:rPr>
        <w:t>Related</w:t>
      </w:r>
      <w:r>
        <w:t xml:space="preserve">.  If diversified firms are valued at a discount, then </w:t>
      </w:r>
      <w:r>
        <w:rPr>
          <w:i/>
        </w:rPr>
        <w:t xml:space="preserve">NumSeg </w:t>
      </w:r>
      <w:r>
        <w:t xml:space="preserve">will be negative and </w:t>
      </w:r>
      <w:r>
        <w:rPr>
          <w:i/>
        </w:rPr>
        <w:t>Related</w:t>
      </w:r>
      <w:r>
        <w:t xml:space="preserve"> will be positive.  If diversified firms are valued at a premium, </w:t>
      </w:r>
      <w:r>
        <w:rPr>
          <w:i/>
        </w:rPr>
        <w:t>NumSeg</w:t>
      </w:r>
      <w:r>
        <w:t xml:space="preserve"> will be positive and </w:t>
      </w:r>
      <w:r>
        <w:rPr>
          <w:i/>
        </w:rPr>
        <w:t>Related</w:t>
      </w:r>
      <w:r>
        <w:t xml:space="preserve"> will be negative.  Table 4 Panel A indicates that </w:t>
      </w:r>
      <w:r>
        <w:rPr>
          <w:i/>
        </w:rPr>
        <w:t xml:space="preserve">NumSeg </w:t>
      </w:r>
      <w:r w:rsidRPr="00BC0BA1">
        <w:t>is</w:t>
      </w:r>
      <w:r>
        <w:t xml:space="preserve"> negative and </w:t>
      </w:r>
      <w:r>
        <w:rPr>
          <w:i/>
        </w:rPr>
        <w:t xml:space="preserve">Related </w:t>
      </w:r>
      <w:r>
        <w:t xml:space="preserve">is positive (at least p-values &lt; 0.05), indicating that multi-segment firms receive a discount on average.  While reporting differentiating segments improves value, it is insufficient to completely overcome the diversification </w:t>
      </w:r>
      <w:r>
        <w:lastRenderedPageBreak/>
        <w:t>discount on average.  Continuing with our previous example from regression (3) of table 4, the average firm would increase implied value by $156.92 million if sales are used to estimate excess value and $135.37 million if assets are used to estimate excess value.  The average difference between market value and implied value for multi-segment firms is $1,279.29 million if sales are used to estimate excess value and $439.24 million if assets are used to estimate excess value.  Thus, the diversification discount is reduced but not eliminated.  The remaining variables are consistent with previous literature.</w:t>
      </w:r>
    </w:p>
    <w:p w:rsidR="00786A89" w:rsidRDefault="00786A89" w:rsidP="00786A89">
      <w:pPr>
        <w:pStyle w:val="Heading3"/>
      </w:pPr>
      <w:bookmarkStart w:id="27" w:name="_Toc414633045"/>
      <w:r>
        <w:t>Single Segment Firm Differentiation</w:t>
      </w:r>
      <w:bookmarkEnd w:id="27"/>
    </w:p>
    <w:p w:rsidR="00786A89" w:rsidRDefault="00786A89" w:rsidP="00786A89">
      <w:pPr>
        <w:ind w:firstLine="720"/>
      </w:pPr>
      <w:r>
        <w:t xml:space="preserve">Although single segment firms do not suffer from issues that may create or destroy value due to diversification, </w:t>
      </w:r>
      <w:r>
        <w:fldChar w:fldCharType="begin"/>
      </w:r>
      <w:r w:rsidR="0091777F">
        <w:instrText xml:space="preserve"> ADDIN EN.CITE &lt;EndNote&gt;&lt;Cite AuthorYear="1"&gt;&lt;Author&gt;Lambert&lt;/Author&gt;&lt;Year&gt;2007&lt;/Year&gt;&lt;RecNum&gt;97&lt;/RecNum&gt;&lt;DisplayText&gt;Lambert, Leuz, and Verrecchia (2007)&lt;/DisplayText&gt;&lt;record&gt;&lt;rec-number&gt;97&lt;/rec-number&gt;&lt;foreign-keys&gt;&lt;key app="EN" db-id="0svx9dsr8pfxzmere98xdw5cr9vx9fdw2wrt" timestamp="1392430101"&gt;97&lt;/key&gt;&lt;key app="ENWeb" db-id=""&gt;0&lt;/key&gt;&lt;/foreign-keys&gt;&lt;ref-type name="Journal Article"&gt;17&lt;/ref-type&gt;&lt;contributors&gt;&lt;authors&gt;&lt;author&gt;Lambert, Richard&lt;/author&gt;&lt;author&gt;Leuz, Christian&lt;/author&gt;&lt;author&gt;Verrecchia, Robert E.&lt;/author&gt;&lt;/authors&gt;&lt;/contributors&gt;&lt;titles&gt;&lt;title&gt;Accounting Information, Disclosure, and the Cost of Capital&lt;/title&gt;&lt;secondary-title&gt;Journal of Accounting Research&lt;/secondary-title&gt;&lt;/titles&gt;&lt;periodical&gt;&lt;full-title&gt;Journal of Accounting Research&lt;/full-title&gt;&lt;/periodical&gt;&lt;pages&gt;385-420&lt;/pages&gt;&lt;volume&gt;45&lt;/volume&gt;&lt;number&gt;2&lt;/number&gt;&lt;keywords&gt;&lt;keyword&gt;CASH management&lt;/keyword&gt;&lt;keyword&gt;COST accounting&lt;/keyword&gt;&lt;keyword&gt;RESEARCH&lt;/keyword&gt;&lt;keyword&gt;CAPITAL costs&lt;/keyword&gt;&lt;keyword&gt;ACCOUNTING&lt;/keyword&gt;&lt;keyword&gt;CORPORATIONS -- Finance&lt;/keyword&gt;&lt;keyword&gt;DEBT management&lt;/keyword&gt;&lt;keyword&gt;CASH flow&lt;/keyword&gt;&lt;keyword&gt;DISCLOSURE&lt;/keyword&gt;&lt;/keywords&gt;&lt;dates&gt;&lt;year&gt;2007&lt;/year&gt;&lt;/dates&gt;&lt;publisher&gt;Wiley-Blackwell&lt;/publisher&gt;&lt;isbn&gt;00218456&lt;/isbn&gt;&lt;accession-num&gt;24410347&lt;/accession-num&gt;&lt;work-type&gt;Article&lt;/work-type&gt;&lt;urls&gt;&lt;related-urls&gt;&lt;url&gt;http://libraries.ou.edu/access.aspx?url=http://search.ebscohost.com/login.aspx?direct=true&amp;amp;db=buh&amp;amp;AN=24410347&amp;amp;site=ehost-live&lt;/url&gt;&lt;url&gt;http://onlinelibrary.wiley.com/store/10.1111/j.1475-679X.2007.00238.x/asset/j.1475-679X.2007.00238.x.pdf?v=1&amp;amp;t=hr2k5mbk&amp;amp;s=7ae2f7e6f1282dfd0a1417f8d9b5cb99bfd90611&lt;/url&gt;&lt;/related-urls&gt;&lt;/urls&gt;&lt;electronic-resource-num&gt;10.1111/j.1475-679X.2007.00238.x&lt;/electronic-resource-num&gt;&lt;remote-database-name&gt;buh&lt;/remote-database-name&gt;&lt;remote-database-provider&gt;EBSCOhost&lt;/remote-database-provider&gt;&lt;/record&gt;&lt;/Cite&gt;&lt;/EndNote&gt;</w:instrText>
      </w:r>
      <w:r>
        <w:fldChar w:fldCharType="separate"/>
      </w:r>
      <w:r w:rsidR="0091777F">
        <w:rPr>
          <w:noProof/>
        </w:rPr>
        <w:t>Lambert, Leuz, and Verrecchia (2007)</w:t>
      </w:r>
      <w:r>
        <w:fldChar w:fldCharType="end"/>
      </w:r>
      <w:r>
        <w:t xml:space="preserve"> suggest that single-segment firms will benefit from increased disclosure precision.  Thus, single-segment firms operating in niche areas</w:t>
      </w:r>
      <w:r w:rsidR="00816C4B">
        <w:t xml:space="preserve"> considerably </w:t>
      </w:r>
      <w:r>
        <w:t>different from market competitors w</w:t>
      </w:r>
      <w:r w:rsidR="00C424F7">
        <w:t>ill benefit from differentiating their operations from competitors, reducing</w:t>
      </w:r>
      <w:r>
        <w:t xml:space="preserve"> covariances between itself and its peer group.  Further, single segment firms will also benefit from the reduced covariance from higher levels of average peer firm differentiation within the peer group.</w:t>
      </w:r>
    </w:p>
    <w:p w:rsidR="00786A89" w:rsidRDefault="00687C45" w:rsidP="00786A89">
      <w:pPr>
        <w:ind w:firstLine="720"/>
      </w:pPr>
      <w:r>
        <w:t xml:space="preserve">Table 4 </w:t>
      </w:r>
      <w:r w:rsidR="00786A89">
        <w:t xml:space="preserve">Panel B provides results for single segment firms.  </w:t>
      </w:r>
      <w:r w:rsidR="00786A89">
        <w:rPr>
          <w:i/>
        </w:rPr>
        <w:t xml:space="preserve">FFDIFF </w:t>
      </w:r>
      <w:r w:rsidR="00786A89">
        <w:t xml:space="preserve">for single segment firms is positively associated with excess value in all cases and highly significant (at least p-value &lt; 0.01), suggesting differentiating single segment firms are associated with a higher valuation.  This result is also economically significant; a single-segment firm that reports with a differentiating SIC code is associated with a </w:t>
      </w:r>
      <w:r w:rsidR="00786A89">
        <w:lastRenderedPageBreak/>
        <w:t>$518.42 million increase when revenues are used to estimate excess value and $503.31 million when assets are used to estimate excess value.</w:t>
      </w:r>
    </w:p>
    <w:p w:rsidR="00786A89" w:rsidRDefault="00786A89" w:rsidP="00786A89">
      <w:pPr>
        <w:ind w:firstLine="720"/>
      </w:pPr>
      <w:r>
        <w:t xml:space="preserve">Similarly, </w:t>
      </w:r>
      <w:r>
        <w:rPr>
          <w:i/>
        </w:rPr>
        <w:t>PFDIFF</w:t>
      </w:r>
      <w:r>
        <w:t xml:space="preserve"> is positive and significant in regressions (at least p-values &lt; 0.05).  This result is also economically significant.  If the average level of peer firm differentiation within the peer group increases by ten percent—an increase of 1.5 percent in differentiating sales—focal firm excess value is associated with a $26.52 million increase when sales are used to estimate excess value and a $25.75 million increase when assets are used to estimate excess value.</w:t>
      </w:r>
    </w:p>
    <w:p w:rsidR="00786A89" w:rsidRDefault="00786A89" w:rsidP="00786A89">
      <w:pPr>
        <w:pStyle w:val="Heading2"/>
      </w:pPr>
      <w:bookmarkStart w:id="28" w:name="_Toc414633046"/>
      <w:r>
        <w:t>Multivariate Analyses of Externalities in Segment Reporting</w:t>
      </w:r>
      <w:bookmarkEnd w:id="28"/>
    </w:p>
    <w:p w:rsidR="00A7280B" w:rsidRDefault="00A7280B" w:rsidP="00A7280B">
      <w:pPr>
        <w:ind w:firstLine="720"/>
      </w:pPr>
      <w:r>
        <w:t>To test for externalities in segment reporting, I use the standard change from SFAS No. 14 to ASC 280.  Given the sample period from the previous test is mostly comprised of firm-year observations after ASC 280 implementation, I limit my sample to firm-year observations from 1996 to 2001.</w:t>
      </w:r>
    </w:p>
    <w:p w:rsidR="00A7280B" w:rsidRDefault="00A7280B" w:rsidP="00A7280B">
      <w:pPr>
        <w:ind w:firstLine="720"/>
      </w:pPr>
      <w:r>
        <w:t xml:space="preserve">There are three possible reporting groups when examining the change in segment reporting: 1) no change in segment reporting for both single and multi-segment firms; 2) firms that reported a single segment under SFAS No. 14 and multiple segments under ASC 280; </w:t>
      </w:r>
      <w:r w:rsidR="00816C4B">
        <w:t xml:space="preserve">and </w:t>
      </w:r>
      <w:r>
        <w:t xml:space="preserve">3) firms that reported multiple segments under SFAS No. 14 and increased the number of reported segments under ASC 280.  Firms with no change in the number of reported segments have constant segment reporting quality across the standard change.  Firms reporting a single segment under SFAS No. 14 and multiple segments under ASC 280 have been shown to have poor segment reporting quality, often hiding poor performing segments </w:t>
      </w:r>
      <w:r>
        <w:fldChar w:fldCharType="begin">
          <w:fldData xml:space="preserve">PEVuZE5vdGU+PENpdGU+PEF1dGhvcj5CZXJnZXI8L0F1dGhvcj48WWVhcj4yMDAzPC9ZZWFyPjxS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</w:fldData>
        </w:fldChar>
      </w:r>
      <w:r w:rsidR="0091777F">
        <w:instrText xml:space="preserve"> ADDIN EN.CITE </w:instrText>
      </w:r>
      <w:r w:rsidR="0091777F">
        <w:fldChar w:fldCharType="begin">
          <w:fldData xml:space="preserve">PEVuZE5vdGU+PENpdGU+PEF1dGhvcj5CZXJnZXI8L0F1dGhvcj48WWVhcj4yMDAzPC9ZZWFyPjxS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</w:fldData>
        </w:fldChar>
      </w:r>
      <w:r w:rsidR="0091777F">
        <w:instrText xml:space="preserve"> ADDIN EN.CITE.DATA </w:instrText>
      </w:r>
      <w:r w:rsidR="0091777F">
        <w:fldChar w:fldCharType="end"/>
      </w:r>
      <w:r>
        <w:fldChar w:fldCharType="separate"/>
      </w:r>
      <w:r w:rsidR="0091777F">
        <w:rPr>
          <w:noProof/>
        </w:rPr>
        <w:t xml:space="preserve">(Berger and Hann 2003, Botosan and </w:t>
      </w:r>
      <w:r w:rsidR="0091777F">
        <w:rPr>
          <w:noProof/>
        </w:rPr>
        <w:lastRenderedPageBreak/>
        <w:t>Stanford 2005)</w:t>
      </w:r>
      <w:r>
        <w:fldChar w:fldCharType="end"/>
      </w:r>
      <w:r>
        <w:t>.  Firms with multiple segments that increased the number of segments improve their segment reporting quality.</w:t>
      </w:r>
    </w:p>
    <w:p w:rsidR="00D340C8" w:rsidRDefault="00D340C8" w:rsidP="00D340C8">
      <w:pPr>
        <w:ind w:firstLine="720"/>
      </w:pPr>
      <w:r>
        <w:t>To test H</w:t>
      </w:r>
      <w:r>
        <w:rPr>
          <w:vertAlign w:val="subscript"/>
        </w:rPr>
        <w:t>2</w:t>
      </w:r>
      <w:r>
        <w:t xml:space="preserve">, I create an indicator variable, </w:t>
      </w:r>
      <w:r>
        <w:rPr>
          <w:i/>
        </w:rPr>
        <w:t>Post</w:t>
      </w:r>
      <w:r>
        <w:t xml:space="preserve">, equal to 1 if the firm-year observation is after ASC 280 implementation, zero otherwise.  I interact </w:t>
      </w:r>
      <w:r>
        <w:rPr>
          <w:i/>
        </w:rPr>
        <w:t>Post</w:t>
      </w:r>
      <w:r>
        <w:t xml:space="preserve"> with my main variables of interest, </w:t>
      </w:r>
      <w:r>
        <w:rPr>
          <w:i/>
        </w:rPr>
        <w:t>FFDIFF</w:t>
      </w:r>
      <w:r>
        <w:t xml:space="preserve"> and </w:t>
      </w:r>
      <w:r>
        <w:rPr>
          <w:i/>
        </w:rPr>
        <w:t>PFDIFF</w:t>
      </w:r>
      <w:r>
        <w:t xml:space="preserve">.  </w:t>
      </w:r>
      <w:r w:rsidR="00A7280B">
        <w:t xml:space="preserve">If increases in segment reporting create externalities, then the effects observed in equation (6) </w:t>
      </w:r>
      <w:r w:rsidR="004B3993">
        <w:t>will</w:t>
      </w:r>
      <w:r w:rsidR="00A7280B">
        <w:t xml:space="preserve"> be stronger post ASC 280 implementation</w:t>
      </w:r>
      <w:r>
        <w:t>.  I</w:t>
      </w:r>
      <w:r w:rsidR="00A7280B">
        <w:t>f the reduced covariance improves excess value more than</w:t>
      </w:r>
      <w:r>
        <w:t xml:space="preserve"> potential harm due to disclosing</w:t>
      </w:r>
      <w:r w:rsidR="00A7280B">
        <w:t xml:space="preserve"> poor performing segments</w:t>
      </w:r>
      <w:r>
        <w:t xml:space="preserve">, then the interaction between </w:t>
      </w:r>
      <w:r w:rsidRPr="00D340C8">
        <w:rPr>
          <w:i/>
        </w:rPr>
        <w:t>FFDIFF</w:t>
      </w:r>
      <w:r>
        <w:t xml:space="preserve"> and </w:t>
      </w:r>
      <w:r>
        <w:rPr>
          <w:i/>
        </w:rPr>
        <w:t>PFDIFF</w:t>
      </w:r>
      <w:r>
        <w:t xml:space="preserve"> and the post indicator </w:t>
      </w:r>
      <w:r w:rsidRPr="00D340C8">
        <w:t>will</w:t>
      </w:r>
      <w:r>
        <w:t xml:space="preserve"> be positive</w:t>
      </w:r>
      <w:r w:rsidR="00A7280B">
        <w:t>.</w:t>
      </w:r>
      <w:r>
        <w:t xml:space="preserve">  If disclosure of poor performing segments not previously reported is revealed due to the standard change, then additional disclosure may outweigh the effect due to the reduced covariance between firms.</w:t>
      </w:r>
    </w:p>
    <w:p w:rsidR="00A7280B" w:rsidRDefault="00A7280B" w:rsidP="00A7280B">
      <w:pPr>
        <w:ind w:firstLine="720"/>
      </w:pPr>
      <w:r>
        <w:t xml:space="preserve">Table 5 presents results for estimation of equation (7).  Panel A provides results for firms with no changes in segment reporting, regressions (1) through (6) for single segment firms and regressions (7) through (12) for multi-segment firms.  Only in regression (4), when </w:t>
      </w:r>
      <w:r>
        <w:rPr>
          <w:i/>
        </w:rPr>
        <w:t>FFDIFF</w:t>
      </w:r>
      <w:r>
        <w:t xml:space="preserve"> is regressed alone with excess value using assets, do single segment firms with no change receive additional value due to increased differentiation, </w:t>
      </w:r>
      <w:r>
        <w:rPr>
          <w:i/>
        </w:rPr>
        <w:t>Post * FFDIFF</w:t>
      </w:r>
      <w:r>
        <w:t xml:space="preserve"> &gt; 0 (p-value &lt; 0.1), consistent with the idea that improved mandatory disclosure increased the role of focal firm differentiation, a positive externality.  There is no evidence of peer firm differentiation having a larger effect after ASC 280 for single segment firms with no change in segment reporting quality.</w:t>
      </w:r>
    </w:p>
    <w:p w:rsidR="00A7280B" w:rsidRPr="002874DB" w:rsidRDefault="00A7280B" w:rsidP="00A7280B">
      <w:pPr>
        <w:ind w:firstLine="720"/>
      </w:pPr>
      <w:r>
        <w:lastRenderedPageBreak/>
        <w:t xml:space="preserve">For multi-segment firms that did not change segment reporting, </w:t>
      </w:r>
      <w:r w:rsidRPr="00284260">
        <w:t>r</w:t>
      </w:r>
      <w:r>
        <w:t xml:space="preserve">egressions (8) and (9) (using revenues to estimate excess value and </w:t>
      </w:r>
      <w:r>
        <w:rPr>
          <w:i/>
        </w:rPr>
        <w:t>PFDIFF</w:t>
      </w:r>
      <w:r>
        <w:t>) show peer firm differentiation under higher mandatory reporting precision has a negative effect on excess value (at least p-value &lt; 0.05), consistent with negative externalities.</w:t>
      </w:r>
    </w:p>
    <w:p w:rsidR="00A7280B" w:rsidRPr="00763EBF" w:rsidRDefault="00A7280B" w:rsidP="00A7280B">
      <w:pPr>
        <w:ind w:firstLine="720"/>
      </w:pPr>
      <w:r>
        <w:t>Table 5 panel B provides results for firms with increases in segment reporting</w:t>
      </w:r>
      <w:r w:rsidR="007C1EB2">
        <w:t xml:space="preserve"> after ASC 280 implementation</w:t>
      </w:r>
      <w:r>
        <w:t xml:space="preserve">. Regressions (1) through (6) are for firms that changed from single segment firms to multi segment firms, and regressions (7) through (12) are for firms that reported more segments after ASC 280 implementation.  For firms reporting a single segment then multiple segments, </w:t>
      </w:r>
      <w:r>
        <w:rPr>
          <w:i/>
        </w:rPr>
        <w:t xml:space="preserve">Post * FFDIFF </w:t>
      </w:r>
      <w:r w:rsidRPr="00284260">
        <w:t>is negative</w:t>
      </w:r>
      <w:r>
        <w:t xml:space="preserve"> (at least p-value &lt; 0.10).  This is consistent with the idea that these firms were actually multi-segment firms and aggregated segments to hide poorly performing, value-destroying segments </w:t>
      </w:r>
      <w:r>
        <w:fldChar w:fldCharType="begin">
          <w:fldData xml:space="preserve">PEVuZE5vdGU+PENpdGU+PEF1dGhvcj5CZXJnZXI8L0F1dGhvcj48WWVhcj4yMDAzPC9ZZWFyPjxS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</w:fldData>
        </w:fldChar>
      </w:r>
      <w:r w:rsidR="0091777F">
        <w:instrText xml:space="preserve"> ADDIN EN.CITE </w:instrText>
      </w:r>
      <w:r w:rsidR="0091777F">
        <w:fldChar w:fldCharType="begin">
          <w:fldData xml:space="preserve">PEVuZE5vdGU+PENpdGU+PEF1dGhvcj5CZXJnZXI8L0F1dGhvcj48WWVhcj4yMDAzPC9ZZWFyPjxS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</w:fldData>
        </w:fldChar>
      </w:r>
      <w:r w:rsidR="0091777F">
        <w:instrText xml:space="preserve"> ADDIN EN.CITE.DATA </w:instrText>
      </w:r>
      <w:r w:rsidR="0091777F">
        <w:fldChar w:fldCharType="end"/>
      </w:r>
      <w:r>
        <w:fldChar w:fldCharType="separate"/>
      </w:r>
      <w:r w:rsidR="0091777F">
        <w:rPr>
          <w:noProof/>
        </w:rPr>
        <w:t>(Berger and Hann 2003, Berger and Hann 2007)</w:t>
      </w:r>
      <w:r>
        <w:fldChar w:fldCharType="end"/>
      </w:r>
      <w:r>
        <w:t>.</w:t>
      </w:r>
      <w:r w:rsidR="00A235EA">
        <w:t xml:space="preserve">  Thus, disclosing differentiating segments has a larger, negative impact after the standard change.</w:t>
      </w:r>
      <w:r>
        <w:t xml:space="preserve">  For multi-segment firms that increased segment reporting after implementation, regression (8) using revenues to estimate excess value </w:t>
      </w:r>
      <w:r w:rsidRPr="00FD5F7B">
        <w:t>indicates</w:t>
      </w:r>
      <w:r>
        <w:t xml:space="preserve"> the impact of </w:t>
      </w:r>
      <w:r w:rsidRPr="003456FE">
        <w:rPr>
          <w:i/>
        </w:rPr>
        <w:t>PFDIFF</w:t>
      </w:r>
      <w:r>
        <w:t xml:space="preserve"> on excess value increases after implementation (p-value &lt; 0.05).</w:t>
      </w:r>
    </w:p>
    <w:p w:rsidR="00A7280B" w:rsidRDefault="00A7280B" w:rsidP="00A7280B">
      <w:pPr>
        <w:ind w:firstLine="720"/>
      </w:pPr>
      <w:r>
        <w:t xml:space="preserve">Overall, results indicate </w:t>
      </w:r>
      <w:r w:rsidR="008D1A9F">
        <w:t>segment differentiation create</w:t>
      </w:r>
      <w:r>
        <w:t xml:space="preserve"> externalities.  The direction of the externalities is inconclusive.</w:t>
      </w:r>
    </w:p>
    <w:p w:rsidR="00A7280B" w:rsidRDefault="00A7280B">
      <w:pPr>
        <w:spacing w:line="240" w:lineRule="auto"/>
      </w:pPr>
      <w:r>
        <w:br w:type="page"/>
      </w:r>
    </w:p>
    <w:p w:rsidR="00786A89" w:rsidRDefault="00A7280B" w:rsidP="00A7280B">
      <w:pPr>
        <w:pStyle w:val="Heading1"/>
      </w:pPr>
      <w:bookmarkStart w:id="29" w:name="_Toc414633047"/>
      <w:r>
        <w:lastRenderedPageBreak/>
        <w:t>Chapter 5: Robustness and Other Tests</w:t>
      </w:r>
      <w:bookmarkEnd w:id="29"/>
    </w:p>
    <w:p w:rsidR="00A7280B" w:rsidRDefault="00A7280B" w:rsidP="00A7280B">
      <w:pPr>
        <w:pStyle w:val="Heading2"/>
      </w:pPr>
      <w:bookmarkStart w:id="30" w:name="_Toc414633048"/>
      <w:r>
        <w:t>Varying the Cutoff of the Core Industry Portfolio</w:t>
      </w:r>
      <w:bookmarkEnd w:id="30"/>
    </w:p>
    <w:p w:rsidR="00A7280B" w:rsidRDefault="00A7280B" w:rsidP="00A7280B">
      <w:pPr>
        <w:ind w:firstLine="360"/>
      </w:pPr>
      <w:r>
        <w:t xml:space="preserve">The peer group industry portfolio is constructed by selecting SIC codes disclosed by at least 5 percent of TNIC peers.  Varying this cutoff does not alter interpretation of the results.  In untabulated results, if no cutoff is made, both </w:t>
      </w:r>
      <w:r>
        <w:rPr>
          <w:i/>
        </w:rPr>
        <w:t xml:space="preserve">FFDIFF </w:t>
      </w:r>
      <w:r>
        <w:t xml:space="preserve">and </w:t>
      </w:r>
      <w:r>
        <w:rPr>
          <w:i/>
        </w:rPr>
        <w:t>PFDIFF</w:t>
      </w:r>
      <w:r>
        <w:t xml:space="preserve"> remain positive and significant for multi-segment firms in all cases (at least p-value &lt; 0.10) except for when </w:t>
      </w:r>
      <w:r>
        <w:rPr>
          <w:i/>
        </w:rPr>
        <w:t xml:space="preserve">FFDIFF </w:t>
      </w:r>
      <w:r>
        <w:t xml:space="preserve">and </w:t>
      </w:r>
      <w:r>
        <w:rPr>
          <w:i/>
        </w:rPr>
        <w:t>PFDIFF</w:t>
      </w:r>
      <w:r>
        <w:t xml:space="preserve"> are included in the same regression and assets are used to estimate excess value.  In that case, </w:t>
      </w:r>
      <w:r w:rsidRPr="003051FD">
        <w:rPr>
          <w:i/>
        </w:rPr>
        <w:t>FFDIFF</w:t>
      </w:r>
      <w:r>
        <w:t xml:space="preserve"> is no longer significant at any level.  </w:t>
      </w:r>
      <w:r w:rsidRPr="003051FD">
        <w:t>Also</w:t>
      </w:r>
      <w:r>
        <w:t xml:space="preserve"> multi-segment firms continue to exhibit a diversification discount; </w:t>
      </w:r>
      <w:r>
        <w:rPr>
          <w:i/>
        </w:rPr>
        <w:t xml:space="preserve">NumSeg </w:t>
      </w:r>
      <w:r>
        <w:t xml:space="preserve">is negative and </w:t>
      </w:r>
      <w:r>
        <w:rPr>
          <w:i/>
        </w:rPr>
        <w:t xml:space="preserve">Related </w:t>
      </w:r>
      <w:r>
        <w:t xml:space="preserve">is positive.  Results for single segment firms are also positive and significant in all cases; both </w:t>
      </w:r>
      <w:r>
        <w:rPr>
          <w:i/>
        </w:rPr>
        <w:t xml:space="preserve">FFDIFF </w:t>
      </w:r>
      <w:r>
        <w:t xml:space="preserve">and </w:t>
      </w:r>
      <w:r>
        <w:rPr>
          <w:i/>
        </w:rPr>
        <w:t>PFDIFF</w:t>
      </w:r>
      <w:r>
        <w:t xml:space="preserve"> are associated with higher levels of excess value (p-value &lt; 0.001).</w:t>
      </w:r>
    </w:p>
    <w:p w:rsidR="00A7280B" w:rsidRPr="001A419F" w:rsidRDefault="00A7280B" w:rsidP="00A7280B">
      <w:pPr>
        <w:ind w:firstLine="360"/>
      </w:pPr>
      <w:r>
        <w:t xml:space="preserve">On the other extreme, if the cutoff of peer firms disclosing SIC codes is made at 25 percent of TNIC peer firms disclosing the SIC code, results remain consistent.  For multi-segment firms, </w:t>
      </w:r>
      <w:r>
        <w:rPr>
          <w:i/>
        </w:rPr>
        <w:t>FFDIFF</w:t>
      </w:r>
      <w:r>
        <w:t xml:space="preserve"> is positively associated with excess value in all cases (p-value &lt; 0.001) and </w:t>
      </w:r>
      <w:r>
        <w:rPr>
          <w:i/>
        </w:rPr>
        <w:t>PFDIFF</w:t>
      </w:r>
      <w:r>
        <w:t xml:space="preserve"> is positively associated with higher levels of excess value (at least p-value &lt; 0.05) but only when revenues are used to estimate excess value.  For single segment firms, </w:t>
      </w:r>
      <w:r>
        <w:rPr>
          <w:i/>
        </w:rPr>
        <w:t xml:space="preserve">FFDIFF </w:t>
      </w:r>
      <w:r>
        <w:t xml:space="preserve">is positively associated with higher levels of excess value in all cases (p-value &lt; 0.001) and </w:t>
      </w:r>
      <w:r>
        <w:rPr>
          <w:i/>
        </w:rPr>
        <w:t>PFDIFF</w:t>
      </w:r>
      <w:r>
        <w:t xml:space="preserve"> is positively associated with higher levels of excess value (at least p-value &lt; 0.05) except for when assets are used to estimate excess value and </w:t>
      </w:r>
      <w:r>
        <w:rPr>
          <w:i/>
        </w:rPr>
        <w:t>FFDIFF</w:t>
      </w:r>
      <w:r>
        <w:t xml:space="preserve"> is included in the regression.  Using other levels of cutoff provide similar results.</w:t>
      </w:r>
    </w:p>
    <w:p w:rsidR="00A7280B" w:rsidRPr="00A7280B" w:rsidRDefault="00A7280B" w:rsidP="00A7280B">
      <w:pPr>
        <w:pStyle w:val="Heading2"/>
      </w:pPr>
      <w:bookmarkStart w:id="31" w:name="_Toc414633049"/>
      <w:r>
        <w:lastRenderedPageBreak/>
        <w:t>Firms with Line of Business as Primary Segment Type</w:t>
      </w:r>
      <w:bookmarkEnd w:id="31"/>
    </w:p>
    <w:p w:rsidR="00A7280B" w:rsidRDefault="00A7280B" w:rsidP="00A7280B">
      <w:pPr>
        <w:ind w:firstLine="360"/>
      </w:pPr>
      <w:r>
        <w:t>Under ASC 280, firms are required to select a primary and secondary method of reporting segments.  Firms determine whether line of business or geographic segments are primary or secondary segments according to internal structure used for decision making.  Firms choosing geographic segments as their primary segment disclosure may not report line of business segments similar to firms that choose line of business as their primary segment disclosure type.  I eliminate firms that choose geographic segments as their primary segment type and estimate equation (6).</w:t>
      </w:r>
      <w:r>
        <w:rPr>
          <w:rStyle w:val="FootnoteReference"/>
        </w:rPr>
        <w:footnoteReference w:id="34"/>
      </w:r>
    </w:p>
    <w:p w:rsidR="00A7280B" w:rsidRDefault="00A7280B" w:rsidP="00A7280B">
      <w:pPr>
        <w:ind w:firstLine="360"/>
      </w:pPr>
      <w:r>
        <w:t>Table 6, regressions (1) and (2) provide estimations of equation (6).  Focal firm segment differentiation is positive and significant only when revenues are used to estimate excess value (p-value &lt; 0.001).  Focal firm segment differentiation is positive and significant when regressed without peer firm segment differentiation, results not tabulated.  Peer firm segment reporting differentiation is positive and significant in all cases (p-value &lt; 0.05).</w:t>
      </w:r>
    </w:p>
    <w:p w:rsidR="00786A89" w:rsidRDefault="00A7280B" w:rsidP="00A7280B">
      <w:pPr>
        <w:pStyle w:val="Heading2"/>
      </w:pPr>
      <w:bookmarkStart w:id="32" w:name="_Toc414633050"/>
      <w:r>
        <w:t>Changing the Comparison of Industry Codes</w:t>
      </w:r>
      <w:bookmarkEnd w:id="32"/>
    </w:p>
    <w:p w:rsidR="00A7280B" w:rsidRPr="00E6044E" w:rsidRDefault="00A7280B" w:rsidP="00A7280B">
      <w:pPr>
        <w:ind w:firstLine="360"/>
      </w:pPr>
      <w:r>
        <w:t xml:space="preserve">Excess value and peer group industry codes use SIC codes.  Using both SIC codes to define single segment peers when calculating excess value and comparing the focal firm to its peer group may create a mechanical relation driving the result.  I estimate equation (6) using NAICS codes and Fama-French 48 industry classifications as alternative definitions of industry comparison groups.  I require at least 5 percent of peer firms report same industry code to be included in the core peer group industry code </w:t>
      </w:r>
      <w:r>
        <w:lastRenderedPageBreak/>
        <w:t>portfolio.</w:t>
      </w:r>
      <w:r>
        <w:rPr>
          <w:rStyle w:val="FootnoteReference"/>
        </w:rPr>
        <w:footnoteReference w:id="35"/>
      </w:r>
      <w:r>
        <w:t xml:space="preserve">  As before, I compare the focal firm’s reported segments to the peer group’s operations portfolio.  </w:t>
      </w:r>
      <w:r w:rsidR="003A61B9">
        <w:t>Comparisons are made at the six-</w:t>
      </w:r>
      <w:r>
        <w:t xml:space="preserve">digit NAICS code level for </w:t>
      </w:r>
      <w:r>
        <w:rPr>
          <w:i/>
        </w:rPr>
        <w:t>FFDIFF</w:t>
      </w:r>
      <w:r w:rsidR="004A29B3">
        <w:t xml:space="preserve"> and four-</w:t>
      </w:r>
      <w:r>
        <w:t xml:space="preserve">digit NAICS code level for </w:t>
      </w:r>
      <w:r>
        <w:rPr>
          <w:i/>
        </w:rPr>
        <w:t>PFDIFF</w:t>
      </w:r>
      <w:r>
        <w:t>.</w:t>
      </w:r>
      <w:r>
        <w:rPr>
          <w:rStyle w:val="FootnoteReference"/>
        </w:rPr>
        <w:footnoteReference w:id="36"/>
      </w:r>
      <w:r>
        <w:t xml:space="preserve">  Table 6, regressions (3) through (6) demonstrate that results are robust to using NAICS codes to compare the focal firm to its peer group.  Table 6, regressions (7) through (10) demonstrate that the average level of peer firm differentiation is robust to using Fama-French industry classification.  But </w:t>
      </w:r>
      <w:r w:rsidR="00816C4B">
        <w:t xml:space="preserve">for </w:t>
      </w:r>
      <w:r>
        <w:t xml:space="preserve">multi-segment firms, focal firm differentiation is no longer significant.  This is due to the effect of focal firm differentiation being subsumed by the peer firm differentiation given the colinearity of both measures. </w:t>
      </w:r>
    </w:p>
    <w:p w:rsidR="00A7280B" w:rsidRDefault="00A7280B" w:rsidP="00A7280B">
      <w:pPr>
        <w:pStyle w:val="Heading2"/>
      </w:pPr>
      <w:bookmarkStart w:id="33" w:name="_Toc414633051"/>
      <w:r>
        <w:t>Differentiating Segments Less Than Ten Percent of Sales</w:t>
      </w:r>
      <w:bookmarkEnd w:id="33"/>
    </w:p>
    <w:p w:rsidR="00A7280B" w:rsidRDefault="00A7280B" w:rsidP="00A7280B">
      <w:pPr>
        <w:ind w:firstLine="360"/>
      </w:pPr>
      <w:r>
        <w:t xml:space="preserve">ASC 280 </w:t>
      </w:r>
      <w:r w:rsidR="003953BA">
        <w:t xml:space="preserve">suggests </w:t>
      </w:r>
      <w:r>
        <w:t xml:space="preserve">firms disaggregate a segment if sales or assets for that segment </w:t>
      </w:r>
      <w:r w:rsidR="00783787">
        <w:t xml:space="preserve">are </w:t>
      </w:r>
      <w:r>
        <w:t xml:space="preserve">greater than 10 percent of total sales or assets.  If a segment has less than 10 percent of sales or assets, the segment may be aggregated with other segments (see ASC 280-10-55 Example 2: Identifying Reportable Segments).  Thus, differentiating segments with less than 10 percent of sales may provide information that could have been aggregated into another segment but is disclosed </w:t>
      </w:r>
      <w:r w:rsidR="005C733B">
        <w:t>separately</w:t>
      </w:r>
      <w:r>
        <w:t xml:space="preserve">.  Such segments could be used to signal positive future prospects in industries not currently occupied by peers.  To test whether disclosing segments less than 10 percent of total sales provides additional information that improves excess value I create a variable, </w:t>
      </w:r>
      <w:r>
        <w:rPr>
          <w:i/>
        </w:rPr>
        <w:t>SmallSeg</w:t>
      </w:r>
      <w:r>
        <w:t>, equal to the percentage of sales of differentiating segments less than 10 percent of total firm sales.</w:t>
      </w:r>
    </w:p>
    <w:p w:rsidR="00A7280B" w:rsidRPr="00D53503" w:rsidRDefault="00A7280B" w:rsidP="00A7280B">
      <w:pPr>
        <w:ind w:firstLine="720"/>
      </w:pPr>
      <w:r>
        <w:lastRenderedPageBreak/>
        <w:t xml:space="preserve">Table 7 provides estimation of equation (6), including </w:t>
      </w:r>
      <w:r>
        <w:rPr>
          <w:i/>
        </w:rPr>
        <w:t>SmallSeg</w:t>
      </w:r>
      <w:r>
        <w:t xml:space="preserve">.  Results show that reporting differentiating segments less than 10 percent of sales is incremental to </w:t>
      </w:r>
      <w:r>
        <w:rPr>
          <w:i/>
        </w:rPr>
        <w:t>FFDIFF</w:t>
      </w:r>
      <w:r>
        <w:t xml:space="preserve"> and </w:t>
      </w:r>
      <w:r>
        <w:rPr>
          <w:i/>
        </w:rPr>
        <w:t>PFDIFF</w:t>
      </w:r>
      <w:r>
        <w:t xml:space="preserve">.  This result suggests disclosing smaller differentiating segments provides an additional signal not captured by focal firm or peer firm differentiation.  In all cases, this effect is stronger than either focal firm differentiation or peer firm differentiation.  For a ten percent increase in the disclosure of small, differentiating segments, focal firm excess value increases by 10.4 percent if revenues are used to estimate focal firm excess value and 4.87 percent if assets are used to estimate focal firm excess value.  Overall, this result is consistent with the idea that providing more precise segments will improve firm value.  Also, this result suggests that increased segment differentiation is </w:t>
      </w:r>
      <w:r w:rsidR="00816C4B">
        <w:t xml:space="preserve">a </w:t>
      </w:r>
      <w:r>
        <w:t>potential signal of segment reporting quality.</w:t>
      </w:r>
    </w:p>
    <w:p w:rsidR="00A7280B" w:rsidRDefault="00A7280B" w:rsidP="00A7280B">
      <w:pPr>
        <w:pStyle w:val="Heading2"/>
      </w:pPr>
      <w:bookmarkStart w:id="34" w:name="_Toc414633052"/>
      <w:r>
        <w:t>Competition and Segment Reporting Differentiation</w:t>
      </w:r>
      <w:bookmarkEnd w:id="34"/>
    </w:p>
    <w:p w:rsidR="00A7280B" w:rsidRPr="003D0317" w:rsidRDefault="00A7280B" w:rsidP="00A7280B">
      <w:pPr>
        <w:ind w:firstLine="720"/>
      </w:pPr>
      <w:r>
        <w:t>Industry competition may affect the interpretation of differentiating segment information.  Firm</w:t>
      </w:r>
      <w:r w:rsidR="00575A8C">
        <w:t>s in highly competitive industries</w:t>
      </w:r>
      <w:r>
        <w:t xml:space="preserve"> may disclose differentiating segment information in order to attract attention.  Firms in </w:t>
      </w:r>
      <w:r w:rsidR="00575A8C">
        <w:t>more concentrated industries</w:t>
      </w:r>
      <w:r>
        <w:t xml:space="preserve"> may disclose differentiating segment information to signal future prospects.  I examine whether the level of competition </w:t>
      </w:r>
      <w:r w:rsidR="00575A8C">
        <w:t xml:space="preserve">or concentration </w:t>
      </w:r>
      <w:r>
        <w:t xml:space="preserve">affects the role of segment differentiation in focal firm excess value by creating </w:t>
      </w:r>
      <w:r w:rsidR="00575A8C">
        <w:t xml:space="preserve">two </w:t>
      </w:r>
      <w:r>
        <w:t>indicator variable</w:t>
      </w:r>
      <w:r w:rsidR="00575A8C">
        <w:t>s:</w:t>
      </w:r>
      <w:r>
        <w:t xml:space="preserve"> </w:t>
      </w:r>
      <w:r w:rsidR="00575A8C">
        <w:rPr>
          <w:i/>
        </w:rPr>
        <w:t>Q1</w:t>
      </w:r>
      <w:r>
        <w:rPr>
          <w:i/>
        </w:rPr>
        <w:t>HHI</w:t>
      </w:r>
      <w:r w:rsidR="00575A8C">
        <w:t xml:space="preserve"> is equal to one if the firm-year observation is below the first quartile</w:t>
      </w:r>
      <w:r>
        <w:t xml:space="preserve"> Herfindahl Index (hereafter HHI) for that year, zero otherwise</w:t>
      </w:r>
      <w:r w:rsidR="00575A8C">
        <w:t xml:space="preserve">; </w:t>
      </w:r>
      <w:r w:rsidR="00575A8C">
        <w:rPr>
          <w:i/>
        </w:rPr>
        <w:t>Q3HHI</w:t>
      </w:r>
      <w:r w:rsidR="00575A8C">
        <w:t xml:space="preserve"> is equal to one if the firm-year observation is above the third quartile HHI for that year, zero otherwise</w:t>
      </w:r>
      <w:r>
        <w:t>.</w:t>
      </w:r>
      <w:r w:rsidR="003D0317">
        <w:t xml:space="preserve">  </w:t>
      </w:r>
      <w:r w:rsidR="003D0317">
        <w:rPr>
          <w:i/>
        </w:rPr>
        <w:t xml:space="preserve">Q1HHI </w:t>
      </w:r>
      <w:r w:rsidR="003D0317">
        <w:t xml:space="preserve">firms operate </w:t>
      </w:r>
      <w:r w:rsidR="00816C4B">
        <w:t>in more competitive industries, while</w:t>
      </w:r>
      <w:r w:rsidR="003D0317">
        <w:t xml:space="preserve"> </w:t>
      </w:r>
      <w:r w:rsidR="003D0317">
        <w:rPr>
          <w:i/>
        </w:rPr>
        <w:t xml:space="preserve">Q3HHI </w:t>
      </w:r>
      <w:r w:rsidR="003D0317">
        <w:t>firms operate in more concentrated industries.</w:t>
      </w:r>
    </w:p>
    <w:p w:rsidR="003D0317" w:rsidRPr="003D0317" w:rsidRDefault="00A7280B" w:rsidP="00A7280B">
      <w:pPr>
        <w:ind w:firstLine="720"/>
      </w:pPr>
      <w:r>
        <w:lastRenderedPageBreak/>
        <w:t xml:space="preserve">Table 8 provides estimation of equation (6) with </w:t>
      </w:r>
      <w:r w:rsidR="00575A8C" w:rsidRPr="00575A8C">
        <w:rPr>
          <w:i/>
        </w:rPr>
        <w:t>Q1HHI</w:t>
      </w:r>
      <w:r w:rsidR="00575A8C">
        <w:t xml:space="preserve">, </w:t>
      </w:r>
      <w:r w:rsidR="00575A8C">
        <w:rPr>
          <w:i/>
        </w:rPr>
        <w:t>Q3HHI</w:t>
      </w:r>
      <w:r w:rsidR="00575A8C">
        <w:t>,</w:t>
      </w:r>
      <w:r w:rsidR="00575A8C">
        <w:rPr>
          <w:i/>
        </w:rPr>
        <w:t xml:space="preserve"> </w:t>
      </w:r>
      <w:r w:rsidRPr="00575A8C">
        <w:t>and</w:t>
      </w:r>
      <w:r w:rsidR="00575A8C">
        <w:t xml:space="preserve"> interactions of indicator variables with</w:t>
      </w:r>
      <w:r>
        <w:t xml:space="preserve"> my variables of interest, </w:t>
      </w:r>
      <w:r>
        <w:rPr>
          <w:i/>
        </w:rPr>
        <w:t xml:space="preserve">FFDIFF </w:t>
      </w:r>
      <w:r>
        <w:t xml:space="preserve">and </w:t>
      </w:r>
      <w:r>
        <w:rPr>
          <w:i/>
        </w:rPr>
        <w:t>PFDIFF</w:t>
      </w:r>
      <w:r w:rsidR="003D0317">
        <w:t>, for multi-segment firms</w:t>
      </w:r>
      <w:r>
        <w:t>.</w:t>
      </w:r>
      <w:r w:rsidR="003D0317">
        <w:t xml:space="preserve">  </w:t>
      </w:r>
      <w:r w:rsidR="00E07635">
        <w:t xml:space="preserve">For firms in more concentrated industries, focal firm differentiation decreases excess value (at least p-value &lt; 0.1) when </w:t>
      </w:r>
      <w:r w:rsidR="00E07635">
        <w:rPr>
          <w:i/>
        </w:rPr>
        <w:t>ExVal</w:t>
      </w:r>
      <w:r w:rsidR="00E07635">
        <w:rPr>
          <w:i/>
          <w:vertAlign w:val="subscript"/>
        </w:rPr>
        <w:t>Rev</w:t>
      </w:r>
      <w:r w:rsidR="00E07635">
        <w:rPr>
          <w:i/>
        </w:rPr>
        <w:t xml:space="preserve"> </w:t>
      </w:r>
      <w:r w:rsidR="00E07635">
        <w:t>is the dependent variable.</w:t>
      </w:r>
      <w:r w:rsidR="004E495C">
        <w:t xml:space="preserve">  This is consistent with the idea that firms operating in more concentrated industries that report differentiating segments provide value destroying information.</w:t>
      </w:r>
      <w:r w:rsidR="00E07635">
        <w:t xml:space="preserve">  </w:t>
      </w:r>
      <w:r w:rsidR="004E495C">
        <w:t>P</w:t>
      </w:r>
      <w:r w:rsidR="00E07635">
        <w:t xml:space="preserve">eer firm differentiation is more significant in more concentrated industries (at least p-value &lt; 0.1) when </w:t>
      </w:r>
      <w:r w:rsidR="00E07635" w:rsidRPr="00E07635">
        <w:rPr>
          <w:i/>
        </w:rPr>
        <w:t>ExVal</w:t>
      </w:r>
      <w:r w:rsidR="00E07635" w:rsidRPr="00E07635">
        <w:rPr>
          <w:i/>
          <w:vertAlign w:val="subscript"/>
        </w:rPr>
        <w:t>Rev</w:t>
      </w:r>
      <w:r w:rsidR="00E07635">
        <w:rPr>
          <w:i/>
        </w:rPr>
        <w:t xml:space="preserve"> </w:t>
      </w:r>
      <w:r w:rsidR="00E07635" w:rsidRPr="00E07635">
        <w:t>and</w:t>
      </w:r>
      <w:r w:rsidR="00E07635">
        <w:t xml:space="preserve"> </w:t>
      </w:r>
      <w:r w:rsidR="00E07635">
        <w:rPr>
          <w:i/>
        </w:rPr>
        <w:t>ExVal</w:t>
      </w:r>
      <w:r w:rsidR="00E07635">
        <w:rPr>
          <w:i/>
          <w:vertAlign w:val="subscript"/>
        </w:rPr>
        <w:t>AT</w:t>
      </w:r>
      <w:r w:rsidR="00E07635">
        <w:rPr>
          <w:i/>
        </w:rPr>
        <w:t xml:space="preserve"> </w:t>
      </w:r>
      <w:r w:rsidR="00E07635">
        <w:t xml:space="preserve">are dependent variables.  </w:t>
      </w:r>
      <w:r w:rsidR="004E495C">
        <w:t>These results are consistent with the idea that firms operating in more concentrated industries benefit</w:t>
      </w:r>
      <w:r w:rsidR="00C52F66">
        <w:t xml:space="preserve"> from</w:t>
      </w:r>
      <w:r w:rsidR="004E495C">
        <w:t xml:space="preserve"> peer firms reporting differentiating information.</w:t>
      </w:r>
    </w:p>
    <w:p w:rsidR="00A7280B" w:rsidRDefault="00A7280B" w:rsidP="00A7280B"/>
    <w:p w:rsidR="00A7280B" w:rsidRDefault="00A7280B">
      <w:pPr>
        <w:spacing w:line="240" w:lineRule="auto"/>
      </w:pPr>
      <w:r>
        <w:br w:type="page"/>
      </w:r>
    </w:p>
    <w:p w:rsidR="00A7280B" w:rsidRDefault="00A7280B" w:rsidP="00A7280B">
      <w:pPr>
        <w:pStyle w:val="Heading1"/>
      </w:pPr>
      <w:bookmarkStart w:id="35" w:name="_Toc414633053"/>
      <w:r>
        <w:lastRenderedPageBreak/>
        <w:t>Chapter 6: Conclusion</w:t>
      </w:r>
      <w:bookmarkEnd w:id="35"/>
    </w:p>
    <w:p w:rsidR="00A7280B" w:rsidRDefault="00A7280B" w:rsidP="00A7280B">
      <w:pPr>
        <w:ind w:firstLine="720"/>
      </w:pPr>
      <w:r>
        <w:t xml:space="preserve">In this study I examine the effects of segment reporting differentiation on excess value.  I calculate a measure of segment reporting differentiation that compares reported segments for the focal firm to its peer group.  This measure tests the assertion that increases in the precision of accounting disclosure positively affects firm value </w:t>
      </w:r>
      <w:r>
        <w:fldChar w:fldCharType="begin">
          <w:fldData xml:space="preserve">PEVuZE5vdGU+PENpdGU+PEF1dGhvcj5MYW1iZXJ0PC9BdXRob3I+PFllYXI+MjAwNzwvWWVhcj48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</w:fldData>
        </w:fldChar>
      </w:r>
      <w:r w:rsidR="0091777F">
        <w:instrText xml:space="preserve"> ADDIN EN.CITE </w:instrText>
      </w:r>
      <w:r w:rsidR="0091777F">
        <w:fldChar w:fldCharType="begin">
          <w:fldData xml:space="preserve">PEVuZE5vdGU+PENpdGU+PEF1dGhvcj5MYW1iZXJ0PC9BdXRob3I+PFllYXI+MjAwNzwvWWVhcj48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</w:fldData>
        </w:fldChar>
      </w:r>
      <w:r w:rsidR="0091777F">
        <w:instrText xml:space="preserve"> ADDIN EN.CITE.DATA </w:instrText>
      </w:r>
      <w:r w:rsidR="0091777F">
        <w:fldChar w:fldCharType="end"/>
      </w:r>
      <w:r>
        <w:fldChar w:fldCharType="separate"/>
      </w:r>
      <w:r w:rsidR="0091777F">
        <w:rPr>
          <w:noProof/>
        </w:rPr>
        <w:t>(Lambert, Leuz, and Verrecchia 2007, Lambert, Leuz, and Verrecchia 2012)</w:t>
      </w:r>
      <w:r>
        <w:fldChar w:fldCharType="end"/>
      </w:r>
      <w:r>
        <w:t>.  My measure holds constant information shared by peer firms and lets vary the amount of distinct segment information the focal firm reports.  I find the level of segment differentiation of the focal firm positively affects focal firm excess value.  Further, the average level of peer firm differentiation for the focal firm’s peer group also positively affects focal firm excess value.  Thus, when not only the focal firm but also when peers provide differentiating segment information, all firms benefit with an increase in excess value.  I assert that the improvement in value results from a reduction the perceived correlation between the focal firm’s and its peers’ cash flows.</w:t>
      </w:r>
    </w:p>
    <w:p w:rsidR="00A7280B" w:rsidRDefault="00A7280B" w:rsidP="00A7280B">
      <w:pPr>
        <w:ind w:firstLine="720"/>
      </w:pPr>
      <w:r>
        <w:t xml:space="preserve">I also demonstrate that segment reporting has both positive and negative reporting externalities.  Using the change in accounting standard associated with segment reporting as an exogenous shock to the reporting environment, I show the market’s assessment of differentiating segment information depends on the manner in which segments were reported prior to ASC 280 implementation.  When firms remained single segment firms across reporting regimes, increased focal firm differentiation created a positive externality.  When firms reported the same number of multiple segments, peer firm differentiation created a negative externality.  Firms that changed from single segment reporters under SFAS No. 14 to multi-segment reporters under </w:t>
      </w:r>
      <w:r>
        <w:lastRenderedPageBreak/>
        <w:t>ASC 280 received an additional reduction in excess value associated with focal firm segment differentiation.  Finally, firms that reported more segments after ASC 280 demonstrate a potential positive externality associated with peer firm segment differentiation.</w:t>
      </w:r>
    </w:p>
    <w:p w:rsidR="007739FB" w:rsidRDefault="00A7280B" w:rsidP="006D35CC">
      <w:pPr>
        <w:ind w:firstLine="720"/>
      </w:pPr>
      <w:r>
        <w:t>My results suggest that segment reporting within an industry is an important consideration when determining how segment information affects firm value.  While the Post Implementation Review finds no major faults with the standard, standard setters may wish to think about how additional segment reporting requirements will affect the amount of segment information available as an industry, ultimately affecting the focal firm.  Further, standard setters and investors may want to examine how firms of interest differentiate their firm from peers using reported segments.  Results indicate that not only the focal firm, but also the effect of peer firms should be taken into account when discussing segment reporting.</w:t>
      </w:r>
    </w:p>
    <w:p w:rsidR="00AA0B13" w:rsidRDefault="00AA0B13" w:rsidP="00C16C66">
      <w:pPr>
        <w:pStyle w:val="Heading1"/>
      </w:pPr>
      <w:r>
        <w:br w:type="page"/>
      </w:r>
      <w:bookmarkStart w:id="36" w:name="_Toc310579474"/>
      <w:bookmarkStart w:id="37" w:name="_Toc414633054"/>
      <w:r>
        <w:lastRenderedPageBreak/>
        <w:t>References</w:t>
      </w:r>
      <w:bookmarkEnd w:id="36"/>
      <w:bookmarkEnd w:id="37"/>
    </w:p>
    <w:p w:rsidR="00B07D82" w:rsidRPr="00B07D82" w:rsidRDefault="00A7280B" w:rsidP="00B07D82">
      <w:pPr>
        <w:pStyle w:val="EndNoteBibliography"/>
        <w:spacing w:after="240"/>
        <w:ind w:left="720" w:hanging="720"/>
      </w:pPr>
      <w:r>
        <w:fldChar w:fldCharType="begin"/>
      </w:r>
      <w:r>
        <w:instrText xml:space="preserve"> ADDIN EN.REFLIST </w:instrText>
      </w:r>
      <w:r>
        <w:fldChar w:fldCharType="separate"/>
      </w:r>
      <w:r w:rsidR="00B07D82" w:rsidRPr="00B07D82">
        <w:t xml:space="preserve">Admati, Anat R., and Paul Pfleiderer. 2000. "Forcing firms to talk: financial disclosure regulation and externalities."  </w:t>
      </w:r>
      <w:r w:rsidR="00B07D82" w:rsidRPr="00B07D82">
        <w:rPr>
          <w:i/>
        </w:rPr>
        <w:t>Review of Financial Studies</w:t>
      </w:r>
      <w:r w:rsidR="00B07D82" w:rsidRPr="00B07D82">
        <w:t xml:space="preserve"> 13 (3).</w:t>
      </w:r>
    </w:p>
    <w:p w:rsidR="00B07D82" w:rsidRPr="00B07D82" w:rsidRDefault="00B07D82" w:rsidP="00B07D82">
      <w:pPr>
        <w:pStyle w:val="EndNoteBibliography"/>
        <w:spacing w:after="240"/>
        <w:ind w:left="720" w:hanging="720"/>
      </w:pPr>
      <w:r w:rsidRPr="00B07D82">
        <w:t xml:space="preserve">Akerlof, George A. 1970. "The Market for "Lemons": Quality Uncertainty and the Market Mechanism."  </w:t>
      </w:r>
      <w:r w:rsidRPr="00B07D82">
        <w:rPr>
          <w:i/>
        </w:rPr>
        <w:t>Quarterly Journal of Economics</w:t>
      </w:r>
      <w:r w:rsidRPr="00B07D82">
        <w:t xml:space="preserve"> 84 (3):488-500.</w:t>
      </w:r>
    </w:p>
    <w:p w:rsidR="00B07D82" w:rsidRPr="00B07D82" w:rsidRDefault="00B07D82" w:rsidP="00B07D82">
      <w:pPr>
        <w:pStyle w:val="EndNoteBibliography"/>
        <w:spacing w:after="240"/>
        <w:ind w:left="720" w:hanging="720"/>
      </w:pPr>
      <w:r w:rsidRPr="00B07D82">
        <w:t xml:space="preserve">Ali, Ashiq, Sandy Klasa, and Eric Yeung. 2009. "The limitations of industry concentration measures constructed with Compustat data: Implications for finance research."  </w:t>
      </w:r>
      <w:r w:rsidRPr="00B07D82">
        <w:rPr>
          <w:i/>
        </w:rPr>
        <w:t>Review of Financial Studies</w:t>
      </w:r>
      <w:r w:rsidRPr="00B07D82">
        <w:t xml:space="preserve"> 22 (10):3839-3871.</w:t>
      </w:r>
    </w:p>
    <w:p w:rsidR="00B07D82" w:rsidRPr="00B07D82" w:rsidRDefault="00B07D82" w:rsidP="00B07D82">
      <w:pPr>
        <w:pStyle w:val="EndNoteBibliography"/>
        <w:spacing w:after="240"/>
        <w:ind w:left="720" w:hanging="720"/>
      </w:pPr>
      <w:r w:rsidRPr="00B07D82">
        <w:t xml:space="preserve">Arya, Anil, Hans Frimor, and Brian Mittendorf. 2010. "Discretionary Disclosure of Proprietary Information in a Multisegment Firm."  </w:t>
      </w:r>
      <w:r w:rsidRPr="00B07D82">
        <w:rPr>
          <w:i/>
        </w:rPr>
        <w:t>Management Science</w:t>
      </w:r>
      <w:r w:rsidRPr="00B07D82">
        <w:t xml:space="preserve"> 56 (4):645-658.</w:t>
      </w:r>
    </w:p>
    <w:p w:rsidR="00B07D82" w:rsidRPr="00B07D82" w:rsidRDefault="00B07D82" w:rsidP="00B07D82">
      <w:pPr>
        <w:pStyle w:val="EndNoteBibliography"/>
        <w:spacing w:after="240"/>
        <w:ind w:left="720" w:hanging="720"/>
      </w:pPr>
      <w:r w:rsidRPr="00B07D82">
        <w:t xml:space="preserve">Ashbaugh-Skaife, Hollis, Daniel W. Collins, William R. Kinney Jr, and Ryan Lafond. 2009. "The Effect of SOX Internal Control Deficiencies on Firm Risk and Cost of Equity."  </w:t>
      </w:r>
      <w:r w:rsidRPr="00B07D82">
        <w:rPr>
          <w:i/>
        </w:rPr>
        <w:t>Journal of Accounting Research</w:t>
      </w:r>
      <w:r w:rsidRPr="00B07D82">
        <w:t xml:space="preserve"> 47 (1):1-43. doi: 10.1111/j.1475-679X.2008.00315.x.</w:t>
      </w:r>
    </w:p>
    <w:p w:rsidR="00B07D82" w:rsidRPr="00B07D82" w:rsidRDefault="00B07D82" w:rsidP="00B07D82">
      <w:pPr>
        <w:pStyle w:val="EndNoteBibliography"/>
        <w:spacing w:after="240"/>
        <w:ind w:left="720" w:hanging="720"/>
      </w:pPr>
      <w:r w:rsidRPr="00B07D82">
        <w:t xml:space="preserve">Baginski, Stephen P. 1987. "Intraindustry Information Transfers Associated with Management Forecasts of Earnings."  </w:t>
      </w:r>
      <w:r w:rsidRPr="00B07D82">
        <w:rPr>
          <w:i/>
        </w:rPr>
        <w:t>Journal of Accounting Research</w:t>
      </w:r>
      <w:r w:rsidRPr="00B07D82">
        <w:t xml:space="preserve"> 25 (2):196-216.</w:t>
      </w:r>
    </w:p>
    <w:p w:rsidR="00B07D82" w:rsidRPr="00B07D82" w:rsidRDefault="00B07D82" w:rsidP="00B07D82">
      <w:pPr>
        <w:pStyle w:val="EndNoteBibliography"/>
        <w:spacing w:after="240"/>
        <w:ind w:left="720" w:hanging="720"/>
      </w:pPr>
      <w:r w:rsidRPr="00B07D82">
        <w:t xml:space="preserve">Bens, Daniel A., Philip G. Berger, and Steven J. Monahan. 2011. "Discretionary Disclosure in Financial Reporting: An Examination Comparing Internal Firm Data to Externally Reported Segment Data."  </w:t>
      </w:r>
      <w:r w:rsidRPr="00B07D82">
        <w:rPr>
          <w:i/>
        </w:rPr>
        <w:t>Accounting Review</w:t>
      </w:r>
      <w:r w:rsidRPr="00B07D82">
        <w:t xml:space="preserve"> 86 (2):417-449. doi: </w:t>
      </w:r>
      <w:hyperlink r:id="rId10" w:history="1">
        <w:r w:rsidRPr="00B07D82">
          <w:rPr>
            <w:rStyle w:val="Hyperlink"/>
          </w:rPr>
          <w:t>http://aaapubs.org/loi/accr</w:t>
        </w:r>
      </w:hyperlink>
      <w:r w:rsidRPr="00B07D82">
        <w:t>.</w:t>
      </w:r>
    </w:p>
    <w:p w:rsidR="00B07D82" w:rsidRPr="00B07D82" w:rsidRDefault="00B07D82" w:rsidP="00B07D82">
      <w:pPr>
        <w:pStyle w:val="EndNoteBibliography"/>
        <w:spacing w:after="240"/>
        <w:ind w:left="720" w:hanging="720"/>
      </w:pPr>
      <w:r w:rsidRPr="00B07D82">
        <w:t xml:space="preserve">Bens, Daniel A., and Steven J. Monahan. 2004. "Disclosure Quality and the Excess Value of Diversification."  </w:t>
      </w:r>
      <w:r w:rsidRPr="00B07D82">
        <w:rPr>
          <w:i/>
        </w:rPr>
        <w:t>Journal of Accounting Research</w:t>
      </w:r>
      <w:r w:rsidRPr="00B07D82">
        <w:t xml:space="preserve"> 42 (4):691-730. doi: 10.1111/j.1475-679X.2004.00154.x.</w:t>
      </w:r>
    </w:p>
    <w:p w:rsidR="00B07D82" w:rsidRPr="00B07D82" w:rsidRDefault="00B07D82" w:rsidP="00B07D82">
      <w:pPr>
        <w:pStyle w:val="EndNoteBibliography"/>
        <w:spacing w:after="240"/>
        <w:ind w:left="720" w:hanging="720"/>
      </w:pPr>
      <w:r w:rsidRPr="00B07D82">
        <w:t xml:space="preserve">Berger, Philip G., and Rebecca Hann. 2003. "The Impact of SFAS No. 131 on Information and Monitoring."  </w:t>
      </w:r>
      <w:r w:rsidRPr="00B07D82">
        <w:rPr>
          <w:i/>
        </w:rPr>
        <w:t>Journal of Accounting Research</w:t>
      </w:r>
      <w:r w:rsidRPr="00B07D82">
        <w:t xml:space="preserve"> 41 (2):163-223. doi: 10.1111/1475-679X.00100.</w:t>
      </w:r>
    </w:p>
    <w:p w:rsidR="00B07D82" w:rsidRPr="00B07D82" w:rsidRDefault="00B07D82" w:rsidP="00B07D82">
      <w:pPr>
        <w:pStyle w:val="EndNoteBibliography"/>
        <w:spacing w:after="240"/>
        <w:ind w:left="720" w:hanging="720"/>
      </w:pPr>
      <w:r w:rsidRPr="00B07D82">
        <w:t xml:space="preserve">Berger, Philip G., and Rebecca N. Hann. 2007. "Segment Profitability and the Proprietary and Agency Costs of Disclosure."  </w:t>
      </w:r>
      <w:r w:rsidRPr="00B07D82">
        <w:rPr>
          <w:i/>
        </w:rPr>
        <w:t>Accounting Review</w:t>
      </w:r>
      <w:r w:rsidRPr="00B07D82">
        <w:t xml:space="preserve"> 82 (4):869-906.</w:t>
      </w:r>
    </w:p>
    <w:p w:rsidR="00B07D82" w:rsidRPr="00B07D82" w:rsidRDefault="00B07D82" w:rsidP="00B07D82">
      <w:pPr>
        <w:pStyle w:val="EndNoteBibliography"/>
        <w:spacing w:after="240"/>
        <w:ind w:left="720" w:hanging="720"/>
      </w:pPr>
      <w:r w:rsidRPr="00B07D82">
        <w:t xml:space="preserve">Berger, Philip G., and Eli Ofek. 1995. "Diversification's Effect on Firm Value."  </w:t>
      </w:r>
      <w:r w:rsidRPr="00B07D82">
        <w:rPr>
          <w:i/>
        </w:rPr>
        <w:t>Journal of Financial Economics</w:t>
      </w:r>
      <w:r w:rsidRPr="00B07D82">
        <w:t xml:space="preserve"> 37 (1):39-65. doi: </w:t>
      </w:r>
      <w:hyperlink r:id="rId11" w:history="1">
        <w:r w:rsidRPr="00B07D82">
          <w:rPr>
            <w:rStyle w:val="Hyperlink"/>
          </w:rPr>
          <w:t>http://www.sciencedirect.com/science/journal/0304405X</w:t>
        </w:r>
      </w:hyperlink>
      <w:r w:rsidRPr="00B07D82">
        <w:t>.</w:t>
      </w:r>
    </w:p>
    <w:p w:rsidR="00FC6FB4" w:rsidRDefault="00FC6FB4">
      <w:pPr>
        <w:spacing w:line="240" w:lineRule="auto"/>
        <w:rPr>
          <w:rFonts w:ascii="Times New Roman" w:hAnsi="Times New Roman"/>
          <w:noProof/>
        </w:rPr>
      </w:pPr>
      <w:r>
        <w:br w:type="page"/>
      </w:r>
    </w:p>
    <w:p w:rsidR="00B07D82" w:rsidRPr="00B07D82" w:rsidRDefault="00B07D82" w:rsidP="00B07D82">
      <w:pPr>
        <w:pStyle w:val="EndNoteBibliography"/>
        <w:spacing w:after="240"/>
        <w:ind w:left="720" w:hanging="720"/>
      </w:pPr>
      <w:r w:rsidRPr="00B07D82">
        <w:lastRenderedPageBreak/>
        <w:t xml:space="preserve">Bhojraj, Sanjeev, Charles M. C. Lee, and Derek K. Oler. 2003. "What's My Line? A Comparison of Industry Classification Schemes for Capital Market Research."  </w:t>
      </w:r>
      <w:r w:rsidRPr="00B07D82">
        <w:rPr>
          <w:i/>
        </w:rPr>
        <w:t>Journal of Accounting Research</w:t>
      </w:r>
      <w:r w:rsidRPr="00B07D82">
        <w:t xml:space="preserve"> 41 (5):745-774. doi: 10.1046/j.1475-679X.2003.00122.x.</w:t>
      </w:r>
    </w:p>
    <w:p w:rsidR="00B07D82" w:rsidRPr="00B07D82" w:rsidRDefault="00B07D82" w:rsidP="00B07D82">
      <w:pPr>
        <w:pStyle w:val="EndNoteBibliography"/>
        <w:spacing w:after="240"/>
        <w:ind w:left="720" w:hanging="720"/>
      </w:pPr>
      <w:r w:rsidRPr="00B07D82">
        <w:t>Blanco Peláez, Belén, Juan Manuel García Lara, and Josep A Tribó Giné. 2010.</w:t>
      </w:r>
    </w:p>
    <w:p w:rsidR="00B07D82" w:rsidRPr="00B07D82" w:rsidRDefault="00B07D82" w:rsidP="00B07D82">
      <w:pPr>
        <w:pStyle w:val="EndNoteBibliography"/>
        <w:spacing w:after="240"/>
        <w:ind w:left="720" w:hanging="720"/>
      </w:pPr>
      <w:r w:rsidRPr="00B07D82">
        <w:t xml:space="preserve">Blanco Peláez, Belén, Juan Manuel García Lara, and Josep A Tribó Giné. 2013. "The Relation Between Segment Disclosure and Earnings Quality."  </w:t>
      </w:r>
      <w:r w:rsidRPr="00B07D82">
        <w:rPr>
          <w:i/>
        </w:rPr>
        <w:t>Journal of Accounting &amp; Public Policy</w:t>
      </w:r>
      <w:r w:rsidRPr="00B07D82">
        <w:t xml:space="preserve"> Forthcoming.</w:t>
      </w:r>
    </w:p>
    <w:p w:rsidR="00B07D82" w:rsidRPr="00B07D82" w:rsidRDefault="00B07D82" w:rsidP="00B07D82">
      <w:pPr>
        <w:pStyle w:val="EndNoteBibliography"/>
        <w:spacing w:after="240"/>
        <w:ind w:left="720" w:hanging="720"/>
      </w:pPr>
      <w:r w:rsidRPr="00B07D82">
        <w:t xml:space="preserve">Botosan, Christine A., and Mary Stanford. 2005. "Managers' Motives to Withhold Segment Disclosures and the Effect of SFAS No. 131 on Analysts' Information Environment."  </w:t>
      </w:r>
      <w:r w:rsidRPr="00B07D82">
        <w:rPr>
          <w:i/>
        </w:rPr>
        <w:t>Accounting Review</w:t>
      </w:r>
      <w:r w:rsidRPr="00B07D82">
        <w:t xml:space="preserve"> 80 (3):751-771.</w:t>
      </w:r>
    </w:p>
    <w:p w:rsidR="00B07D82" w:rsidRPr="00B07D82" w:rsidRDefault="00B07D82" w:rsidP="00B07D82">
      <w:pPr>
        <w:pStyle w:val="EndNoteBibliography"/>
        <w:spacing w:after="240"/>
        <w:ind w:left="720" w:hanging="720"/>
      </w:pPr>
      <w:r w:rsidRPr="00B07D82">
        <w:t xml:space="preserve">Bowen, Robert M., Richard P. Castanias, and Lane A. Daley. 1983. "Intra-Industry Effects of the Accident at Three Mile Island."  </w:t>
      </w:r>
      <w:r w:rsidRPr="00B07D82">
        <w:rPr>
          <w:i/>
        </w:rPr>
        <w:t>Journal of Financial &amp; Quantitative Analysis</w:t>
      </w:r>
      <w:r w:rsidRPr="00B07D82">
        <w:t xml:space="preserve"> 18 (1):87-111.</w:t>
      </w:r>
    </w:p>
    <w:p w:rsidR="00B07D82" w:rsidRPr="00B07D82" w:rsidRDefault="00B07D82" w:rsidP="00B07D82">
      <w:pPr>
        <w:pStyle w:val="EndNoteBibliography"/>
        <w:spacing w:after="240"/>
        <w:ind w:left="720" w:hanging="720"/>
      </w:pPr>
      <w:r w:rsidRPr="00B07D82">
        <w:t xml:space="preserve">Chen, Peter, F., and Guochang  Zhang. 2003. "Heterogeneous Investment Opportunities in Multiple-Segment Firms and the Incremental Value Relevance of Segment Accounting Data."  </w:t>
      </w:r>
      <w:r w:rsidRPr="00B07D82">
        <w:rPr>
          <w:i/>
        </w:rPr>
        <w:t>Accounting Review</w:t>
      </w:r>
      <w:r w:rsidRPr="00B07D82">
        <w:t xml:space="preserve"> 78 (2):397.</w:t>
      </w:r>
    </w:p>
    <w:p w:rsidR="00B07D82" w:rsidRPr="00B07D82" w:rsidRDefault="00B07D82" w:rsidP="00B07D82">
      <w:pPr>
        <w:pStyle w:val="EndNoteBibliography"/>
        <w:spacing w:after="240"/>
        <w:ind w:left="720" w:hanging="720"/>
      </w:pPr>
      <w:r w:rsidRPr="00B07D82">
        <w:t xml:space="preserve">Clinch, Greg J., and Norman A. Sinclair. 1987. "Intra-industry Information Releases: A Recursive Systems Approach."  </w:t>
      </w:r>
      <w:r w:rsidRPr="00B07D82">
        <w:rPr>
          <w:i/>
        </w:rPr>
        <w:t>Journal of Accounting and Economics</w:t>
      </w:r>
      <w:r w:rsidRPr="00B07D82">
        <w:t xml:space="preserve"> 9 (1):89-106. doi: </w:t>
      </w:r>
      <w:hyperlink r:id="rId12" w:history="1">
        <w:r w:rsidRPr="00B07D82">
          <w:rPr>
            <w:rStyle w:val="Hyperlink"/>
          </w:rPr>
          <w:t>http://www.sciencedirect.com/science/journal/01654101</w:t>
        </w:r>
      </w:hyperlink>
      <w:r w:rsidRPr="00B07D82">
        <w:t>.</w:t>
      </w:r>
    </w:p>
    <w:p w:rsidR="00B07D82" w:rsidRPr="00B07D82" w:rsidRDefault="00B07D82" w:rsidP="00B07D82">
      <w:pPr>
        <w:pStyle w:val="EndNoteBibliography"/>
        <w:spacing w:after="240"/>
        <w:ind w:left="720" w:hanging="720"/>
      </w:pPr>
      <w:r w:rsidRPr="00B07D82">
        <w:t xml:space="preserve">Coase, R. H. 1960. "The problem of social cost."  </w:t>
      </w:r>
      <w:r w:rsidRPr="00B07D82">
        <w:rPr>
          <w:i/>
        </w:rPr>
        <w:t>Journal of Law and Economics</w:t>
      </w:r>
      <w:r w:rsidRPr="00B07D82">
        <w:t xml:space="preserve"> 3:1-44.</w:t>
      </w:r>
    </w:p>
    <w:p w:rsidR="00B07D82" w:rsidRPr="00B07D82" w:rsidRDefault="00B07D82" w:rsidP="00B07D82">
      <w:pPr>
        <w:pStyle w:val="EndNoteBibliography"/>
        <w:spacing w:after="240"/>
        <w:ind w:left="720" w:hanging="720"/>
      </w:pPr>
      <w:r w:rsidRPr="00B07D82">
        <w:t xml:space="preserve">Custodio, Claudia. 2014. "Mergers and Acquisitions Accounting and the Diversification Discount."  </w:t>
      </w:r>
      <w:r w:rsidRPr="00B07D82">
        <w:rPr>
          <w:i/>
        </w:rPr>
        <w:t>Journal of Finance</w:t>
      </w:r>
      <w:r w:rsidRPr="00B07D82">
        <w:t xml:space="preserve"> 69 (1):219-240. doi: 10.1111/jofi.12108.</w:t>
      </w:r>
    </w:p>
    <w:p w:rsidR="00B07D82" w:rsidRPr="00B07D82" w:rsidRDefault="00B07D82" w:rsidP="00B07D82">
      <w:pPr>
        <w:pStyle w:val="EndNoteBibliography"/>
        <w:spacing w:after="240"/>
        <w:ind w:left="720" w:hanging="720"/>
      </w:pPr>
      <w:r w:rsidRPr="00B07D82">
        <w:t>Deloitte. 2013. SEC Comment Letters -  Including Industry Insights: Constructing Clear Disclosures. edited by Bob Uhl and Christine Davine: Deloitte.</w:t>
      </w:r>
    </w:p>
    <w:p w:rsidR="00B07D82" w:rsidRPr="00B07D82" w:rsidRDefault="00B07D82" w:rsidP="00B07D82">
      <w:pPr>
        <w:pStyle w:val="EndNoteBibliography"/>
        <w:spacing w:after="240"/>
        <w:ind w:left="720" w:hanging="720"/>
      </w:pPr>
      <w:r w:rsidRPr="00B07D82">
        <w:t xml:space="preserve">Denis, David J., Diane K. Denis, and Keven Yost. 2002. "Global Diversification, Industrial Diversification, and Firm Value."  </w:t>
      </w:r>
      <w:r w:rsidRPr="00B07D82">
        <w:rPr>
          <w:i/>
        </w:rPr>
        <w:t>Journal of Finance</w:t>
      </w:r>
      <w:r w:rsidRPr="00B07D82">
        <w:t xml:space="preserve"> 57 (5):1951-1979.</w:t>
      </w:r>
    </w:p>
    <w:p w:rsidR="00B07D82" w:rsidRPr="00B07D82" w:rsidRDefault="00B07D82" w:rsidP="00B07D82">
      <w:pPr>
        <w:pStyle w:val="EndNoteBibliography"/>
        <w:spacing w:after="240"/>
        <w:ind w:left="720" w:hanging="720"/>
      </w:pPr>
      <w:r w:rsidRPr="00B07D82">
        <w:t xml:space="preserve">Durnev, A. R. T., and Claudine Mangen. 2009. "Corporate Investments: Learning from Restatements."  </w:t>
      </w:r>
      <w:r w:rsidRPr="00B07D82">
        <w:rPr>
          <w:i/>
        </w:rPr>
        <w:t>Journal of Accounting Research</w:t>
      </w:r>
      <w:r w:rsidRPr="00B07D82">
        <w:t xml:space="preserve"> 47 (3):679-720. doi: 10.1111/j.1475-679X.2009.00332.x.</w:t>
      </w:r>
    </w:p>
    <w:p w:rsidR="00B07D82" w:rsidRPr="00B07D82" w:rsidRDefault="00B07D82" w:rsidP="00B07D82">
      <w:pPr>
        <w:pStyle w:val="EndNoteBibliography"/>
        <w:spacing w:after="240"/>
        <w:ind w:left="720" w:hanging="720"/>
      </w:pPr>
      <w:r w:rsidRPr="00B07D82">
        <w:t xml:space="preserve">Erdorf, Stefan, Thomas Hartmann-Wendels, Nicolas Heinrichs, and Michael Matz. 2013. "Corporate Diversification and Firm Value: A Survey of Recent Literature."  </w:t>
      </w:r>
      <w:r w:rsidRPr="00B07D82">
        <w:rPr>
          <w:i/>
        </w:rPr>
        <w:t>Financial Markets and Portfolio Management</w:t>
      </w:r>
      <w:r w:rsidRPr="00B07D82">
        <w:t xml:space="preserve"> 27 (2):187-215. doi: </w:t>
      </w:r>
      <w:hyperlink r:id="rId13" w:history="1">
        <w:r w:rsidRPr="00B07D82">
          <w:rPr>
            <w:rStyle w:val="Hyperlink"/>
          </w:rPr>
          <w:t>http://link.springer.com/journal/volumesAndIssues/11408</w:t>
        </w:r>
      </w:hyperlink>
      <w:r w:rsidRPr="00B07D82">
        <w:t>.</w:t>
      </w:r>
    </w:p>
    <w:p w:rsidR="00B07D82" w:rsidRPr="00B07D82" w:rsidRDefault="00B07D82" w:rsidP="00B07D82">
      <w:pPr>
        <w:pStyle w:val="EndNoteBibliography"/>
        <w:spacing w:after="240"/>
        <w:ind w:left="720" w:hanging="720"/>
      </w:pPr>
      <w:r w:rsidRPr="00B07D82">
        <w:lastRenderedPageBreak/>
        <w:t xml:space="preserve">Ettredge, Michael L, Soo Young Kwon, David B Smith, and Mary S Stone. 2006. "The effect of SFAS No. 131 on the cross-segment variability of profits reported by multiple segment firms."  </w:t>
      </w:r>
      <w:r w:rsidRPr="00B07D82">
        <w:rPr>
          <w:i/>
        </w:rPr>
        <w:t>Review of Accounting Studies</w:t>
      </w:r>
      <w:r w:rsidRPr="00B07D82">
        <w:t xml:space="preserve"> 11 (1):91-117.</w:t>
      </w:r>
    </w:p>
    <w:p w:rsidR="00B07D82" w:rsidRPr="00B07D82" w:rsidRDefault="00B07D82" w:rsidP="00B07D82">
      <w:pPr>
        <w:pStyle w:val="EndNoteBibliography"/>
        <w:spacing w:after="240"/>
        <w:ind w:left="720" w:hanging="720"/>
      </w:pPr>
      <w:r w:rsidRPr="00B07D82">
        <w:t xml:space="preserve">Ettredge, Michael L., Kwon Soo Young, David B. Smith, and Paul A. Zarowin. 2005. "The Impact of SFAS No. 131 Business Segment Data on the Market's Ability to Anticipate Future Earnings."  </w:t>
      </w:r>
      <w:r w:rsidRPr="00B07D82">
        <w:rPr>
          <w:i/>
        </w:rPr>
        <w:t>Accounting Review</w:t>
      </w:r>
      <w:r w:rsidRPr="00B07D82">
        <w:t xml:space="preserve"> 80 (3):773-804.</w:t>
      </w:r>
    </w:p>
    <w:p w:rsidR="00B07D82" w:rsidRPr="00B07D82" w:rsidRDefault="00B07D82" w:rsidP="00B07D82">
      <w:pPr>
        <w:pStyle w:val="EndNoteBibliography"/>
        <w:spacing w:after="240"/>
        <w:ind w:left="720" w:hanging="720"/>
      </w:pPr>
      <w:r w:rsidRPr="00B07D82">
        <w:t>FAF. 2012. Post-Implementation Review Report on FASB Statement No. 131, Disclosures about Segments of an Enterprise and Related Information. Norwalk, Connecticut: Finanical Accounting Foundation.</w:t>
      </w:r>
    </w:p>
    <w:p w:rsidR="00B07D82" w:rsidRPr="00B07D82" w:rsidRDefault="00B07D82" w:rsidP="00B07D82">
      <w:pPr>
        <w:pStyle w:val="EndNoteBibliography"/>
        <w:spacing w:after="240"/>
        <w:ind w:left="720" w:hanging="720"/>
      </w:pPr>
      <w:r w:rsidRPr="00B07D82">
        <w:t xml:space="preserve">Fischer, Paul E., and Robert E. Verrecchia. 2004. "Disclosure bias."  </w:t>
      </w:r>
      <w:r w:rsidRPr="00B07D82">
        <w:rPr>
          <w:i/>
        </w:rPr>
        <w:t>Journal of Accounting &amp; Economics</w:t>
      </w:r>
      <w:r w:rsidRPr="00B07D82">
        <w:t xml:space="preserve"> 38 (1-3):223-250. doi: 10.1016/j.jacceco.2004.07.001.</w:t>
      </w:r>
    </w:p>
    <w:p w:rsidR="00B07D82" w:rsidRPr="00B07D82" w:rsidRDefault="00B07D82" w:rsidP="00B07D82">
      <w:pPr>
        <w:pStyle w:val="EndNoteBibliography"/>
        <w:spacing w:after="240"/>
        <w:ind w:left="720" w:hanging="720"/>
      </w:pPr>
      <w:r w:rsidRPr="00B07D82">
        <w:t xml:space="preserve">Foster, George. 1981. "Intra-Industry Information Transfers Associated with Earnings Releases."  </w:t>
      </w:r>
      <w:r w:rsidRPr="00B07D82">
        <w:rPr>
          <w:i/>
        </w:rPr>
        <w:t>Journal of Accounting and Economics</w:t>
      </w:r>
      <w:r w:rsidRPr="00B07D82">
        <w:t xml:space="preserve"> 3 (3):201-232. doi: </w:t>
      </w:r>
      <w:hyperlink r:id="rId14" w:history="1">
        <w:r w:rsidRPr="00B07D82">
          <w:rPr>
            <w:rStyle w:val="Hyperlink"/>
          </w:rPr>
          <w:t>http://www.sciencedirect.com/science/journal/01654101</w:t>
        </w:r>
      </w:hyperlink>
      <w:r w:rsidRPr="00B07D82">
        <w:t>.</w:t>
      </w:r>
    </w:p>
    <w:p w:rsidR="00B07D82" w:rsidRPr="00B07D82" w:rsidRDefault="00B07D82" w:rsidP="00B07D82">
      <w:pPr>
        <w:pStyle w:val="EndNoteBibliography"/>
        <w:spacing w:after="240"/>
        <w:ind w:left="720" w:hanging="720"/>
      </w:pPr>
      <w:r w:rsidRPr="00B07D82">
        <w:t xml:space="preserve">Freeman, Robert, and Senyo Tse. 1992. "An earnings prediction approach to examining intercompany information transfers."  </w:t>
      </w:r>
      <w:r w:rsidRPr="00B07D82">
        <w:rPr>
          <w:i/>
        </w:rPr>
        <w:t>Journal of Accounting &amp; Economics</w:t>
      </w:r>
      <w:r w:rsidRPr="00B07D82">
        <w:t xml:space="preserve"> 15 (4):509-523.</w:t>
      </w:r>
    </w:p>
    <w:p w:rsidR="00B07D82" w:rsidRPr="00B07D82" w:rsidRDefault="00B07D82" w:rsidP="00B07D82">
      <w:pPr>
        <w:pStyle w:val="EndNoteBibliography"/>
        <w:spacing w:after="240"/>
        <w:ind w:left="720" w:hanging="720"/>
      </w:pPr>
      <w:r w:rsidRPr="00B07D82">
        <w:t xml:space="preserve">Gleason, Cristi A., Nicole Thorne Jenkins, and W. Bruce Johnson. 2008. "The Contagion Effects of Accounting Restatements."  </w:t>
      </w:r>
      <w:r w:rsidRPr="00B07D82">
        <w:rPr>
          <w:i/>
        </w:rPr>
        <w:t>Accounting Review</w:t>
      </w:r>
      <w:r w:rsidRPr="00B07D82">
        <w:t xml:space="preserve"> 83 (1):83-110.</w:t>
      </w:r>
    </w:p>
    <w:p w:rsidR="00B07D82" w:rsidRPr="00B07D82" w:rsidRDefault="00B07D82" w:rsidP="00B07D82">
      <w:pPr>
        <w:pStyle w:val="EndNoteBibliography"/>
        <w:spacing w:after="240"/>
        <w:ind w:left="720" w:hanging="720"/>
      </w:pPr>
      <w:r w:rsidRPr="00B07D82">
        <w:t xml:space="preserve">Greenstein, Marilyn Magee, and Heibatollah Sami. 1994. "The Impact of the SEC's Segment Disclosure Requirement on Bid-Ask Spreads."  </w:t>
      </w:r>
      <w:r w:rsidRPr="00B07D82">
        <w:rPr>
          <w:i/>
        </w:rPr>
        <w:t>Accounting Review</w:t>
      </w:r>
      <w:r w:rsidRPr="00B07D82">
        <w:t xml:space="preserve"> 69 (1):179-199.</w:t>
      </w:r>
    </w:p>
    <w:p w:rsidR="00B07D82" w:rsidRPr="00B07D82" w:rsidRDefault="00B07D82" w:rsidP="00B07D82">
      <w:pPr>
        <w:pStyle w:val="EndNoteBibliography"/>
        <w:spacing w:after="240"/>
        <w:ind w:left="720" w:hanging="720"/>
      </w:pPr>
      <w:r w:rsidRPr="00B07D82">
        <w:t xml:space="preserve">Grinold, Richard, Andrew Rudd, and Dan Stefek. 1989. "Global factors: Fact or fiction?"  </w:t>
      </w:r>
      <w:r w:rsidRPr="00B07D82">
        <w:rPr>
          <w:i/>
        </w:rPr>
        <w:t>Journal of Portfolio Management</w:t>
      </w:r>
      <w:r w:rsidRPr="00B07D82">
        <w:t xml:space="preserve"> 16 (1):79-88.</w:t>
      </w:r>
    </w:p>
    <w:p w:rsidR="00B07D82" w:rsidRPr="00B07D82" w:rsidRDefault="00B07D82" w:rsidP="00B07D82">
      <w:pPr>
        <w:pStyle w:val="EndNoteBibliography"/>
        <w:spacing w:after="240"/>
        <w:ind w:left="720" w:hanging="720"/>
      </w:pPr>
      <w:r w:rsidRPr="00B07D82">
        <w:t xml:space="preserve">Han, Jerry C. Y., and John J. Wild. 1990. "Unexpected Earnings and Intraindustry Information Transfers: Further Evidence."  </w:t>
      </w:r>
      <w:r w:rsidRPr="00B07D82">
        <w:rPr>
          <w:i/>
        </w:rPr>
        <w:t>Journal of Accounting Research</w:t>
      </w:r>
      <w:r w:rsidRPr="00B07D82">
        <w:t xml:space="preserve"> 28 (1):211-219.</w:t>
      </w:r>
    </w:p>
    <w:p w:rsidR="00B07D82" w:rsidRPr="00B07D82" w:rsidRDefault="00B07D82" w:rsidP="00B07D82">
      <w:pPr>
        <w:pStyle w:val="EndNoteBibliography"/>
        <w:spacing w:after="240"/>
        <w:ind w:left="720" w:hanging="720"/>
      </w:pPr>
      <w:r w:rsidRPr="00B07D82">
        <w:t xml:space="preserve">Han, Jerry C. Y., John J. Wild, and K. Ramesh. 1989. "Manager's Earnings Forecasts and Intra-Industry Information Transfers."  </w:t>
      </w:r>
      <w:r w:rsidRPr="00B07D82">
        <w:rPr>
          <w:i/>
        </w:rPr>
        <w:t>Journal of Accounting &amp; Economics</w:t>
      </w:r>
      <w:r w:rsidRPr="00B07D82">
        <w:t xml:space="preserve"> 11 (1):3-33.</w:t>
      </w:r>
    </w:p>
    <w:p w:rsidR="00B07D82" w:rsidRPr="00B07D82" w:rsidRDefault="00B07D82" w:rsidP="00B07D82">
      <w:pPr>
        <w:pStyle w:val="EndNoteBibliography"/>
        <w:spacing w:after="240"/>
        <w:ind w:left="720" w:hanging="720"/>
      </w:pPr>
      <w:r w:rsidRPr="00B07D82">
        <w:t xml:space="preserve">Herrmann, Don, and Wayne B. Thomas. 2000. "An Analysis of Segment Disclosures under SFAS No. 131 and SFAS No. 14."  </w:t>
      </w:r>
      <w:r w:rsidRPr="00B07D82">
        <w:rPr>
          <w:i/>
        </w:rPr>
        <w:t>Accounting Horizons</w:t>
      </w:r>
      <w:r w:rsidRPr="00B07D82">
        <w:t xml:space="preserve"> 14 (3):287-302.</w:t>
      </w:r>
    </w:p>
    <w:p w:rsidR="00B07D82" w:rsidRPr="00B07D82" w:rsidRDefault="00B07D82" w:rsidP="00B07D82">
      <w:pPr>
        <w:pStyle w:val="EndNoteBibliography"/>
        <w:spacing w:after="240"/>
        <w:ind w:left="720" w:hanging="720"/>
      </w:pPr>
      <w:r w:rsidRPr="00B07D82">
        <w:t xml:space="preserve">Hoberg, Gerard, and Gordon Phillips. 2010a. "Product Market Synergies and Competition in Mergers and Acquisitions: A Text-Based Analysis."  </w:t>
      </w:r>
      <w:r w:rsidRPr="00B07D82">
        <w:rPr>
          <w:i/>
        </w:rPr>
        <w:t>Review of Financial Studies</w:t>
      </w:r>
      <w:r w:rsidRPr="00B07D82">
        <w:t xml:space="preserve"> 23 (10):3773-3811.</w:t>
      </w:r>
    </w:p>
    <w:p w:rsidR="00B07D82" w:rsidRPr="00B07D82" w:rsidRDefault="00B07D82" w:rsidP="00B07D82">
      <w:pPr>
        <w:pStyle w:val="EndNoteBibliography"/>
        <w:spacing w:after="240"/>
        <w:ind w:left="720" w:hanging="720"/>
      </w:pPr>
      <w:r w:rsidRPr="00B07D82">
        <w:lastRenderedPageBreak/>
        <w:t xml:space="preserve">Hoberg, Gerard, and Gordon Phillips. 2010b. "Real and financial industry booms and busts."  </w:t>
      </w:r>
      <w:r w:rsidRPr="00B07D82">
        <w:rPr>
          <w:i/>
        </w:rPr>
        <w:t>The Journal of Finance</w:t>
      </w:r>
      <w:r w:rsidRPr="00B07D82">
        <w:t xml:space="preserve"> 65 (1):45-86.</w:t>
      </w:r>
    </w:p>
    <w:p w:rsidR="00B07D82" w:rsidRPr="00B07D82" w:rsidRDefault="00B07D82" w:rsidP="00B07D82">
      <w:pPr>
        <w:pStyle w:val="EndNoteBibliography"/>
        <w:spacing w:after="240"/>
        <w:ind w:left="720" w:hanging="720"/>
      </w:pPr>
      <w:r w:rsidRPr="00B07D82">
        <w:t xml:space="preserve">Hoberg, Gerard, and Gordon Phillips. 2012. "The stock market, product uniqueness, and comovement of peer firms."  </w:t>
      </w:r>
      <w:r w:rsidRPr="00B07D82">
        <w:rPr>
          <w:i/>
        </w:rPr>
        <w:t>SSRN eLibrary</w:t>
      </w:r>
      <w:r w:rsidRPr="00B07D82">
        <w:t>.</w:t>
      </w:r>
    </w:p>
    <w:p w:rsidR="00B07D82" w:rsidRPr="00B07D82" w:rsidRDefault="00B07D82" w:rsidP="00B07D82">
      <w:pPr>
        <w:pStyle w:val="EndNoteBibliography"/>
        <w:spacing w:after="240"/>
        <w:ind w:left="720" w:hanging="720"/>
      </w:pPr>
      <w:r w:rsidRPr="00B07D82">
        <w:t xml:space="preserve">Hoberg, Gerard, and Gordon Phillips. 2013. "Text-Based Network Industries and Endogenous Product Differentiation."  </w:t>
      </w:r>
      <w:r w:rsidRPr="00B07D82">
        <w:rPr>
          <w:i/>
        </w:rPr>
        <w:t>SSRN eLibrary</w:t>
      </w:r>
      <w:r w:rsidRPr="00B07D82">
        <w:t>.</w:t>
      </w:r>
    </w:p>
    <w:p w:rsidR="00B07D82" w:rsidRPr="00B07D82" w:rsidRDefault="00B07D82" w:rsidP="00B07D82">
      <w:pPr>
        <w:pStyle w:val="EndNoteBibliography"/>
        <w:spacing w:after="240"/>
        <w:ind w:left="720" w:hanging="720"/>
      </w:pPr>
      <w:r w:rsidRPr="00B07D82">
        <w:t xml:space="preserve">Hoechle, Daniel, Markus Schmid, Ingo Walter, and David Yermack. 2012. "How much of the diversification discount can be explained by poor corporate governance?"  </w:t>
      </w:r>
      <w:r w:rsidRPr="00B07D82">
        <w:rPr>
          <w:i/>
        </w:rPr>
        <w:t>Journal of Financial Economics</w:t>
      </w:r>
      <w:r w:rsidRPr="00B07D82">
        <w:t xml:space="preserve"> 103 (1):41-60.</w:t>
      </w:r>
    </w:p>
    <w:p w:rsidR="00B07D82" w:rsidRPr="00B07D82" w:rsidRDefault="00B07D82" w:rsidP="00B07D82">
      <w:pPr>
        <w:pStyle w:val="EndNoteBibliography"/>
        <w:spacing w:after="240"/>
        <w:ind w:left="720" w:hanging="720"/>
      </w:pPr>
      <w:r w:rsidRPr="00B07D82">
        <w:t xml:space="preserve">Hope, Ole-Kristian, and Wayne B. Thomas. 2008. "Managerial Empire Building and Firm Disclosure."  </w:t>
      </w:r>
      <w:r w:rsidRPr="00B07D82">
        <w:rPr>
          <w:i/>
        </w:rPr>
        <w:t>Journal of Accounting Research</w:t>
      </w:r>
      <w:r w:rsidRPr="00B07D82">
        <w:t xml:space="preserve"> 46 (3):591-626. doi: 10.1111/j.1475-679X.2008.00289.x.</w:t>
      </w:r>
    </w:p>
    <w:p w:rsidR="00B07D82" w:rsidRPr="00B07D82" w:rsidRDefault="00B07D82" w:rsidP="00B07D82">
      <w:pPr>
        <w:pStyle w:val="EndNoteBibliography"/>
        <w:spacing w:after="240"/>
        <w:ind w:left="720" w:hanging="720"/>
      </w:pPr>
      <w:r w:rsidRPr="00B07D82">
        <w:t xml:space="preserve">Hope, Ole-Kristian, Wayne B. Thomas, and Glyn Winterbotham. 2009. "Geographic earnings disclosure and trading volume."  </w:t>
      </w:r>
      <w:r w:rsidRPr="00B07D82">
        <w:rPr>
          <w:i/>
        </w:rPr>
        <w:t>Journal of Accounting &amp; Public Policy</w:t>
      </w:r>
      <w:r w:rsidRPr="00B07D82">
        <w:t xml:space="preserve"> 28 (3):167-188. doi: 10.1016/j.jaccpubpol.2009.04.001.</w:t>
      </w:r>
    </w:p>
    <w:p w:rsidR="00B07D82" w:rsidRPr="00B07D82" w:rsidRDefault="00B07D82" w:rsidP="00B07D82">
      <w:pPr>
        <w:pStyle w:val="EndNoteBibliography"/>
        <w:spacing w:after="240"/>
        <w:ind w:left="720" w:hanging="720"/>
      </w:pPr>
      <w:r w:rsidRPr="00B07D82">
        <w:t xml:space="preserve">Hund, John, Donald Monk, and Sheri Tice. 2010. "Uncertainty about Average Profitability and the Diversification Discount."  </w:t>
      </w:r>
      <w:r w:rsidRPr="00B07D82">
        <w:rPr>
          <w:i/>
        </w:rPr>
        <w:t>Journal of Financial Economics</w:t>
      </w:r>
      <w:r w:rsidRPr="00B07D82">
        <w:t xml:space="preserve"> 96 (3):463-484. doi: </w:t>
      </w:r>
      <w:hyperlink r:id="rId15" w:history="1">
        <w:r w:rsidRPr="00B07D82">
          <w:rPr>
            <w:rStyle w:val="Hyperlink"/>
          </w:rPr>
          <w:t>http://www.sciencedirect.com/science/journal/0304405X</w:t>
        </w:r>
      </w:hyperlink>
      <w:r w:rsidRPr="00B07D82">
        <w:t>.</w:t>
      </w:r>
    </w:p>
    <w:p w:rsidR="00B07D82" w:rsidRPr="00B07D82" w:rsidRDefault="00B07D82" w:rsidP="00B07D82">
      <w:pPr>
        <w:pStyle w:val="EndNoteBibliography"/>
        <w:spacing w:after="240"/>
        <w:ind w:left="720" w:hanging="720"/>
      </w:pPr>
      <w:r w:rsidRPr="00B07D82">
        <w:t xml:space="preserve">Kanodia, Chandra, and Deokheon Lee. 1998. "Investment and Disclosure: The Disciplinary Role of Periodic Performance Reports."  </w:t>
      </w:r>
      <w:r w:rsidRPr="00B07D82">
        <w:rPr>
          <w:i/>
        </w:rPr>
        <w:t>Journal of Accounting Research</w:t>
      </w:r>
      <w:r w:rsidRPr="00B07D82">
        <w:t xml:space="preserve"> 36 (1):33-55.</w:t>
      </w:r>
    </w:p>
    <w:p w:rsidR="00B07D82" w:rsidRPr="00B07D82" w:rsidRDefault="00B07D82" w:rsidP="00B07D82">
      <w:pPr>
        <w:pStyle w:val="EndNoteBibliography"/>
        <w:spacing w:after="240"/>
        <w:ind w:left="720" w:hanging="720"/>
      </w:pPr>
      <w:r w:rsidRPr="00B07D82">
        <w:t xml:space="preserve">King, Benjamin F. 1966. "Market and Industry Factors in Stock Price Behavior."  </w:t>
      </w:r>
      <w:r w:rsidRPr="00B07D82">
        <w:rPr>
          <w:i/>
        </w:rPr>
        <w:t>Journal of Business</w:t>
      </w:r>
      <w:r w:rsidRPr="00B07D82">
        <w:t xml:space="preserve"> 39 (1):139.</w:t>
      </w:r>
    </w:p>
    <w:p w:rsidR="00B07D82" w:rsidRPr="00B07D82" w:rsidRDefault="00B07D82" w:rsidP="00B07D82">
      <w:pPr>
        <w:pStyle w:val="EndNoteBibliography"/>
        <w:spacing w:after="240"/>
        <w:ind w:left="720" w:hanging="720"/>
      </w:pPr>
      <w:r w:rsidRPr="00B07D82">
        <w:t xml:space="preserve">Klein, Peter G. 2001. "Were the acquisitive conglomerates inefficient?"  </w:t>
      </w:r>
      <w:r w:rsidRPr="00B07D82">
        <w:rPr>
          <w:i/>
        </w:rPr>
        <w:t>RAND Journal of Economics (RAND Journal of Economics)</w:t>
      </w:r>
      <w:r w:rsidRPr="00B07D82">
        <w:t xml:space="preserve"> 32 (4):745-761.</w:t>
      </w:r>
    </w:p>
    <w:p w:rsidR="00B07D82" w:rsidRPr="00B07D82" w:rsidRDefault="00B07D82" w:rsidP="00B07D82">
      <w:pPr>
        <w:pStyle w:val="EndNoteBibliography"/>
        <w:spacing w:after="240"/>
        <w:ind w:left="720" w:hanging="720"/>
      </w:pPr>
      <w:r w:rsidRPr="00B07D82">
        <w:t xml:space="preserve">Kravet, Todd, and Terry Shevlin. 2010. "Accounting restatements and information risk."  </w:t>
      </w:r>
      <w:r w:rsidRPr="00B07D82">
        <w:rPr>
          <w:i/>
        </w:rPr>
        <w:t>Review of Accounting Studies</w:t>
      </w:r>
      <w:r w:rsidRPr="00B07D82">
        <w:t xml:space="preserve"> 15 (2):264-294. doi: 10.1007/s11142-009-9103-x.</w:t>
      </w:r>
    </w:p>
    <w:p w:rsidR="00B07D82" w:rsidRPr="00B07D82" w:rsidRDefault="00B07D82" w:rsidP="00B07D82">
      <w:pPr>
        <w:pStyle w:val="EndNoteBibliography"/>
        <w:spacing w:after="240"/>
        <w:ind w:left="720" w:hanging="720"/>
      </w:pPr>
      <w:r w:rsidRPr="00B07D82">
        <w:t xml:space="preserve">Lambert, Richard A., Christian Leuz, and Robert E. Verrecchia. 2012. "Information Asymmetry, Information Precision, and the Cost of Capital."  </w:t>
      </w:r>
      <w:r w:rsidRPr="00B07D82">
        <w:rPr>
          <w:i/>
        </w:rPr>
        <w:t>Review of Finance</w:t>
      </w:r>
      <w:r w:rsidRPr="00B07D82">
        <w:t xml:space="preserve"> 16 (1):1-29. doi: 10.1093/rof/rfr014.</w:t>
      </w:r>
    </w:p>
    <w:p w:rsidR="00B07D82" w:rsidRPr="00B07D82" w:rsidRDefault="00B07D82" w:rsidP="00B07D82">
      <w:pPr>
        <w:pStyle w:val="EndNoteBibliography"/>
        <w:spacing w:after="240"/>
        <w:ind w:left="720" w:hanging="720"/>
      </w:pPr>
      <w:r w:rsidRPr="00B07D82">
        <w:t xml:space="preserve">Lambert, Richard, Christian Leuz, and Robert E. Verrecchia. 2007. "Accounting Information, Disclosure, and the Cost of Capital."  </w:t>
      </w:r>
      <w:r w:rsidRPr="00B07D82">
        <w:rPr>
          <w:i/>
        </w:rPr>
        <w:t>Journal of Accounting Research</w:t>
      </w:r>
      <w:r w:rsidRPr="00B07D82">
        <w:t xml:space="preserve"> 45 (2):385-420. doi: 10.1111/j.1475-679X.2007.00238.x.</w:t>
      </w:r>
    </w:p>
    <w:p w:rsidR="00FC6FB4" w:rsidRDefault="00FC6FB4">
      <w:pPr>
        <w:spacing w:line="240" w:lineRule="auto"/>
        <w:rPr>
          <w:rFonts w:ascii="Times New Roman" w:hAnsi="Times New Roman"/>
          <w:noProof/>
        </w:rPr>
      </w:pPr>
      <w:r>
        <w:br w:type="page"/>
      </w:r>
    </w:p>
    <w:p w:rsidR="00B07D82" w:rsidRPr="00B07D82" w:rsidRDefault="00B07D82" w:rsidP="00B07D82">
      <w:pPr>
        <w:pStyle w:val="EndNoteBibliography"/>
        <w:spacing w:after="240"/>
        <w:ind w:left="720" w:hanging="720"/>
      </w:pPr>
      <w:r w:rsidRPr="00B07D82">
        <w:lastRenderedPageBreak/>
        <w:t>Lang, Larry H. P., Joseph P. H. Fan, Stijn Claessens, and Simeon Djankov. 1999.</w:t>
      </w:r>
    </w:p>
    <w:p w:rsidR="00B07D82" w:rsidRPr="00B07D82" w:rsidRDefault="00B07D82" w:rsidP="00B07D82">
      <w:pPr>
        <w:pStyle w:val="EndNoteBibliography"/>
        <w:spacing w:after="240"/>
        <w:ind w:left="720" w:hanging="720"/>
      </w:pPr>
      <w:r w:rsidRPr="00B07D82">
        <w:t xml:space="preserve">Lang, Larry H. P., and René M. Stulz. 1994. "Tobin's q, corporate diversification, and firm performance."  </w:t>
      </w:r>
      <w:r w:rsidRPr="00B07D82">
        <w:rPr>
          <w:i/>
        </w:rPr>
        <w:t>Journal of Political Economy</w:t>
      </w:r>
      <w:r w:rsidRPr="00B07D82">
        <w:t xml:space="preserve"> 102 (6):1248.</w:t>
      </w:r>
    </w:p>
    <w:p w:rsidR="00B07D82" w:rsidRPr="00B07D82" w:rsidRDefault="00B07D82" w:rsidP="00B07D82">
      <w:pPr>
        <w:pStyle w:val="EndNoteBibliography"/>
        <w:spacing w:after="240"/>
        <w:ind w:left="720" w:hanging="720"/>
      </w:pPr>
      <w:r w:rsidRPr="00B07D82">
        <w:t xml:space="preserve">Lang, Mark H., and Russell J. Lundholm. 1996. "Corporate Disclosure Policy and Analyst Behavior."  </w:t>
      </w:r>
      <w:r w:rsidRPr="00B07D82">
        <w:rPr>
          <w:i/>
        </w:rPr>
        <w:t>Accounting Review</w:t>
      </w:r>
      <w:r w:rsidRPr="00B07D82">
        <w:t xml:space="preserve"> 71 (4):467-492.</w:t>
      </w:r>
    </w:p>
    <w:p w:rsidR="00B07D82" w:rsidRPr="00B07D82" w:rsidRDefault="00B07D82" w:rsidP="00B07D82">
      <w:pPr>
        <w:pStyle w:val="EndNoteBibliography"/>
        <w:spacing w:after="240"/>
        <w:ind w:left="720" w:hanging="720"/>
      </w:pPr>
      <w:r w:rsidRPr="00B07D82">
        <w:t xml:space="preserve">Lessard, Donald R. 1974. "World, National, and Industry Factors in Equity Returns."  </w:t>
      </w:r>
      <w:r w:rsidRPr="00B07D82">
        <w:rPr>
          <w:i/>
        </w:rPr>
        <w:t>Journal of Finance</w:t>
      </w:r>
      <w:r w:rsidRPr="00B07D82">
        <w:t xml:space="preserve"> 29 (2):379-391.</w:t>
      </w:r>
    </w:p>
    <w:p w:rsidR="00B07D82" w:rsidRPr="00B07D82" w:rsidRDefault="00B07D82" w:rsidP="00B07D82">
      <w:pPr>
        <w:pStyle w:val="EndNoteBibliography"/>
        <w:spacing w:after="240"/>
        <w:ind w:left="720" w:hanging="720"/>
      </w:pPr>
      <w:r w:rsidRPr="00B07D82">
        <w:t xml:space="preserve">Leuz, Christian, and Peter Wysocki. 2008. "Economic consequences of financial reporting and disclosure regulation: A review and suggestions for future research."  </w:t>
      </w:r>
      <w:r w:rsidRPr="00B07D82">
        <w:rPr>
          <w:i/>
        </w:rPr>
        <w:t>Available at SSRN 1105398</w:t>
      </w:r>
      <w:r w:rsidRPr="00B07D82">
        <w:t>.</w:t>
      </w:r>
    </w:p>
    <w:p w:rsidR="00B07D82" w:rsidRPr="00B07D82" w:rsidRDefault="00B07D82" w:rsidP="00B07D82">
      <w:pPr>
        <w:pStyle w:val="EndNoteBibliography"/>
        <w:spacing w:after="240"/>
        <w:ind w:left="720" w:hanging="720"/>
      </w:pPr>
      <w:r w:rsidRPr="00B07D82">
        <w:t xml:space="preserve">Lins, Karl, and Henri Servaes. 1999. "International Evidence on the Value of Corporate Diversification."  </w:t>
      </w:r>
      <w:r w:rsidRPr="00B07D82">
        <w:rPr>
          <w:i/>
        </w:rPr>
        <w:t>Journal of Finance</w:t>
      </w:r>
      <w:r w:rsidRPr="00B07D82">
        <w:t xml:space="preserve"> 54 (6):2215-2239.</w:t>
      </w:r>
    </w:p>
    <w:p w:rsidR="00B07D82" w:rsidRPr="00B07D82" w:rsidRDefault="00B07D82" w:rsidP="00B07D82">
      <w:pPr>
        <w:pStyle w:val="EndNoteBibliography"/>
        <w:spacing w:after="240"/>
        <w:ind w:left="720" w:hanging="720"/>
      </w:pPr>
      <w:r w:rsidRPr="00B07D82">
        <w:t xml:space="preserve">Lins, Karl V., and Henri Servaes. 2002. "Is Corporate Diversification Beneficial in Emerging Markets?"  </w:t>
      </w:r>
      <w:r w:rsidRPr="00B07D82">
        <w:rPr>
          <w:i/>
        </w:rPr>
        <w:t>Financial Management (Wiley-Blackwell)</w:t>
      </w:r>
      <w:r w:rsidRPr="00B07D82">
        <w:t xml:space="preserve"> 31 (2):5.</w:t>
      </w:r>
    </w:p>
    <w:p w:rsidR="00B07D82" w:rsidRPr="00B07D82" w:rsidRDefault="00B07D82" w:rsidP="00B07D82">
      <w:pPr>
        <w:pStyle w:val="EndNoteBibliography"/>
        <w:spacing w:after="240"/>
        <w:ind w:left="720" w:hanging="720"/>
      </w:pPr>
      <w:r w:rsidRPr="00B07D82">
        <w:t>Ma, Mark Shuai. 2013. "Industry Peer Firm Earnings Quality and the Cost of Equity." Doctorate Dissertation, John T. Steed School of Accounting, University of Oklahoma.</w:t>
      </w:r>
    </w:p>
    <w:p w:rsidR="00B07D82" w:rsidRPr="00B07D82" w:rsidRDefault="00B07D82" w:rsidP="00B07D82">
      <w:pPr>
        <w:pStyle w:val="EndNoteBibliography"/>
        <w:spacing w:after="240"/>
        <w:ind w:left="720" w:hanging="720"/>
      </w:pPr>
      <w:r w:rsidRPr="00B07D82">
        <w:t xml:space="preserve">Maksimovic, Vojislav, and Gordon Phillips. 2002. "Do Conglomerate Firms Allocate Resources Inefficiently across Industries? Theory and Evidence."  </w:t>
      </w:r>
      <w:r w:rsidRPr="00B07D82">
        <w:rPr>
          <w:i/>
        </w:rPr>
        <w:t>Journal of Finance</w:t>
      </w:r>
      <w:r w:rsidRPr="00B07D82">
        <w:t xml:space="preserve"> 57 (2):721-767. doi: </w:t>
      </w:r>
      <w:hyperlink r:id="rId16" w:history="1">
        <w:r w:rsidRPr="00B07D82">
          <w:rPr>
            <w:rStyle w:val="Hyperlink"/>
          </w:rPr>
          <w:t>http://onlinelibrary.wiley.com/journal/10.1111/%28ISSN%291540-6261/issues</w:t>
        </w:r>
      </w:hyperlink>
      <w:r w:rsidRPr="00B07D82">
        <w:t>.</w:t>
      </w:r>
    </w:p>
    <w:p w:rsidR="00B07D82" w:rsidRPr="00B07D82" w:rsidRDefault="00B07D82" w:rsidP="00B07D82">
      <w:pPr>
        <w:pStyle w:val="EndNoteBibliography"/>
        <w:spacing w:after="240"/>
        <w:ind w:left="720" w:hanging="720"/>
      </w:pPr>
      <w:r w:rsidRPr="00B07D82">
        <w:t xml:space="preserve">Martin, John D., and Akin Sayrak. 2003. "Corporate diversification and shareholder value: a survey of recent literature."  </w:t>
      </w:r>
      <w:r w:rsidRPr="00B07D82">
        <w:rPr>
          <w:i/>
        </w:rPr>
        <w:t>Journal of Corporate Finance</w:t>
      </w:r>
      <w:r w:rsidRPr="00B07D82">
        <w:t xml:space="preserve"> 9 (1):37.</w:t>
      </w:r>
    </w:p>
    <w:p w:rsidR="00B07D82" w:rsidRPr="00B07D82" w:rsidRDefault="00B07D82" w:rsidP="00B07D82">
      <w:pPr>
        <w:pStyle w:val="EndNoteBibliography"/>
        <w:spacing w:after="240"/>
        <w:ind w:left="720" w:hanging="720"/>
      </w:pPr>
      <w:r w:rsidRPr="00B07D82">
        <w:t xml:space="preserve">Ogneva, Maria, K. R. Subramanyam, and K. Raghunandan. 2007. "Internal Control Weakness and Cost of Equity: Evidence from SOX Section 404 Disclosures."  </w:t>
      </w:r>
      <w:r w:rsidRPr="00B07D82">
        <w:rPr>
          <w:i/>
        </w:rPr>
        <w:t>Accounting Review</w:t>
      </w:r>
      <w:r w:rsidRPr="00B07D82">
        <w:t xml:space="preserve"> 82 (5):1255-1297.</w:t>
      </w:r>
    </w:p>
    <w:p w:rsidR="00B07D82" w:rsidRPr="00B07D82" w:rsidRDefault="00B07D82" w:rsidP="00B07D82">
      <w:pPr>
        <w:pStyle w:val="EndNoteBibliography"/>
        <w:spacing w:after="240"/>
        <w:ind w:left="720" w:hanging="720"/>
      </w:pPr>
      <w:r w:rsidRPr="00B07D82">
        <w:t xml:space="preserve">Piotroski, J. 2003. "Segment reporting fineness and the precision of investor beliefs."  </w:t>
      </w:r>
      <w:r w:rsidRPr="00B07D82">
        <w:rPr>
          <w:i/>
        </w:rPr>
        <w:t>Workingpaper, University of Chicago</w:t>
      </w:r>
      <w:r w:rsidRPr="00B07D82">
        <w:t>.</w:t>
      </w:r>
    </w:p>
    <w:p w:rsidR="00B07D82" w:rsidRPr="00B07D82" w:rsidRDefault="00B07D82" w:rsidP="00B07D82">
      <w:pPr>
        <w:pStyle w:val="EndNoteBibliography"/>
        <w:spacing w:after="240"/>
        <w:ind w:left="720" w:hanging="720"/>
      </w:pPr>
      <w:r w:rsidRPr="00B07D82">
        <w:t xml:space="preserve">PricewaterhouseCoopers. 2013. Stay informed: 2013 SEC comment letter trends - Pharmaceutical &amp; Life Science industry current developments in SEC reporting. In </w:t>
      </w:r>
      <w:r w:rsidRPr="00B07D82">
        <w:rPr>
          <w:i/>
        </w:rPr>
        <w:t>Stay informed</w:t>
      </w:r>
      <w:r w:rsidRPr="00B07D82">
        <w:t>, edited by Karen C. Young: PricewaterhouseCoopers.</w:t>
      </w:r>
    </w:p>
    <w:p w:rsidR="00B07D82" w:rsidRPr="00B07D82" w:rsidRDefault="00B07D82" w:rsidP="00B07D82">
      <w:pPr>
        <w:pStyle w:val="EndNoteBibliography"/>
        <w:spacing w:after="240"/>
        <w:ind w:left="720" w:hanging="720"/>
      </w:pPr>
      <w:r w:rsidRPr="00B07D82">
        <w:t xml:space="preserve">PricewaterhouseCoopers. 2014a. Stay informed: Automotive sector 2013 SEC comment letter trends. In </w:t>
      </w:r>
      <w:r w:rsidRPr="00B07D82">
        <w:rPr>
          <w:i/>
        </w:rPr>
        <w:t>Stay informed</w:t>
      </w:r>
      <w:r w:rsidRPr="00B07D82">
        <w:t>, edited by Richard Hanna and Sharad P. Jain: PricewaterhouseCoopers.</w:t>
      </w:r>
    </w:p>
    <w:p w:rsidR="00B07D82" w:rsidRPr="00B07D82" w:rsidRDefault="00B07D82" w:rsidP="00B07D82">
      <w:pPr>
        <w:pStyle w:val="EndNoteBibliography"/>
        <w:spacing w:after="240"/>
        <w:ind w:left="720" w:hanging="720"/>
      </w:pPr>
      <w:r w:rsidRPr="00B07D82">
        <w:lastRenderedPageBreak/>
        <w:t xml:space="preserve">PricewaterhouseCoopers. 2014b. Stay informed: Retail &amp; Consumer 2013 SEC comment letter trends. In </w:t>
      </w:r>
      <w:r w:rsidRPr="00B07D82">
        <w:rPr>
          <w:i/>
        </w:rPr>
        <w:t>Stay informed</w:t>
      </w:r>
      <w:r w:rsidRPr="00B07D82">
        <w:t>, edited by Steve Barr. San Francisco, CA: PricewaterhouseCoopers.</w:t>
      </w:r>
    </w:p>
    <w:p w:rsidR="00B07D82" w:rsidRPr="00B07D82" w:rsidRDefault="00B07D82" w:rsidP="00B07D82">
      <w:pPr>
        <w:pStyle w:val="EndNoteBibliography"/>
        <w:spacing w:after="240"/>
        <w:ind w:left="720" w:hanging="720"/>
      </w:pPr>
      <w:r w:rsidRPr="00B07D82">
        <w:t xml:space="preserve">Roll, Richard. 1992. "Industrial Structure and the Comparative Behavior of International Stock Market Indices."  </w:t>
      </w:r>
      <w:r w:rsidRPr="00B07D82">
        <w:rPr>
          <w:i/>
        </w:rPr>
        <w:t>Journal of Finance</w:t>
      </w:r>
      <w:r w:rsidRPr="00B07D82">
        <w:t xml:space="preserve"> 47 (1):3-41.</w:t>
      </w:r>
    </w:p>
    <w:p w:rsidR="00B07D82" w:rsidRPr="00B07D82" w:rsidRDefault="00B07D82" w:rsidP="00B07D82">
      <w:pPr>
        <w:pStyle w:val="EndNoteBibliography"/>
        <w:spacing w:after="240"/>
        <w:ind w:left="720" w:hanging="720"/>
      </w:pPr>
      <w:r w:rsidRPr="00B07D82">
        <w:t xml:space="preserve">Saini, Jagjit, and Don Herrmann. 2011. "Cost of Equity Capital, Information Asymmetry, and Segment Disclosure."  </w:t>
      </w:r>
      <w:r w:rsidRPr="00B07D82">
        <w:rPr>
          <w:i/>
        </w:rPr>
        <w:t>Information Asymmetry, and Segment Disclosure (February 9, 2011)</w:t>
      </w:r>
      <w:r w:rsidRPr="00B07D82">
        <w:t>.</w:t>
      </w:r>
    </w:p>
    <w:p w:rsidR="00B07D82" w:rsidRPr="00B07D82" w:rsidRDefault="00B07D82" w:rsidP="00B07D82">
      <w:pPr>
        <w:pStyle w:val="EndNoteBibliography"/>
        <w:spacing w:after="240"/>
        <w:ind w:left="720" w:hanging="720"/>
      </w:pPr>
      <w:r w:rsidRPr="00B07D82">
        <w:t>Saini, Jagjit Singh. 2010. "Information Asymmetry, Segment Disclosures, and Cost of Equity Capital." Oklahoma State University.</w:t>
      </w:r>
    </w:p>
    <w:p w:rsidR="00B07D82" w:rsidRPr="00B07D82" w:rsidRDefault="00B07D82" w:rsidP="00B07D82">
      <w:pPr>
        <w:pStyle w:val="EndNoteBibliography"/>
        <w:spacing w:after="240"/>
        <w:ind w:left="720" w:hanging="720"/>
      </w:pPr>
      <w:r w:rsidRPr="00B07D82">
        <w:t xml:space="preserve">Samuelson, P. A. 1967. "General proof that diversification pays."  </w:t>
      </w:r>
      <w:r w:rsidRPr="00B07D82">
        <w:rPr>
          <w:i/>
        </w:rPr>
        <w:t>Journal of Financial and Quantitative Analysis</w:t>
      </w:r>
      <w:r w:rsidRPr="00B07D82">
        <w:t xml:space="preserve"> 2:1-13.</w:t>
      </w:r>
    </w:p>
    <w:p w:rsidR="00B07D82" w:rsidRPr="00B07D82" w:rsidRDefault="00B07D82" w:rsidP="00B07D82">
      <w:pPr>
        <w:pStyle w:val="EndNoteBibliography"/>
        <w:spacing w:after="240"/>
        <w:ind w:left="720" w:hanging="720"/>
      </w:pPr>
      <w:r w:rsidRPr="00B07D82">
        <w:t xml:space="preserve">Schoar, Antoinette. 2002. "Effects of Corporate Diversification on Productivity."  </w:t>
      </w:r>
      <w:r w:rsidRPr="00B07D82">
        <w:rPr>
          <w:i/>
        </w:rPr>
        <w:t>Journal of Finance</w:t>
      </w:r>
      <w:r w:rsidRPr="00B07D82">
        <w:t xml:space="preserve"> 57 (6):2379-2403.</w:t>
      </w:r>
    </w:p>
    <w:p w:rsidR="00B07D82" w:rsidRPr="00B07D82" w:rsidRDefault="00B07D82" w:rsidP="00B07D82">
      <w:pPr>
        <w:pStyle w:val="EndNoteBibliography"/>
        <w:spacing w:after="240"/>
        <w:ind w:left="720" w:hanging="720"/>
      </w:pPr>
      <w:r w:rsidRPr="00B07D82">
        <w:t xml:space="preserve">Servaes, Henri. 1996. "The Value of Diversification During the Conglomerate Merger Wave."  </w:t>
      </w:r>
      <w:r w:rsidRPr="00B07D82">
        <w:rPr>
          <w:i/>
        </w:rPr>
        <w:t>Journal of Finance</w:t>
      </w:r>
      <w:r w:rsidRPr="00B07D82">
        <w:t xml:space="preserve"> 51 (4):1201-1225.</w:t>
      </w:r>
    </w:p>
    <w:p w:rsidR="00B07D82" w:rsidRPr="00B07D82" w:rsidRDefault="00B07D82" w:rsidP="00B07D82">
      <w:pPr>
        <w:pStyle w:val="EndNoteBibliography"/>
        <w:spacing w:after="240"/>
        <w:ind w:left="720" w:hanging="720"/>
      </w:pPr>
      <w:r w:rsidRPr="00B07D82">
        <w:t xml:space="preserve">Sidak, J. Gregory. 2003. "The Failure of Good Intentions: The WorldCom Fraud and the Collapse of American Telecommunications After Deregulation."  </w:t>
      </w:r>
      <w:r w:rsidRPr="00B07D82">
        <w:rPr>
          <w:i/>
        </w:rPr>
        <w:t>Yale Journal on Regulation</w:t>
      </w:r>
      <w:r w:rsidRPr="00B07D82">
        <w:t xml:space="preserve"> 20 (2):207.</w:t>
      </w:r>
    </w:p>
    <w:p w:rsidR="00B07D82" w:rsidRPr="00B07D82" w:rsidRDefault="00B07D82" w:rsidP="00B07D82">
      <w:pPr>
        <w:pStyle w:val="EndNoteBibliography"/>
        <w:spacing w:after="240"/>
        <w:ind w:left="720" w:hanging="720"/>
      </w:pPr>
      <w:r w:rsidRPr="00B07D82">
        <w:t xml:space="preserve">Street, Donna L., Nancy B. Nichols, and Sidney J. Gray. 2000. "Segment Disclosures under SFAS No. 131: Has Business Segment Reporting Improved?"  </w:t>
      </w:r>
      <w:r w:rsidRPr="00B07D82">
        <w:rPr>
          <w:i/>
        </w:rPr>
        <w:t>Accounting Horizons</w:t>
      </w:r>
      <w:r w:rsidRPr="00B07D82">
        <w:t xml:space="preserve"> 14 (3):259-285.</w:t>
      </w:r>
    </w:p>
    <w:p w:rsidR="00B07D82" w:rsidRPr="00B07D82" w:rsidRDefault="00B07D82" w:rsidP="00B07D82">
      <w:pPr>
        <w:pStyle w:val="EndNoteBibliography"/>
        <w:spacing w:after="240"/>
        <w:ind w:left="720" w:hanging="720"/>
      </w:pPr>
      <w:r w:rsidRPr="00B07D82">
        <w:t xml:space="preserve">Villalonga, Belen. 2004a. "Diversification Discount or Premium? New Evidence from the Business Information Tracking Series."  </w:t>
      </w:r>
      <w:r w:rsidRPr="00B07D82">
        <w:rPr>
          <w:i/>
        </w:rPr>
        <w:t>Journal of Finance</w:t>
      </w:r>
      <w:r w:rsidRPr="00B07D82">
        <w:t xml:space="preserve"> 59 (2):479-506. doi: 10.1111/j.1540-6261.2004.00640.x.</w:t>
      </w:r>
    </w:p>
    <w:p w:rsidR="00B07D82" w:rsidRPr="00B07D82" w:rsidRDefault="00B07D82" w:rsidP="00B07D82">
      <w:pPr>
        <w:pStyle w:val="EndNoteBibliography"/>
        <w:spacing w:after="240"/>
        <w:ind w:left="720" w:hanging="720"/>
      </w:pPr>
      <w:r w:rsidRPr="00B07D82">
        <w:t xml:space="preserve">Villalonga, Belen. 2004b. "Does Diversification Cause the 'Diversification Discount'?"  </w:t>
      </w:r>
      <w:r w:rsidRPr="00B07D82">
        <w:rPr>
          <w:i/>
        </w:rPr>
        <w:t>Financial Management</w:t>
      </w:r>
      <w:r w:rsidRPr="00B07D82">
        <w:t xml:space="preserve"> 33 (2):5-27. doi: </w:t>
      </w:r>
      <w:hyperlink r:id="rId17" w:history="1">
        <w:r w:rsidRPr="00B07D82">
          <w:rPr>
            <w:rStyle w:val="Hyperlink"/>
          </w:rPr>
          <w:t>http://onlinelibrary.wiley.com/journal/10.1111/%28ISSN%291755-053X/issues</w:t>
        </w:r>
      </w:hyperlink>
      <w:r w:rsidRPr="00B07D82">
        <w:t>.</w:t>
      </w:r>
    </w:p>
    <w:p w:rsidR="00B07D82" w:rsidRPr="00B07D82" w:rsidRDefault="00B07D82" w:rsidP="00B07D82">
      <w:pPr>
        <w:pStyle w:val="EndNoteBibliography"/>
        <w:spacing w:after="240"/>
        <w:ind w:left="720" w:hanging="720"/>
      </w:pPr>
      <w:r w:rsidRPr="00B07D82">
        <w:t xml:space="preserve">Watts, Ross L., and Jerold L. Zimmerman. 1986. </w:t>
      </w:r>
      <w:r w:rsidRPr="00B07D82">
        <w:rPr>
          <w:i/>
        </w:rPr>
        <w:t>Positive Accounting Theory</w:t>
      </w:r>
      <w:r w:rsidRPr="00B07D82">
        <w:t xml:space="preserve">, </w:t>
      </w:r>
      <w:r w:rsidRPr="00B07D82">
        <w:rPr>
          <w:i/>
        </w:rPr>
        <w:t>Prentice-Hall contemporary topics in accounting series</w:t>
      </w:r>
      <w:r w:rsidRPr="00B07D82">
        <w:t>. Englewood Cliff, N.J.: Prentice-Hall.</w:t>
      </w:r>
    </w:p>
    <w:p w:rsidR="00B07D82" w:rsidRPr="00B07D82" w:rsidRDefault="00B07D82" w:rsidP="00B07D82">
      <w:pPr>
        <w:pStyle w:val="EndNoteBibliography"/>
        <w:spacing w:after="240"/>
        <w:ind w:left="720" w:hanging="720"/>
      </w:pPr>
      <w:r w:rsidRPr="00B07D82">
        <w:t xml:space="preserve">Welch, Kyle. 2014. "Private Equity’s Diversification Illusion: Economic Comovement and Fair Value Reporting."  </w:t>
      </w:r>
      <w:r w:rsidRPr="00B07D82">
        <w:rPr>
          <w:i/>
        </w:rPr>
        <w:t>Available at SSRN</w:t>
      </w:r>
      <w:r w:rsidRPr="00B07D82">
        <w:t>.</w:t>
      </w:r>
    </w:p>
    <w:p w:rsidR="00FC6FB4" w:rsidRDefault="00FC6FB4">
      <w:pPr>
        <w:spacing w:line="240" w:lineRule="auto"/>
        <w:rPr>
          <w:rFonts w:ascii="Times New Roman" w:hAnsi="Times New Roman"/>
          <w:noProof/>
        </w:rPr>
      </w:pPr>
      <w:r>
        <w:br w:type="page"/>
      </w:r>
    </w:p>
    <w:p w:rsidR="00B07D82" w:rsidRPr="00B07D82" w:rsidRDefault="00B07D82" w:rsidP="00B07D82">
      <w:pPr>
        <w:pStyle w:val="EndNoteBibliography"/>
        <w:spacing w:after="240"/>
        <w:ind w:left="720" w:hanging="720"/>
      </w:pPr>
      <w:r w:rsidRPr="00B07D82">
        <w:lastRenderedPageBreak/>
        <w:t xml:space="preserve">Xu, Tan, Mohammad Najand, and Douglas Ziegenfuss. 2006. "Intra-Industry Effects of Earnings Restatements Due to Accounting Irregularities."  </w:t>
      </w:r>
      <w:r w:rsidRPr="00B07D82">
        <w:rPr>
          <w:i/>
        </w:rPr>
        <w:t>Journal of Business Finance &amp; Accounting</w:t>
      </w:r>
      <w:r w:rsidRPr="00B07D82">
        <w:t xml:space="preserve"> 33 (5/6):696-714. doi: 10.1111/j.1468-5957.2006.00607.x.</w:t>
      </w:r>
    </w:p>
    <w:p w:rsidR="00AA0B13" w:rsidRDefault="00A7280B" w:rsidP="00B07D82">
      <w:pPr>
        <w:pStyle w:val="Heading1"/>
        <w:spacing w:after="240"/>
      </w:pPr>
      <w:r>
        <w:fldChar w:fldCharType="end"/>
      </w:r>
      <w:r w:rsidR="00AA0B13">
        <w:br w:type="page"/>
      </w:r>
      <w:bookmarkStart w:id="38" w:name="_Toc310579475"/>
      <w:bookmarkStart w:id="39" w:name="_Toc414633055"/>
      <w:r w:rsidR="00AA0B13">
        <w:lastRenderedPageBreak/>
        <w:t xml:space="preserve">Appendix A: </w:t>
      </w:r>
      <w:r w:rsidR="0091777F">
        <w:t xml:space="preserve">Construction of </w:t>
      </w:r>
      <w:r w:rsidR="0091777F">
        <w:rPr>
          <w:i/>
        </w:rPr>
        <w:t>DIFF</w:t>
      </w:r>
      <w:bookmarkEnd w:id="38"/>
      <w:bookmarkEnd w:id="39"/>
    </w:p>
    <w:p w:rsidR="00D06B6F" w:rsidRPr="00475463" w:rsidRDefault="00D06B6F" w:rsidP="00D06B6F">
      <w:pPr>
        <w:ind w:firstLine="432"/>
      </w:pPr>
      <w:r w:rsidRPr="00475463">
        <w:t xml:space="preserve">In this appendix I provide a brief summary of how Hoberg and Phillips (2010a; 2013) construct their product market </w:t>
      </w:r>
      <w:r w:rsidR="00C27F3F">
        <w:t xml:space="preserve">peer </w:t>
      </w:r>
      <w:r w:rsidRPr="00475463">
        <w:t xml:space="preserve">dataset, how I construct the </w:t>
      </w:r>
      <w:r w:rsidR="00C27F3F">
        <w:t xml:space="preserve">peer firm core operations </w:t>
      </w:r>
      <w:r w:rsidRPr="00475463">
        <w:t xml:space="preserve">portfolio using product market </w:t>
      </w:r>
      <w:r w:rsidR="00C27F3F">
        <w:t xml:space="preserve">peer </w:t>
      </w:r>
      <w:r w:rsidRPr="00475463">
        <w:t xml:space="preserve">data provided by Hoberg and Phillips, and how I use the </w:t>
      </w:r>
      <w:r w:rsidR="00C27F3F">
        <w:t xml:space="preserve">peer firm operations </w:t>
      </w:r>
      <w:r w:rsidRPr="00475463">
        <w:t xml:space="preserve">portfolio to construct a measure of segment reporting </w:t>
      </w:r>
      <w:r>
        <w:t>differentiation</w:t>
      </w:r>
      <w:r w:rsidRPr="00475463">
        <w:t>.</w:t>
      </w:r>
      <w:r>
        <w:t xml:space="preserve">  I also provide an example </w:t>
      </w:r>
      <w:r w:rsidR="00CD0E69">
        <w:t xml:space="preserve">using reported segments from </w:t>
      </w:r>
      <w:r>
        <w:t xml:space="preserve">Abbott Labs </w:t>
      </w:r>
      <w:r w:rsidR="00B70CEF">
        <w:t xml:space="preserve">in </w:t>
      </w:r>
      <w:r>
        <w:t>2008.</w:t>
      </w:r>
    </w:p>
    <w:p w:rsidR="00D06B6F" w:rsidRDefault="00D06B6F" w:rsidP="00D06B6F">
      <w:pPr>
        <w:pStyle w:val="Heading2"/>
        <w:rPr>
          <w:i/>
        </w:rPr>
      </w:pPr>
      <w:bookmarkStart w:id="40" w:name="_Toc414633056"/>
      <w:r>
        <w:t>Hoberg and Phillips Data</w:t>
      </w:r>
      <w:bookmarkEnd w:id="40"/>
    </w:p>
    <w:p w:rsidR="00D06B6F" w:rsidRPr="00475463" w:rsidRDefault="00D06B6F" w:rsidP="00D06B6F">
      <w:pPr>
        <w:ind w:firstLine="720"/>
      </w:pPr>
      <w:r w:rsidRPr="00475463">
        <w:t xml:space="preserve">Firms are required by Regulation S-K to accurately describe all significant products in annual </w:t>
      </w:r>
      <w:r>
        <w:t xml:space="preserve">Form </w:t>
      </w:r>
      <w:r w:rsidRPr="00475463">
        <w:t>10-K filings.  Hoberg and Phillips use web crawling algorithms to collect product descriptions from Form 10-K filings and create product market/industry groupings from these product descriptions.  Their sample includes all Form 10-K filings on the EDGAR website from 1996-2011, covering 12,187 firms with 87,369 firm-year observations.</w:t>
      </w:r>
      <w:r w:rsidRPr="00475463">
        <w:rPr>
          <w:rStyle w:val="FootnoteReference"/>
        </w:rPr>
        <w:footnoteReference w:id="37"/>
      </w:r>
    </w:p>
    <w:p w:rsidR="00D06B6F" w:rsidRPr="00475463" w:rsidRDefault="00D06B6F" w:rsidP="00D06B6F">
      <w:pPr>
        <w:ind w:firstLine="720"/>
      </w:pPr>
      <w:r w:rsidRPr="00475463">
        <w:t>Texted-Based Network Industry Classifications (hereafter TNIC) provide a better representation of industry clustering than current industry classification schemes (SIC codes, NAICS codes, GICS codes) and are flexible over time.</w:t>
      </w:r>
      <w:r w:rsidRPr="00475463">
        <w:rPr>
          <w:rStyle w:val="FootnoteReference"/>
        </w:rPr>
        <w:footnoteReference w:id="38"/>
      </w:r>
      <w:r w:rsidRPr="00475463">
        <w:t xml:space="preserve">  TNICs are based on firms with the most proximate or closes</w:t>
      </w:r>
      <w:r w:rsidR="00813A39">
        <w:t xml:space="preserve">t product network (See figure </w:t>
      </w:r>
      <w:r w:rsidR="002567CF">
        <w:t>A.</w:t>
      </w:r>
      <w:r w:rsidR="00813A39">
        <w:t xml:space="preserve">1).  Figure </w:t>
      </w:r>
      <w:r w:rsidR="004558D6">
        <w:t>A.</w:t>
      </w:r>
      <w:r w:rsidRPr="00475463">
        <w:t xml:space="preserve">1 demonstrates how TNIC peers are grouped using two examples, General Dynamics and Antheon.  Dotted circles represent TNIC peer group for each focal firm highlighted </w:t>
      </w:r>
      <w:r w:rsidRPr="00475463">
        <w:lastRenderedPageBreak/>
        <w:t>in green.  Also provided are ranks of peer firms where G denotes General Dynamic’s TNIC peers and A denotes Antheon’s TNIC peers.  For example, G1 is the first most similar TNIC peer to General Dynamics; A5 is the fifth most similar TNIC peer to A</w:t>
      </w:r>
      <w:r>
        <w:t>n</w:t>
      </w:r>
      <w:r w:rsidRPr="00475463">
        <w:t>theon.</w:t>
      </w:r>
      <w:r w:rsidR="00156853">
        <w:t xml:space="preserve">  Three-digit primary SIC codes—i</w:t>
      </w:r>
      <w:r w:rsidRPr="00475463">
        <w:t>n parentheses under the firm’s name in each small circl</w:t>
      </w:r>
      <w:r w:rsidR="00156853">
        <w:t>e—i</w:t>
      </w:r>
      <w:r>
        <w:t xml:space="preserve">ndicate </w:t>
      </w:r>
      <w:r w:rsidRPr="00475463">
        <w:t>the proximity of TNI</w:t>
      </w:r>
      <w:r w:rsidR="00B6422D">
        <w:t>C peers by SIC codes.</w:t>
      </w:r>
    </w:p>
    <w:p w:rsidR="00D06B6F" w:rsidRPr="00475463" w:rsidRDefault="00D06B6F" w:rsidP="00D06B6F">
      <w:pPr>
        <w:ind w:firstLine="720"/>
      </w:pPr>
      <w:r w:rsidRPr="00475463">
        <w:t xml:space="preserve">Creating TNIC peer groups requires extremely common or non-descriptive words be eliminated from product descriptions.  Common words eliminated include words used by more than 25 percent of the population of EDGAR filers’ product descriptions, geographic words such as countries, states, or major cities, as well as articles, conjunctions, personal pronouns, abbreviations, and legal jargon.  The elimination procedure focuses </w:t>
      </w:r>
      <w:r>
        <w:t xml:space="preserve">attention on </w:t>
      </w:r>
      <w:r w:rsidRPr="00475463">
        <w:t>nouns and pronoun</w:t>
      </w:r>
      <w:r w:rsidR="00C46BD2">
        <w:t>s</w:t>
      </w:r>
      <w:r>
        <w:t>, words most unique in product descriptions</w:t>
      </w:r>
      <w:r w:rsidRPr="00475463">
        <w:t>.  Typical firms use roughly 200 unique words to describe their product portfolio.</w:t>
      </w:r>
    </w:p>
    <w:p w:rsidR="00D06B6F" w:rsidRPr="00475463" w:rsidRDefault="00D06B6F" w:rsidP="00D06B6F">
      <w:pPr>
        <w:ind w:firstLine="720"/>
      </w:pPr>
      <w:r w:rsidRPr="00475463">
        <w:t xml:space="preserve">Product similarity is estimated by examining the cosine similarity of product descriptions between firms.  Cosine similarity measures the angle between two word vectors on a unit sphere.  This is done by first constructing a vector containing all unique words disclosed by all firms in sample.  This vector, </w:t>
      </w:r>
      <w:r w:rsidRPr="00475463">
        <w:rPr>
          <w:i/>
        </w:rPr>
        <w:t>N</w:t>
      </w:r>
      <w:r w:rsidRPr="00475463">
        <w:t xml:space="preserve">, is a vector of length </w:t>
      </w:r>
      <w:r w:rsidRPr="00475463">
        <w:rPr>
          <w:i/>
        </w:rPr>
        <w:t xml:space="preserve">n, </w:t>
      </w:r>
      <w:r w:rsidRPr="00475463">
        <w:t xml:space="preserve">where </w:t>
      </w:r>
      <w:r w:rsidRPr="00475463">
        <w:rPr>
          <w:i/>
        </w:rPr>
        <w:t xml:space="preserve">n </w:t>
      </w:r>
      <w:r w:rsidRPr="00475463">
        <w:t xml:space="preserve">is the number of unique words disclosed by all firms in the sample.  For each firm-year </w:t>
      </w:r>
      <w:r>
        <w:t xml:space="preserve">Form </w:t>
      </w:r>
      <w:r w:rsidRPr="00475463">
        <w:t>10-K</w:t>
      </w:r>
      <w:r>
        <w:t xml:space="preserve"> filing</w:t>
      </w:r>
      <w:r w:rsidRPr="00475463">
        <w:t xml:space="preserve">, vector </w:t>
      </w:r>
      <w:r w:rsidRPr="00964603">
        <w:rPr>
          <w:i/>
        </w:rPr>
        <w:t>P</w:t>
      </w:r>
      <w:r w:rsidRPr="00964603">
        <w:rPr>
          <w:i/>
          <w:vertAlign w:val="subscript"/>
        </w:rPr>
        <w:t>i</w:t>
      </w:r>
      <w:r w:rsidRPr="00475463">
        <w:t xml:space="preserve"> is populated from vector </w:t>
      </w:r>
      <w:r w:rsidRPr="00964603">
        <w:rPr>
          <w:i/>
        </w:rPr>
        <w:t>N</w:t>
      </w:r>
      <w:r w:rsidRPr="00475463">
        <w:t xml:space="preserve"> with a one if firm </w:t>
      </w:r>
      <w:proofErr w:type="spellStart"/>
      <w:r w:rsidRPr="00475463">
        <w:rPr>
          <w:i/>
        </w:rPr>
        <w:t>i</w:t>
      </w:r>
      <w:proofErr w:type="spellEnd"/>
      <w:r w:rsidRPr="00475463">
        <w:rPr>
          <w:i/>
        </w:rPr>
        <w:t xml:space="preserve"> </w:t>
      </w:r>
      <w:proofErr w:type="gramStart"/>
      <w:r w:rsidRPr="00475463">
        <w:t>uses</w:t>
      </w:r>
      <w:proofErr w:type="gramEnd"/>
      <w:r w:rsidRPr="00475463">
        <w:t xml:space="preserve"> a word in describing its products and a zero if it does not.  Cosine similarity is the dot product of normalized vectors for firm </w:t>
      </w:r>
      <w:proofErr w:type="spellStart"/>
      <w:r w:rsidRPr="00475463">
        <w:rPr>
          <w:i/>
        </w:rPr>
        <w:t>i</w:t>
      </w:r>
      <w:proofErr w:type="spellEnd"/>
      <w:r w:rsidRPr="00475463">
        <w:rPr>
          <w:i/>
        </w:rPr>
        <w:t xml:space="preserve"> </w:t>
      </w:r>
      <w:r w:rsidRPr="00475463">
        <w:t xml:space="preserve">and </w:t>
      </w:r>
      <w:r w:rsidRPr="00475463">
        <w:rPr>
          <w:i/>
        </w:rPr>
        <w:t>j</w:t>
      </w:r>
      <w:r w:rsidRPr="00475463">
        <w:t>, defined as:</w:t>
      </w:r>
    </w:p>
    <w:tbl>
      <w:tblPr>
        <w:tblStyle w:val="TableGrid"/>
        <w:tblW w:w="8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4"/>
        <w:gridCol w:w="352"/>
        <w:gridCol w:w="4320"/>
        <w:gridCol w:w="806"/>
      </w:tblGrid>
      <w:tr w:rsidR="00D06B6F" w:rsidRPr="00475463" w:rsidTr="000056F4">
        <w:tc>
          <w:tcPr>
            <w:tcW w:w="3224" w:type="dxa"/>
          </w:tcPr>
          <w:p w:rsidR="00D06B6F" w:rsidRPr="00475463" w:rsidRDefault="00D06B6F" w:rsidP="00A27160">
            <m:oMathPara>
              <m:oMath>
                <m:r>
                  <w:rPr>
                    <w:rFonts w:ascii="Cambria Math" w:hAnsi="Cambria Math"/>
                  </w:rPr>
                  <m:t>Product Cosine Similarit</m:t>
                </m:r>
                <m:sSub>
                  <m:sSubPr>
                    <m:ctrlPr>
                      <w:rPr>
                        <w:rFonts w:ascii="Cambria Math" w:hAnsi="Cambria Math"/>
                        <w:i/>
                      </w:rPr>
                    </m:ctrlPr>
                  </m:sSubPr>
                  <m:e>
                    <m:r>
                      <w:rPr>
                        <w:rFonts w:ascii="Cambria Math" w:hAnsi="Cambria Math"/>
                      </w:rPr>
                      <m:t>y</m:t>
                    </m:r>
                  </m:e>
                  <m:sub>
                    <m:r>
                      <w:rPr>
                        <w:rFonts w:ascii="Cambria Math" w:hAnsi="Cambria Math"/>
                      </w:rPr>
                      <m:t>i,j</m:t>
                    </m:r>
                  </m:sub>
                </m:sSub>
              </m:oMath>
            </m:oMathPara>
          </w:p>
        </w:tc>
        <w:tc>
          <w:tcPr>
            <w:tcW w:w="352" w:type="dxa"/>
          </w:tcPr>
          <w:p w:rsidR="00D06B6F" w:rsidRPr="00475463" w:rsidRDefault="00D06B6F" w:rsidP="00A27160">
            <w:r w:rsidRPr="00475463">
              <w:t>=</w:t>
            </w:r>
          </w:p>
        </w:tc>
        <w:tc>
          <w:tcPr>
            <w:tcW w:w="4320" w:type="dxa"/>
          </w:tcPr>
          <w:p w:rsidR="00D06B6F" w:rsidRPr="00475463" w:rsidRDefault="004604A2" w:rsidP="00A27160">
            <w:pPr>
              <w:rPr>
                <w:rFonts w:ascii="Cambria Math" w:hAnsi="Cambria Math" w:cs="STIXGeneral-Italic"/>
                <w:i/>
              </w:rPr>
            </w:pPr>
            <m:oMath>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j</m:t>
                      </m:r>
                    </m:sub>
                  </m:sSub>
                </m:e>
              </m:d>
            </m:oMath>
            <w:r w:rsidR="00D06B6F" w:rsidRPr="00475463">
              <w:t xml:space="preserve"> where: </w:t>
            </w:r>
            <m:oMath>
              <m:sSub>
                <m:sSubPr>
                  <m:ctrlPr>
                    <w:rPr>
                      <w:rFonts w:ascii="Cambria Math" w:hAnsi="Cambria Math"/>
                      <w:i/>
                    </w:rPr>
                  </m:ctrlPr>
                </m:sSubPr>
                <m:e>
                  <m:r>
                    <w:rPr>
                      <w:rFonts w:ascii="Cambria Math" w:hAnsi="Cambria Math"/>
                    </w:rPr>
                    <m:t>V</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m:t>
                      </m:r>
                    </m:sub>
                  </m:sSub>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i</m:t>
                          </m:r>
                        </m:sub>
                      </m:sSub>
                    </m:e>
                  </m:rad>
                </m:den>
              </m:f>
              <m:r>
                <w:rPr>
                  <w:rFonts w:ascii="Cambria Math" w:hAnsi="Cambria Math"/>
                </w:rPr>
                <m:t xml:space="preserve"> </m:t>
              </m:r>
              <m:r>
                <w:rPr>
                  <w:rFonts w:ascii="Cambria Math" w:hAnsi="Cambria Math" w:hint="eastAsia"/>
                </w:rPr>
                <m:t>∀</m:t>
              </m:r>
              <m:r>
                <w:rPr>
                  <w:rFonts w:ascii="Cambria Math" w:hAnsi="Cambria Math"/>
                </w:rPr>
                <m:t>i</m:t>
              </m:r>
              <m:r>
                <w:rPr>
                  <w:rFonts w:ascii="Cambria Math" w:hAnsi="Cambria Math" w:cs="STIXGeneral-Italic"/>
                </w:rPr>
                <m:t>,j</m:t>
              </m:r>
            </m:oMath>
          </w:p>
        </w:tc>
        <w:tc>
          <w:tcPr>
            <w:tcW w:w="806" w:type="dxa"/>
          </w:tcPr>
          <w:p w:rsidR="00D06B6F" w:rsidRPr="00475463" w:rsidRDefault="00D06B6F" w:rsidP="00A27160">
            <w:pPr>
              <w:ind w:hanging="18"/>
              <w:jc w:val="right"/>
            </w:pPr>
            <w:r w:rsidRPr="00475463">
              <w:t>(A.1)</w:t>
            </w:r>
          </w:p>
        </w:tc>
      </w:tr>
    </w:tbl>
    <w:p w:rsidR="00D06B6F" w:rsidRPr="00475463" w:rsidRDefault="00D06B6F" w:rsidP="00D06B6F">
      <w:r w:rsidRPr="00475463">
        <w:lastRenderedPageBreak/>
        <w:t xml:space="preserve">The dot product is higher when firms share more of the same elements between vectors </w:t>
      </w:r>
      <w:r w:rsidRPr="00475463">
        <w:rPr>
          <w:i/>
        </w:rPr>
        <w:t>P</w:t>
      </w:r>
      <w:r w:rsidRPr="00475463">
        <w:rPr>
          <w:i/>
          <w:vertAlign w:val="subscript"/>
        </w:rPr>
        <w:t>i</w:t>
      </w:r>
      <w:r w:rsidRPr="00475463">
        <w:rPr>
          <w:i/>
        </w:rPr>
        <w:t xml:space="preserve"> </w:t>
      </w:r>
      <w:r w:rsidRPr="00475463">
        <w:t xml:space="preserve">and </w:t>
      </w:r>
      <w:proofErr w:type="spellStart"/>
      <w:r w:rsidRPr="00475463">
        <w:rPr>
          <w:i/>
        </w:rPr>
        <w:t>P</w:t>
      </w:r>
      <w:r w:rsidRPr="00475463">
        <w:rPr>
          <w:i/>
          <w:vertAlign w:val="subscript"/>
        </w:rPr>
        <w:t>j</w:t>
      </w:r>
      <w:proofErr w:type="spellEnd"/>
      <w:r w:rsidRPr="00475463">
        <w:t xml:space="preserve"> </w:t>
      </w:r>
      <w:r>
        <w:t xml:space="preserve">(i.e., </w:t>
      </w:r>
      <w:r w:rsidRPr="00475463">
        <w:t>share words in product descriptions</w:t>
      </w:r>
      <w:r>
        <w:t>)</w:t>
      </w:r>
      <w:r w:rsidRPr="00475463">
        <w:t>.</w:t>
      </w:r>
      <w:r w:rsidRPr="00475463">
        <w:rPr>
          <w:rStyle w:val="FootnoteReference"/>
        </w:rPr>
        <w:footnoteReference w:id="39"/>
      </w:r>
      <w:r w:rsidRPr="00475463">
        <w:t xml:space="preserve">  </w:t>
      </w:r>
      <w:r w:rsidRPr="00475463">
        <w:rPr>
          <w:i/>
        </w:rPr>
        <w:t xml:space="preserve">Product Cosine </w:t>
      </w:r>
      <w:proofErr w:type="spellStart"/>
      <w:r w:rsidRPr="00475463">
        <w:rPr>
          <w:i/>
        </w:rPr>
        <w:t>Similarity</w:t>
      </w:r>
      <w:r w:rsidRPr="00475463">
        <w:rPr>
          <w:i/>
          <w:vertAlign w:val="subscript"/>
        </w:rPr>
        <w:t>i</w:t>
      </w:r>
      <w:proofErr w:type="gramStart"/>
      <w:r w:rsidRPr="00475463">
        <w:rPr>
          <w:i/>
          <w:vertAlign w:val="subscript"/>
        </w:rPr>
        <w:t>,j</w:t>
      </w:r>
      <w:proofErr w:type="spellEnd"/>
      <w:proofErr w:type="gramEnd"/>
      <w:r w:rsidRPr="00475463">
        <w:rPr>
          <w:i/>
        </w:rPr>
        <w:t xml:space="preserve"> </w:t>
      </w:r>
      <w:r w:rsidRPr="00475463">
        <w:t>is bounded by [0, 1].</w:t>
      </w:r>
    </w:p>
    <w:p w:rsidR="00D06B6F" w:rsidRPr="00475463" w:rsidRDefault="00D06B6F" w:rsidP="00D06B6F">
      <w:r w:rsidRPr="00475463">
        <w:tab/>
        <w:t xml:space="preserve">TNIC classifications are constructed using a minimum similarity threshold.  Firms with a </w:t>
      </w:r>
      <w:r w:rsidRPr="00475463">
        <w:rPr>
          <w:i/>
        </w:rPr>
        <w:t xml:space="preserve">Product Cosine Similarity </w:t>
      </w:r>
      <w:r w:rsidRPr="00475463">
        <w:t>above a certain threshold are assigned to the same TNIC</w:t>
      </w:r>
      <w:r w:rsidR="00D51B8F">
        <w:t xml:space="preserve"> group</w:t>
      </w:r>
      <w:r w:rsidRPr="00475463">
        <w:t>.</w:t>
      </w:r>
      <w:r>
        <w:t xml:space="preserve">  </w:t>
      </w:r>
      <w:r w:rsidRPr="00475463">
        <w:t xml:space="preserve">Higher thresholds result in fewer product market rivals, lower thresholds result in more rivals.  Firms likely share more than one product in common given the minimum similarity threshold.  To achieve industry </w:t>
      </w:r>
      <w:r>
        <w:t xml:space="preserve">groups </w:t>
      </w:r>
      <w:r w:rsidRPr="00475463">
        <w:t>similar to three-digit SIC codes, the minimum similarity threshold is set at 21.32 percent similarity.</w:t>
      </w:r>
      <w:r w:rsidRPr="00475463">
        <w:rPr>
          <w:rStyle w:val="FootnoteReference"/>
        </w:rPr>
        <w:footnoteReference w:id="40"/>
      </w:r>
      <w:r w:rsidRPr="00475463">
        <w:t xml:space="preserve">  TNIC peers are used in the next step to create a </w:t>
      </w:r>
      <w:r w:rsidR="006B5B97">
        <w:t xml:space="preserve">core industry operations </w:t>
      </w:r>
      <w:r w:rsidRPr="00475463">
        <w:t>portfolio.</w:t>
      </w:r>
    </w:p>
    <w:p w:rsidR="00D06B6F" w:rsidRDefault="009F38C2" w:rsidP="009F38C2">
      <w:pPr>
        <w:pStyle w:val="Heading2"/>
      </w:pPr>
      <w:bookmarkStart w:id="41" w:name="_Toc414633057"/>
      <w:r>
        <w:t>Construction of Peer Firm Segment Portfolio</w:t>
      </w:r>
      <w:bookmarkEnd w:id="41"/>
    </w:p>
    <w:p w:rsidR="009F38C2" w:rsidRPr="00475463" w:rsidRDefault="009F38C2" w:rsidP="009F38C2">
      <w:pPr>
        <w:ind w:firstLine="720"/>
      </w:pPr>
      <w:r w:rsidRPr="00475463">
        <w:t>TNIC peers from Hoberg and Phillips data are matched by Compustat GVKEYs.  GVKEY</w:t>
      </w:r>
      <w:r w:rsidRPr="00013C53">
        <w:rPr>
          <w:vertAlign w:val="subscript"/>
        </w:rPr>
        <w:t>1</w:t>
      </w:r>
      <w:r w:rsidRPr="00475463">
        <w:t xml:space="preserve"> refers to the focal firm; GVKEY</w:t>
      </w:r>
      <w:r w:rsidRPr="00013C53">
        <w:rPr>
          <w:vertAlign w:val="subscript"/>
        </w:rPr>
        <w:t>2</w:t>
      </w:r>
      <w:r w:rsidRPr="00475463">
        <w:t xml:space="preserve"> refers to TNIC peer firms.  I match TNIC peer firms using GVKEY</w:t>
      </w:r>
      <w:r w:rsidRPr="00013C53">
        <w:rPr>
          <w:vertAlign w:val="subscript"/>
        </w:rPr>
        <w:t>2</w:t>
      </w:r>
      <w:r w:rsidRPr="00475463">
        <w:t xml:space="preserve"> to the Compustat Segment file to obtain all </w:t>
      </w:r>
      <w:r>
        <w:t xml:space="preserve">peer firm </w:t>
      </w:r>
      <w:r w:rsidRPr="00475463">
        <w:t>operations/reported segments.  I then combine the list of TNIC peer SIC codes with the original data provided by Hoberg and Phillips</w:t>
      </w:r>
      <w:r>
        <w:t>,</w:t>
      </w:r>
      <w:r w:rsidRPr="00475463">
        <w:t xml:space="preserve"> </w:t>
      </w:r>
      <w:r>
        <w:t>eliminating</w:t>
      </w:r>
      <w:r w:rsidRPr="00475463">
        <w:t xml:space="preserve"> any duplicate SIC codes.  </w:t>
      </w:r>
      <w:r>
        <w:t>To focus on the core operations of the industry, eliminating tangential operations of peer firms, 5 percent of peer firms must disclose an SIC code to be included in the peer portfolio.  Cutoffs at varying levels provide the same tenor of results.</w:t>
      </w:r>
    </w:p>
    <w:p w:rsidR="00D06B6F" w:rsidRPr="009F38C2" w:rsidRDefault="009F38C2" w:rsidP="009F38C2">
      <w:pPr>
        <w:pStyle w:val="Heading2"/>
      </w:pPr>
      <w:bookmarkStart w:id="42" w:name="_Toc414633058"/>
      <w:r>
        <w:lastRenderedPageBreak/>
        <w:t>Segment Reporting Differentiation (</w:t>
      </w:r>
      <w:r>
        <w:rPr>
          <w:i/>
        </w:rPr>
        <w:t>DIFF</w:t>
      </w:r>
      <w:r>
        <w:t>)</w:t>
      </w:r>
      <w:bookmarkEnd w:id="42"/>
    </w:p>
    <w:p w:rsidR="009F38C2" w:rsidRPr="00475463" w:rsidRDefault="009F38C2" w:rsidP="009F38C2">
      <w:pPr>
        <w:ind w:firstLine="720"/>
      </w:pPr>
      <w:r>
        <w:t xml:space="preserve">My measure of segment reporting differentiation </w:t>
      </w:r>
      <w:r w:rsidRPr="00475463">
        <w:t>capture</w:t>
      </w:r>
      <w:r>
        <w:t>s</w:t>
      </w:r>
      <w:r w:rsidRPr="00475463">
        <w:t xml:space="preserve"> </w:t>
      </w:r>
      <w:r>
        <w:t xml:space="preserve">to what extent </w:t>
      </w:r>
      <w:r w:rsidRPr="00475463">
        <w:t xml:space="preserve">the focal </w:t>
      </w:r>
      <w:r>
        <w:t>firm discloses segments not correlated with its peer group</w:t>
      </w:r>
      <w:r w:rsidRPr="00475463">
        <w:t xml:space="preserve">.  Firms with lower segment reporting </w:t>
      </w:r>
      <w:r>
        <w:t>differentiation share more operations in common with their industry group and will therefore have a lower covariance between the focal firm and its peer group</w:t>
      </w:r>
      <w:r w:rsidRPr="00475463">
        <w:t xml:space="preserve">.  Firms with higher segment reporting </w:t>
      </w:r>
      <w:r>
        <w:t>differentiation will share fewer operations in common with their industry group, reducing the covariance between the focal firm and its peer group</w:t>
      </w:r>
      <w:r w:rsidRPr="00475463">
        <w:t xml:space="preserve">.  Thus, to measure </w:t>
      </w:r>
      <w:r>
        <w:t xml:space="preserve">segment differentiation </w:t>
      </w:r>
      <w:r w:rsidRPr="00475463">
        <w:t xml:space="preserve">I match SIC codes reported in the segment file </w:t>
      </w:r>
      <w:r>
        <w:t xml:space="preserve">by the focal firm </w:t>
      </w:r>
      <w:r w:rsidRPr="00475463">
        <w:t xml:space="preserve">with SIC codes </w:t>
      </w:r>
      <w:r>
        <w:t xml:space="preserve">disclosed by </w:t>
      </w:r>
      <w:r w:rsidRPr="00475463">
        <w:t>TNIC peer</w:t>
      </w:r>
      <w:r>
        <w:t>s</w:t>
      </w:r>
      <w:r w:rsidRPr="00475463">
        <w:t xml:space="preserve">.  </w:t>
      </w:r>
      <w:r>
        <w:t xml:space="preserve">I then sum the sales of segments not disclosed by peers (non-matches) and divide by </w:t>
      </w:r>
      <w:r w:rsidR="002A74FF">
        <w:t xml:space="preserve">the </w:t>
      </w:r>
      <w:r>
        <w:t>focal firm</w:t>
      </w:r>
      <w:r w:rsidR="002A74FF">
        <w:t>’s</w:t>
      </w:r>
      <w:r>
        <w:t xml:space="preserve"> total sales.  My measure of differentiation is the percentage of sales </w:t>
      </w:r>
      <w:r w:rsidR="00CF5DEB">
        <w:t xml:space="preserve">for </w:t>
      </w:r>
      <w:r w:rsidR="00B15C2A">
        <w:t xml:space="preserve">segments </w:t>
      </w:r>
      <w:r>
        <w:t>disclosed by the focal firm, but not disclosed by the peer group.</w:t>
      </w:r>
    </w:p>
    <w:tbl>
      <w:tblPr>
        <w:tblStyle w:val="TableGrid"/>
        <w:tblW w:w="873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20"/>
        <w:gridCol w:w="810"/>
      </w:tblGrid>
      <w:tr w:rsidR="009F38C2" w:rsidRPr="00475463" w:rsidTr="00B90838">
        <w:tc>
          <w:tcPr>
            <w:tcW w:w="7920" w:type="dxa"/>
          </w:tcPr>
          <w:p w:rsidR="009F38C2" w:rsidRPr="00965F90" w:rsidRDefault="009F38C2" w:rsidP="00A27160">
            <w:pPr>
              <w:ind w:firstLine="432"/>
            </w:pPr>
            <m:oMathPara>
              <m:oMathParaPr>
                <m:jc m:val="center"/>
              </m:oMathParaPr>
              <m:oMath>
                <m:r>
                  <w:rPr>
                    <w:rFonts w:ascii="Cambria Math" w:hAnsi="Cambria Math"/>
                  </w:rPr>
                  <m:t>DIFF=</m:t>
                </m:r>
                <m:f>
                  <m:fPr>
                    <m:ctrlPr>
                      <w:rPr>
                        <w:rFonts w:ascii="Cambria Math" w:hAnsi="Cambria Math"/>
                        <w:i/>
                      </w:rPr>
                    </m:ctrlPr>
                  </m:fPr>
                  <m:num>
                    <m:r>
                      <w:rPr>
                        <w:rFonts w:ascii="Cambria Math" w:hAnsi="Cambria Math"/>
                      </w:rPr>
                      <m:t xml:space="preserve">Sales of Segments not Disclosed by Peers </m:t>
                    </m:r>
                  </m:num>
                  <m:den>
                    <m:r>
                      <w:rPr>
                        <w:rFonts w:ascii="Cambria Math" w:hAnsi="Cambria Math"/>
                      </w:rPr>
                      <m:t>Total Sales for the Focal Firm</m:t>
                    </m:r>
                  </m:den>
                </m:f>
              </m:oMath>
            </m:oMathPara>
          </w:p>
        </w:tc>
        <w:tc>
          <w:tcPr>
            <w:tcW w:w="810" w:type="dxa"/>
          </w:tcPr>
          <w:p w:rsidR="009F38C2" w:rsidRPr="00475463" w:rsidRDefault="009F38C2" w:rsidP="00A27160">
            <w:pPr>
              <w:jc w:val="right"/>
            </w:pPr>
            <w:r w:rsidRPr="00475463">
              <w:t>(A.2)</w:t>
            </w:r>
          </w:p>
        </w:tc>
      </w:tr>
    </w:tbl>
    <w:p w:rsidR="009F38C2" w:rsidRPr="00965F90" w:rsidRDefault="009F38C2" w:rsidP="009F38C2">
      <w:r>
        <w:tab/>
        <w:t xml:space="preserve">Segment reporting differentiation at the focal firm level is calculated by taking the natural log of one plus </w:t>
      </w:r>
      <w:r>
        <w:rPr>
          <w:i/>
        </w:rPr>
        <w:t>DIFF</w:t>
      </w:r>
      <w:r>
        <w:t>.  It is important to note that measuring focal firm segment reporting differentiation value-weights the segments not disclosed by peer firms.</w:t>
      </w:r>
      <w:r>
        <w:rPr>
          <w:rStyle w:val="FootnoteReference"/>
        </w:rPr>
        <w:footnoteReference w:id="41"/>
      </w:r>
      <w:r>
        <w:t xml:space="preserve">  While the firm may have few segments not reported by peers, if those segments make a larger portion of sales, </w:t>
      </w:r>
      <w:r>
        <w:rPr>
          <w:i/>
        </w:rPr>
        <w:t>FFDIFF</w:t>
      </w:r>
      <w:r>
        <w:t xml:space="preserve"> will be higher.</w:t>
      </w:r>
    </w:p>
    <w:tbl>
      <w:tblPr>
        <w:tblStyle w:val="TableGrid"/>
        <w:tblW w:w="873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20"/>
        <w:gridCol w:w="810"/>
      </w:tblGrid>
      <w:tr w:rsidR="009F38C2" w:rsidRPr="00475463" w:rsidTr="00B90838">
        <w:tc>
          <w:tcPr>
            <w:tcW w:w="7920" w:type="dxa"/>
          </w:tcPr>
          <w:p w:rsidR="009F38C2" w:rsidRPr="00965F90" w:rsidRDefault="009F38C2" w:rsidP="00A27160">
            <w:pPr>
              <w:ind w:firstLine="432"/>
            </w:pPr>
            <m:oMathPara>
              <m:oMathParaPr>
                <m:jc m:val="center"/>
              </m:oMathParaPr>
              <m:oMath>
                <m:r>
                  <w:rPr>
                    <w:rFonts w:ascii="Cambria Math" w:eastAsia="MS Mincho" w:hAnsi="Cambria Math"/>
                  </w:rPr>
                  <m:t xml:space="preserve">FFDIFF = </m:t>
                </m:r>
                <m:func>
                  <m:funcPr>
                    <m:ctrlPr>
                      <w:rPr>
                        <w:rFonts w:ascii="Cambria Math" w:eastAsia="MS Mincho" w:hAnsi="Cambria Math"/>
                        <w:i/>
                      </w:rPr>
                    </m:ctrlPr>
                  </m:funcPr>
                  <m:fName>
                    <m:r>
                      <m:rPr>
                        <m:sty m:val="p"/>
                      </m:rPr>
                      <w:rPr>
                        <w:rFonts w:ascii="Cambria Math" w:eastAsia="MS Mincho" w:hAnsi="Cambria Math"/>
                      </w:rPr>
                      <m:t>ln</m:t>
                    </m:r>
                  </m:fName>
                  <m:e>
                    <m:d>
                      <m:dPr>
                        <m:ctrlPr>
                          <w:rPr>
                            <w:rFonts w:ascii="Cambria Math" w:eastAsia="MS Mincho" w:hAnsi="Cambria Math"/>
                            <w:i/>
                          </w:rPr>
                        </m:ctrlPr>
                      </m:dPr>
                      <m:e>
                        <m:r>
                          <w:rPr>
                            <w:rFonts w:ascii="Cambria Math" w:eastAsia="MS Mincho" w:hAnsi="Cambria Math"/>
                          </w:rPr>
                          <m:t>1+DIFF</m:t>
                        </m:r>
                      </m:e>
                    </m:d>
                  </m:e>
                </m:func>
              </m:oMath>
            </m:oMathPara>
          </w:p>
        </w:tc>
        <w:tc>
          <w:tcPr>
            <w:tcW w:w="810" w:type="dxa"/>
          </w:tcPr>
          <w:p w:rsidR="009F38C2" w:rsidRPr="00475463" w:rsidRDefault="009F38C2" w:rsidP="00A27160">
            <w:pPr>
              <w:jc w:val="right"/>
            </w:pPr>
            <w:r w:rsidRPr="00475463">
              <w:t>(</w:t>
            </w:r>
            <w:r>
              <w:t>A.3</w:t>
            </w:r>
            <w:r w:rsidRPr="00475463">
              <w:t>)</w:t>
            </w:r>
          </w:p>
        </w:tc>
      </w:tr>
    </w:tbl>
    <w:p w:rsidR="009F38C2" w:rsidRDefault="009F38C2" w:rsidP="009F38C2">
      <w:r>
        <w:tab/>
        <w:t xml:space="preserve">Peer firm segment reporting quality is measured by value-weighting </w:t>
      </w:r>
      <w:r>
        <w:rPr>
          <w:i/>
        </w:rPr>
        <w:t>DIFF</w:t>
      </w:r>
      <w:r>
        <w:t xml:space="preserve"> for peer firm </w:t>
      </w:r>
      <w:r>
        <w:rPr>
          <w:i/>
        </w:rPr>
        <w:t xml:space="preserve">p </w:t>
      </w:r>
      <w:r>
        <w:t>by the market value of each peer.</w:t>
      </w:r>
    </w:p>
    <w:tbl>
      <w:tblPr>
        <w:tblStyle w:val="TableGrid"/>
        <w:tblW w:w="8730"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20"/>
        <w:gridCol w:w="810"/>
      </w:tblGrid>
      <w:tr w:rsidR="009F38C2" w:rsidRPr="00475463" w:rsidTr="00B90838">
        <w:tc>
          <w:tcPr>
            <w:tcW w:w="7920" w:type="dxa"/>
          </w:tcPr>
          <w:p w:rsidR="009F38C2" w:rsidRPr="00965F90" w:rsidRDefault="009F38C2" w:rsidP="00A27160">
            <w:pPr>
              <w:ind w:firstLine="432"/>
            </w:pPr>
            <m:oMathPara>
              <m:oMathParaPr>
                <m:jc m:val="center"/>
              </m:oMathParaPr>
              <m:oMath>
                <m:r>
                  <w:rPr>
                    <w:rFonts w:ascii="Cambria Math" w:hAnsi="Cambria Math"/>
                  </w:rPr>
                  <w:lastRenderedPageBreak/>
                  <m:t>PFDIFF=</m:t>
                </m:r>
                <m:func>
                  <m:funcPr>
                    <m:ctrlPr>
                      <w:rPr>
                        <w:rFonts w:ascii="Cambria Math" w:hAnsi="Cambria Math"/>
                        <w:i/>
                      </w:rPr>
                    </m:ctrlPr>
                  </m:funcPr>
                  <m:fName>
                    <m:r>
                      <w:rPr>
                        <w:rFonts w:ascii="Cambria Math" w:hAnsi="Cambria Math"/>
                      </w:rPr>
                      <m:t>ln</m:t>
                    </m:r>
                  </m:fName>
                  <m:e>
                    <m:d>
                      <m:dPr>
                        <m:ctrlPr>
                          <w:rPr>
                            <w:rFonts w:ascii="Cambria Math" w:hAnsi="Cambria Math"/>
                            <w:i/>
                          </w:rPr>
                        </m:ctrlPr>
                      </m:dPr>
                      <m:e>
                        <m:r>
                          <w:rPr>
                            <w:rFonts w:ascii="Cambria Math" w:hAnsi="Cambria Math"/>
                          </w:rPr>
                          <m:t>1+</m:t>
                        </m:r>
                        <m:nary>
                          <m:naryPr>
                            <m:chr m:val="∑"/>
                            <m:limLoc m:val="undOvr"/>
                            <m:ctrlPr>
                              <w:rPr>
                                <w:rFonts w:ascii="Cambria Math" w:hAnsi="Cambria Math"/>
                                <w:i/>
                              </w:rPr>
                            </m:ctrlPr>
                          </m:naryPr>
                          <m:sub>
                            <m:r>
                              <w:rPr>
                                <w:rFonts w:ascii="Cambria Math" w:hAnsi="Cambria Math"/>
                              </w:rPr>
                              <m:t>p=1</m:t>
                            </m:r>
                          </m:sub>
                          <m:sup>
                            <m:r>
                              <w:rPr>
                                <w:rFonts w:ascii="Cambria Math" w:hAnsi="Cambria Math"/>
                              </w:rPr>
                              <m:t>p</m:t>
                            </m:r>
                          </m:sup>
                          <m:e>
                            <m:f>
                              <m:fPr>
                                <m:ctrlPr>
                                  <w:rPr>
                                    <w:rFonts w:ascii="Cambria Math" w:hAnsi="Cambria Math"/>
                                    <w:i/>
                                  </w:rPr>
                                </m:ctrlPr>
                              </m:fPr>
                              <m:num>
                                <m:sSub>
                                  <m:sSubPr>
                                    <m:ctrlPr>
                                      <w:rPr>
                                        <w:rFonts w:ascii="Cambria Math" w:hAnsi="Cambria Math"/>
                                        <w:i/>
                                      </w:rPr>
                                    </m:ctrlPr>
                                  </m:sSubPr>
                                  <m:e>
                                    <m:r>
                                      <w:rPr>
                                        <w:rFonts w:ascii="Cambria Math" w:hAnsi="Cambria Math"/>
                                      </w:rPr>
                                      <m:t>MV</m:t>
                                    </m:r>
                                  </m:e>
                                  <m:sub>
                                    <m:r>
                                      <w:rPr>
                                        <w:rFonts w:ascii="Cambria Math" w:hAnsi="Cambria Math"/>
                                      </w:rPr>
                                      <m:t>p</m:t>
                                    </m:r>
                                  </m:sub>
                                </m:sSub>
                              </m:num>
                              <m:den>
                                <m:r>
                                  <w:rPr>
                                    <w:rFonts w:ascii="Cambria Math" w:hAnsi="Cambria Math"/>
                                  </w:rPr>
                                  <m:t>MV</m:t>
                                </m:r>
                              </m:den>
                            </m:f>
                          </m:e>
                        </m:nary>
                        <m:r>
                          <w:rPr>
                            <w:rFonts w:ascii="Cambria Math" w:hAnsi="Cambria Math"/>
                          </w:rPr>
                          <m:t>*</m:t>
                        </m:r>
                        <m:sSub>
                          <m:sSubPr>
                            <m:ctrlPr>
                              <w:rPr>
                                <w:rFonts w:ascii="Cambria Math" w:hAnsi="Cambria Math"/>
                                <w:i/>
                              </w:rPr>
                            </m:ctrlPr>
                          </m:sSubPr>
                          <m:e>
                            <m:r>
                              <w:rPr>
                                <w:rFonts w:ascii="Cambria Math" w:hAnsi="Cambria Math"/>
                              </w:rPr>
                              <m:t>DIFF</m:t>
                            </m:r>
                          </m:e>
                          <m:sub>
                            <m:r>
                              <w:rPr>
                                <w:rFonts w:ascii="Cambria Math" w:hAnsi="Cambria Math"/>
                              </w:rPr>
                              <m:t>p</m:t>
                            </m:r>
                          </m:sub>
                        </m:sSub>
                      </m:e>
                    </m:d>
                  </m:e>
                </m:func>
              </m:oMath>
            </m:oMathPara>
          </w:p>
        </w:tc>
        <w:tc>
          <w:tcPr>
            <w:tcW w:w="810" w:type="dxa"/>
          </w:tcPr>
          <w:p w:rsidR="009F38C2" w:rsidRPr="00475463" w:rsidRDefault="009F38C2" w:rsidP="00A27160">
            <w:pPr>
              <w:jc w:val="right"/>
            </w:pPr>
            <w:r w:rsidRPr="00475463">
              <w:t>(</w:t>
            </w:r>
            <w:r>
              <w:t>A.4</w:t>
            </w:r>
            <w:r w:rsidRPr="00475463">
              <w:t>)</w:t>
            </w:r>
          </w:p>
        </w:tc>
      </w:tr>
    </w:tbl>
    <w:p w:rsidR="009F38C2" w:rsidRDefault="009F38C2" w:rsidP="009F38C2">
      <w:pPr>
        <w:pStyle w:val="Heading2"/>
      </w:pPr>
      <w:bookmarkStart w:id="43" w:name="_Toc414633059"/>
      <w:r>
        <w:t>An Example</w:t>
      </w:r>
      <w:r w:rsidR="00E0176C">
        <w:t>: Abbott Labs</w:t>
      </w:r>
      <w:bookmarkEnd w:id="43"/>
    </w:p>
    <w:p w:rsidR="009F38C2" w:rsidRPr="00475463" w:rsidRDefault="009F38C2" w:rsidP="009F38C2">
      <w:pPr>
        <w:ind w:firstLine="720"/>
      </w:pPr>
      <w:r w:rsidRPr="00475463">
        <w:t xml:space="preserve">To illustrate how </w:t>
      </w:r>
      <w:r w:rsidRPr="002E34B2">
        <w:rPr>
          <w:i/>
        </w:rPr>
        <w:t>FF</w:t>
      </w:r>
      <w:r>
        <w:rPr>
          <w:i/>
        </w:rPr>
        <w:t>DIFF</w:t>
      </w:r>
      <w:r w:rsidRPr="00475463">
        <w:t xml:space="preserve"> is constructed I provide an example usin</w:t>
      </w:r>
      <w:r w:rsidR="00813A39">
        <w:t xml:space="preserve">g Abbott Labs in 2008.  Table </w:t>
      </w:r>
      <w:r w:rsidR="00D63169">
        <w:t>A.</w:t>
      </w:r>
      <w:r w:rsidRPr="00475463">
        <w:t xml:space="preserve">1 presents segments disclosed by Abbott Labs in the Compustat Segment file.  Abbott Labs has labeled one segment as “Other” with no indication of which SIC code or SIC codes the </w:t>
      </w:r>
      <w:proofErr w:type="gramStart"/>
      <w:r w:rsidRPr="00475463">
        <w:t>Other</w:t>
      </w:r>
      <w:proofErr w:type="gramEnd"/>
      <w:r w:rsidRPr="00475463">
        <w:t xml:space="preserve"> segment identifies.  Although the Other segment consists seven percent of sales, it may contain information relevant to valuing future prospects of the firm.</w:t>
      </w:r>
      <w:r>
        <w:t xml:space="preserve">  Further, because there is no industry code for comparison, </w:t>
      </w:r>
      <w:proofErr w:type="gramStart"/>
      <w:r>
        <w:t>Other</w:t>
      </w:r>
      <w:proofErr w:type="gramEnd"/>
      <w:r>
        <w:t xml:space="preserve"> is eliminated.  The remaining four segments are then compared to their product-market peer group.</w:t>
      </w:r>
      <w:r w:rsidRPr="00475463" w:rsidDel="00590840">
        <w:t xml:space="preserve"> </w:t>
      </w:r>
    </w:p>
    <w:p w:rsidR="009F38C2" w:rsidRDefault="00813A39" w:rsidP="009F38C2">
      <w:r>
        <w:tab/>
        <w:t xml:space="preserve">Table </w:t>
      </w:r>
      <w:r w:rsidR="004558D6">
        <w:t>A.</w:t>
      </w:r>
      <w:r w:rsidR="009F38C2" w:rsidRPr="00475463">
        <w:t xml:space="preserve">2 gives an example of how </w:t>
      </w:r>
      <w:r w:rsidR="009F38C2">
        <w:rPr>
          <w:i/>
        </w:rPr>
        <w:t xml:space="preserve">FFDIFF </w:t>
      </w:r>
      <w:r w:rsidR="009F38C2" w:rsidRPr="00475463">
        <w:t>is calculated for Abbott Labs.</w:t>
      </w:r>
      <w:r w:rsidR="009F38C2">
        <w:t xml:space="preserve">  Abbott Labs has</w:t>
      </w:r>
      <w:r w:rsidR="009F38C2" w:rsidRPr="00475463">
        <w:t xml:space="preserve"> 73 TNIC peers from the Hoberg and Phillips </w:t>
      </w:r>
      <w:r w:rsidR="009F38C2">
        <w:t>data</w:t>
      </w:r>
      <w:r>
        <w:t xml:space="preserve">set (see table </w:t>
      </w:r>
      <w:r w:rsidR="004558D6">
        <w:t>A.</w:t>
      </w:r>
      <w:r w:rsidR="009F38C2" w:rsidRPr="00475463">
        <w:t>3).  As would be expected using product description similarities, most TNIC peers operate in similar industry codes.</w:t>
      </w:r>
      <w:r w:rsidR="009F38C2" w:rsidRPr="00475463" w:rsidDel="00590840">
        <w:t xml:space="preserve"> </w:t>
      </w:r>
      <w:r w:rsidR="009F38C2">
        <w:t xml:space="preserve"> The list of TNIC peers is matched to SIC codes disclosed in the Compustat segment file and I eliminate any four-digit SIC code not disclosed by at least five percent of TNIC peers.  Abbott’s TNIC peers operate in three four-digit SIC codes: 2834, 2835, and 2836.  These three SIC codes make up the core operations of the product-market peer group at the five percent level.</w:t>
      </w:r>
    </w:p>
    <w:p w:rsidR="0091777F" w:rsidRDefault="009F38C2" w:rsidP="009F38C2">
      <w:pPr>
        <w:ind w:firstLine="720"/>
      </w:pPr>
      <w:r>
        <w:t xml:space="preserve">I next compare these three four-digit SIC codes with industry codes disclosed by Abbott.  Abbott discloses four segments, 2023, 2834, 3841, and 3842.  When comparing TNIC peers and Abbott’s disclosed segments, only SIC code 2834 is shared.  SIC code 2834 comprises 56.58 percent of Abbott’s sales.  The sales from the </w:t>
      </w:r>
      <w:r>
        <w:lastRenderedPageBreak/>
        <w:t>remaining three four-digit SIC codes would be summed together.  SIC codes 2023, 3841, and 3842 constitute 36.38 percent of Abbott’s sales.</w:t>
      </w:r>
      <w:r>
        <w:rPr>
          <w:rStyle w:val="FootnoteReference"/>
        </w:rPr>
        <w:footnoteReference w:id="42"/>
      </w:r>
      <w:r>
        <w:t xml:space="preserve">  I then take one plus the natural log of segment sales not disclosed by peers, the natural log of one plus 36.38 percent, or 0.3103.</w:t>
      </w:r>
    </w:p>
    <w:p w:rsidR="0091777F" w:rsidRDefault="0091777F">
      <w:pPr>
        <w:spacing w:line="240" w:lineRule="auto"/>
      </w:pPr>
      <w:r>
        <w:br w:type="page"/>
      </w:r>
    </w:p>
    <w:p w:rsidR="00516656" w:rsidRDefault="006D35CC" w:rsidP="006D35CC">
      <w:pPr>
        <w:pStyle w:val="Caption"/>
        <w:jc w:val="center"/>
      </w:pPr>
      <w:bookmarkStart w:id="44" w:name="_Toc410655946"/>
      <w:r>
        <w:lastRenderedPageBreak/>
        <w:t>Figure</w:t>
      </w:r>
      <w:r w:rsidR="004558D6">
        <w:t xml:space="preserve"> A.1</w:t>
      </w:r>
      <w:r w:rsidR="00516656">
        <w:t>:</w:t>
      </w:r>
    </w:p>
    <w:p w:rsidR="006D35CC" w:rsidRPr="00516656" w:rsidRDefault="006D35CC" w:rsidP="006D35CC">
      <w:pPr>
        <w:pStyle w:val="Caption"/>
        <w:jc w:val="center"/>
        <w:rPr>
          <w:i/>
        </w:rPr>
      </w:pPr>
      <w:r w:rsidRPr="00516656">
        <w:rPr>
          <w:i/>
        </w:rPr>
        <w:t>Diagram of General Dynamics' and Antheon's Ten Closest Peers</w:t>
      </w:r>
      <w:bookmarkEnd w:id="44"/>
    </w:p>
    <w:p w:rsidR="00564FA9" w:rsidRPr="00475463" w:rsidRDefault="00564FA9" w:rsidP="00564FA9">
      <w:pPr>
        <w:spacing w:line="240" w:lineRule="auto"/>
        <w:jc w:val="center"/>
        <w:rPr>
          <w:b/>
          <w:bCs/>
          <w:sz w:val="28"/>
          <w:szCs w:val="28"/>
        </w:rPr>
      </w:pPr>
      <w:r w:rsidRPr="00475463">
        <w:rPr>
          <w:b/>
          <w:bCs/>
          <w:noProof/>
          <w:sz w:val="28"/>
          <w:szCs w:val="28"/>
          <w:lang w:bidi="ar-SA"/>
        </w:rPr>
        <w:drawing>
          <wp:inline distT="0" distB="0" distL="0" distR="0" wp14:anchorId="397095A5" wp14:editId="2F29B12F">
            <wp:extent cx="5368649" cy="3634163"/>
            <wp:effectExtent l="0" t="0" r="0" b="0"/>
            <wp:docPr id="1" name="Picture 1" descr="Macintosh HD:Users:matthewcobabe:Dropbox:OU Dissertation:Peer Segment Reporting and Diversification Discount:Exampl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tthewcobabe:Dropbox:OU Dissertation:Peer Segment Reporting and Diversification Discount:Example.ti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3257" cy="3637282"/>
                    </a:xfrm>
                    <a:prstGeom prst="rect">
                      <a:avLst/>
                    </a:prstGeom>
                    <a:noFill/>
                    <a:ln>
                      <a:noFill/>
                    </a:ln>
                  </pic:spPr>
                </pic:pic>
              </a:graphicData>
            </a:graphic>
          </wp:inline>
        </w:drawing>
      </w:r>
    </w:p>
    <w:p w:rsidR="00FD6F37" w:rsidRPr="003846A1" w:rsidRDefault="00564FA9" w:rsidP="00564FA9">
      <w:pPr>
        <w:spacing w:line="240" w:lineRule="auto"/>
        <w:rPr>
          <w:sz w:val="20"/>
          <w:szCs w:val="20"/>
        </w:rPr>
      </w:pPr>
      <w:r w:rsidRPr="003846A1">
        <w:rPr>
          <w:sz w:val="20"/>
          <w:szCs w:val="20"/>
        </w:rPr>
        <w:t xml:space="preserve">This diagram is taken </w:t>
      </w:r>
      <w:proofErr w:type="gramStart"/>
      <w:r w:rsidR="002567CF" w:rsidRPr="003846A1">
        <w:rPr>
          <w:sz w:val="20"/>
          <w:szCs w:val="20"/>
        </w:rPr>
        <w:t xml:space="preserve">from </w:t>
      </w:r>
      <w:proofErr w:type="gramEnd"/>
      <w:r w:rsidR="006439FE">
        <w:fldChar w:fldCharType="begin"/>
      </w:r>
      <w:r w:rsidR="006439FE">
        <w:instrText xml:space="preserve"> HYPERLINK \l "_ENREF_53" \o "Hoberg, 2010 #224" </w:instrText>
      </w:r>
      <w:r w:rsidR="006439FE">
        <w:fldChar w:fldCharType="separate"/>
      </w:r>
      <w:r w:rsidRPr="003846A1">
        <w:rPr>
          <w:sz w:val="20"/>
          <w:szCs w:val="20"/>
        </w:rPr>
        <w:fldChar w:fldCharType="begin">
          <w:fldData xml:space="preserve">PEVuZE5vdGU+PENpdGUgQXV0aG9yWWVhcj0iMSI+PEF1dGhvcj5Ib2Jlcmc8L0F1dGhvcj48WWVh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</w:fldData>
        </w:fldChar>
      </w:r>
      <w:r w:rsidRPr="003846A1">
        <w:rPr>
          <w:sz w:val="20"/>
          <w:szCs w:val="20"/>
        </w:rPr>
        <w:instrText xml:space="preserve"> ADDIN EN.CITE </w:instrText>
      </w:r>
      <w:r w:rsidRPr="003846A1">
        <w:rPr>
          <w:sz w:val="20"/>
          <w:szCs w:val="20"/>
        </w:rPr>
        <w:fldChar w:fldCharType="begin">
          <w:fldData xml:space="preserve">PEVuZE5vdGU+PENpdGUgQXV0aG9yWWVhcj0iMSI+PEF1dGhvcj5Ib2Jlcmc8L0F1dGhvcj48WWVh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</w:fldData>
        </w:fldChar>
      </w:r>
      <w:r w:rsidRPr="003846A1">
        <w:rPr>
          <w:sz w:val="20"/>
          <w:szCs w:val="20"/>
        </w:rPr>
        <w:instrText xml:space="preserve"> ADDIN EN.CITE.DATA </w:instrText>
      </w:r>
      <w:r w:rsidRPr="003846A1">
        <w:rPr>
          <w:sz w:val="20"/>
          <w:szCs w:val="20"/>
        </w:rPr>
      </w:r>
      <w:r w:rsidRPr="003846A1">
        <w:rPr>
          <w:sz w:val="20"/>
          <w:szCs w:val="20"/>
        </w:rPr>
        <w:fldChar w:fldCharType="end"/>
      </w:r>
      <w:r w:rsidRPr="003846A1">
        <w:rPr>
          <w:sz w:val="20"/>
          <w:szCs w:val="20"/>
        </w:rPr>
      </w:r>
      <w:r w:rsidRPr="003846A1">
        <w:rPr>
          <w:sz w:val="20"/>
          <w:szCs w:val="20"/>
        </w:rPr>
        <w:fldChar w:fldCharType="separate"/>
      </w:r>
      <w:r w:rsidRPr="003846A1">
        <w:rPr>
          <w:noProof/>
          <w:sz w:val="20"/>
          <w:szCs w:val="20"/>
        </w:rPr>
        <w:t>Hoberg and Phillips (2010a, 3780)</w:t>
      </w:r>
      <w:r w:rsidRPr="003846A1">
        <w:rPr>
          <w:sz w:val="20"/>
          <w:szCs w:val="20"/>
        </w:rPr>
        <w:fldChar w:fldCharType="end"/>
      </w:r>
      <w:r w:rsidR="006439FE">
        <w:rPr>
          <w:sz w:val="20"/>
          <w:szCs w:val="20"/>
        </w:rPr>
        <w:fldChar w:fldCharType="end"/>
      </w:r>
      <w:r w:rsidRPr="003846A1">
        <w:rPr>
          <w:sz w:val="20"/>
          <w:szCs w:val="20"/>
        </w:rPr>
        <w:t>.  This diagram illustrates the network created b</w:t>
      </w:r>
      <w:r w:rsidR="001D4D53">
        <w:rPr>
          <w:sz w:val="20"/>
          <w:szCs w:val="20"/>
        </w:rPr>
        <w:t>y comparing product description</w:t>
      </w:r>
      <w:r w:rsidRPr="003846A1">
        <w:rPr>
          <w:sz w:val="20"/>
          <w:szCs w:val="20"/>
        </w:rPr>
        <w:t xml:space="preserve"> similarities.  The letters in the headers of </w:t>
      </w:r>
      <w:r w:rsidR="001D4D53">
        <w:rPr>
          <w:sz w:val="20"/>
          <w:szCs w:val="20"/>
        </w:rPr>
        <w:t>each circle</w:t>
      </w:r>
      <w:r w:rsidRPr="003846A1">
        <w:rPr>
          <w:sz w:val="20"/>
          <w:szCs w:val="20"/>
        </w:rPr>
        <w:t>, “G” or “A”, represent to which peer group the observations belongs.  The number indicates the peer’s proximity to the focal firm, General Dynamics or Antheon.  For example, Lockheed Martin is the second closest peer to General Dynamics and the first closest peer to Antheon.  Below the header is the name of the firm.  The number in parentheses is the primary three-Digit SIC code of the firm.</w:t>
      </w:r>
    </w:p>
    <w:p w:rsidR="00FD6F37" w:rsidRDefault="00FD6F37" w:rsidP="00564FA9">
      <w:pPr>
        <w:spacing w:line="240" w:lineRule="auto"/>
      </w:pPr>
      <w:r>
        <w:br w:type="page"/>
      </w:r>
    </w:p>
    <w:p w:rsidR="006D35CC" w:rsidRDefault="006D35CC" w:rsidP="006D35CC">
      <w:pPr>
        <w:pStyle w:val="Caption"/>
        <w:keepNext/>
        <w:jc w:val="center"/>
      </w:pPr>
    </w:p>
    <w:tbl>
      <w:tblPr>
        <w:tblW w:w="7310" w:type="dxa"/>
        <w:jc w:val="center"/>
        <w:tblInd w:w="-1036" w:type="dxa"/>
        <w:tblLayout w:type="fixed"/>
        <w:tblLook w:val="04A0" w:firstRow="1" w:lastRow="0" w:firstColumn="1" w:lastColumn="0" w:noHBand="0" w:noVBand="1"/>
      </w:tblPr>
      <w:tblGrid>
        <w:gridCol w:w="1927"/>
        <w:gridCol w:w="1794"/>
        <w:gridCol w:w="1794"/>
        <w:gridCol w:w="1777"/>
        <w:gridCol w:w="18"/>
      </w:tblGrid>
      <w:tr w:rsidR="00FD6F37" w:rsidRPr="006D35CC" w:rsidTr="00831220">
        <w:trPr>
          <w:gridAfter w:val="1"/>
          <w:wAfter w:w="18" w:type="dxa"/>
          <w:trHeight w:val="432"/>
          <w:jc w:val="center"/>
        </w:trPr>
        <w:tc>
          <w:tcPr>
            <w:tcW w:w="7292" w:type="dxa"/>
            <w:gridSpan w:val="4"/>
            <w:tcBorders>
              <w:top w:val="single" w:sz="12" w:space="0" w:color="auto"/>
              <w:left w:val="nil"/>
              <w:bottom w:val="double" w:sz="4" w:space="0" w:color="auto"/>
              <w:right w:val="nil"/>
            </w:tcBorders>
            <w:shd w:val="clear" w:color="auto" w:fill="auto"/>
            <w:vAlign w:val="bottom"/>
          </w:tcPr>
          <w:p w:rsidR="00C2763F" w:rsidRDefault="006D35CC" w:rsidP="004558D6">
            <w:pPr>
              <w:spacing w:line="240" w:lineRule="auto"/>
              <w:jc w:val="center"/>
              <w:rPr>
                <w:b/>
              </w:rPr>
            </w:pPr>
            <w:r w:rsidRPr="006D35CC">
              <w:rPr>
                <w:b/>
              </w:rPr>
              <w:t>Table</w:t>
            </w:r>
            <w:r w:rsidR="004558D6">
              <w:rPr>
                <w:b/>
              </w:rPr>
              <w:t xml:space="preserve"> A.1</w:t>
            </w:r>
            <w:r w:rsidR="00C2763F">
              <w:rPr>
                <w:b/>
              </w:rPr>
              <w:t>:</w:t>
            </w:r>
          </w:p>
          <w:p w:rsidR="00FD6F37" w:rsidRPr="00C2763F" w:rsidRDefault="006D35CC" w:rsidP="004558D6">
            <w:pPr>
              <w:spacing w:line="240" w:lineRule="auto"/>
              <w:jc w:val="center"/>
              <w:rPr>
                <w:b/>
                <w:bCs/>
                <w:i/>
              </w:rPr>
            </w:pPr>
            <w:r w:rsidRPr="00C2763F">
              <w:rPr>
                <w:b/>
                <w:i/>
              </w:rPr>
              <w:t>Abbott Labs Compustat Segments</w:t>
            </w:r>
          </w:p>
        </w:tc>
      </w:tr>
      <w:tr w:rsidR="00FD6F37" w:rsidRPr="00475463" w:rsidTr="00831220">
        <w:trPr>
          <w:trHeight w:val="510"/>
          <w:jc w:val="center"/>
        </w:trPr>
        <w:tc>
          <w:tcPr>
            <w:tcW w:w="1927" w:type="dxa"/>
            <w:tcBorders>
              <w:top w:val="single" w:sz="4" w:space="0" w:color="auto"/>
              <w:left w:val="nil"/>
              <w:bottom w:val="single" w:sz="4" w:space="0" w:color="auto"/>
              <w:right w:val="nil"/>
            </w:tcBorders>
            <w:shd w:val="clear" w:color="auto" w:fill="auto"/>
            <w:vAlign w:val="bottom"/>
            <w:hideMark/>
          </w:tcPr>
          <w:p w:rsidR="00FD6F37" w:rsidRPr="00831220" w:rsidRDefault="00FD6F37" w:rsidP="00A27160">
            <w:pPr>
              <w:spacing w:line="240" w:lineRule="auto"/>
              <w:rPr>
                <w:b/>
                <w:bCs/>
              </w:rPr>
            </w:pPr>
            <w:r w:rsidRPr="00831220">
              <w:rPr>
                <w:b/>
                <w:bCs/>
              </w:rPr>
              <w:t>Segment Name</w:t>
            </w:r>
          </w:p>
        </w:tc>
        <w:tc>
          <w:tcPr>
            <w:tcW w:w="1794" w:type="dxa"/>
            <w:tcBorders>
              <w:top w:val="single" w:sz="4" w:space="0" w:color="auto"/>
              <w:left w:val="nil"/>
              <w:bottom w:val="single" w:sz="4" w:space="0" w:color="auto"/>
              <w:right w:val="nil"/>
            </w:tcBorders>
            <w:shd w:val="clear" w:color="auto" w:fill="auto"/>
            <w:vAlign w:val="bottom"/>
            <w:hideMark/>
          </w:tcPr>
          <w:p w:rsidR="00FD6F37" w:rsidRPr="00831220" w:rsidRDefault="00FD6F37" w:rsidP="00A27160">
            <w:pPr>
              <w:spacing w:line="240" w:lineRule="auto"/>
              <w:jc w:val="center"/>
              <w:rPr>
                <w:b/>
                <w:bCs/>
              </w:rPr>
            </w:pPr>
            <w:r w:rsidRPr="00831220">
              <w:rPr>
                <w:b/>
                <w:bCs/>
              </w:rPr>
              <w:t>Primary SIC Code</w:t>
            </w:r>
          </w:p>
        </w:tc>
        <w:tc>
          <w:tcPr>
            <w:tcW w:w="1794" w:type="dxa"/>
            <w:tcBorders>
              <w:top w:val="single" w:sz="4" w:space="0" w:color="auto"/>
              <w:left w:val="nil"/>
              <w:bottom w:val="single" w:sz="4" w:space="0" w:color="auto"/>
              <w:right w:val="nil"/>
            </w:tcBorders>
            <w:shd w:val="clear" w:color="auto" w:fill="auto"/>
            <w:vAlign w:val="bottom"/>
            <w:hideMark/>
          </w:tcPr>
          <w:p w:rsidR="00FD6F37" w:rsidRPr="00831220" w:rsidRDefault="00FD6F37" w:rsidP="00A27160">
            <w:pPr>
              <w:spacing w:line="240" w:lineRule="auto"/>
              <w:jc w:val="center"/>
              <w:rPr>
                <w:b/>
                <w:bCs/>
              </w:rPr>
            </w:pPr>
            <w:r w:rsidRPr="00831220">
              <w:rPr>
                <w:b/>
                <w:bCs/>
              </w:rPr>
              <w:t>Segment Sales</w:t>
            </w:r>
            <w:r w:rsidRPr="00831220">
              <w:rPr>
                <w:b/>
                <w:bCs/>
              </w:rPr>
              <w:br/>
              <w:t>(in $ Millions)</w:t>
            </w:r>
          </w:p>
        </w:tc>
        <w:tc>
          <w:tcPr>
            <w:tcW w:w="1795" w:type="dxa"/>
            <w:gridSpan w:val="2"/>
            <w:tcBorders>
              <w:top w:val="single" w:sz="4" w:space="0" w:color="auto"/>
              <w:left w:val="nil"/>
              <w:bottom w:val="single" w:sz="4" w:space="0" w:color="auto"/>
              <w:right w:val="nil"/>
            </w:tcBorders>
            <w:shd w:val="clear" w:color="auto" w:fill="auto"/>
            <w:vAlign w:val="bottom"/>
            <w:hideMark/>
          </w:tcPr>
          <w:p w:rsidR="00FD6F37" w:rsidRPr="00831220" w:rsidRDefault="00FD6F37" w:rsidP="00A27160">
            <w:pPr>
              <w:spacing w:line="240" w:lineRule="auto"/>
              <w:jc w:val="center"/>
              <w:rPr>
                <w:b/>
                <w:bCs/>
              </w:rPr>
            </w:pPr>
            <w:r w:rsidRPr="00831220">
              <w:rPr>
                <w:b/>
                <w:bCs/>
              </w:rPr>
              <w:t>Percent of Sales</w:t>
            </w:r>
          </w:p>
        </w:tc>
      </w:tr>
      <w:tr w:rsidR="00FD6F37" w:rsidRPr="00475463" w:rsidTr="00831220">
        <w:trPr>
          <w:trHeight w:val="255"/>
          <w:jc w:val="center"/>
        </w:trPr>
        <w:tc>
          <w:tcPr>
            <w:tcW w:w="1927" w:type="dxa"/>
            <w:tcBorders>
              <w:top w:val="single" w:sz="4" w:space="0" w:color="auto"/>
              <w:left w:val="nil"/>
              <w:bottom w:val="nil"/>
              <w:right w:val="nil"/>
            </w:tcBorders>
            <w:shd w:val="clear" w:color="auto" w:fill="auto"/>
            <w:noWrap/>
            <w:vAlign w:val="bottom"/>
            <w:hideMark/>
          </w:tcPr>
          <w:p w:rsidR="00FD6F37" w:rsidRPr="00831220" w:rsidRDefault="00FD6F37" w:rsidP="00A27160">
            <w:pPr>
              <w:spacing w:line="240" w:lineRule="auto"/>
            </w:pPr>
            <w:r w:rsidRPr="00831220">
              <w:t>Pharmaceuticals</w:t>
            </w:r>
          </w:p>
        </w:tc>
        <w:tc>
          <w:tcPr>
            <w:tcW w:w="1794" w:type="dxa"/>
            <w:tcBorders>
              <w:top w:val="single" w:sz="4" w:space="0" w:color="auto"/>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2834</w:t>
            </w:r>
          </w:p>
        </w:tc>
        <w:tc>
          <w:tcPr>
            <w:tcW w:w="1794" w:type="dxa"/>
            <w:tcBorders>
              <w:top w:val="single" w:sz="4" w:space="0" w:color="auto"/>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16,708.00</w:t>
            </w:r>
          </w:p>
        </w:tc>
        <w:tc>
          <w:tcPr>
            <w:tcW w:w="1795" w:type="dxa"/>
            <w:gridSpan w:val="2"/>
            <w:tcBorders>
              <w:top w:val="single" w:sz="4" w:space="0" w:color="auto"/>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56.58%</w:t>
            </w:r>
          </w:p>
        </w:tc>
      </w:tr>
      <w:tr w:rsidR="00FD6F37" w:rsidRPr="00475463" w:rsidTr="00831220">
        <w:trPr>
          <w:trHeight w:val="255"/>
          <w:jc w:val="center"/>
        </w:trPr>
        <w:tc>
          <w:tcPr>
            <w:tcW w:w="1927" w:type="dxa"/>
            <w:tcBorders>
              <w:top w:val="nil"/>
              <w:left w:val="nil"/>
              <w:bottom w:val="nil"/>
              <w:right w:val="nil"/>
            </w:tcBorders>
            <w:shd w:val="clear" w:color="auto" w:fill="auto"/>
            <w:noWrap/>
            <w:vAlign w:val="bottom"/>
            <w:hideMark/>
          </w:tcPr>
          <w:p w:rsidR="00FD6F37" w:rsidRPr="00831220" w:rsidRDefault="00FD6F37" w:rsidP="00A27160">
            <w:pPr>
              <w:spacing w:line="240" w:lineRule="auto"/>
            </w:pPr>
            <w:r w:rsidRPr="00831220">
              <w:t>Nutritionals</w:t>
            </w: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2023</w:t>
            </w: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4,924.00</w:t>
            </w:r>
          </w:p>
        </w:tc>
        <w:tc>
          <w:tcPr>
            <w:tcW w:w="1795" w:type="dxa"/>
            <w:gridSpan w:val="2"/>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16.68%</w:t>
            </w:r>
          </w:p>
        </w:tc>
      </w:tr>
      <w:tr w:rsidR="00FD6F37" w:rsidRPr="00475463" w:rsidTr="00831220">
        <w:trPr>
          <w:trHeight w:val="255"/>
          <w:jc w:val="center"/>
        </w:trPr>
        <w:tc>
          <w:tcPr>
            <w:tcW w:w="1927" w:type="dxa"/>
            <w:tcBorders>
              <w:top w:val="nil"/>
              <w:left w:val="nil"/>
              <w:bottom w:val="nil"/>
              <w:right w:val="nil"/>
            </w:tcBorders>
            <w:shd w:val="clear" w:color="auto" w:fill="auto"/>
            <w:noWrap/>
            <w:vAlign w:val="bottom"/>
            <w:hideMark/>
          </w:tcPr>
          <w:p w:rsidR="00FD6F37" w:rsidRPr="00831220" w:rsidRDefault="00FD6F37" w:rsidP="00A27160">
            <w:pPr>
              <w:spacing w:line="240" w:lineRule="auto"/>
            </w:pPr>
            <w:r w:rsidRPr="00831220">
              <w:t>Diagnostics</w:t>
            </w: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3841</w:t>
            </w: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3,575.00</w:t>
            </w:r>
          </w:p>
        </w:tc>
        <w:tc>
          <w:tcPr>
            <w:tcW w:w="1795" w:type="dxa"/>
            <w:gridSpan w:val="2"/>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12.11%</w:t>
            </w:r>
          </w:p>
        </w:tc>
      </w:tr>
      <w:tr w:rsidR="00FD6F37" w:rsidRPr="00475463" w:rsidTr="00831220">
        <w:trPr>
          <w:trHeight w:val="255"/>
          <w:jc w:val="center"/>
        </w:trPr>
        <w:tc>
          <w:tcPr>
            <w:tcW w:w="1927" w:type="dxa"/>
            <w:tcBorders>
              <w:top w:val="nil"/>
              <w:left w:val="nil"/>
              <w:bottom w:val="nil"/>
              <w:right w:val="nil"/>
            </w:tcBorders>
            <w:shd w:val="clear" w:color="auto" w:fill="auto"/>
            <w:noWrap/>
            <w:vAlign w:val="bottom"/>
            <w:hideMark/>
          </w:tcPr>
          <w:p w:rsidR="00FD6F37" w:rsidRPr="00831220" w:rsidRDefault="00FD6F37" w:rsidP="00A27160">
            <w:pPr>
              <w:spacing w:line="240" w:lineRule="auto"/>
            </w:pPr>
            <w:r w:rsidRPr="00831220">
              <w:t>Vascular</w:t>
            </w: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3842</w:t>
            </w: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2,241.00</w:t>
            </w:r>
          </w:p>
        </w:tc>
        <w:tc>
          <w:tcPr>
            <w:tcW w:w="1795" w:type="dxa"/>
            <w:gridSpan w:val="2"/>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7.59%</w:t>
            </w:r>
          </w:p>
        </w:tc>
      </w:tr>
      <w:tr w:rsidR="00FD6F37" w:rsidRPr="00475463" w:rsidTr="00831220">
        <w:trPr>
          <w:trHeight w:val="255"/>
          <w:jc w:val="center"/>
        </w:trPr>
        <w:tc>
          <w:tcPr>
            <w:tcW w:w="1927" w:type="dxa"/>
            <w:tcBorders>
              <w:top w:val="nil"/>
              <w:left w:val="nil"/>
              <w:bottom w:val="nil"/>
              <w:right w:val="nil"/>
            </w:tcBorders>
            <w:shd w:val="clear" w:color="auto" w:fill="auto"/>
            <w:noWrap/>
            <w:vAlign w:val="bottom"/>
            <w:hideMark/>
          </w:tcPr>
          <w:p w:rsidR="00FD6F37" w:rsidRPr="00831220" w:rsidRDefault="00FD6F37" w:rsidP="00A27160">
            <w:pPr>
              <w:spacing w:line="240" w:lineRule="auto"/>
            </w:pPr>
            <w:r w:rsidRPr="00831220">
              <w:t>Other</w:t>
            </w: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2,080.00</w:t>
            </w:r>
          </w:p>
        </w:tc>
        <w:tc>
          <w:tcPr>
            <w:tcW w:w="1795" w:type="dxa"/>
            <w:gridSpan w:val="2"/>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r w:rsidRPr="00831220">
              <w:t>7.04%</w:t>
            </w:r>
          </w:p>
        </w:tc>
      </w:tr>
      <w:tr w:rsidR="00FD6F37" w:rsidRPr="00475463" w:rsidTr="00831220">
        <w:trPr>
          <w:trHeight w:val="255"/>
          <w:jc w:val="center"/>
        </w:trPr>
        <w:tc>
          <w:tcPr>
            <w:tcW w:w="1927" w:type="dxa"/>
            <w:tcBorders>
              <w:top w:val="nil"/>
              <w:left w:val="nil"/>
              <w:bottom w:val="nil"/>
              <w:right w:val="nil"/>
            </w:tcBorders>
            <w:shd w:val="clear" w:color="auto" w:fill="auto"/>
            <w:noWrap/>
            <w:vAlign w:val="bottom"/>
            <w:hideMark/>
          </w:tcPr>
          <w:p w:rsidR="00FD6F37" w:rsidRPr="00831220" w:rsidRDefault="00FD6F37" w:rsidP="00A27160">
            <w:pPr>
              <w:spacing w:line="240" w:lineRule="auto"/>
            </w:pPr>
          </w:p>
        </w:tc>
        <w:tc>
          <w:tcPr>
            <w:tcW w:w="1794" w:type="dxa"/>
            <w:tcBorders>
              <w:top w:val="nil"/>
              <w:left w:val="nil"/>
              <w:bottom w:val="nil"/>
              <w:right w:val="nil"/>
            </w:tcBorders>
            <w:shd w:val="clear" w:color="auto" w:fill="auto"/>
            <w:noWrap/>
            <w:vAlign w:val="bottom"/>
            <w:hideMark/>
          </w:tcPr>
          <w:p w:rsidR="00FD6F37" w:rsidRPr="00831220" w:rsidRDefault="00FD6F37" w:rsidP="00A27160">
            <w:pPr>
              <w:spacing w:line="240" w:lineRule="auto"/>
              <w:jc w:val="center"/>
            </w:pPr>
          </w:p>
        </w:tc>
        <w:tc>
          <w:tcPr>
            <w:tcW w:w="1794" w:type="dxa"/>
            <w:tcBorders>
              <w:top w:val="nil"/>
              <w:left w:val="nil"/>
              <w:bottom w:val="single" w:sz="4" w:space="0" w:color="auto"/>
              <w:right w:val="nil"/>
            </w:tcBorders>
            <w:shd w:val="clear" w:color="auto" w:fill="auto"/>
            <w:noWrap/>
            <w:vAlign w:val="bottom"/>
            <w:hideMark/>
          </w:tcPr>
          <w:p w:rsidR="00FD6F37" w:rsidRPr="00831220" w:rsidRDefault="00FD6F37" w:rsidP="00A27160">
            <w:pPr>
              <w:spacing w:line="240" w:lineRule="auto"/>
              <w:jc w:val="center"/>
            </w:pPr>
          </w:p>
        </w:tc>
        <w:tc>
          <w:tcPr>
            <w:tcW w:w="1795" w:type="dxa"/>
            <w:gridSpan w:val="2"/>
            <w:tcBorders>
              <w:top w:val="nil"/>
              <w:left w:val="nil"/>
              <w:bottom w:val="single" w:sz="4" w:space="0" w:color="auto"/>
              <w:right w:val="nil"/>
            </w:tcBorders>
            <w:shd w:val="clear" w:color="auto" w:fill="auto"/>
            <w:noWrap/>
            <w:vAlign w:val="bottom"/>
            <w:hideMark/>
          </w:tcPr>
          <w:p w:rsidR="00FD6F37" w:rsidRPr="00831220" w:rsidRDefault="00FD6F37" w:rsidP="00A27160">
            <w:pPr>
              <w:spacing w:line="240" w:lineRule="auto"/>
              <w:jc w:val="center"/>
            </w:pPr>
          </w:p>
        </w:tc>
      </w:tr>
      <w:tr w:rsidR="00FD6F37" w:rsidRPr="00475463" w:rsidTr="00831220">
        <w:trPr>
          <w:trHeight w:val="255"/>
          <w:jc w:val="center"/>
        </w:trPr>
        <w:tc>
          <w:tcPr>
            <w:tcW w:w="1927" w:type="dxa"/>
            <w:tcBorders>
              <w:top w:val="nil"/>
              <w:left w:val="nil"/>
              <w:bottom w:val="single" w:sz="12" w:space="0" w:color="auto"/>
              <w:right w:val="nil"/>
            </w:tcBorders>
            <w:shd w:val="clear" w:color="auto" w:fill="auto"/>
            <w:noWrap/>
            <w:hideMark/>
          </w:tcPr>
          <w:p w:rsidR="00FD6F37" w:rsidRPr="00831220" w:rsidRDefault="00FD6F37" w:rsidP="00A27160">
            <w:pPr>
              <w:spacing w:line="240" w:lineRule="auto"/>
              <w:jc w:val="center"/>
            </w:pPr>
          </w:p>
        </w:tc>
        <w:tc>
          <w:tcPr>
            <w:tcW w:w="1794" w:type="dxa"/>
            <w:tcBorders>
              <w:top w:val="nil"/>
              <w:left w:val="nil"/>
              <w:bottom w:val="single" w:sz="12" w:space="0" w:color="auto"/>
              <w:right w:val="nil"/>
            </w:tcBorders>
            <w:shd w:val="clear" w:color="auto" w:fill="auto"/>
            <w:noWrap/>
            <w:hideMark/>
          </w:tcPr>
          <w:p w:rsidR="00FD6F37" w:rsidRPr="00831220" w:rsidRDefault="00FD6F37" w:rsidP="00A27160">
            <w:pPr>
              <w:spacing w:line="240" w:lineRule="auto"/>
              <w:jc w:val="center"/>
              <w:rPr>
                <w:b/>
              </w:rPr>
            </w:pPr>
            <w:r w:rsidRPr="00831220">
              <w:rPr>
                <w:b/>
              </w:rPr>
              <w:t>Total</w:t>
            </w:r>
          </w:p>
        </w:tc>
        <w:tc>
          <w:tcPr>
            <w:tcW w:w="1794" w:type="dxa"/>
            <w:tcBorders>
              <w:top w:val="single" w:sz="4" w:space="0" w:color="auto"/>
              <w:left w:val="nil"/>
              <w:bottom w:val="single" w:sz="12" w:space="0" w:color="auto"/>
              <w:right w:val="nil"/>
            </w:tcBorders>
            <w:shd w:val="clear" w:color="auto" w:fill="auto"/>
            <w:noWrap/>
            <w:hideMark/>
          </w:tcPr>
          <w:p w:rsidR="00FD6F37" w:rsidRPr="00831220" w:rsidRDefault="00FD6F37" w:rsidP="00A27160">
            <w:pPr>
              <w:spacing w:line="240" w:lineRule="auto"/>
              <w:jc w:val="center"/>
              <w:rPr>
                <w:b/>
              </w:rPr>
            </w:pPr>
            <w:r w:rsidRPr="00831220">
              <w:rPr>
                <w:b/>
              </w:rPr>
              <w:t>29,528.00</w:t>
            </w:r>
          </w:p>
        </w:tc>
        <w:tc>
          <w:tcPr>
            <w:tcW w:w="1795" w:type="dxa"/>
            <w:gridSpan w:val="2"/>
            <w:tcBorders>
              <w:top w:val="single" w:sz="4" w:space="0" w:color="auto"/>
              <w:left w:val="nil"/>
              <w:bottom w:val="single" w:sz="12" w:space="0" w:color="auto"/>
              <w:right w:val="nil"/>
            </w:tcBorders>
            <w:shd w:val="clear" w:color="auto" w:fill="auto"/>
            <w:noWrap/>
            <w:hideMark/>
          </w:tcPr>
          <w:p w:rsidR="00FD6F37" w:rsidRPr="00831220" w:rsidRDefault="00FD6F37" w:rsidP="00831220">
            <w:pPr>
              <w:spacing w:line="240" w:lineRule="auto"/>
              <w:jc w:val="center"/>
              <w:rPr>
                <w:b/>
              </w:rPr>
            </w:pPr>
            <w:r w:rsidRPr="00831220">
              <w:rPr>
                <w:b/>
              </w:rPr>
              <w:t>100%</w:t>
            </w:r>
          </w:p>
        </w:tc>
      </w:tr>
      <w:tr w:rsidR="00831220" w:rsidRPr="00DF05F1" w:rsidTr="00831220">
        <w:trPr>
          <w:trHeight w:val="255"/>
          <w:jc w:val="center"/>
        </w:trPr>
        <w:tc>
          <w:tcPr>
            <w:tcW w:w="7310" w:type="dxa"/>
            <w:gridSpan w:val="5"/>
            <w:tcBorders>
              <w:top w:val="single" w:sz="12" w:space="0" w:color="auto"/>
              <w:left w:val="nil"/>
              <w:bottom w:val="nil"/>
              <w:right w:val="nil"/>
            </w:tcBorders>
            <w:shd w:val="clear" w:color="auto" w:fill="auto"/>
            <w:noWrap/>
          </w:tcPr>
          <w:p w:rsidR="00831220" w:rsidRPr="00DF05F1" w:rsidRDefault="00831220" w:rsidP="00831220">
            <w:pPr>
              <w:spacing w:line="240" w:lineRule="auto"/>
              <w:rPr>
                <w:sz w:val="20"/>
                <w:szCs w:val="20"/>
              </w:rPr>
            </w:pPr>
            <w:r w:rsidRPr="00DF05F1">
              <w:rPr>
                <w:sz w:val="20"/>
                <w:szCs w:val="20"/>
              </w:rPr>
              <w:t>This table provides repor</w:t>
            </w:r>
            <w:r w:rsidR="00DF05F1">
              <w:rPr>
                <w:sz w:val="20"/>
                <w:szCs w:val="20"/>
              </w:rPr>
              <w:t xml:space="preserve">ted segments for Abbott Labs in fiscal </w:t>
            </w:r>
            <w:r w:rsidRPr="00DF05F1">
              <w:rPr>
                <w:sz w:val="20"/>
                <w:szCs w:val="20"/>
              </w:rPr>
              <w:t>year 2008 from the Compustat Segment file.</w:t>
            </w:r>
          </w:p>
        </w:tc>
      </w:tr>
    </w:tbl>
    <w:p w:rsidR="00FD6F37" w:rsidRPr="00475463" w:rsidRDefault="00FD6F37" w:rsidP="00FD6F37"/>
    <w:p w:rsidR="006D35CC" w:rsidRDefault="006D35CC" w:rsidP="006D35CC">
      <w:pPr>
        <w:pStyle w:val="Caption"/>
        <w:keepNext/>
      </w:pPr>
    </w:p>
    <w:tbl>
      <w:tblPr>
        <w:tblW w:w="8575" w:type="dxa"/>
        <w:jc w:val="center"/>
        <w:tblInd w:w="536" w:type="dxa"/>
        <w:tblLayout w:type="fixed"/>
        <w:tblLook w:val="04A0" w:firstRow="1" w:lastRow="0" w:firstColumn="1" w:lastColumn="0" w:noHBand="0" w:noVBand="1"/>
      </w:tblPr>
      <w:tblGrid>
        <w:gridCol w:w="2070"/>
        <w:gridCol w:w="1626"/>
        <w:gridCol w:w="1626"/>
        <w:gridCol w:w="1626"/>
        <w:gridCol w:w="1598"/>
        <w:gridCol w:w="29"/>
      </w:tblGrid>
      <w:tr w:rsidR="00FD6F37" w:rsidRPr="006D35CC" w:rsidTr="00831220">
        <w:trPr>
          <w:gridAfter w:val="1"/>
          <w:wAfter w:w="29" w:type="dxa"/>
          <w:trHeight w:val="432"/>
          <w:jc w:val="center"/>
        </w:trPr>
        <w:tc>
          <w:tcPr>
            <w:tcW w:w="8546" w:type="dxa"/>
            <w:gridSpan w:val="5"/>
            <w:tcBorders>
              <w:top w:val="single" w:sz="12" w:space="0" w:color="auto"/>
              <w:left w:val="nil"/>
              <w:bottom w:val="double" w:sz="4" w:space="0" w:color="auto"/>
              <w:right w:val="nil"/>
            </w:tcBorders>
            <w:shd w:val="clear" w:color="auto" w:fill="auto"/>
            <w:vAlign w:val="bottom"/>
          </w:tcPr>
          <w:p w:rsidR="00C2763F" w:rsidRDefault="006D35CC" w:rsidP="004558D6">
            <w:pPr>
              <w:spacing w:line="240" w:lineRule="auto"/>
              <w:jc w:val="center"/>
              <w:rPr>
                <w:b/>
              </w:rPr>
            </w:pPr>
            <w:r w:rsidRPr="006D35CC">
              <w:rPr>
                <w:b/>
              </w:rPr>
              <w:t>Table</w:t>
            </w:r>
            <w:r w:rsidR="004558D6">
              <w:rPr>
                <w:b/>
              </w:rPr>
              <w:t xml:space="preserve"> A.2</w:t>
            </w:r>
            <w:r w:rsidR="00C2763F">
              <w:rPr>
                <w:b/>
              </w:rPr>
              <w:t>:</w:t>
            </w:r>
          </w:p>
          <w:p w:rsidR="00FD6F37" w:rsidRPr="00C2763F" w:rsidRDefault="006D35CC" w:rsidP="004558D6">
            <w:pPr>
              <w:spacing w:line="240" w:lineRule="auto"/>
              <w:jc w:val="center"/>
              <w:rPr>
                <w:b/>
                <w:bCs/>
                <w:i/>
              </w:rPr>
            </w:pPr>
            <w:r w:rsidRPr="00C2763F">
              <w:rPr>
                <w:b/>
                <w:bCs/>
                <w:i/>
              </w:rPr>
              <w:t>Calculation of FFDIFF for Abbott Labs</w:t>
            </w:r>
          </w:p>
        </w:tc>
      </w:tr>
      <w:tr w:rsidR="00831220" w:rsidRPr="00831220" w:rsidTr="00831220">
        <w:trPr>
          <w:trHeight w:val="780"/>
          <w:jc w:val="center"/>
        </w:trPr>
        <w:tc>
          <w:tcPr>
            <w:tcW w:w="2070" w:type="dxa"/>
            <w:tcBorders>
              <w:top w:val="double" w:sz="4" w:space="0" w:color="auto"/>
              <w:left w:val="nil"/>
              <w:bottom w:val="single" w:sz="8" w:space="0" w:color="auto"/>
              <w:right w:val="nil"/>
            </w:tcBorders>
            <w:shd w:val="clear" w:color="auto" w:fill="auto"/>
            <w:noWrap/>
            <w:vAlign w:val="bottom"/>
            <w:hideMark/>
          </w:tcPr>
          <w:p w:rsidR="00831220" w:rsidRPr="00831220" w:rsidRDefault="00831220" w:rsidP="00A27160">
            <w:pPr>
              <w:spacing w:line="240" w:lineRule="auto"/>
              <w:rPr>
                <w:b/>
                <w:bCs/>
              </w:rPr>
            </w:pPr>
            <w:r w:rsidRPr="00831220">
              <w:rPr>
                <w:b/>
                <w:bCs/>
              </w:rPr>
              <w:t>Company Name</w:t>
            </w:r>
          </w:p>
        </w:tc>
        <w:tc>
          <w:tcPr>
            <w:tcW w:w="1626" w:type="dxa"/>
            <w:tcBorders>
              <w:top w:val="double" w:sz="4" w:space="0" w:color="auto"/>
              <w:left w:val="nil"/>
              <w:bottom w:val="single" w:sz="8" w:space="0" w:color="auto"/>
              <w:right w:val="nil"/>
            </w:tcBorders>
            <w:shd w:val="clear" w:color="auto" w:fill="auto"/>
            <w:vAlign w:val="bottom"/>
            <w:hideMark/>
          </w:tcPr>
          <w:p w:rsidR="00831220" w:rsidRPr="00831220" w:rsidRDefault="00831220" w:rsidP="00A27160">
            <w:pPr>
              <w:spacing w:line="240" w:lineRule="auto"/>
              <w:jc w:val="center"/>
              <w:rPr>
                <w:b/>
                <w:bCs/>
              </w:rPr>
            </w:pPr>
            <w:r w:rsidRPr="00831220">
              <w:rPr>
                <w:b/>
                <w:bCs/>
              </w:rPr>
              <w:t xml:space="preserve">No. Compustat </w:t>
            </w:r>
            <w:r w:rsidRPr="00831220">
              <w:rPr>
                <w:b/>
                <w:bCs/>
              </w:rPr>
              <w:br/>
              <w:t>Segment</w:t>
            </w:r>
          </w:p>
        </w:tc>
        <w:tc>
          <w:tcPr>
            <w:tcW w:w="1626" w:type="dxa"/>
            <w:tcBorders>
              <w:top w:val="double" w:sz="4" w:space="0" w:color="auto"/>
              <w:left w:val="nil"/>
              <w:bottom w:val="single" w:sz="8" w:space="0" w:color="auto"/>
              <w:right w:val="nil"/>
            </w:tcBorders>
            <w:shd w:val="clear" w:color="auto" w:fill="auto"/>
            <w:vAlign w:val="bottom"/>
            <w:hideMark/>
          </w:tcPr>
          <w:p w:rsidR="00831220" w:rsidRPr="00831220" w:rsidRDefault="00831220" w:rsidP="00A27160">
            <w:pPr>
              <w:spacing w:line="240" w:lineRule="auto"/>
              <w:jc w:val="center"/>
              <w:rPr>
                <w:b/>
                <w:bCs/>
              </w:rPr>
            </w:pPr>
            <w:r w:rsidRPr="00831220">
              <w:rPr>
                <w:b/>
                <w:bCs/>
              </w:rPr>
              <w:t xml:space="preserve">Focal Firm </w:t>
            </w:r>
            <w:r w:rsidRPr="00831220">
              <w:rPr>
                <w:b/>
                <w:bCs/>
              </w:rPr>
              <w:br/>
              <w:t>SIC Code</w:t>
            </w:r>
          </w:p>
        </w:tc>
        <w:tc>
          <w:tcPr>
            <w:tcW w:w="1626" w:type="dxa"/>
            <w:tcBorders>
              <w:top w:val="double" w:sz="4" w:space="0" w:color="auto"/>
              <w:left w:val="nil"/>
              <w:bottom w:val="single" w:sz="8" w:space="0" w:color="auto"/>
              <w:right w:val="nil"/>
            </w:tcBorders>
            <w:shd w:val="clear" w:color="auto" w:fill="auto"/>
            <w:vAlign w:val="bottom"/>
            <w:hideMark/>
          </w:tcPr>
          <w:p w:rsidR="00831220" w:rsidRPr="00831220" w:rsidRDefault="00831220" w:rsidP="00A27160">
            <w:pPr>
              <w:spacing w:line="240" w:lineRule="auto"/>
              <w:jc w:val="center"/>
              <w:rPr>
                <w:b/>
                <w:bCs/>
              </w:rPr>
            </w:pPr>
            <w:r w:rsidRPr="00831220">
              <w:rPr>
                <w:b/>
                <w:bCs/>
              </w:rPr>
              <w:t>Percent of Sales</w:t>
            </w:r>
          </w:p>
        </w:tc>
        <w:tc>
          <w:tcPr>
            <w:tcW w:w="1627" w:type="dxa"/>
            <w:gridSpan w:val="2"/>
            <w:tcBorders>
              <w:top w:val="double" w:sz="4" w:space="0" w:color="auto"/>
              <w:left w:val="nil"/>
              <w:bottom w:val="single" w:sz="8" w:space="0" w:color="auto"/>
              <w:right w:val="nil"/>
            </w:tcBorders>
            <w:shd w:val="clear" w:color="auto" w:fill="auto"/>
            <w:vAlign w:val="bottom"/>
            <w:hideMark/>
          </w:tcPr>
          <w:p w:rsidR="00831220" w:rsidRPr="00831220" w:rsidRDefault="00831220" w:rsidP="00A27160">
            <w:pPr>
              <w:spacing w:line="240" w:lineRule="auto"/>
              <w:jc w:val="center"/>
              <w:rPr>
                <w:b/>
                <w:bCs/>
              </w:rPr>
            </w:pPr>
            <w:r w:rsidRPr="00831220">
              <w:rPr>
                <w:b/>
                <w:bCs/>
              </w:rPr>
              <w:t>TNIC</w:t>
            </w:r>
            <w:r w:rsidRPr="00831220">
              <w:rPr>
                <w:b/>
                <w:bCs/>
              </w:rPr>
              <w:br/>
              <w:t>Peer Firm</w:t>
            </w:r>
            <w:r w:rsidRPr="00831220">
              <w:rPr>
                <w:b/>
                <w:bCs/>
              </w:rPr>
              <w:br/>
              <w:t>SIC Codes</w:t>
            </w:r>
          </w:p>
        </w:tc>
      </w:tr>
      <w:tr w:rsidR="00831220" w:rsidRPr="00831220" w:rsidTr="00831220">
        <w:trPr>
          <w:trHeight w:val="255"/>
          <w:jc w:val="center"/>
        </w:trPr>
        <w:tc>
          <w:tcPr>
            <w:tcW w:w="2070" w:type="dxa"/>
            <w:tcBorders>
              <w:top w:val="nil"/>
              <w:left w:val="nil"/>
              <w:bottom w:val="nil"/>
              <w:right w:val="nil"/>
            </w:tcBorders>
            <w:shd w:val="clear" w:color="auto" w:fill="auto"/>
            <w:noWrap/>
            <w:vAlign w:val="bottom"/>
            <w:hideMark/>
          </w:tcPr>
          <w:p w:rsidR="00831220" w:rsidRPr="00831220" w:rsidRDefault="00831220" w:rsidP="00A27160">
            <w:pPr>
              <w:spacing w:line="240" w:lineRule="auto"/>
            </w:pPr>
            <w:r w:rsidRPr="00831220">
              <w:t>ABBOTT LABORATORIES</w:t>
            </w: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4</w:t>
            </w: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2023</w:t>
            </w: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16.68%</w:t>
            </w:r>
          </w:p>
        </w:tc>
        <w:tc>
          <w:tcPr>
            <w:tcW w:w="1627" w:type="dxa"/>
            <w:gridSpan w:val="2"/>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r>
      <w:tr w:rsidR="00831220" w:rsidRPr="00831220" w:rsidTr="00831220">
        <w:trPr>
          <w:trHeight w:val="255"/>
          <w:jc w:val="center"/>
        </w:trPr>
        <w:tc>
          <w:tcPr>
            <w:tcW w:w="2070" w:type="dxa"/>
            <w:tcBorders>
              <w:top w:val="nil"/>
              <w:left w:val="nil"/>
              <w:bottom w:val="nil"/>
              <w:right w:val="nil"/>
            </w:tcBorders>
            <w:shd w:val="clear" w:color="auto" w:fill="auto"/>
            <w:noWrap/>
            <w:vAlign w:val="bottom"/>
            <w:hideMark/>
          </w:tcPr>
          <w:p w:rsidR="00831220" w:rsidRPr="00831220" w:rsidRDefault="00831220" w:rsidP="00A27160">
            <w:pPr>
              <w:spacing w:line="240" w:lineRule="auto"/>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2834</w:t>
            </w: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56.58%</w:t>
            </w:r>
          </w:p>
        </w:tc>
        <w:tc>
          <w:tcPr>
            <w:tcW w:w="1627" w:type="dxa"/>
            <w:gridSpan w:val="2"/>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2834</w:t>
            </w:r>
          </w:p>
        </w:tc>
      </w:tr>
      <w:tr w:rsidR="00831220" w:rsidRPr="00831220" w:rsidTr="00831220">
        <w:trPr>
          <w:trHeight w:val="255"/>
          <w:jc w:val="center"/>
        </w:trPr>
        <w:tc>
          <w:tcPr>
            <w:tcW w:w="2070" w:type="dxa"/>
            <w:tcBorders>
              <w:top w:val="nil"/>
              <w:left w:val="nil"/>
              <w:bottom w:val="nil"/>
              <w:right w:val="nil"/>
            </w:tcBorders>
            <w:shd w:val="clear" w:color="auto" w:fill="auto"/>
            <w:noWrap/>
            <w:vAlign w:val="bottom"/>
            <w:hideMark/>
          </w:tcPr>
          <w:p w:rsidR="00831220" w:rsidRPr="00831220" w:rsidRDefault="00831220" w:rsidP="00A27160">
            <w:pPr>
              <w:spacing w:line="240" w:lineRule="auto"/>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3841</w:t>
            </w: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12.11%</w:t>
            </w:r>
          </w:p>
        </w:tc>
        <w:tc>
          <w:tcPr>
            <w:tcW w:w="1627" w:type="dxa"/>
            <w:gridSpan w:val="2"/>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r>
      <w:tr w:rsidR="00831220" w:rsidRPr="00831220" w:rsidTr="00831220">
        <w:trPr>
          <w:trHeight w:val="255"/>
          <w:jc w:val="center"/>
        </w:trPr>
        <w:tc>
          <w:tcPr>
            <w:tcW w:w="2070" w:type="dxa"/>
            <w:tcBorders>
              <w:top w:val="nil"/>
              <w:left w:val="nil"/>
              <w:bottom w:val="nil"/>
              <w:right w:val="nil"/>
            </w:tcBorders>
            <w:shd w:val="clear" w:color="auto" w:fill="auto"/>
            <w:noWrap/>
            <w:vAlign w:val="bottom"/>
            <w:hideMark/>
          </w:tcPr>
          <w:p w:rsidR="00831220" w:rsidRPr="00831220" w:rsidRDefault="00831220" w:rsidP="00A27160">
            <w:pPr>
              <w:spacing w:line="240" w:lineRule="auto"/>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3842</w:t>
            </w: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7.59%</w:t>
            </w:r>
          </w:p>
        </w:tc>
        <w:tc>
          <w:tcPr>
            <w:tcW w:w="1627" w:type="dxa"/>
            <w:gridSpan w:val="2"/>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r>
      <w:tr w:rsidR="00831220" w:rsidRPr="00831220" w:rsidTr="00831220">
        <w:trPr>
          <w:trHeight w:val="255"/>
          <w:jc w:val="center"/>
        </w:trPr>
        <w:tc>
          <w:tcPr>
            <w:tcW w:w="2070" w:type="dxa"/>
            <w:tcBorders>
              <w:top w:val="nil"/>
              <w:left w:val="nil"/>
              <w:bottom w:val="nil"/>
              <w:right w:val="nil"/>
            </w:tcBorders>
            <w:shd w:val="clear" w:color="auto" w:fill="auto"/>
            <w:noWrap/>
            <w:vAlign w:val="bottom"/>
            <w:hideMark/>
          </w:tcPr>
          <w:p w:rsidR="00831220" w:rsidRPr="00831220" w:rsidRDefault="00831220" w:rsidP="00A27160">
            <w:pPr>
              <w:spacing w:line="240" w:lineRule="auto"/>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7" w:type="dxa"/>
            <w:gridSpan w:val="2"/>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r w:rsidRPr="00831220">
              <w:t>2835</w:t>
            </w:r>
          </w:p>
        </w:tc>
      </w:tr>
      <w:tr w:rsidR="00831220" w:rsidRPr="00831220" w:rsidTr="00831220">
        <w:trPr>
          <w:trHeight w:val="255"/>
          <w:jc w:val="center"/>
        </w:trPr>
        <w:tc>
          <w:tcPr>
            <w:tcW w:w="2070" w:type="dxa"/>
            <w:tcBorders>
              <w:top w:val="nil"/>
              <w:left w:val="nil"/>
              <w:bottom w:val="nil"/>
              <w:right w:val="nil"/>
            </w:tcBorders>
            <w:shd w:val="clear" w:color="auto" w:fill="auto"/>
            <w:noWrap/>
            <w:vAlign w:val="bottom"/>
            <w:hideMark/>
          </w:tcPr>
          <w:p w:rsidR="00831220" w:rsidRPr="00831220" w:rsidRDefault="00831220" w:rsidP="00A27160">
            <w:pPr>
              <w:spacing w:line="240" w:lineRule="auto"/>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6" w:type="dxa"/>
            <w:tcBorders>
              <w:top w:val="nil"/>
              <w:left w:val="nil"/>
              <w:bottom w:val="nil"/>
              <w:right w:val="nil"/>
            </w:tcBorders>
            <w:shd w:val="clear" w:color="auto" w:fill="auto"/>
            <w:noWrap/>
            <w:vAlign w:val="bottom"/>
            <w:hideMark/>
          </w:tcPr>
          <w:p w:rsidR="00831220" w:rsidRPr="00831220" w:rsidRDefault="00831220" w:rsidP="00A27160">
            <w:pPr>
              <w:spacing w:line="240" w:lineRule="auto"/>
              <w:jc w:val="center"/>
            </w:pPr>
          </w:p>
        </w:tc>
        <w:tc>
          <w:tcPr>
            <w:tcW w:w="1626" w:type="dxa"/>
            <w:tcBorders>
              <w:top w:val="nil"/>
              <w:left w:val="nil"/>
              <w:bottom w:val="single" w:sz="4" w:space="0" w:color="auto"/>
              <w:right w:val="nil"/>
            </w:tcBorders>
            <w:shd w:val="clear" w:color="auto" w:fill="auto"/>
            <w:noWrap/>
            <w:vAlign w:val="bottom"/>
            <w:hideMark/>
          </w:tcPr>
          <w:p w:rsidR="00831220" w:rsidRPr="00831220" w:rsidRDefault="00831220" w:rsidP="00A27160">
            <w:pPr>
              <w:spacing w:line="240" w:lineRule="auto"/>
              <w:jc w:val="center"/>
            </w:pPr>
          </w:p>
        </w:tc>
        <w:tc>
          <w:tcPr>
            <w:tcW w:w="1627" w:type="dxa"/>
            <w:gridSpan w:val="2"/>
            <w:tcBorders>
              <w:top w:val="nil"/>
              <w:left w:val="nil"/>
              <w:bottom w:val="single" w:sz="4" w:space="0" w:color="auto"/>
              <w:right w:val="nil"/>
            </w:tcBorders>
            <w:shd w:val="clear" w:color="auto" w:fill="auto"/>
            <w:noWrap/>
            <w:vAlign w:val="bottom"/>
            <w:hideMark/>
          </w:tcPr>
          <w:p w:rsidR="00831220" w:rsidRPr="00831220" w:rsidRDefault="00831220" w:rsidP="00A27160">
            <w:pPr>
              <w:spacing w:line="240" w:lineRule="auto"/>
              <w:jc w:val="center"/>
            </w:pPr>
            <w:r w:rsidRPr="00831220">
              <w:t>2836</w:t>
            </w:r>
          </w:p>
        </w:tc>
      </w:tr>
      <w:tr w:rsidR="00831220" w:rsidRPr="00831220" w:rsidTr="00831220">
        <w:trPr>
          <w:trHeight w:val="255"/>
          <w:jc w:val="center"/>
        </w:trPr>
        <w:tc>
          <w:tcPr>
            <w:tcW w:w="2070" w:type="dxa"/>
            <w:tcBorders>
              <w:top w:val="nil"/>
              <w:left w:val="nil"/>
              <w:bottom w:val="nil"/>
              <w:right w:val="nil"/>
            </w:tcBorders>
            <w:shd w:val="clear" w:color="auto" w:fill="auto"/>
            <w:noWrap/>
          </w:tcPr>
          <w:p w:rsidR="00831220" w:rsidRPr="00831220" w:rsidRDefault="00831220" w:rsidP="00A27160">
            <w:pPr>
              <w:spacing w:line="240" w:lineRule="auto"/>
              <w:jc w:val="center"/>
            </w:pPr>
          </w:p>
        </w:tc>
        <w:tc>
          <w:tcPr>
            <w:tcW w:w="1626" w:type="dxa"/>
            <w:tcBorders>
              <w:left w:val="nil"/>
              <w:right w:val="nil"/>
            </w:tcBorders>
            <w:shd w:val="clear" w:color="auto" w:fill="auto"/>
            <w:noWrap/>
            <w:vAlign w:val="bottom"/>
          </w:tcPr>
          <w:p w:rsidR="00831220" w:rsidRPr="00831220" w:rsidRDefault="00831220" w:rsidP="00A27160">
            <w:pPr>
              <w:spacing w:line="240" w:lineRule="auto"/>
              <w:jc w:val="center"/>
              <w:rPr>
                <w:b/>
              </w:rPr>
            </w:pPr>
          </w:p>
        </w:tc>
        <w:tc>
          <w:tcPr>
            <w:tcW w:w="1626" w:type="dxa"/>
            <w:tcBorders>
              <w:left w:val="nil"/>
              <w:right w:val="nil"/>
            </w:tcBorders>
            <w:shd w:val="clear" w:color="auto" w:fill="auto"/>
            <w:noWrap/>
            <w:vAlign w:val="bottom"/>
          </w:tcPr>
          <w:p w:rsidR="00831220" w:rsidRPr="00831220" w:rsidRDefault="00831220" w:rsidP="00A27160">
            <w:pPr>
              <w:spacing w:line="240" w:lineRule="auto"/>
              <w:jc w:val="center"/>
              <w:rPr>
                <w:b/>
              </w:rPr>
            </w:pPr>
          </w:p>
        </w:tc>
        <w:tc>
          <w:tcPr>
            <w:tcW w:w="1626" w:type="dxa"/>
            <w:tcBorders>
              <w:top w:val="single" w:sz="4" w:space="0" w:color="auto"/>
              <w:left w:val="nil"/>
              <w:bottom w:val="single" w:sz="4" w:space="0" w:color="auto"/>
              <w:right w:val="nil"/>
            </w:tcBorders>
            <w:shd w:val="clear" w:color="auto" w:fill="auto"/>
            <w:noWrap/>
            <w:vAlign w:val="bottom"/>
          </w:tcPr>
          <w:p w:rsidR="00831220" w:rsidRPr="00831220" w:rsidRDefault="00831220" w:rsidP="00A27160">
            <w:pPr>
              <w:spacing w:line="240" w:lineRule="auto"/>
              <w:jc w:val="center"/>
              <w:rPr>
                <w:b/>
              </w:rPr>
            </w:pPr>
            <w:r w:rsidRPr="00831220">
              <w:rPr>
                <w:b/>
                <w:i/>
                <w:iCs/>
              </w:rPr>
              <w:t>DIFF</w:t>
            </w:r>
          </w:p>
        </w:tc>
        <w:tc>
          <w:tcPr>
            <w:tcW w:w="1627" w:type="dxa"/>
            <w:gridSpan w:val="2"/>
            <w:tcBorders>
              <w:top w:val="single" w:sz="4" w:space="0" w:color="auto"/>
              <w:left w:val="nil"/>
              <w:bottom w:val="single" w:sz="4" w:space="0" w:color="auto"/>
              <w:right w:val="nil"/>
            </w:tcBorders>
            <w:shd w:val="clear" w:color="auto" w:fill="auto"/>
            <w:noWrap/>
            <w:vAlign w:val="bottom"/>
          </w:tcPr>
          <w:p w:rsidR="00831220" w:rsidRPr="00831220" w:rsidRDefault="00831220" w:rsidP="00A27160">
            <w:pPr>
              <w:spacing w:line="240" w:lineRule="auto"/>
              <w:jc w:val="center"/>
              <w:rPr>
                <w:b/>
                <w:i/>
                <w:iCs/>
              </w:rPr>
            </w:pPr>
            <w:r w:rsidRPr="00831220">
              <w:rPr>
                <w:b/>
                <w:i/>
                <w:iCs/>
              </w:rPr>
              <w:t>FFDIFF</w:t>
            </w:r>
          </w:p>
        </w:tc>
      </w:tr>
      <w:tr w:rsidR="00831220" w:rsidRPr="00831220" w:rsidTr="00831220">
        <w:trPr>
          <w:trHeight w:val="210"/>
          <w:jc w:val="center"/>
        </w:trPr>
        <w:tc>
          <w:tcPr>
            <w:tcW w:w="2070" w:type="dxa"/>
            <w:tcBorders>
              <w:top w:val="nil"/>
              <w:left w:val="nil"/>
              <w:bottom w:val="single" w:sz="12" w:space="0" w:color="auto"/>
              <w:right w:val="nil"/>
            </w:tcBorders>
            <w:shd w:val="clear" w:color="auto" w:fill="auto"/>
            <w:noWrap/>
          </w:tcPr>
          <w:p w:rsidR="00831220" w:rsidRPr="00831220" w:rsidRDefault="00831220" w:rsidP="00A27160">
            <w:pPr>
              <w:spacing w:line="240" w:lineRule="auto"/>
              <w:jc w:val="center"/>
            </w:pPr>
          </w:p>
        </w:tc>
        <w:tc>
          <w:tcPr>
            <w:tcW w:w="1626" w:type="dxa"/>
            <w:tcBorders>
              <w:left w:val="nil"/>
              <w:bottom w:val="single" w:sz="12" w:space="0" w:color="auto"/>
              <w:right w:val="nil"/>
            </w:tcBorders>
            <w:shd w:val="clear" w:color="auto" w:fill="auto"/>
            <w:noWrap/>
          </w:tcPr>
          <w:p w:rsidR="00831220" w:rsidRPr="00831220" w:rsidRDefault="00831220" w:rsidP="00A27160">
            <w:pPr>
              <w:spacing w:line="240" w:lineRule="auto"/>
            </w:pPr>
          </w:p>
        </w:tc>
        <w:tc>
          <w:tcPr>
            <w:tcW w:w="1626" w:type="dxa"/>
            <w:tcBorders>
              <w:left w:val="nil"/>
              <w:bottom w:val="single" w:sz="12" w:space="0" w:color="auto"/>
              <w:right w:val="nil"/>
            </w:tcBorders>
            <w:shd w:val="clear" w:color="auto" w:fill="auto"/>
            <w:noWrap/>
          </w:tcPr>
          <w:p w:rsidR="00831220" w:rsidRPr="00831220" w:rsidRDefault="00831220" w:rsidP="00A27160">
            <w:pPr>
              <w:spacing w:line="240" w:lineRule="auto"/>
              <w:jc w:val="center"/>
            </w:pPr>
          </w:p>
        </w:tc>
        <w:tc>
          <w:tcPr>
            <w:tcW w:w="1626" w:type="dxa"/>
            <w:tcBorders>
              <w:top w:val="single" w:sz="4" w:space="0" w:color="auto"/>
              <w:left w:val="nil"/>
              <w:bottom w:val="single" w:sz="12" w:space="0" w:color="auto"/>
              <w:right w:val="nil"/>
            </w:tcBorders>
            <w:shd w:val="clear" w:color="auto" w:fill="auto"/>
            <w:noWrap/>
          </w:tcPr>
          <w:p w:rsidR="00831220" w:rsidRPr="00831220" w:rsidRDefault="00831220" w:rsidP="00831220">
            <w:pPr>
              <w:spacing w:line="240" w:lineRule="auto"/>
              <w:jc w:val="center"/>
            </w:pPr>
            <w:r w:rsidRPr="00831220">
              <w:t>36.38%</w:t>
            </w:r>
          </w:p>
        </w:tc>
        <w:tc>
          <w:tcPr>
            <w:tcW w:w="1627" w:type="dxa"/>
            <w:gridSpan w:val="2"/>
            <w:tcBorders>
              <w:top w:val="single" w:sz="4" w:space="0" w:color="auto"/>
              <w:left w:val="nil"/>
              <w:bottom w:val="single" w:sz="12" w:space="0" w:color="auto"/>
              <w:right w:val="nil"/>
            </w:tcBorders>
            <w:shd w:val="clear" w:color="auto" w:fill="auto"/>
            <w:noWrap/>
          </w:tcPr>
          <w:p w:rsidR="00831220" w:rsidRPr="00831220" w:rsidRDefault="00831220" w:rsidP="00A27160">
            <w:pPr>
              <w:spacing w:line="240" w:lineRule="auto"/>
              <w:jc w:val="center"/>
            </w:pPr>
            <w:r w:rsidRPr="00831220">
              <w:t>0.3103</w:t>
            </w:r>
          </w:p>
        </w:tc>
      </w:tr>
      <w:tr w:rsidR="00831220" w:rsidRPr="003846A1" w:rsidTr="00831220">
        <w:trPr>
          <w:gridAfter w:val="1"/>
          <w:wAfter w:w="29" w:type="dxa"/>
          <w:trHeight w:val="15"/>
          <w:jc w:val="center"/>
        </w:trPr>
        <w:tc>
          <w:tcPr>
            <w:tcW w:w="8546" w:type="dxa"/>
            <w:gridSpan w:val="5"/>
            <w:tcBorders>
              <w:top w:val="single" w:sz="12" w:space="0" w:color="auto"/>
              <w:left w:val="nil"/>
              <w:bottom w:val="nil"/>
              <w:right w:val="nil"/>
            </w:tcBorders>
            <w:shd w:val="clear" w:color="auto" w:fill="auto"/>
            <w:noWrap/>
          </w:tcPr>
          <w:p w:rsidR="00831220" w:rsidRPr="003846A1" w:rsidRDefault="00831220" w:rsidP="00233B87">
            <w:pPr>
              <w:spacing w:line="240" w:lineRule="auto"/>
              <w:rPr>
                <w:sz w:val="20"/>
                <w:szCs w:val="20"/>
              </w:rPr>
            </w:pPr>
            <w:r w:rsidRPr="003846A1">
              <w:rPr>
                <w:sz w:val="20"/>
                <w:szCs w:val="20"/>
              </w:rPr>
              <w:t xml:space="preserve">This table provides an example of how </w:t>
            </w:r>
            <w:r w:rsidRPr="003846A1">
              <w:rPr>
                <w:i/>
                <w:sz w:val="20"/>
                <w:szCs w:val="20"/>
              </w:rPr>
              <w:t>DIFF</w:t>
            </w:r>
            <w:r w:rsidR="00DF05F1">
              <w:rPr>
                <w:sz w:val="20"/>
                <w:szCs w:val="20"/>
              </w:rPr>
              <w:t xml:space="preserve"> is calculated using reported segments for</w:t>
            </w:r>
            <w:r w:rsidRPr="003846A1">
              <w:rPr>
                <w:sz w:val="20"/>
                <w:szCs w:val="20"/>
              </w:rPr>
              <w:t xml:space="preserve"> Abbott Labs.  Segment information is taken from the Compustat Segment File.  </w:t>
            </w:r>
            <w:r w:rsidR="0035366F" w:rsidRPr="003846A1">
              <w:rPr>
                <w:sz w:val="20"/>
                <w:szCs w:val="20"/>
              </w:rPr>
              <w:t xml:space="preserve">TNIC peers are matched </w:t>
            </w:r>
            <w:r w:rsidR="00233B87">
              <w:rPr>
                <w:sz w:val="20"/>
                <w:szCs w:val="20"/>
              </w:rPr>
              <w:t xml:space="preserve">using data provided by </w:t>
            </w:r>
            <w:r w:rsidR="0035366F" w:rsidRPr="003846A1">
              <w:rPr>
                <w:sz w:val="20"/>
                <w:szCs w:val="20"/>
              </w:rPr>
              <w:t>Hoberg and Phillips (2010a; 2013).  Four-digit SIC codes must be disclosed by at least five percent of</w:t>
            </w:r>
            <w:r w:rsidR="000B78B5">
              <w:rPr>
                <w:sz w:val="20"/>
                <w:szCs w:val="20"/>
              </w:rPr>
              <w:t xml:space="preserve"> all TNIC peers to be included in TNIC peer firm SIC codes.</w:t>
            </w:r>
          </w:p>
        </w:tc>
      </w:tr>
    </w:tbl>
    <w:p w:rsidR="00FD6F37" w:rsidRPr="008F2DC9" w:rsidRDefault="00FD6F37" w:rsidP="00FD6F37">
      <w:pPr>
        <w:spacing w:after="200" w:line="240" w:lineRule="auto"/>
        <w:rPr>
          <w:rFonts w:eastAsiaTheme="majorEastAsia"/>
          <w:b/>
          <w:bCs/>
          <w:sz w:val="28"/>
          <w:szCs w:val="32"/>
        </w:rPr>
      </w:pPr>
      <w:r w:rsidRPr="00475463">
        <w:br w:type="page"/>
      </w:r>
    </w:p>
    <w:tbl>
      <w:tblPr>
        <w:tblW w:w="8388" w:type="dxa"/>
        <w:jc w:val="center"/>
        <w:tblLook w:val="04A0" w:firstRow="1" w:lastRow="0" w:firstColumn="1" w:lastColumn="0" w:noHBand="0" w:noVBand="1"/>
      </w:tblPr>
      <w:tblGrid>
        <w:gridCol w:w="960"/>
        <w:gridCol w:w="3108"/>
        <w:gridCol w:w="1161"/>
        <w:gridCol w:w="999"/>
        <w:gridCol w:w="720"/>
        <w:gridCol w:w="661"/>
        <w:gridCol w:w="779"/>
      </w:tblGrid>
      <w:tr w:rsidR="00595130" w:rsidRPr="00680FD3" w:rsidTr="00C2763F">
        <w:trPr>
          <w:trHeight w:val="255"/>
          <w:jc w:val="center"/>
        </w:trPr>
        <w:tc>
          <w:tcPr>
            <w:tcW w:w="8388" w:type="dxa"/>
            <w:gridSpan w:val="7"/>
            <w:tcBorders>
              <w:top w:val="single" w:sz="12" w:space="0" w:color="auto"/>
              <w:left w:val="nil"/>
              <w:bottom w:val="double" w:sz="4" w:space="0" w:color="auto"/>
              <w:right w:val="nil"/>
            </w:tcBorders>
            <w:shd w:val="clear" w:color="auto" w:fill="auto"/>
            <w:noWrap/>
            <w:vAlign w:val="bottom"/>
          </w:tcPr>
          <w:p w:rsidR="00C2763F" w:rsidRDefault="00C2763F" w:rsidP="00F40EEA">
            <w:pPr>
              <w:spacing w:line="240" w:lineRule="auto"/>
              <w:jc w:val="center"/>
              <w:rPr>
                <w:b/>
                <w:bCs/>
              </w:rPr>
            </w:pPr>
            <w:r>
              <w:rPr>
                <w:b/>
                <w:bCs/>
              </w:rPr>
              <w:lastRenderedPageBreak/>
              <w:t>Table A.3:</w:t>
            </w:r>
          </w:p>
          <w:p w:rsidR="00595130" w:rsidRPr="00C2763F" w:rsidRDefault="00595130" w:rsidP="00F40EEA">
            <w:pPr>
              <w:spacing w:line="240" w:lineRule="auto"/>
              <w:jc w:val="center"/>
              <w:rPr>
                <w:b/>
                <w:bCs/>
                <w:i/>
              </w:rPr>
            </w:pPr>
            <w:r w:rsidRPr="00C2763F">
              <w:rPr>
                <w:b/>
                <w:bCs/>
                <w:i/>
              </w:rPr>
              <w:t>List of TNIC Peer Firm SIC Codes</w:t>
            </w:r>
          </w:p>
        </w:tc>
      </w:tr>
      <w:tr w:rsidR="00595130" w:rsidRPr="008F2DC9" w:rsidTr="00C2763F">
        <w:trPr>
          <w:trHeight w:val="255"/>
          <w:jc w:val="center"/>
        </w:trPr>
        <w:tc>
          <w:tcPr>
            <w:tcW w:w="960"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 xml:space="preserve">Peer </w:t>
            </w:r>
            <w:r w:rsidRPr="00475463">
              <w:rPr>
                <w:b/>
                <w:bCs/>
                <w:sz w:val="20"/>
                <w:szCs w:val="20"/>
              </w:rPr>
              <w:br/>
              <w:t>GVKEY</w:t>
            </w:r>
          </w:p>
        </w:tc>
        <w:tc>
          <w:tcPr>
            <w:tcW w:w="3108"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rPr>
                <w:rFonts w:ascii="Arial" w:hAnsi="Arial" w:cs="Arial"/>
                <w:sz w:val="20"/>
                <w:szCs w:val="20"/>
              </w:rPr>
            </w:pPr>
            <w:r w:rsidRPr="00475463">
              <w:rPr>
                <w:b/>
                <w:bCs/>
                <w:sz w:val="20"/>
                <w:szCs w:val="20"/>
              </w:rPr>
              <w:t>Company Name</w:t>
            </w:r>
          </w:p>
        </w:tc>
        <w:tc>
          <w:tcPr>
            <w:tcW w:w="1161"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No. Compustat Segments</w:t>
            </w:r>
          </w:p>
        </w:tc>
        <w:tc>
          <w:tcPr>
            <w:tcW w:w="999" w:type="dxa"/>
            <w:tcBorders>
              <w:top w:val="double" w:sz="4" w:space="0" w:color="auto"/>
              <w:left w:val="nil"/>
              <w:bottom w:val="single" w:sz="8" w:space="0" w:color="auto"/>
              <w:right w:val="nil"/>
            </w:tcBorders>
            <w:shd w:val="clear" w:color="auto" w:fill="auto"/>
            <w:noWrap/>
            <w:vAlign w:val="bottom"/>
          </w:tcPr>
          <w:p w:rsidR="00595130" w:rsidRDefault="00595130" w:rsidP="00F40EEA">
            <w:pPr>
              <w:spacing w:line="240" w:lineRule="auto"/>
              <w:jc w:val="center"/>
              <w:rPr>
                <w:b/>
                <w:bCs/>
                <w:sz w:val="20"/>
                <w:szCs w:val="20"/>
              </w:rPr>
            </w:pPr>
            <w:r w:rsidRPr="00475463">
              <w:rPr>
                <w:b/>
                <w:bCs/>
                <w:sz w:val="20"/>
                <w:szCs w:val="20"/>
              </w:rPr>
              <w:t>1st</w:t>
            </w:r>
          </w:p>
          <w:p w:rsidR="00595130" w:rsidRPr="008F2DC9" w:rsidRDefault="00595130" w:rsidP="00F40EEA">
            <w:pPr>
              <w:spacing w:line="240" w:lineRule="auto"/>
              <w:jc w:val="center"/>
              <w:rPr>
                <w:rFonts w:ascii="Arial" w:hAnsi="Arial" w:cs="Arial"/>
                <w:sz w:val="20"/>
                <w:szCs w:val="20"/>
              </w:rPr>
            </w:pPr>
            <w:r w:rsidRPr="00475463">
              <w:rPr>
                <w:b/>
                <w:bCs/>
                <w:sz w:val="20"/>
                <w:szCs w:val="20"/>
              </w:rPr>
              <w:t>SIC Code</w:t>
            </w:r>
          </w:p>
        </w:tc>
        <w:tc>
          <w:tcPr>
            <w:tcW w:w="720" w:type="dxa"/>
            <w:tcBorders>
              <w:top w:val="double" w:sz="4" w:space="0" w:color="auto"/>
              <w:left w:val="nil"/>
              <w:bottom w:val="single" w:sz="8" w:space="0" w:color="auto"/>
              <w:right w:val="nil"/>
            </w:tcBorders>
            <w:shd w:val="clear" w:color="auto" w:fill="auto"/>
            <w:noWrap/>
            <w:vAlign w:val="bottom"/>
          </w:tcPr>
          <w:p w:rsidR="00595130" w:rsidRDefault="00595130" w:rsidP="00F40EEA">
            <w:pPr>
              <w:spacing w:line="240" w:lineRule="auto"/>
              <w:jc w:val="center"/>
              <w:rPr>
                <w:b/>
                <w:bCs/>
                <w:sz w:val="20"/>
                <w:szCs w:val="20"/>
              </w:rPr>
            </w:pPr>
            <w:r w:rsidRPr="00475463">
              <w:rPr>
                <w:b/>
                <w:bCs/>
                <w:sz w:val="20"/>
                <w:szCs w:val="20"/>
              </w:rPr>
              <w:t>2nd</w:t>
            </w:r>
          </w:p>
          <w:p w:rsidR="00595130" w:rsidRPr="008F2DC9" w:rsidRDefault="00595130" w:rsidP="00F40EEA">
            <w:pPr>
              <w:spacing w:line="240" w:lineRule="auto"/>
              <w:jc w:val="center"/>
              <w:rPr>
                <w:rFonts w:ascii="Arial" w:hAnsi="Arial" w:cs="Arial"/>
                <w:sz w:val="20"/>
                <w:szCs w:val="20"/>
              </w:rPr>
            </w:pPr>
            <w:r w:rsidRPr="00475463">
              <w:rPr>
                <w:b/>
                <w:bCs/>
                <w:sz w:val="20"/>
                <w:szCs w:val="20"/>
              </w:rPr>
              <w:t>SIC Code</w:t>
            </w:r>
          </w:p>
        </w:tc>
        <w:tc>
          <w:tcPr>
            <w:tcW w:w="661"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3rd SIC Code</w:t>
            </w:r>
          </w:p>
        </w:tc>
        <w:tc>
          <w:tcPr>
            <w:tcW w:w="779"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4th SIC Code</w:t>
            </w:r>
          </w:p>
        </w:tc>
      </w:tr>
      <w:tr w:rsidR="00595130" w:rsidRPr="00C936AC" w:rsidTr="00C2763F">
        <w:trPr>
          <w:trHeight w:val="255"/>
          <w:jc w:val="center"/>
        </w:trPr>
        <w:tc>
          <w:tcPr>
            <w:tcW w:w="960" w:type="dxa"/>
            <w:tcBorders>
              <w:top w:val="single" w:sz="8" w:space="0" w:color="auto"/>
              <w:left w:val="nil"/>
              <w:bottom w:val="nil"/>
              <w:right w:val="nil"/>
            </w:tcBorders>
            <w:shd w:val="clear" w:color="auto" w:fill="auto"/>
            <w:noWrap/>
            <w:hideMark/>
          </w:tcPr>
          <w:p w:rsidR="00595130" w:rsidRPr="00C936AC" w:rsidRDefault="00595130" w:rsidP="00595130">
            <w:pPr>
              <w:spacing w:after="80" w:line="240" w:lineRule="auto"/>
              <w:jc w:val="center"/>
              <w:rPr>
                <w:b/>
                <w:sz w:val="20"/>
                <w:szCs w:val="20"/>
              </w:rPr>
            </w:pPr>
          </w:p>
        </w:tc>
        <w:tc>
          <w:tcPr>
            <w:tcW w:w="3108" w:type="dxa"/>
            <w:tcBorders>
              <w:top w:val="single" w:sz="8" w:space="0" w:color="auto"/>
              <w:left w:val="nil"/>
              <w:bottom w:val="nil"/>
              <w:right w:val="nil"/>
            </w:tcBorders>
            <w:shd w:val="clear" w:color="auto" w:fill="auto"/>
            <w:noWrap/>
            <w:vAlign w:val="bottom"/>
            <w:hideMark/>
          </w:tcPr>
          <w:p w:rsidR="00595130" w:rsidRPr="00C936AC" w:rsidRDefault="00595130" w:rsidP="00595130">
            <w:pPr>
              <w:spacing w:after="80" w:line="240" w:lineRule="auto"/>
              <w:rPr>
                <w:b/>
                <w:sz w:val="20"/>
                <w:szCs w:val="20"/>
              </w:rPr>
            </w:pPr>
            <w:r w:rsidRPr="00C936AC">
              <w:rPr>
                <w:b/>
                <w:sz w:val="20"/>
                <w:szCs w:val="20"/>
              </w:rPr>
              <w:t>ABBOTT LABORATORIES</w:t>
            </w:r>
          </w:p>
        </w:tc>
        <w:tc>
          <w:tcPr>
            <w:tcW w:w="1161" w:type="dxa"/>
            <w:tcBorders>
              <w:top w:val="single" w:sz="8" w:space="0" w:color="auto"/>
              <w:left w:val="nil"/>
              <w:bottom w:val="nil"/>
              <w:right w:val="nil"/>
            </w:tcBorders>
            <w:shd w:val="clear" w:color="auto" w:fill="auto"/>
            <w:noWrap/>
            <w:vAlign w:val="bottom"/>
            <w:hideMark/>
          </w:tcPr>
          <w:p w:rsidR="00595130" w:rsidRPr="00C936AC" w:rsidRDefault="00595130" w:rsidP="00595130">
            <w:pPr>
              <w:spacing w:after="80" w:line="240" w:lineRule="auto"/>
              <w:jc w:val="center"/>
              <w:rPr>
                <w:b/>
                <w:sz w:val="20"/>
                <w:szCs w:val="20"/>
              </w:rPr>
            </w:pPr>
            <w:r w:rsidRPr="00C936AC">
              <w:rPr>
                <w:b/>
                <w:sz w:val="20"/>
                <w:szCs w:val="20"/>
              </w:rPr>
              <w:t>4</w:t>
            </w:r>
          </w:p>
        </w:tc>
        <w:tc>
          <w:tcPr>
            <w:tcW w:w="999" w:type="dxa"/>
            <w:tcBorders>
              <w:top w:val="single" w:sz="8" w:space="0" w:color="auto"/>
              <w:left w:val="nil"/>
              <w:bottom w:val="nil"/>
              <w:right w:val="nil"/>
            </w:tcBorders>
            <w:shd w:val="clear" w:color="auto" w:fill="auto"/>
            <w:noWrap/>
            <w:vAlign w:val="bottom"/>
            <w:hideMark/>
          </w:tcPr>
          <w:p w:rsidR="00595130" w:rsidRPr="00C936AC" w:rsidRDefault="00595130" w:rsidP="00595130">
            <w:pPr>
              <w:spacing w:after="80" w:line="240" w:lineRule="auto"/>
              <w:jc w:val="center"/>
              <w:rPr>
                <w:b/>
                <w:sz w:val="20"/>
                <w:szCs w:val="20"/>
              </w:rPr>
            </w:pPr>
            <w:r w:rsidRPr="00C936AC">
              <w:rPr>
                <w:b/>
                <w:sz w:val="20"/>
                <w:szCs w:val="20"/>
              </w:rPr>
              <w:t>3842</w:t>
            </w:r>
          </w:p>
        </w:tc>
        <w:tc>
          <w:tcPr>
            <w:tcW w:w="720" w:type="dxa"/>
            <w:tcBorders>
              <w:top w:val="single" w:sz="8" w:space="0" w:color="auto"/>
              <w:left w:val="nil"/>
              <w:bottom w:val="nil"/>
              <w:right w:val="nil"/>
            </w:tcBorders>
            <w:shd w:val="clear" w:color="auto" w:fill="auto"/>
            <w:noWrap/>
            <w:vAlign w:val="bottom"/>
            <w:hideMark/>
          </w:tcPr>
          <w:p w:rsidR="00595130" w:rsidRPr="00C936AC" w:rsidRDefault="00595130" w:rsidP="00595130">
            <w:pPr>
              <w:spacing w:after="80" w:line="240" w:lineRule="auto"/>
              <w:jc w:val="center"/>
              <w:rPr>
                <w:b/>
                <w:sz w:val="20"/>
                <w:szCs w:val="20"/>
              </w:rPr>
            </w:pPr>
            <w:r w:rsidRPr="00C936AC">
              <w:rPr>
                <w:b/>
                <w:sz w:val="20"/>
                <w:szCs w:val="20"/>
              </w:rPr>
              <w:t>3841</w:t>
            </w:r>
          </w:p>
        </w:tc>
        <w:tc>
          <w:tcPr>
            <w:tcW w:w="661" w:type="dxa"/>
            <w:tcBorders>
              <w:top w:val="single" w:sz="8" w:space="0" w:color="auto"/>
              <w:left w:val="nil"/>
              <w:bottom w:val="nil"/>
              <w:right w:val="nil"/>
            </w:tcBorders>
            <w:shd w:val="clear" w:color="auto" w:fill="auto"/>
            <w:noWrap/>
            <w:vAlign w:val="bottom"/>
            <w:hideMark/>
          </w:tcPr>
          <w:p w:rsidR="00595130" w:rsidRPr="00C936AC" w:rsidRDefault="00595130" w:rsidP="00595130">
            <w:pPr>
              <w:spacing w:after="80" w:line="240" w:lineRule="auto"/>
              <w:jc w:val="center"/>
              <w:rPr>
                <w:b/>
                <w:sz w:val="20"/>
                <w:szCs w:val="20"/>
              </w:rPr>
            </w:pPr>
            <w:r w:rsidRPr="00C936AC">
              <w:rPr>
                <w:b/>
                <w:sz w:val="20"/>
                <w:szCs w:val="20"/>
              </w:rPr>
              <w:t>2834</w:t>
            </w:r>
          </w:p>
        </w:tc>
        <w:tc>
          <w:tcPr>
            <w:tcW w:w="779" w:type="dxa"/>
            <w:tcBorders>
              <w:top w:val="single" w:sz="8" w:space="0" w:color="auto"/>
              <w:left w:val="nil"/>
              <w:bottom w:val="nil"/>
              <w:right w:val="nil"/>
            </w:tcBorders>
            <w:shd w:val="clear" w:color="auto" w:fill="auto"/>
            <w:noWrap/>
            <w:vAlign w:val="bottom"/>
            <w:hideMark/>
          </w:tcPr>
          <w:p w:rsidR="00595130" w:rsidRPr="00C936AC" w:rsidRDefault="00595130" w:rsidP="00595130">
            <w:pPr>
              <w:spacing w:after="80" w:line="240" w:lineRule="auto"/>
              <w:jc w:val="center"/>
              <w:rPr>
                <w:b/>
                <w:sz w:val="20"/>
                <w:szCs w:val="20"/>
              </w:rPr>
            </w:pPr>
            <w:r w:rsidRPr="00C936AC">
              <w:rPr>
                <w:b/>
                <w:sz w:val="20"/>
                <w:szCs w:val="20"/>
              </w:rPr>
              <w:t>2023</w:t>
            </w: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2086</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BAXTER INTERNATIONAL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3845</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3841</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2111</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BECTON DICKINSON &amp; CO</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3841</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3826</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2403</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BRISTOL-MYERS SQUIBB CO</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2023</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4409</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ENZON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6794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4843</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FOREST LABORATORIES  -CL A</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6266</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JOHNSON &amp; JOHNSON</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3842</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2844</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6730</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LILLY (ELI) &amp; CO</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7257</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MERCK &amp; CO</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7694</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MARINA BIOTECH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8530</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PFIZER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12250</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AMAG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13599</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CELGENE CORP</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15708</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ALLERGAN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3841</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23253</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RADIENT PHARMACEUTICALS CORP</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24396</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HEALTHWAYS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8099</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24468</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BIOGEN IDEC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24782</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PERRIGO CO</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4</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25047</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SCICLONE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25623</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HI TECH PHARMACAL CO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27845</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ACTAVIS PLC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5122</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27988</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REPROS THERAPEUTICS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29127</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INCYTE CORP</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7375</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30007</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VIVUS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30281</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LA JOLLA PHARMACEUTICAL CO</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30674</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ARIAD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61899</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IDERA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62263</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ALEXION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62921</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NEUROCRINE BIOSCIENCES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63790</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MAST THERAPEUTICS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C2763F" w:rsidRPr="00DE0361" w:rsidTr="00C2763F">
        <w:trPr>
          <w:trHeight w:val="255"/>
          <w:jc w:val="center"/>
        </w:trPr>
        <w:tc>
          <w:tcPr>
            <w:tcW w:w="8388" w:type="dxa"/>
            <w:gridSpan w:val="7"/>
            <w:tcBorders>
              <w:left w:val="nil"/>
              <w:bottom w:val="double" w:sz="4" w:space="0" w:color="auto"/>
              <w:right w:val="nil"/>
            </w:tcBorders>
            <w:shd w:val="clear" w:color="auto" w:fill="auto"/>
            <w:noWrap/>
            <w:vAlign w:val="bottom"/>
          </w:tcPr>
          <w:p w:rsidR="00C2763F" w:rsidRPr="00DE0361" w:rsidRDefault="00C2763F" w:rsidP="00654C89">
            <w:pPr>
              <w:spacing w:line="240" w:lineRule="auto"/>
              <w:rPr>
                <w:bCs/>
                <w:i/>
                <w:sz w:val="20"/>
                <w:szCs w:val="20"/>
              </w:rPr>
            </w:pPr>
            <w:r w:rsidRPr="00DE0361">
              <w:rPr>
                <w:bCs/>
                <w:sz w:val="20"/>
                <w:szCs w:val="20"/>
              </w:rPr>
              <w:lastRenderedPageBreak/>
              <w:t xml:space="preserve">Table A.3 </w:t>
            </w:r>
            <w:r w:rsidRPr="00DE0361">
              <w:rPr>
                <w:bCs/>
                <w:i/>
                <w:sz w:val="20"/>
                <w:szCs w:val="20"/>
              </w:rPr>
              <w:t>(Continued)</w:t>
            </w:r>
          </w:p>
        </w:tc>
      </w:tr>
      <w:tr w:rsidR="00C2763F" w:rsidRPr="008F2DC9" w:rsidTr="00C2763F">
        <w:trPr>
          <w:trHeight w:val="255"/>
          <w:jc w:val="center"/>
        </w:trPr>
        <w:tc>
          <w:tcPr>
            <w:tcW w:w="960" w:type="dxa"/>
            <w:tcBorders>
              <w:top w:val="double" w:sz="4" w:space="0" w:color="auto"/>
              <w:left w:val="nil"/>
              <w:bottom w:val="single" w:sz="8" w:space="0" w:color="auto"/>
              <w:right w:val="nil"/>
            </w:tcBorders>
            <w:shd w:val="clear" w:color="auto" w:fill="auto"/>
            <w:noWrap/>
            <w:vAlign w:val="bottom"/>
          </w:tcPr>
          <w:p w:rsidR="00C2763F" w:rsidRPr="008F2DC9" w:rsidRDefault="00C2763F" w:rsidP="00654C89">
            <w:pPr>
              <w:spacing w:line="240" w:lineRule="auto"/>
              <w:jc w:val="center"/>
              <w:rPr>
                <w:rFonts w:ascii="Arial" w:hAnsi="Arial" w:cs="Arial"/>
                <w:sz w:val="20"/>
                <w:szCs w:val="20"/>
              </w:rPr>
            </w:pPr>
            <w:r w:rsidRPr="00475463">
              <w:rPr>
                <w:b/>
                <w:bCs/>
                <w:sz w:val="20"/>
                <w:szCs w:val="20"/>
              </w:rPr>
              <w:t xml:space="preserve">Peer </w:t>
            </w:r>
            <w:r w:rsidRPr="00475463">
              <w:rPr>
                <w:b/>
                <w:bCs/>
                <w:sz w:val="20"/>
                <w:szCs w:val="20"/>
              </w:rPr>
              <w:br/>
              <w:t>GVKEY</w:t>
            </w:r>
          </w:p>
        </w:tc>
        <w:tc>
          <w:tcPr>
            <w:tcW w:w="3108" w:type="dxa"/>
            <w:tcBorders>
              <w:top w:val="double" w:sz="4" w:space="0" w:color="auto"/>
              <w:left w:val="nil"/>
              <w:bottom w:val="single" w:sz="8" w:space="0" w:color="auto"/>
              <w:right w:val="nil"/>
            </w:tcBorders>
            <w:shd w:val="clear" w:color="auto" w:fill="auto"/>
            <w:noWrap/>
            <w:vAlign w:val="bottom"/>
          </w:tcPr>
          <w:p w:rsidR="00C2763F" w:rsidRPr="008F2DC9" w:rsidRDefault="00C2763F" w:rsidP="00654C89">
            <w:pPr>
              <w:spacing w:line="240" w:lineRule="auto"/>
              <w:rPr>
                <w:rFonts w:ascii="Arial" w:hAnsi="Arial" w:cs="Arial"/>
                <w:sz w:val="20"/>
                <w:szCs w:val="20"/>
              </w:rPr>
            </w:pPr>
            <w:r w:rsidRPr="00475463">
              <w:rPr>
                <w:b/>
                <w:bCs/>
                <w:sz w:val="20"/>
                <w:szCs w:val="20"/>
              </w:rPr>
              <w:t>Company Name</w:t>
            </w:r>
          </w:p>
        </w:tc>
        <w:tc>
          <w:tcPr>
            <w:tcW w:w="1161" w:type="dxa"/>
            <w:tcBorders>
              <w:top w:val="double" w:sz="4" w:space="0" w:color="auto"/>
              <w:left w:val="nil"/>
              <w:bottom w:val="single" w:sz="8" w:space="0" w:color="auto"/>
              <w:right w:val="nil"/>
            </w:tcBorders>
            <w:shd w:val="clear" w:color="auto" w:fill="auto"/>
            <w:noWrap/>
            <w:vAlign w:val="bottom"/>
          </w:tcPr>
          <w:p w:rsidR="00C2763F" w:rsidRPr="008F2DC9" w:rsidRDefault="00C2763F" w:rsidP="00654C89">
            <w:pPr>
              <w:spacing w:line="240" w:lineRule="auto"/>
              <w:jc w:val="center"/>
              <w:rPr>
                <w:rFonts w:ascii="Arial" w:hAnsi="Arial" w:cs="Arial"/>
                <w:sz w:val="20"/>
                <w:szCs w:val="20"/>
              </w:rPr>
            </w:pPr>
            <w:r w:rsidRPr="00475463">
              <w:rPr>
                <w:b/>
                <w:bCs/>
                <w:sz w:val="20"/>
                <w:szCs w:val="20"/>
              </w:rPr>
              <w:t>No. Compustat Segments</w:t>
            </w:r>
          </w:p>
        </w:tc>
        <w:tc>
          <w:tcPr>
            <w:tcW w:w="999" w:type="dxa"/>
            <w:tcBorders>
              <w:top w:val="double" w:sz="4" w:space="0" w:color="auto"/>
              <w:left w:val="nil"/>
              <w:bottom w:val="single" w:sz="8" w:space="0" w:color="auto"/>
              <w:right w:val="nil"/>
            </w:tcBorders>
            <w:shd w:val="clear" w:color="auto" w:fill="auto"/>
            <w:noWrap/>
            <w:vAlign w:val="bottom"/>
          </w:tcPr>
          <w:p w:rsidR="00C2763F" w:rsidRDefault="00C2763F" w:rsidP="00654C89">
            <w:pPr>
              <w:spacing w:line="240" w:lineRule="auto"/>
              <w:jc w:val="center"/>
              <w:rPr>
                <w:b/>
                <w:bCs/>
                <w:sz w:val="20"/>
                <w:szCs w:val="20"/>
              </w:rPr>
            </w:pPr>
            <w:r w:rsidRPr="00475463">
              <w:rPr>
                <w:b/>
                <w:bCs/>
                <w:sz w:val="20"/>
                <w:szCs w:val="20"/>
              </w:rPr>
              <w:t>1st</w:t>
            </w:r>
          </w:p>
          <w:p w:rsidR="00C2763F" w:rsidRPr="008F2DC9" w:rsidRDefault="00C2763F" w:rsidP="00654C89">
            <w:pPr>
              <w:spacing w:line="240" w:lineRule="auto"/>
              <w:jc w:val="center"/>
              <w:rPr>
                <w:rFonts w:ascii="Arial" w:hAnsi="Arial" w:cs="Arial"/>
                <w:sz w:val="20"/>
                <w:szCs w:val="20"/>
              </w:rPr>
            </w:pPr>
            <w:r w:rsidRPr="00475463">
              <w:rPr>
                <w:b/>
                <w:bCs/>
                <w:sz w:val="20"/>
                <w:szCs w:val="20"/>
              </w:rPr>
              <w:t>SIC Code</w:t>
            </w:r>
          </w:p>
        </w:tc>
        <w:tc>
          <w:tcPr>
            <w:tcW w:w="720" w:type="dxa"/>
            <w:tcBorders>
              <w:top w:val="double" w:sz="4" w:space="0" w:color="auto"/>
              <w:left w:val="nil"/>
              <w:bottom w:val="single" w:sz="8" w:space="0" w:color="auto"/>
              <w:right w:val="nil"/>
            </w:tcBorders>
            <w:shd w:val="clear" w:color="auto" w:fill="auto"/>
            <w:noWrap/>
            <w:vAlign w:val="bottom"/>
          </w:tcPr>
          <w:p w:rsidR="00C2763F" w:rsidRDefault="00C2763F" w:rsidP="00654C89">
            <w:pPr>
              <w:spacing w:line="240" w:lineRule="auto"/>
              <w:jc w:val="center"/>
              <w:rPr>
                <w:b/>
                <w:bCs/>
                <w:sz w:val="20"/>
                <w:szCs w:val="20"/>
              </w:rPr>
            </w:pPr>
            <w:r w:rsidRPr="00475463">
              <w:rPr>
                <w:b/>
                <w:bCs/>
                <w:sz w:val="20"/>
                <w:szCs w:val="20"/>
              </w:rPr>
              <w:t>2nd</w:t>
            </w:r>
          </w:p>
          <w:p w:rsidR="00C2763F" w:rsidRPr="008F2DC9" w:rsidRDefault="00C2763F" w:rsidP="00654C89">
            <w:pPr>
              <w:spacing w:line="240" w:lineRule="auto"/>
              <w:jc w:val="center"/>
              <w:rPr>
                <w:rFonts w:ascii="Arial" w:hAnsi="Arial" w:cs="Arial"/>
                <w:sz w:val="20"/>
                <w:szCs w:val="20"/>
              </w:rPr>
            </w:pPr>
            <w:r w:rsidRPr="00475463">
              <w:rPr>
                <w:b/>
                <w:bCs/>
                <w:sz w:val="20"/>
                <w:szCs w:val="20"/>
              </w:rPr>
              <w:t>SIC Code</w:t>
            </w:r>
          </w:p>
        </w:tc>
        <w:tc>
          <w:tcPr>
            <w:tcW w:w="661" w:type="dxa"/>
            <w:tcBorders>
              <w:top w:val="double" w:sz="4" w:space="0" w:color="auto"/>
              <w:left w:val="nil"/>
              <w:bottom w:val="single" w:sz="8" w:space="0" w:color="auto"/>
              <w:right w:val="nil"/>
            </w:tcBorders>
            <w:shd w:val="clear" w:color="auto" w:fill="auto"/>
            <w:noWrap/>
            <w:vAlign w:val="bottom"/>
          </w:tcPr>
          <w:p w:rsidR="00C2763F" w:rsidRPr="008F2DC9" w:rsidRDefault="00C2763F" w:rsidP="00654C89">
            <w:pPr>
              <w:spacing w:line="240" w:lineRule="auto"/>
              <w:jc w:val="center"/>
              <w:rPr>
                <w:rFonts w:ascii="Arial" w:hAnsi="Arial" w:cs="Arial"/>
                <w:sz w:val="20"/>
                <w:szCs w:val="20"/>
              </w:rPr>
            </w:pPr>
            <w:r w:rsidRPr="00475463">
              <w:rPr>
                <w:b/>
                <w:bCs/>
                <w:sz w:val="20"/>
                <w:szCs w:val="20"/>
              </w:rPr>
              <w:t>3rd SIC Code</w:t>
            </w:r>
          </w:p>
        </w:tc>
        <w:tc>
          <w:tcPr>
            <w:tcW w:w="779" w:type="dxa"/>
            <w:tcBorders>
              <w:top w:val="double" w:sz="4" w:space="0" w:color="auto"/>
              <w:left w:val="nil"/>
              <w:bottom w:val="single" w:sz="8" w:space="0" w:color="auto"/>
              <w:right w:val="nil"/>
            </w:tcBorders>
            <w:shd w:val="clear" w:color="auto" w:fill="auto"/>
            <w:noWrap/>
            <w:vAlign w:val="bottom"/>
          </w:tcPr>
          <w:p w:rsidR="00C2763F" w:rsidRPr="008F2DC9" w:rsidRDefault="00C2763F" w:rsidP="00654C89">
            <w:pPr>
              <w:spacing w:line="240" w:lineRule="auto"/>
              <w:jc w:val="center"/>
              <w:rPr>
                <w:rFonts w:ascii="Arial" w:hAnsi="Arial" w:cs="Arial"/>
                <w:sz w:val="20"/>
                <w:szCs w:val="20"/>
              </w:rPr>
            </w:pPr>
            <w:r w:rsidRPr="00475463">
              <w:rPr>
                <w:b/>
                <w:bCs/>
                <w:sz w:val="20"/>
                <w:szCs w:val="20"/>
              </w:rPr>
              <w:t>4th SIC Code</w:t>
            </w: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64857</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SAREPTA THERAPEUTICS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65011</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HESKA CORP</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2835</w:t>
            </w: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65944</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DEPOMED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122257</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BIOMARIN PHARMACEUTICAL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125531</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OPEXA THERAPEUTICS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128098</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ERBA DIAGNOSTICS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133468</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RIGEL PHARMACEUTICALS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133868</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LEXICON PHARMACEUTICALS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137642</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PAIN THERAPEUTICS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138747</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TELIK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141197</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ARRAY BIOPHARMA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8071</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146156</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ALERE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4</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146616</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CORCEPT THERAPEUTICS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150221</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GALECTIN THERAPEUTICS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156857</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GTX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157865</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MEI PHARMA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157954</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SANTARUS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160668</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THERAVANCE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162892</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MEDICINOVA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166435</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VANDA PHARMACEUTICALS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176861</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OREXIGEN THERAPEUTICS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177264</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COVIDIEN PLC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4</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3845</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3842</w:t>
            </w: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2835</w:t>
            </w: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177606</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VIA PHARMACEUTICALS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177764</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SYNTHETIC BIOLOGICS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179428</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DARA BIOSCIENCES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1478</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WYETH</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3</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3171</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OSCIENT PHARMACEUTICALS CORP</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5020</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GENENTECH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5841</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CYPRESS BIOSCIENCE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6110</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IRIS INTERNATIONAL INC</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3826</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r w:rsidR="00C2763F" w:rsidRPr="008F2DC9" w:rsidTr="00C2763F">
        <w:trPr>
          <w:trHeight w:val="255"/>
          <w:jc w:val="center"/>
        </w:trPr>
        <w:tc>
          <w:tcPr>
            <w:tcW w:w="960" w:type="dxa"/>
            <w:tcBorders>
              <w:top w:val="nil"/>
              <w:left w:val="nil"/>
              <w:bottom w:val="nil"/>
              <w:right w:val="nil"/>
            </w:tcBorders>
            <w:shd w:val="clear" w:color="auto" w:fill="auto"/>
            <w:noWrap/>
            <w:hideMark/>
          </w:tcPr>
          <w:p w:rsidR="00C2763F" w:rsidRPr="008F2DC9" w:rsidRDefault="00C2763F" w:rsidP="00654C89">
            <w:pPr>
              <w:spacing w:after="80" w:line="240" w:lineRule="auto"/>
              <w:jc w:val="center"/>
              <w:rPr>
                <w:sz w:val="20"/>
                <w:szCs w:val="20"/>
              </w:rPr>
            </w:pPr>
            <w:r w:rsidRPr="008F2DC9">
              <w:rPr>
                <w:sz w:val="20"/>
                <w:szCs w:val="20"/>
              </w:rPr>
              <w:t>9340</w:t>
            </w:r>
          </w:p>
        </w:tc>
        <w:tc>
          <w:tcPr>
            <w:tcW w:w="3108"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rPr>
                <w:sz w:val="20"/>
                <w:szCs w:val="20"/>
              </w:rPr>
            </w:pPr>
            <w:r w:rsidRPr="008F2DC9">
              <w:rPr>
                <w:sz w:val="20"/>
                <w:szCs w:val="20"/>
              </w:rPr>
              <w:t>VALEANT PHARMACEUTICALS -OLD</w:t>
            </w:r>
          </w:p>
        </w:tc>
        <w:tc>
          <w:tcPr>
            <w:tcW w:w="11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4</w:t>
            </w:r>
          </w:p>
        </w:tc>
        <w:tc>
          <w:tcPr>
            <w:tcW w:w="99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6794</w:t>
            </w:r>
          </w:p>
        </w:tc>
        <w:tc>
          <w:tcPr>
            <w:tcW w:w="720"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r w:rsidRPr="008F2DC9">
              <w:rPr>
                <w:sz w:val="20"/>
                <w:szCs w:val="20"/>
              </w:rPr>
              <w:t>2834</w:t>
            </w:r>
          </w:p>
        </w:tc>
        <w:tc>
          <w:tcPr>
            <w:tcW w:w="661"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C2763F" w:rsidRPr="008F2DC9" w:rsidRDefault="00C2763F" w:rsidP="00654C89">
            <w:pPr>
              <w:spacing w:after="80" w:line="240" w:lineRule="auto"/>
              <w:jc w:val="center"/>
              <w:rPr>
                <w:sz w:val="20"/>
                <w:szCs w:val="20"/>
              </w:rPr>
            </w:pPr>
          </w:p>
        </w:tc>
      </w:tr>
    </w:tbl>
    <w:p w:rsidR="00595130" w:rsidRDefault="00595130"/>
    <w:tbl>
      <w:tblPr>
        <w:tblW w:w="8388" w:type="dxa"/>
        <w:jc w:val="center"/>
        <w:tblLook w:val="04A0" w:firstRow="1" w:lastRow="0" w:firstColumn="1" w:lastColumn="0" w:noHBand="0" w:noVBand="1"/>
      </w:tblPr>
      <w:tblGrid>
        <w:gridCol w:w="960"/>
        <w:gridCol w:w="3108"/>
        <w:gridCol w:w="1161"/>
        <w:gridCol w:w="999"/>
        <w:gridCol w:w="720"/>
        <w:gridCol w:w="661"/>
        <w:gridCol w:w="779"/>
      </w:tblGrid>
      <w:tr w:rsidR="00595130" w:rsidRPr="00DE0361" w:rsidTr="00C2763F">
        <w:trPr>
          <w:trHeight w:val="255"/>
          <w:jc w:val="center"/>
        </w:trPr>
        <w:tc>
          <w:tcPr>
            <w:tcW w:w="8388" w:type="dxa"/>
            <w:gridSpan w:val="7"/>
            <w:tcBorders>
              <w:left w:val="nil"/>
              <w:bottom w:val="double" w:sz="4" w:space="0" w:color="auto"/>
              <w:right w:val="nil"/>
            </w:tcBorders>
            <w:shd w:val="clear" w:color="auto" w:fill="auto"/>
            <w:noWrap/>
            <w:vAlign w:val="bottom"/>
          </w:tcPr>
          <w:p w:rsidR="00595130" w:rsidRPr="00DE0361" w:rsidRDefault="00595130" w:rsidP="00F40EEA">
            <w:pPr>
              <w:spacing w:line="240" w:lineRule="auto"/>
              <w:rPr>
                <w:bCs/>
                <w:i/>
                <w:sz w:val="20"/>
                <w:szCs w:val="20"/>
              </w:rPr>
            </w:pPr>
            <w:r w:rsidRPr="00DE0361">
              <w:rPr>
                <w:bCs/>
                <w:sz w:val="20"/>
                <w:szCs w:val="20"/>
              </w:rPr>
              <w:lastRenderedPageBreak/>
              <w:t xml:space="preserve">Table A.3 </w:t>
            </w:r>
            <w:r w:rsidRPr="00DE0361">
              <w:rPr>
                <w:bCs/>
                <w:i/>
                <w:sz w:val="20"/>
                <w:szCs w:val="20"/>
              </w:rPr>
              <w:t>(Continued)</w:t>
            </w:r>
          </w:p>
        </w:tc>
      </w:tr>
      <w:tr w:rsidR="00595130" w:rsidRPr="008F2DC9" w:rsidTr="00C2763F">
        <w:trPr>
          <w:trHeight w:val="255"/>
          <w:jc w:val="center"/>
        </w:trPr>
        <w:tc>
          <w:tcPr>
            <w:tcW w:w="960"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 xml:space="preserve">Peer </w:t>
            </w:r>
            <w:r w:rsidRPr="00475463">
              <w:rPr>
                <w:b/>
                <w:bCs/>
                <w:sz w:val="20"/>
                <w:szCs w:val="20"/>
              </w:rPr>
              <w:br/>
              <w:t>GVKEY</w:t>
            </w:r>
          </w:p>
        </w:tc>
        <w:tc>
          <w:tcPr>
            <w:tcW w:w="3108"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rPr>
                <w:rFonts w:ascii="Arial" w:hAnsi="Arial" w:cs="Arial"/>
                <w:sz w:val="20"/>
                <w:szCs w:val="20"/>
              </w:rPr>
            </w:pPr>
            <w:r w:rsidRPr="00475463">
              <w:rPr>
                <w:b/>
                <w:bCs/>
                <w:sz w:val="20"/>
                <w:szCs w:val="20"/>
              </w:rPr>
              <w:t>Company Name</w:t>
            </w:r>
          </w:p>
        </w:tc>
        <w:tc>
          <w:tcPr>
            <w:tcW w:w="1161"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No. Compustat Segments</w:t>
            </w:r>
          </w:p>
        </w:tc>
        <w:tc>
          <w:tcPr>
            <w:tcW w:w="999" w:type="dxa"/>
            <w:tcBorders>
              <w:top w:val="double" w:sz="4" w:space="0" w:color="auto"/>
              <w:left w:val="nil"/>
              <w:bottom w:val="single" w:sz="8" w:space="0" w:color="auto"/>
              <w:right w:val="nil"/>
            </w:tcBorders>
            <w:shd w:val="clear" w:color="auto" w:fill="auto"/>
            <w:noWrap/>
            <w:vAlign w:val="bottom"/>
          </w:tcPr>
          <w:p w:rsidR="00595130" w:rsidRDefault="00595130" w:rsidP="00F40EEA">
            <w:pPr>
              <w:spacing w:line="240" w:lineRule="auto"/>
              <w:jc w:val="center"/>
              <w:rPr>
                <w:b/>
                <w:bCs/>
                <w:sz w:val="20"/>
                <w:szCs w:val="20"/>
              </w:rPr>
            </w:pPr>
            <w:r w:rsidRPr="00475463">
              <w:rPr>
                <w:b/>
                <w:bCs/>
                <w:sz w:val="20"/>
                <w:szCs w:val="20"/>
              </w:rPr>
              <w:t>1st</w:t>
            </w:r>
          </w:p>
          <w:p w:rsidR="00595130" w:rsidRPr="008F2DC9" w:rsidRDefault="00595130" w:rsidP="00F40EEA">
            <w:pPr>
              <w:spacing w:line="240" w:lineRule="auto"/>
              <w:jc w:val="center"/>
              <w:rPr>
                <w:rFonts w:ascii="Arial" w:hAnsi="Arial" w:cs="Arial"/>
                <w:sz w:val="20"/>
                <w:szCs w:val="20"/>
              </w:rPr>
            </w:pPr>
            <w:r w:rsidRPr="00475463">
              <w:rPr>
                <w:b/>
                <w:bCs/>
                <w:sz w:val="20"/>
                <w:szCs w:val="20"/>
              </w:rPr>
              <w:t>SIC Code</w:t>
            </w:r>
          </w:p>
        </w:tc>
        <w:tc>
          <w:tcPr>
            <w:tcW w:w="720" w:type="dxa"/>
            <w:tcBorders>
              <w:top w:val="double" w:sz="4" w:space="0" w:color="auto"/>
              <w:left w:val="nil"/>
              <w:bottom w:val="single" w:sz="8" w:space="0" w:color="auto"/>
              <w:right w:val="nil"/>
            </w:tcBorders>
            <w:shd w:val="clear" w:color="auto" w:fill="auto"/>
            <w:noWrap/>
            <w:vAlign w:val="bottom"/>
          </w:tcPr>
          <w:p w:rsidR="00595130" w:rsidRDefault="00595130" w:rsidP="00F40EEA">
            <w:pPr>
              <w:spacing w:line="240" w:lineRule="auto"/>
              <w:jc w:val="center"/>
              <w:rPr>
                <w:b/>
                <w:bCs/>
                <w:sz w:val="20"/>
                <w:szCs w:val="20"/>
              </w:rPr>
            </w:pPr>
            <w:r w:rsidRPr="00475463">
              <w:rPr>
                <w:b/>
                <w:bCs/>
                <w:sz w:val="20"/>
                <w:szCs w:val="20"/>
              </w:rPr>
              <w:t>2nd</w:t>
            </w:r>
          </w:p>
          <w:p w:rsidR="00595130" w:rsidRPr="008F2DC9" w:rsidRDefault="00595130" w:rsidP="00F40EEA">
            <w:pPr>
              <w:spacing w:line="240" w:lineRule="auto"/>
              <w:jc w:val="center"/>
              <w:rPr>
                <w:rFonts w:ascii="Arial" w:hAnsi="Arial" w:cs="Arial"/>
                <w:sz w:val="20"/>
                <w:szCs w:val="20"/>
              </w:rPr>
            </w:pPr>
            <w:r w:rsidRPr="00475463">
              <w:rPr>
                <w:b/>
                <w:bCs/>
                <w:sz w:val="20"/>
                <w:szCs w:val="20"/>
              </w:rPr>
              <w:t>SIC Code</w:t>
            </w:r>
          </w:p>
        </w:tc>
        <w:tc>
          <w:tcPr>
            <w:tcW w:w="661"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3rd SIC Code</w:t>
            </w:r>
          </w:p>
        </w:tc>
        <w:tc>
          <w:tcPr>
            <w:tcW w:w="779" w:type="dxa"/>
            <w:tcBorders>
              <w:top w:val="double" w:sz="4" w:space="0" w:color="auto"/>
              <w:left w:val="nil"/>
              <w:bottom w:val="single" w:sz="8" w:space="0" w:color="auto"/>
              <w:right w:val="nil"/>
            </w:tcBorders>
            <w:shd w:val="clear" w:color="auto" w:fill="auto"/>
            <w:noWrap/>
            <w:vAlign w:val="bottom"/>
          </w:tcPr>
          <w:p w:rsidR="00595130" w:rsidRPr="008F2DC9" w:rsidRDefault="00595130" w:rsidP="00F40EEA">
            <w:pPr>
              <w:spacing w:line="240" w:lineRule="auto"/>
              <w:jc w:val="center"/>
              <w:rPr>
                <w:rFonts w:ascii="Arial" w:hAnsi="Arial" w:cs="Arial"/>
                <w:sz w:val="20"/>
                <w:szCs w:val="20"/>
              </w:rPr>
            </w:pPr>
            <w:r w:rsidRPr="00475463">
              <w:rPr>
                <w:b/>
                <w:bCs/>
                <w:sz w:val="20"/>
                <w:szCs w:val="20"/>
              </w:rPr>
              <w:t>4th SIC Code</w:t>
            </w: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12091</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MEDTOX SCIENTIFIC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8071</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2835</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12180</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OSI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12233</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GENZYME CORP</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5</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15106</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BECKMAN COULTER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8731</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3826</w:t>
            </w: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20983</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INDEVUS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21066</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MEDICAL NUTRITION USA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24191</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MEDAREX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29312</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HUMAN GENOME SCIENCES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2835</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30185</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CARACO PHARMACEUTICAL LABS</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62826</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ONYX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133328</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ARDEA BIOSCIENCES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138662</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ISTA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154708</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TALON THERAPEUTICS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155614</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MIDDLEBROOK PHARMACEUTICALS</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158746</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METABASIS THERAPEUTICS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166200</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MOLECULAR INSIGHT PHARMACTLS</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175660</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TORREYPINES THERAPEUTICS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bottom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178531</w:t>
            </w:r>
          </w:p>
        </w:tc>
        <w:tc>
          <w:tcPr>
            <w:tcW w:w="3108"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MAP PHARMACEUTICALS INC</w:t>
            </w:r>
          </w:p>
        </w:tc>
        <w:tc>
          <w:tcPr>
            <w:tcW w:w="11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2834</w:t>
            </w:r>
          </w:p>
        </w:tc>
        <w:tc>
          <w:tcPr>
            <w:tcW w:w="720"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255"/>
          <w:jc w:val="center"/>
        </w:trPr>
        <w:tc>
          <w:tcPr>
            <w:tcW w:w="960" w:type="dxa"/>
            <w:tcBorders>
              <w:top w:val="nil"/>
              <w:left w:val="nil"/>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178855</w:t>
            </w:r>
          </w:p>
        </w:tc>
        <w:tc>
          <w:tcPr>
            <w:tcW w:w="3108" w:type="dxa"/>
            <w:tcBorders>
              <w:top w:val="nil"/>
              <w:left w:val="nil"/>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ABRAXIS BIOSCIENCE INC</w:t>
            </w:r>
          </w:p>
        </w:tc>
        <w:tc>
          <w:tcPr>
            <w:tcW w:w="1161" w:type="dxa"/>
            <w:tcBorders>
              <w:top w:val="nil"/>
              <w:left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595130" w:rsidRPr="008F2DC9" w:rsidTr="00C2763F">
        <w:trPr>
          <w:trHeight w:val="180"/>
          <w:jc w:val="center"/>
        </w:trPr>
        <w:tc>
          <w:tcPr>
            <w:tcW w:w="960" w:type="dxa"/>
            <w:tcBorders>
              <w:top w:val="nil"/>
              <w:left w:val="nil"/>
              <w:bottom w:val="single" w:sz="12" w:space="0" w:color="auto"/>
              <w:right w:val="nil"/>
            </w:tcBorders>
            <w:shd w:val="clear" w:color="auto" w:fill="auto"/>
            <w:noWrap/>
            <w:hideMark/>
          </w:tcPr>
          <w:p w:rsidR="00595130" w:rsidRPr="008F2DC9" w:rsidRDefault="00595130" w:rsidP="00595130">
            <w:pPr>
              <w:spacing w:after="80" w:line="240" w:lineRule="auto"/>
              <w:jc w:val="center"/>
              <w:rPr>
                <w:sz w:val="20"/>
                <w:szCs w:val="20"/>
              </w:rPr>
            </w:pPr>
            <w:r w:rsidRPr="008F2DC9">
              <w:rPr>
                <w:sz w:val="20"/>
                <w:szCs w:val="20"/>
              </w:rPr>
              <w:t>264270</w:t>
            </w:r>
          </w:p>
        </w:tc>
        <w:tc>
          <w:tcPr>
            <w:tcW w:w="3108" w:type="dxa"/>
            <w:tcBorders>
              <w:top w:val="nil"/>
              <w:left w:val="nil"/>
              <w:bottom w:val="single" w:sz="12" w:space="0" w:color="auto"/>
              <w:right w:val="nil"/>
            </w:tcBorders>
            <w:shd w:val="clear" w:color="auto" w:fill="auto"/>
            <w:noWrap/>
            <w:vAlign w:val="bottom"/>
            <w:hideMark/>
          </w:tcPr>
          <w:p w:rsidR="00595130" w:rsidRPr="008F2DC9" w:rsidRDefault="00595130" w:rsidP="00595130">
            <w:pPr>
              <w:spacing w:after="80" w:line="240" w:lineRule="auto"/>
              <w:rPr>
                <w:sz w:val="20"/>
                <w:szCs w:val="20"/>
              </w:rPr>
            </w:pPr>
            <w:r w:rsidRPr="008F2DC9">
              <w:rPr>
                <w:sz w:val="20"/>
                <w:szCs w:val="20"/>
              </w:rPr>
              <w:t>INHIBITEX INC</w:t>
            </w:r>
          </w:p>
        </w:tc>
        <w:tc>
          <w:tcPr>
            <w:tcW w:w="1161" w:type="dxa"/>
            <w:tcBorders>
              <w:top w:val="nil"/>
              <w:left w:val="nil"/>
              <w:bottom w:val="single" w:sz="12" w:space="0" w:color="auto"/>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1</w:t>
            </w:r>
          </w:p>
        </w:tc>
        <w:tc>
          <w:tcPr>
            <w:tcW w:w="999" w:type="dxa"/>
            <w:tcBorders>
              <w:top w:val="nil"/>
              <w:left w:val="nil"/>
              <w:bottom w:val="single" w:sz="12" w:space="0" w:color="auto"/>
              <w:right w:val="nil"/>
            </w:tcBorders>
            <w:shd w:val="clear" w:color="auto" w:fill="auto"/>
            <w:noWrap/>
            <w:vAlign w:val="bottom"/>
            <w:hideMark/>
          </w:tcPr>
          <w:p w:rsidR="00595130" w:rsidRPr="008F2DC9" w:rsidRDefault="00595130" w:rsidP="00595130">
            <w:pPr>
              <w:spacing w:after="80" w:line="240" w:lineRule="auto"/>
              <w:jc w:val="center"/>
              <w:rPr>
                <w:sz w:val="20"/>
                <w:szCs w:val="20"/>
              </w:rPr>
            </w:pPr>
            <w:r w:rsidRPr="008F2DC9">
              <w:rPr>
                <w:sz w:val="20"/>
                <w:szCs w:val="20"/>
              </w:rPr>
              <w:t>2836</w:t>
            </w:r>
          </w:p>
        </w:tc>
        <w:tc>
          <w:tcPr>
            <w:tcW w:w="720" w:type="dxa"/>
            <w:tcBorders>
              <w:top w:val="nil"/>
              <w:left w:val="nil"/>
              <w:bottom w:val="single" w:sz="12" w:space="0" w:color="auto"/>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661" w:type="dxa"/>
            <w:tcBorders>
              <w:top w:val="nil"/>
              <w:left w:val="nil"/>
              <w:bottom w:val="single" w:sz="12" w:space="0" w:color="auto"/>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c>
          <w:tcPr>
            <w:tcW w:w="779" w:type="dxa"/>
            <w:tcBorders>
              <w:top w:val="nil"/>
              <w:left w:val="nil"/>
              <w:bottom w:val="single" w:sz="12" w:space="0" w:color="auto"/>
              <w:right w:val="nil"/>
            </w:tcBorders>
            <w:shd w:val="clear" w:color="auto" w:fill="auto"/>
            <w:noWrap/>
            <w:vAlign w:val="bottom"/>
            <w:hideMark/>
          </w:tcPr>
          <w:p w:rsidR="00595130" w:rsidRPr="008F2DC9" w:rsidRDefault="00595130" w:rsidP="00595130">
            <w:pPr>
              <w:spacing w:after="80" w:line="240" w:lineRule="auto"/>
              <w:jc w:val="center"/>
              <w:rPr>
                <w:sz w:val="20"/>
                <w:szCs w:val="20"/>
              </w:rPr>
            </w:pPr>
          </w:p>
        </w:tc>
      </w:tr>
      <w:tr w:rsidR="0035366F" w:rsidRPr="003846A1" w:rsidTr="00C2763F">
        <w:trPr>
          <w:trHeight w:val="255"/>
          <w:jc w:val="center"/>
        </w:trPr>
        <w:tc>
          <w:tcPr>
            <w:tcW w:w="8388" w:type="dxa"/>
            <w:gridSpan w:val="7"/>
            <w:tcBorders>
              <w:top w:val="nil"/>
              <w:left w:val="nil"/>
              <w:bottom w:val="nil"/>
              <w:right w:val="nil"/>
            </w:tcBorders>
            <w:shd w:val="clear" w:color="auto" w:fill="auto"/>
            <w:noWrap/>
          </w:tcPr>
          <w:p w:rsidR="0035366F" w:rsidRPr="003846A1" w:rsidRDefault="0035366F" w:rsidP="00431427">
            <w:pPr>
              <w:spacing w:after="80" w:line="240" w:lineRule="auto"/>
              <w:rPr>
                <w:sz w:val="20"/>
                <w:szCs w:val="20"/>
              </w:rPr>
            </w:pPr>
            <w:r w:rsidRPr="003846A1">
              <w:rPr>
                <w:sz w:val="20"/>
                <w:szCs w:val="20"/>
              </w:rPr>
              <w:t>This table provides a list of all TNIC peers for Abbott Labs.  The number of Compustat Segments is the number of segments reported in the Compustat Segment file, excluding any “Other” or “Corporate” segments.  SIC codes are listed in numeric order.  No TNIC Peer for</w:t>
            </w:r>
            <w:r w:rsidR="00A05064">
              <w:rPr>
                <w:sz w:val="20"/>
                <w:szCs w:val="20"/>
              </w:rPr>
              <w:t xml:space="preserve"> Abbott Labs has</w:t>
            </w:r>
            <w:r w:rsidRPr="003846A1">
              <w:rPr>
                <w:sz w:val="20"/>
                <w:szCs w:val="20"/>
              </w:rPr>
              <w:t xml:space="preserve"> more than four four-digit SIC codes listed</w:t>
            </w:r>
            <w:r w:rsidR="0039236F">
              <w:rPr>
                <w:sz w:val="20"/>
                <w:szCs w:val="20"/>
              </w:rPr>
              <w:t xml:space="preserve"> in the Compustat Segment file</w:t>
            </w:r>
            <w:r w:rsidRPr="003846A1">
              <w:rPr>
                <w:sz w:val="20"/>
                <w:szCs w:val="20"/>
              </w:rPr>
              <w:t>.</w:t>
            </w:r>
          </w:p>
        </w:tc>
      </w:tr>
    </w:tbl>
    <w:p w:rsidR="00564FA9" w:rsidRDefault="00564FA9" w:rsidP="00564FA9">
      <w:pPr>
        <w:spacing w:line="240" w:lineRule="auto"/>
      </w:pPr>
      <w:r>
        <w:br w:type="page"/>
      </w:r>
    </w:p>
    <w:p w:rsidR="00564FA9" w:rsidRDefault="00564FA9">
      <w:pPr>
        <w:spacing w:line="240" w:lineRule="auto"/>
      </w:pPr>
    </w:p>
    <w:p w:rsidR="0091777F" w:rsidRDefault="0091777F" w:rsidP="00B07D82">
      <w:pPr>
        <w:pStyle w:val="Heading1"/>
      </w:pPr>
      <w:bookmarkStart w:id="45" w:name="_Toc414633060"/>
      <w:r>
        <w:t>Appendix B: Variable Definitions</w:t>
      </w:r>
      <w:bookmarkEnd w:id="45"/>
    </w:p>
    <w:tbl>
      <w:tblPr>
        <w:tblStyle w:val="TableGrid"/>
        <w:tblW w:w="0" w:type="auto"/>
        <w:tblInd w:w="20" w:type="dxa"/>
        <w:tblLook w:val="04A0" w:firstRow="1" w:lastRow="0" w:firstColumn="1" w:lastColumn="0" w:noHBand="0" w:noVBand="1"/>
      </w:tblPr>
      <w:tblGrid>
        <w:gridCol w:w="2721"/>
        <w:gridCol w:w="352"/>
        <w:gridCol w:w="5619"/>
      </w:tblGrid>
      <w:tr w:rsidR="0091777F" w:rsidRPr="00D06B6F" w:rsidTr="00D06B6F">
        <w:tc>
          <w:tcPr>
            <w:tcW w:w="8692" w:type="dxa"/>
            <w:gridSpan w:val="3"/>
            <w:tcBorders>
              <w:top w:val="nil"/>
              <w:left w:val="nil"/>
              <w:bottom w:val="nil"/>
              <w:right w:val="nil"/>
            </w:tcBorders>
          </w:tcPr>
          <w:p w:rsidR="0091777F" w:rsidRPr="00D06B6F" w:rsidRDefault="0091777F" w:rsidP="0091777F">
            <w:pPr>
              <w:pStyle w:val="NoSpacing"/>
              <w:rPr>
                <w:rFonts w:eastAsia="MS Mincho"/>
                <w:b/>
                <w:i/>
              </w:rPr>
            </w:pPr>
            <w:r w:rsidRPr="00D06B6F">
              <w:rPr>
                <w:rFonts w:eastAsia="MS Mincho"/>
                <w:b/>
                <w:i/>
              </w:rPr>
              <w:t>Segment Reporting Differentiation Measures</w:t>
            </w:r>
          </w:p>
        </w:tc>
      </w:tr>
      <w:tr w:rsidR="0091777F" w:rsidRPr="00475463" w:rsidTr="00D06B6F">
        <w:tc>
          <w:tcPr>
            <w:tcW w:w="2721" w:type="dxa"/>
            <w:tcBorders>
              <w:top w:val="nil"/>
              <w:left w:val="nil"/>
              <w:bottom w:val="nil"/>
              <w:right w:val="nil"/>
            </w:tcBorders>
          </w:tcPr>
          <w:p w:rsidR="0091777F" w:rsidRDefault="0091777F" w:rsidP="00A27160">
            <w:pPr>
              <w:pStyle w:val="NoSpacing"/>
              <w:jc w:val="right"/>
              <w:rPr>
                <w:i/>
              </w:rPr>
            </w:pPr>
            <w:r>
              <w:rPr>
                <w:i/>
              </w:rPr>
              <w:t>DIFF</w:t>
            </w:r>
          </w:p>
        </w:tc>
        <w:tc>
          <w:tcPr>
            <w:tcW w:w="352" w:type="dxa"/>
            <w:tcBorders>
              <w:top w:val="nil"/>
              <w:left w:val="nil"/>
              <w:bottom w:val="nil"/>
              <w:right w:val="nil"/>
            </w:tcBorders>
          </w:tcPr>
          <w:p w:rsidR="0091777F" w:rsidRPr="00475463" w:rsidRDefault="0091777F" w:rsidP="00A27160">
            <w:pPr>
              <w:pStyle w:val="NoSpacing"/>
            </w:pPr>
            <w:r>
              <w:t>=</w:t>
            </w:r>
          </w:p>
        </w:tc>
        <w:tc>
          <w:tcPr>
            <w:tcW w:w="5619" w:type="dxa"/>
            <w:tcBorders>
              <w:top w:val="nil"/>
              <w:left w:val="nil"/>
              <w:bottom w:val="nil"/>
              <w:right w:val="nil"/>
            </w:tcBorders>
          </w:tcPr>
          <w:p w:rsidR="0091777F" w:rsidRPr="00D06B6F" w:rsidRDefault="004604A2" w:rsidP="00D06B6F">
            <w:pPr>
              <w:pStyle w:val="NoSpacing"/>
              <w:spacing w:after="80"/>
              <w:rPr>
                <w:rFonts w:eastAsia="MS Mincho"/>
              </w:rPr>
            </w:pPr>
            <m:oMathPara>
              <m:oMathParaPr>
                <m:jc m:val="left"/>
              </m:oMathParaPr>
              <m:oMath>
                <m:f>
                  <m:fPr>
                    <m:ctrlPr>
                      <w:rPr>
                        <w:rFonts w:ascii="Cambria Math" w:hAnsi="Cambria Math"/>
                        <w:i/>
                      </w:rPr>
                    </m:ctrlPr>
                  </m:fPr>
                  <m:num>
                    <m:r>
                      <w:rPr>
                        <w:rFonts w:ascii="Cambria Math" w:hAnsi="Cambria Math"/>
                      </w:rPr>
                      <m:t xml:space="preserve">Sales of Segments not Disclosed by Peers </m:t>
                    </m:r>
                  </m:num>
                  <m:den>
                    <m:r>
                      <w:rPr>
                        <w:rFonts w:ascii="Cambria Math" w:hAnsi="Cambria Math"/>
                      </w:rPr>
                      <m:t>Total Sales for the Focal Firm</m:t>
                    </m:r>
                  </m:den>
                </m:f>
              </m:oMath>
            </m:oMathPara>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i/>
              </w:rPr>
            </w:pPr>
            <w:r>
              <w:rPr>
                <w:i/>
              </w:rPr>
              <w:t>FFDIFF</w:t>
            </w:r>
          </w:p>
        </w:tc>
        <w:tc>
          <w:tcPr>
            <w:tcW w:w="352" w:type="dxa"/>
            <w:tcBorders>
              <w:top w:val="nil"/>
              <w:left w:val="nil"/>
              <w:bottom w:val="nil"/>
              <w:right w:val="nil"/>
            </w:tcBorders>
          </w:tcPr>
          <w:p w:rsidR="0091777F" w:rsidRPr="00475463" w:rsidRDefault="0091777F" w:rsidP="00A27160">
            <w:pPr>
              <w:pStyle w:val="NoSpacing"/>
            </w:pPr>
            <w:r w:rsidRPr="00475463">
              <w:t>=</w:t>
            </w:r>
          </w:p>
        </w:tc>
        <w:tc>
          <w:tcPr>
            <w:tcW w:w="5619" w:type="dxa"/>
            <w:tcBorders>
              <w:top w:val="nil"/>
              <w:left w:val="nil"/>
              <w:bottom w:val="nil"/>
              <w:right w:val="nil"/>
            </w:tcBorders>
          </w:tcPr>
          <w:p w:rsidR="0091777F" w:rsidRPr="00D06B6F" w:rsidRDefault="0091777F" w:rsidP="00D06B6F">
            <w:pPr>
              <w:pStyle w:val="NoSpacing"/>
              <w:spacing w:after="80"/>
            </w:pPr>
            <m:oMathPara>
              <m:oMathParaPr>
                <m:jc m:val="left"/>
              </m:oMathParaPr>
              <m:oMath>
                <m:r>
                  <w:rPr>
                    <w:rFonts w:ascii="Cambria Math" w:eastAsia="MS Mincho" w:hAnsi="Cambria Math"/>
                  </w:rPr>
                  <m:t xml:space="preserve"> </m:t>
                </m:r>
                <m:func>
                  <m:funcPr>
                    <m:ctrlPr>
                      <w:rPr>
                        <w:rFonts w:ascii="Cambria Math" w:eastAsia="MS Mincho" w:hAnsi="Cambria Math"/>
                        <w:i/>
                      </w:rPr>
                    </m:ctrlPr>
                  </m:funcPr>
                  <m:fName>
                    <m:r>
                      <m:rPr>
                        <m:sty m:val="p"/>
                      </m:rPr>
                      <w:rPr>
                        <w:rFonts w:ascii="Cambria Math" w:eastAsia="MS Mincho" w:hAnsi="Cambria Math"/>
                      </w:rPr>
                      <m:t>ln</m:t>
                    </m:r>
                  </m:fName>
                  <m:e>
                    <m:d>
                      <m:dPr>
                        <m:ctrlPr>
                          <w:rPr>
                            <w:rFonts w:ascii="Cambria Math" w:eastAsia="MS Mincho" w:hAnsi="Cambria Math"/>
                            <w:i/>
                          </w:rPr>
                        </m:ctrlPr>
                      </m:dPr>
                      <m:e>
                        <m:r>
                          <w:rPr>
                            <w:rFonts w:ascii="Cambria Math" w:eastAsia="MS Mincho" w:hAnsi="Cambria Math"/>
                          </w:rPr>
                          <m:t>1+DIFF</m:t>
                        </m:r>
                      </m:e>
                    </m:d>
                  </m:e>
                </m:func>
              </m:oMath>
            </m:oMathPara>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i/>
              </w:rPr>
            </w:pPr>
            <w:r>
              <w:rPr>
                <w:i/>
              </w:rPr>
              <w:t>PFDIFF</w:t>
            </w:r>
          </w:p>
        </w:tc>
        <w:tc>
          <w:tcPr>
            <w:tcW w:w="352" w:type="dxa"/>
            <w:tcBorders>
              <w:top w:val="nil"/>
              <w:left w:val="nil"/>
              <w:bottom w:val="nil"/>
              <w:right w:val="nil"/>
            </w:tcBorders>
          </w:tcPr>
          <w:p w:rsidR="0091777F" w:rsidRPr="00475463" w:rsidRDefault="0091777F" w:rsidP="00A27160">
            <w:pPr>
              <w:pStyle w:val="NoSpacing"/>
            </w:pPr>
            <w:r w:rsidRPr="00475463">
              <w:t>=</w:t>
            </w:r>
          </w:p>
        </w:tc>
        <w:tc>
          <w:tcPr>
            <w:tcW w:w="5619" w:type="dxa"/>
            <w:tcBorders>
              <w:top w:val="nil"/>
              <w:left w:val="nil"/>
              <w:bottom w:val="nil"/>
              <w:right w:val="nil"/>
            </w:tcBorders>
          </w:tcPr>
          <w:p w:rsidR="0091777F" w:rsidRPr="00475463" w:rsidRDefault="004604A2" w:rsidP="00D06B6F">
            <w:pPr>
              <w:pStyle w:val="NoSpacing"/>
              <w:spacing w:after="80"/>
            </w:pPr>
            <m:oMath>
              <m:func>
                <m:funcPr>
                  <m:ctrlPr>
                    <w:rPr>
                      <w:rFonts w:ascii="Cambria Math" w:hAnsi="Cambria Math"/>
                      <w:i/>
                    </w:rPr>
                  </m:ctrlPr>
                </m:funcPr>
                <m:fName>
                  <m:r>
                    <m:rPr>
                      <m:sty m:val="p"/>
                    </m:rPr>
                    <w:rPr>
                      <w:rFonts w:ascii="Cambria Math" w:hAnsi="Cambria Math"/>
                    </w:rPr>
                    <m:t>ln</m:t>
                  </m:r>
                </m:fName>
                <m:e>
                  <m:d>
                    <m:dPr>
                      <m:ctrlPr>
                        <w:rPr>
                          <w:rFonts w:ascii="Cambria Math" w:hAnsi="Cambria Math"/>
                          <w:i/>
                        </w:rPr>
                      </m:ctrlPr>
                    </m:dPr>
                    <m:e>
                      <m:r>
                        <w:rPr>
                          <w:rFonts w:ascii="Cambria Math" w:hAnsi="Cambria Math"/>
                        </w:rPr>
                        <m:t>1+</m:t>
                      </m:r>
                      <m:nary>
                        <m:naryPr>
                          <m:chr m:val="∑"/>
                          <m:limLoc m:val="undOvr"/>
                          <m:ctrlPr>
                            <w:rPr>
                              <w:rFonts w:ascii="Cambria Math" w:hAnsi="Cambria Math"/>
                              <w:i/>
                            </w:rPr>
                          </m:ctrlPr>
                        </m:naryPr>
                        <m:sub>
                          <m:r>
                            <w:rPr>
                              <w:rFonts w:ascii="Cambria Math" w:hAnsi="Cambria Math"/>
                            </w:rPr>
                            <m:t>p=1</m:t>
                          </m:r>
                        </m:sub>
                        <m:sup>
                          <m:r>
                            <w:rPr>
                              <w:rFonts w:ascii="Cambria Math" w:hAnsi="Cambria Math"/>
                            </w:rPr>
                            <m:t>p</m:t>
                          </m:r>
                        </m:sup>
                        <m:e>
                          <m:f>
                            <m:fPr>
                              <m:ctrlPr>
                                <w:rPr>
                                  <w:rFonts w:ascii="Cambria Math" w:hAnsi="Cambria Math"/>
                                  <w:i/>
                                </w:rPr>
                              </m:ctrlPr>
                            </m:fPr>
                            <m:num>
                              <m:sSub>
                                <m:sSubPr>
                                  <m:ctrlPr>
                                    <w:rPr>
                                      <w:rFonts w:ascii="Cambria Math" w:hAnsi="Cambria Math"/>
                                      <w:i/>
                                    </w:rPr>
                                  </m:ctrlPr>
                                </m:sSubPr>
                                <m:e>
                                  <m:r>
                                    <w:rPr>
                                      <w:rFonts w:ascii="Cambria Math" w:hAnsi="Cambria Math"/>
                                    </w:rPr>
                                    <m:t>MV</m:t>
                                  </m:r>
                                </m:e>
                                <m:sub>
                                  <m:r>
                                    <w:rPr>
                                      <w:rFonts w:ascii="Cambria Math" w:hAnsi="Cambria Math"/>
                                    </w:rPr>
                                    <m:t>p</m:t>
                                  </m:r>
                                </m:sub>
                              </m:sSub>
                            </m:num>
                            <m:den>
                              <m:r>
                                <w:rPr>
                                  <w:rFonts w:ascii="Cambria Math" w:hAnsi="Cambria Math"/>
                                </w:rPr>
                                <m:t>MV</m:t>
                              </m:r>
                            </m:den>
                          </m:f>
                        </m:e>
                      </m:nary>
                      <m:r>
                        <w:rPr>
                          <w:rFonts w:ascii="Cambria Math" w:hAnsi="Cambria Math"/>
                        </w:rPr>
                        <m:t>*</m:t>
                      </m:r>
                      <m:sSub>
                        <m:sSubPr>
                          <m:ctrlPr>
                            <w:rPr>
                              <w:rFonts w:ascii="Cambria Math" w:hAnsi="Cambria Math"/>
                              <w:i/>
                            </w:rPr>
                          </m:ctrlPr>
                        </m:sSubPr>
                        <m:e>
                          <m:r>
                            <w:rPr>
                              <w:rFonts w:ascii="Cambria Math" w:hAnsi="Cambria Math"/>
                            </w:rPr>
                            <m:t>DIFF</m:t>
                          </m:r>
                        </m:e>
                        <m:sub>
                          <m:r>
                            <w:rPr>
                              <w:rFonts w:ascii="Cambria Math" w:hAnsi="Cambria Math"/>
                            </w:rPr>
                            <m:t>p</m:t>
                          </m:r>
                        </m:sub>
                      </m:sSub>
                    </m:e>
                  </m:d>
                </m:e>
              </m:func>
            </m:oMath>
            <w:r w:rsidR="0091777F" w:rsidRPr="00475463">
              <w:t>.</w:t>
            </w:r>
          </w:p>
        </w:tc>
      </w:tr>
      <w:tr w:rsidR="0091777F" w:rsidRPr="00D06B6F" w:rsidTr="00D06B6F">
        <w:tc>
          <w:tcPr>
            <w:tcW w:w="8692" w:type="dxa"/>
            <w:gridSpan w:val="3"/>
            <w:tcBorders>
              <w:top w:val="nil"/>
              <w:left w:val="nil"/>
              <w:bottom w:val="nil"/>
              <w:right w:val="nil"/>
            </w:tcBorders>
          </w:tcPr>
          <w:p w:rsidR="0091777F" w:rsidRPr="00D06B6F" w:rsidRDefault="0091777F" w:rsidP="00A27160">
            <w:pPr>
              <w:pStyle w:val="NoSpacing"/>
              <w:rPr>
                <w:b/>
                <w:i/>
              </w:rPr>
            </w:pPr>
            <w:r w:rsidRPr="00D06B6F">
              <w:rPr>
                <w:b/>
                <w:i/>
              </w:rPr>
              <w:t>Excess Value Variables</w:t>
            </w:r>
          </w:p>
        </w:tc>
      </w:tr>
      <w:tr w:rsidR="0091777F" w:rsidRPr="00475463" w:rsidTr="00D06B6F">
        <w:tc>
          <w:tcPr>
            <w:tcW w:w="2721" w:type="dxa"/>
            <w:tcBorders>
              <w:top w:val="nil"/>
              <w:left w:val="nil"/>
              <w:bottom w:val="nil"/>
              <w:right w:val="nil"/>
            </w:tcBorders>
          </w:tcPr>
          <w:p w:rsidR="0091777F" w:rsidRPr="00475463" w:rsidRDefault="0091777F" w:rsidP="00A27160">
            <w:pPr>
              <w:pStyle w:val="NoSpacing"/>
            </w:pPr>
            <m:oMathPara>
              <m:oMathParaPr>
                <m:jc m:val="right"/>
              </m:oMathParaPr>
              <m:oMath>
                <m:r>
                  <w:rPr>
                    <w:rFonts w:ascii="Cambria Math" w:hAnsi="Cambria Math"/>
                  </w:rPr>
                  <m:t>Val</m:t>
                </m:r>
              </m:oMath>
            </m:oMathPara>
          </w:p>
        </w:tc>
        <w:tc>
          <w:tcPr>
            <w:tcW w:w="352" w:type="dxa"/>
            <w:tcBorders>
              <w:top w:val="nil"/>
              <w:left w:val="nil"/>
              <w:bottom w:val="nil"/>
              <w:right w:val="nil"/>
            </w:tcBorders>
          </w:tcPr>
          <w:p w:rsidR="0091777F" w:rsidRPr="00475463" w:rsidRDefault="0091777F" w:rsidP="00A27160">
            <w:pPr>
              <w:pStyle w:val="NoSpacing"/>
            </w:pPr>
            <w:r w:rsidRPr="00475463">
              <w:t>=</w:t>
            </w:r>
          </w:p>
        </w:tc>
        <w:tc>
          <w:tcPr>
            <w:tcW w:w="5619" w:type="dxa"/>
            <w:tcBorders>
              <w:top w:val="nil"/>
              <w:left w:val="nil"/>
              <w:bottom w:val="nil"/>
              <w:right w:val="nil"/>
            </w:tcBorders>
          </w:tcPr>
          <w:p w:rsidR="0091777F" w:rsidRPr="00475463" w:rsidRDefault="0091777F" w:rsidP="00D06B6F">
            <w:pPr>
              <w:pStyle w:val="NoSpacing"/>
              <w:spacing w:after="80"/>
            </w:pPr>
            <w:r w:rsidRPr="00475463">
              <w:t>Actual firm value at the end of the fiscal year defined as the sum of equity market value and book value of debt</w:t>
            </w:r>
          </w:p>
        </w:tc>
      </w:tr>
      <w:tr w:rsidR="0091777F" w:rsidRPr="00475463" w:rsidTr="00D06B6F">
        <w:tc>
          <w:tcPr>
            <w:tcW w:w="2721" w:type="dxa"/>
            <w:tcBorders>
              <w:top w:val="nil"/>
              <w:left w:val="nil"/>
              <w:bottom w:val="nil"/>
              <w:right w:val="nil"/>
            </w:tcBorders>
          </w:tcPr>
          <w:p w:rsidR="0091777F" w:rsidRPr="00475463" w:rsidRDefault="004604A2" w:rsidP="00A27160">
            <w:pPr>
              <w:pStyle w:val="NoSpacing"/>
            </w:pPr>
            <m:oMathPara>
              <m:oMathParaPr>
                <m:jc m:val="right"/>
              </m:oMathParaPr>
              <m:oMath>
                <m:sSub>
                  <m:sSubPr>
                    <m:ctrlPr>
                      <w:rPr>
                        <w:rFonts w:ascii="Cambria Math" w:eastAsia="MS Mincho" w:hAnsi="Cambria Math"/>
                        <w:i/>
                      </w:rPr>
                    </m:ctrlPr>
                  </m:sSubPr>
                  <m:e>
                    <m:r>
                      <w:rPr>
                        <w:rFonts w:ascii="Cambria Math" w:eastAsia="MS Mincho" w:hAnsi="Cambria Math"/>
                      </w:rPr>
                      <m:t>AccItem</m:t>
                    </m:r>
                  </m:e>
                  <m:sub>
                    <m:r>
                      <w:rPr>
                        <w:rFonts w:ascii="Cambria Math" w:eastAsia="MS Mincho" w:hAnsi="Cambria Math"/>
                      </w:rPr>
                      <m:t>i</m:t>
                    </m:r>
                  </m:sub>
                </m:sSub>
              </m:oMath>
            </m:oMathPara>
          </w:p>
        </w:tc>
        <w:tc>
          <w:tcPr>
            <w:tcW w:w="352" w:type="dxa"/>
            <w:tcBorders>
              <w:top w:val="nil"/>
              <w:left w:val="nil"/>
              <w:bottom w:val="nil"/>
              <w:right w:val="nil"/>
            </w:tcBorders>
          </w:tcPr>
          <w:p w:rsidR="0091777F" w:rsidRPr="00475463" w:rsidRDefault="0091777F" w:rsidP="00A27160">
            <w:pPr>
              <w:pStyle w:val="NoSpacing"/>
            </w:pPr>
            <w:r w:rsidRPr="00475463">
              <w:t>=</w:t>
            </w:r>
          </w:p>
        </w:tc>
        <w:tc>
          <w:tcPr>
            <w:tcW w:w="5619" w:type="dxa"/>
            <w:tcBorders>
              <w:top w:val="nil"/>
              <w:left w:val="nil"/>
              <w:bottom w:val="nil"/>
              <w:right w:val="nil"/>
            </w:tcBorders>
          </w:tcPr>
          <w:p w:rsidR="0091777F" w:rsidRPr="00475463" w:rsidRDefault="0091777F" w:rsidP="00D06B6F">
            <w:pPr>
              <w:pStyle w:val="NoSpacing"/>
              <w:spacing w:after="80"/>
            </w:pPr>
            <w:r w:rsidRPr="00475463">
              <w:t xml:space="preserve">Accounting item of interest, such as sales or assets, for segment </w:t>
            </w:r>
            <w:proofErr w:type="spellStart"/>
            <w:r w:rsidRPr="00475463">
              <w:rPr>
                <w:i/>
              </w:rPr>
              <w:t>i</w:t>
            </w:r>
            <w:proofErr w:type="spellEnd"/>
          </w:p>
        </w:tc>
      </w:tr>
      <w:tr w:rsidR="0091777F" w:rsidRPr="00475463" w:rsidTr="00D06B6F">
        <w:tc>
          <w:tcPr>
            <w:tcW w:w="2721" w:type="dxa"/>
            <w:tcBorders>
              <w:top w:val="nil"/>
              <w:left w:val="nil"/>
              <w:bottom w:val="nil"/>
              <w:right w:val="nil"/>
            </w:tcBorders>
          </w:tcPr>
          <w:p w:rsidR="0091777F" w:rsidRPr="00475463" w:rsidRDefault="004604A2" w:rsidP="00A27160">
            <w:pPr>
              <w:pStyle w:val="NoSpacing"/>
            </w:pPr>
            <m:oMathPara>
              <m:oMath>
                <m:sSub>
                  <m:sSubPr>
                    <m:ctrlPr>
                      <w:rPr>
                        <w:rFonts w:ascii="Cambria Math" w:hAnsi="Cambria Math"/>
                        <w:i/>
                      </w:rPr>
                    </m:ctrlPr>
                  </m:sSubPr>
                  <m:e>
                    <m:r>
                      <w:rPr>
                        <w:rFonts w:ascii="Cambria Math" w:hAnsi="Cambria Math"/>
                      </w:rPr>
                      <m:t>Ind</m:t>
                    </m:r>
                  </m:e>
                  <m:sub>
                    <m:r>
                      <w:rPr>
                        <w:rFonts w:ascii="Cambria Math" w:hAnsi="Cambria Math"/>
                      </w:rPr>
                      <m:t>i</m:t>
                    </m:r>
                  </m:sub>
                </m:sSub>
                <m:sSub>
                  <m:sSubPr>
                    <m:ctrlPr>
                      <w:rPr>
                        <w:rFonts w:ascii="Cambria Math" w:hAnsi="Cambria Math"/>
                        <w:i/>
                      </w:rPr>
                    </m:ctrlPr>
                  </m:sSubPr>
                  <m:e>
                    <m:d>
                      <m:dPr>
                        <m:ctrlPr>
                          <w:rPr>
                            <w:rFonts w:ascii="Cambria Math" w:hAnsi="Cambria Math"/>
                            <w:i/>
                          </w:rPr>
                        </m:ctrlPr>
                      </m:dPr>
                      <m:e>
                        <m:f>
                          <m:fPr>
                            <m:type m:val="skw"/>
                            <m:ctrlPr>
                              <w:rPr>
                                <w:rFonts w:ascii="Cambria Math" w:hAnsi="Cambria Math"/>
                                <w:i/>
                              </w:rPr>
                            </m:ctrlPr>
                          </m:fPr>
                          <m:num>
                            <m:r>
                              <w:rPr>
                                <w:rFonts w:ascii="Cambria Math" w:hAnsi="Cambria Math"/>
                              </w:rPr>
                              <m:t>Val</m:t>
                            </m:r>
                          </m:num>
                          <m:den>
                            <m:r>
                              <w:rPr>
                                <w:rFonts w:ascii="Cambria Math" w:hAnsi="Cambria Math"/>
                              </w:rPr>
                              <m:t>AccItem</m:t>
                            </m:r>
                          </m:den>
                        </m:f>
                      </m:e>
                    </m:d>
                  </m:e>
                  <m:sub>
                    <m:r>
                      <w:rPr>
                        <w:rFonts w:ascii="Cambria Math" w:hAnsi="Cambria Math"/>
                      </w:rPr>
                      <m:t>mean</m:t>
                    </m:r>
                  </m:sub>
                </m:sSub>
              </m:oMath>
            </m:oMathPara>
          </w:p>
        </w:tc>
        <w:tc>
          <w:tcPr>
            <w:tcW w:w="352" w:type="dxa"/>
            <w:tcBorders>
              <w:top w:val="nil"/>
              <w:left w:val="nil"/>
              <w:bottom w:val="nil"/>
              <w:right w:val="nil"/>
            </w:tcBorders>
          </w:tcPr>
          <w:p w:rsidR="0091777F" w:rsidRPr="00475463" w:rsidRDefault="0091777F" w:rsidP="00A27160">
            <w:pPr>
              <w:pStyle w:val="NoSpacing"/>
            </w:pPr>
            <w:r w:rsidRPr="00475463">
              <w:t>=</w:t>
            </w:r>
          </w:p>
        </w:tc>
        <w:tc>
          <w:tcPr>
            <w:tcW w:w="5619" w:type="dxa"/>
            <w:tcBorders>
              <w:top w:val="nil"/>
              <w:left w:val="nil"/>
              <w:bottom w:val="nil"/>
              <w:right w:val="nil"/>
            </w:tcBorders>
          </w:tcPr>
          <w:p w:rsidR="0091777F" w:rsidRPr="00475463" w:rsidRDefault="0091777F" w:rsidP="00D06B6F">
            <w:pPr>
              <w:pStyle w:val="NoSpacing"/>
              <w:spacing w:after="80"/>
            </w:pPr>
            <w:r w:rsidRPr="00475463">
              <w:t xml:space="preserve">The multiple of firm value to the accounting item of interest for the </w:t>
            </w:r>
            <w:r>
              <w:t>mean</w:t>
            </w:r>
            <w:r w:rsidRPr="00475463">
              <w:t xml:space="preserve"> single-segment firm in segment </w:t>
            </w:r>
            <w:r w:rsidRPr="00475463">
              <w:rPr>
                <w:i/>
              </w:rPr>
              <w:t>i</w:t>
            </w:r>
            <w:r w:rsidRPr="00475463">
              <w:t>'s industry</w:t>
            </w:r>
          </w:p>
        </w:tc>
      </w:tr>
      <w:tr w:rsidR="0091777F" w:rsidRPr="00475463" w:rsidTr="00D06B6F">
        <w:tc>
          <w:tcPr>
            <w:tcW w:w="2721" w:type="dxa"/>
            <w:tcBorders>
              <w:top w:val="nil"/>
              <w:left w:val="nil"/>
              <w:bottom w:val="nil"/>
              <w:right w:val="nil"/>
            </w:tcBorders>
          </w:tcPr>
          <w:p w:rsidR="0091777F" w:rsidRPr="00475463" w:rsidRDefault="0091777F" w:rsidP="00A27160">
            <w:pPr>
              <w:pStyle w:val="NoSpacing"/>
              <w:rPr>
                <w:rFonts w:eastAsia="MS Mincho"/>
              </w:rPr>
            </w:pPr>
            <m:oMathPara>
              <m:oMathParaPr>
                <m:jc m:val="right"/>
              </m:oMathParaPr>
              <m:oMath>
                <m:r>
                  <w:rPr>
                    <w:rFonts w:ascii="Cambria Math" w:eastAsia="MS Mincho" w:hAnsi="Cambria Math"/>
                  </w:rPr>
                  <m:t>n</m:t>
                </m:r>
              </m:oMath>
            </m:oMathPara>
          </w:p>
        </w:tc>
        <w:tc>
          <w:tcPr>
            <w:tcW w:w="352" w:type="dxa"/>
            <w:tcBorders>
              <w:top w:val="nil"/>
              <w:left w:val="nil"/>
              <w:bottom w:val="nil"/>
              <w:right w:val="nil"/>
            </w:tcBorders>
          </w:tcPr>
          <w:p w:rsidR="0091777F" w:rsidRPr="00475463" w:rsidRDefault="0091777F" w:rsidP="00A27160">
            <w:pPr>
              <w:pStyle w:val="NoSpacing"/>
            </w:pPr>
            <w:r w:rsidRPr="00475463">
              <w:t>=</w:t>
            </w:r>
          </w:p>
        </w:tc>
        <w:tc>
          <w:tcPr>
            <w:tcW w:w="5619" w:type="dxa"/>
            <w:tcBorders>
              <w:top w:val="nil"/>
              <w:left w:val="nil"/>
              <w:bottom w:val="nil"/>
              <w:right w:val="nil"/>
            </w:tcBorders>
          </w:tcPr>
          <w:p w:rsidR="0091777F" w:rsidRPr="00475463" w:rsidRDefault="0091777F" w:rsidP="00D06B6F">
            <w:pPr>
              <w:pStyle w:val="NoSpacing"/>
              <w:spacing w:after="80"/>
            </w:pPr>
            <w:r w:rsidRPr="00475463">
              <w:t>The total number of segments reported by the firm in the 10-K</w:t>
            </w:r>
          </w:p>
        </w:tc>
      </w:tr>
      <w:tr w:rsidR="0091777F" w:rsidRPr="00475463" w:rsidTr="00D06B6F">
        <w:tc>
          <w:tcPr>
            <w:tcW w:w="2721" w:type="dxa"/>
            <w:tcBorders>
              <w:top w:val="nil"/>
              <w:left w:val="nil"/>
              <w:bottom w:val="nil"/>
              <w:right w:val="nil"/>
            </w:tcBorders>
            <w:vAlign w:val="center"/>
          </w:tcPr>
          <w:p w:rsidR="0091777F" w:rsidRPr="00475463" w:rsidRDefault="0091777F" w:rsidP="00A27160">
            <w:pPr>
              <w:pStyle w:val="NoSpacing"/>
              <w:jc w:val="right"/>
              <w:rPr>
                <w:rFonts w:eastAsia="MS Mincho"/>
              </w:rPr>
            </w:pPr>
            <m:oMathPara>
              <m:oMathParaPr>
                <m:jc m:val="right"/>
              </m:oMathParaPr>
              <m:oMath>
                <m:r>
                  <w:rPr>
                    <w:rFonts w:ascii="Cambria Math" w:eastAsia="MS Mincho" w:hAnsi="Cambria Math"/>
                  </w:rPr>
                  <m:t>ImpVal</m:t>
                </m:r>
              </m:oMath>
            </m:oMathPara>
          </w:p>
        </w:tc>
        <w:tc>
          <w:tcPr>
            <w:tcW w:w="352" w:type="dxa"/>
            <w:tcBorders>
              <w:top w:val="nil"/>
              <w:left w:val="nil"/>
              <w:bottom w:val="nil"/>
              <w:right w:val="nil"/>
            </w:tcBorders>
            <w:vAlign w:val="center"/>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D06B6F" w:rsidRDefault="004604A2" w:rsidP="00D06B6F">
            <w:pPr>
              <w:pStyle w:val="NoSpacing"/>
              <w:spacing w:after="80"/>
            </w:pPr>
            <m:oMathPara>
              <m:oMathParaPr>
                <m:jc m:val="left"/>
              </m:oMathPara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AccItem</m:t>
                        </m:r>
                      </m:e>
                      <m:sub>
                        <m:r>
                          <w:rPr>
                            <w:rFonts w:ascii="Cambria Math" w:hAnsi="Cambria Math"/>
                          </w:rPr>
                          <m:t>i</m:t>
                        </m:r>
                      </m:sub>
                    </m:sSub>
                  </m:e>
                </m:nary>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Ind</m:t>
                        </m:r>
                      </m:e>
                      <m:sub>
                        <m:r>
                          <w:rPr>
                            <w:rFonts w:ascii="Cambria Math" w:hAnsi="Cambria Math"/>
                          </w:rPr>
                          <m:t>i</m:t>
                        </m:r>
                      </m:sub>
                    </m:sSub>
                    <m:sSub>
                      <m:sSubPr>
                        <m:ctrlPr>
                          <w:rPr>
                            <w:rFonts w:ascii="Cambria Math" w:hAnsi="Cambria Math"/>
                            <w:i/>
                          </w:rPr>
                        </m:ctrlPr>
                      </m:sSubPr>
                      <m:e>
                        <m:d>
                          <m:dPr>
                            <m:ctrlPr>
                              <w:rPr>
                                <w:rFonts w:ascii="Cambria Math" w:hAnsi="Cambria Math"/>
                                <w:i/>
                              </w:rPr>
                            </m:ctrlPr>
                          </m:dPr>
                          <m:e>
                            <m:f>
                              <m:fPr>
                                <m:type m:val="skw"/>
                                <m:ctrlPr>
                                  <w:rPr>
                                    <w:rFonts w:ascii="Cambria Math" w:hAnsi="Cambria Math"/>
                                    <w:i/>
                                  </w:rPr>
                                </m:ctrlPr>
                              </m:fPr>
                              <m:num>
                                <m:r>
                                  <w:rPr>
                                    <w:rFonts w:ascii="Cambria Math" w:hAnsi="Cambria Math"/>
                                  </w:rPr>
                                  <m:t>Val</m:t>
                                </m:r>
                              </m:num>
                              <m:den>
                                <m:r>
                                  <w:rPr>
                                    <w:rFonts w:ascii="Cambria Math" w:hAnsi="Cambria Math"/>
                                  </w:rPr>
                                  <m:t>AccItem</m:t>
                                </m:r>
                              </m:den>
                            </m:f>
                          </m:e>
                        </m:d>
                      </m:e>
                      <m:sub>
                        <m:r>
                          <w:rPr>
                            <w:rFonts w:ascii="Cambria Math" w:hAnsi="Cambria Math"/>
                          </w:rPr>
                          <m:t>mean</m:t>
                        </m:r>
                      </m:sub>
                    </m:sSub>
                  </m:e>
                </m:d>
              </m:oMath>
            </m:oMathPara>
          </w:p>
        </w:tc>
      </w:tr>
      <w:tr w:rsidR="0091777F" w:rsidRPr="00475463" w:rsidTr="00D06B6F">
        <w:tc>
          <w:tcPr>
            <w:tcW w:w="2721" w:type="dxa"/>
            <w:tcBorders>
              <w:top w:val="nil"/>
              <w:left w:val="nil"/>
              <w:bottom w:val="nil"/>
              <w:right w:val="nil"/>
            </w:tcBorders>
            <w:vAlign w:val="center"/>
          </w:tcPr>
          <w:p w:rsidR="0091777F" w:rsidRPr="00D06B6F" w:rsidRDefault="0091777F" w:rsidP="00A27160">
            <w:pPr>
              <w:pStyle w:val="NoSpacing"/>
              <w:jc w:val="right"/>
              <w:rPr>
                <w:rFonts w:eastAsia="MS Mincho"/>
              </w:rPr>
            </w:pPr>
            <m:oMathPara>
              <m:oMathParaPr>
                <m:jc m:val="right"/>
              </m:oMathParaPr>
              <m:oMath>
                <m:r>
                  <w:rPr>
                    <w:rFonts w:ascii="Cambria Math" w:eastAsia="MS Mincho" w:hAnsi="Cambria Math"/>
                  </w:rPr>
                  <m:t>ExVal</m:t>
                </m:r>
              </m:oMath>
            </m:oMathPara>
          </w:p>
        </w:tc>
        <w:tc>
          <w:tcPr>
            <w:tcW w:w="352" w:type="dxa"/>
            <w:tcBorders>
              <w:top w:val="nil"/>
              <w:left w:val="nil"/>
              <w:bottom w:val="nil"/>
              <w:right w:val="nil"/>
            </w:tcBorders>
            <w:vAlign w:val="center"/>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D06B6F" w:rsidRDefault="0091777F" w:rsidP="00D06B6F">
            <w:pPr>
              <w:pStyle w:val="NoSpacing"/>
              <w:spacing w:after="80"/>
              <w:rPr>
                <w:rFonts w:eastAsia="MS Mincho"/>
              </w:rPr>
            </w:pPr>
            <m:oMathPara>
              <m:oMathParaPr>
                <m:jc m:val="left"/>
              </m:oMathParaPr>
              <m:oMath>
                <m:r>
                  <w:rPr>
                    <w:rFonts w:ascii="Cambria Math" w:hAnsi="Cambria Math"/>
                  </w:rPr>
                  <m:t>ln</m:t>
                </m:r>
                <m:d>
                  <m:dPr>
                    <m:ctrlPr>
                      <w:rPr>
                        <w:rFonts w:ascii="Cambria Math" w:hAnsi="Cambria Math"/>
                        <w:i/>
                      </w:rPr>
                    </m:ctrlPr>
                  </m:dPr>
                  <m:e>
                    <m:f>
                      <m:fPr>
                        <m:ctrlPr>
                          <w:rPr>
                            <w:rFonts w:ascii="Cambria Math" w:hAnsi="Cambria Math"/>
                            <w:i/>
                          </w:rPr>
                        </m:ctrlPr>
                      </m:fPr>
                      <m:num>
                        <m:r>
                          <w:rPr>
                            <w:rFonts w:ascii="Cambria Math" w:hAnsi="Cambria Math"/>
                          </w:rPr>
                          <m:t>Val</m:t>
                        </m:r>
                      </m:num>
                      <m:den>
                        <m:r>
                          <w:rPr>
                            <w:rFonts w:ascii="Cambria Math" w:hAnsi="Cambria Math"/>
                          </w:rPr>
                          <m:t>ImpVal</m:t>
                        </m:r>
                      </m:den>
                    </m:f>
                  </m:e>
                </m:d>
              </m:oMath>
            </m:oMathPara>
          </w:p>
        </w:tc>
      </w:tr>
      <w:tr w:rsidR="0091777F" w:rsidRPr="00475463" w:rsidTr="00D06B6F">
        <w:tc>
          <w:tcPr>
            <w:tcW w:w="2721" w:type="dxa"/>
            <w:tcBorders>
              <w:top w:val="nil"/>
              <w:left w:val="nil"/>
              <w:bottom w:val="nil"/>
              <w:right w:val="nil"/>
            </w:tcBorders>
            <w:vAlign w:val="center"/>
          </w:tcPr>
          <w:p w:rsidR="0091777F" w:rsidRPr="00475463" w:rsidRDefault="0091777F" w:rsidP="00A27160">
            <w:pPr>
              <w:pStyle w:val="NoSpacing"/>
              <w:jc w:val="right"/>
              <w:rPr>
                <w:rFonts w:eastAsia="MS Mincho"/>
              </w:rPr>
            </w:pPr>
          </w:p>
        </w:tc>
        <w:tc>
          <w:tcPr>
            <w:tcW w:w="352" w:type="dxa"/>
            <w:tcBorders>
              <w:top w:val="nil"/>
              <w:left w:val="nil"/>
              <w:bottom w:val="nil"/>
              <w:right w:val="nil"/>
            </w:tcBorders>
            <w:vAlign w:val="center"/>
          </w:tcPr>
          <w:p w:rsidR="0091777F" w:rsidRPr="00475463" w:rsidRDefault="0091777F" w:rsidP="00A27160">
            <w:pPr>
              <w:pStyle w:val="NoSpacing"/>
              <w:jc w:val="right"/>
            </w:pP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m:oMath>
              <m:r>
                <w:rPr>
                  <w:rFonts w:ascii="Cambria Math" w:eastAsia="MS Mincho" w:hAnsi="Cambria Math"/>
                </w:rPr>
                <m:t>ExVal</m:t>
              </m:r>
            </m:oMath>
            <w:r w:rsidRPr="00475463">
              <w:rPr>
                <w:rFonts w:eastAsia="MS Mincho"/>
              </w:rPr>
              <w:t xml:space="preserve"> </w:t>
            </w:r>
            <w:proofErr w:type="gramStart"/>
            <w:r w:rsidRPr="00475463">
              <w:rPr>
                <w:rFonts w:eastAsia="MS Mincho"/>
              </w:rPr>
              <w:t>is</w:t>
            </w:r>
            <w:proofErr w:type="gramEnd"/>
            <w:r w:rsidRPr="00475463">
              <w:rPr>
                <w:rFonts w:eastAsia="MS Mincho"/>
              </w:rPr>
              <w:t xml:space="preserve"> calculated using either sales (</w:t>
            </w:r>
            <m:oMath>
              <m:r>
                <w:rPr>
                  <w:rFonts w:ascii="Cambria Math" w:eastAsia="MS Mincho" w:hAnsi="Cambria Math"/>
                </w:rPr>
                <m:t>ExVa</m:t>
              </m:r>
              <m:sSub>
                <m:sSubPr>
                  <m:ctrlPr>
                    <w:rPr>
                      <w:rFonts w:ascii="Cambria Math" w:eastAsia="MS Mincho" w:hAnsi="Cambria Math"/>
                      <w:i/>
                    </w:rPr>
                  </m:ctrlPr>
                </m:sSubPr>
                <m:e>
                  <m:r>
                    <w:rPr>
                      <w:rFonts w:ascii="Cambria Math" w:eastAsia="MS Mincho" w:hAnsi="Cambria Math"/>
                    </w:rPr>
                    <m:t>l</m:t>
                  </m:r>
                </m:e>
                <m:sub>
                  <m:r>
                    <w:rPr>
                      <w:rFonts w:ascii="Cambria Math" w:eastAsia="MS Mincho" w:hAnsi="Cambria Math"/>
                    </w:rPr>
                    <m:t>Rev</m:t>
                  </m:r>
                </m:sub>
              </m:sSub>
              <m:r>
                <w:rPr>
                  <w:rFonts w:ascii="Cambria Math" w:eastAsia="MS Mincho" w:hAnsi="Cambria Math"/>
                </w:rPr>
                <m:t>)</m:t>
              </m:r>
            </m:oMath>
            <w:r w:rsidRPr="00475463">
              <w:rPr>
                <w:rFonts w:eastAsia="MS Mincho"/>
              </w:rPr>
              <w:t xml:space="preserve">or assets </w:t>
            </w:r>
            <m:oMath>
              <m:r>
                <w:rPr>
                  <w:rFonts w:ascii="Cambria Math" w:eastAsia="MS Mincho" w:hAnsi="Cambria Math"/>
                </w:rPr>
                <m:t>(ExVa</m:t>
              </m:r>
              <m:sSub>
                <m:sSubPr>
                  <m:ctrlPr>
                    <w:rPr>
                      <w:rFonts w:ascii="Cambria Math" w:eastAsia="MS Mincho" w:hAnsi="Cambria Math"/>
                      <w:i/>
                    </w:rPr>
                  </m:ctrlPr>
                </m:sSubPr>
                <m:e>
                  <m:r>
                    <w:rPr>
                      <w:rFonts w:ascii="Cambria Math" w:eastAsia="MS Mincho" w:hAnsi="Cambria Math"/>
                    </w:rPr>
                    <m:t>l</m:t>
                  </m:r>
                </m:e>
                <m:sub>
                  <m:r>
                    <w:rPr>
                      <w:rFonts w:ascii="Cambria Math" w:eastAsia="MS Mincho" w:hAnsi="Cambria Math"/>
                    </w:rPr>
                    <m:t>AT</m:t>
                  </m:r>
                </m:sub>
              </m:sSub>
              <m:r>
                <w:rPr>
                  <w:rFonts w:ascii="Cambria Math" w:eastAsia="MS Mincho" w:hAnsi="Cambria Math"/>
                </w:rPr>
                <m:t>)</m:t>
              </m:r>
            </m:oMath>
            <w:r w:rsidRPr="00475463">
              <w:rPr>
                <w:rFonts w:eastAsia="MS Mincho"/>
              </w:rPr>
              <w:t>as the accounting variable of interest.</w:t>
            </w:r>
          </w:p>
        </w:tc>
      </w:tr>
      <w:tr w:rsidR="0091777F" w:rsidRPr="00D06B6F" w:rsidTr="00D06B6F">
        <w:tc>
          <w:tcPr>
            <w:tcW w:w="8692" w:type="dxa"/>
            <w:gridSpan w:val="3"/>
            <w:tcBorders>
              <w:top w:val="nil"/>
              <w:left w:val="nil"/>
              <w:bottom w:val="nil"/>
              <w:right w:val="nil"/>
            </w:tcBorders>
            <w:vAlign w:val="center"/>
          </w:tcPr>
          <w:p w:rsidR="0091777F" w:rsidRPr="00D06B6F" w:rsidRDefault="0091777F" w:rsidP="00A27160">
            <w:pPr>
              <w:pStyle w:val="NoSpacing"/>
              <w:rPr>
                <w:rFonts w:eastAsia="MS Mincho"/>
                <w:b/>
                <w:i/>
              </w:rPr>
            </w:pPr>
            <w:r w:rsidRPr="00D06B6F">
              <w:rPr>
                <w:rFonts w:eastAsia="MS Mincho"/>
                <w:b/>
                <w:i/>
              </w:rPr>
              <w:t>Control Variables</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sidRPr="002E34B2">
              <w:rPr>
                <w:rFonts w:eastAsia="MS Mincho"/>
                <w:i/>
              </w:rPr>
              <w:t>NumSeg</w:t>
            </w:r>
          </w:p>
        </w:tc>
        <w:tc>
          <w:tcPr>
            <w:tcW w:w="352" w:type="dxa"/>
            <w:tcBorders>
              <w:top w:val="nil"/>
              <w:left w:val="nil"/>
              <w:bottom w:val="nil"/>
              <w:right w:val="nil"/>
            </w:tcBorders>
          </w:tcPr>
          <w:p w:rsidR="0091777F" w:rsidRPr="00475463" w:rsidRDefault="0091777F" w:rsidP="00A27160">
            <w:pPr>
              <w:pStyle w:val="NoSpacing"/>
            </w:pPr>
            <w:r>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Pr>
                <w:rFonts w:eastAsia="MS Mincho"/>
              </w:rPr>
              <w:t>Number of segment</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sidRPr="002E34B2">
              <w:rPr>
                <w:rFonts w:eastAsia="MS Mincho"/>
                <w:i/>
              </w:rPr>
              <w:t>NumTNICPrs</w:t>
            </w:r>
          </w:p>
        </w:tc>
        <w:tc>
          <w:tcPr>
            <w:tcW w:w="352" w:type="dxa"/>
            <w:tcBorders>
              <w:top w:val="nil"/>
              <w:left w:val="nil"/>
              <w:bottom w:val="nil"/>
              <w:right w:val="nil"/>
            </w:tcBorders>
          </w:tcPr>
          <w:p w:rsidR="0091777F" w:rsidRPr="00475463" w:rsidRDefault="0091777F" w:rsidP="00A27160">
            <w:pPr>
              <w:pStyle w:val="NoSpacing"/>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The number of TNIC peers from the Hoberg and Phillips (2010a; 2013) data</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HHI</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 xml:space="preserve">The Herfindahl index from </w:t>
            </w:r>
            <w:r>
              <w:rPr>
                <w:rFonts w:eastAsia="MS Mincho"/>
              </w:rPr>
              <w:t>Hoberg and Phillips (2010b) that includes private firm information</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Related</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The difference between the total number of reported segments and the number of segments with different three-digit SIC codes</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Size</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 xml:space="preserve">The natural log of total assets </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Profit</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Return on assets</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Invest</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 xml:space="preserve">The ratio of capital expenditures to total assets </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sidRPr="002E34B2">
              <w:rPr>
                <w:rFonts w:eastAsia="MS Mincho"/>
                <w:i/>
              </w:rPr>
              <w:t>Leverage</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 xml:space="preserve">The book value of long-term debt plus short-term debt divided by total assets </w:t>
            </w:r>
          </w:p>
        </w:tc>
      </w:tr>
    </w:tbl>
    <w:p w:rsidR="00D06B6F" w:rsidRDefault="00D06B6F">
      <w:r>
        <w:br w:type="page"/>
      </w:r>
    </w:p>
    <w:tbl>
      <w:tblPr>
        <w:tblStyle w:val="TableGrid"/>
        <w:tblW w:w="0" w:type="auto"/>
        <w:tblInd w:w="20" w:type="dxa"/>
        <w:tblLook w:val="04A0" w:firstRow="1" w:lastRow="0" w:firstColumn="1" w:lastColumn="0" w:noHBand="0" w:noVBand="1"/>
      </w:tblPr>
      <w:tblGrid>
        <w:gridCol w:w="2721"/>
        <w:gridCol w:w="352"/>
        <w:gridCol w:w="5619"/>
      </w:tblGrid>
      <w:tr w:rsidR="00D06B6F" w:rsidRPr="00BA1E4B" w:rsidTr="00A27160">
        <w:tc>
          <w:tcPr>
            <w:tcW w:w="8692" w:type="dxa"/>
            <w:gridSpan w:val="3"/>
            <w:tcBorders>
              <w:top w:val="nil"/>
              <w:left w:val="nil"/>
              <w:bottom w:val="nil"/>
              <w:right w:val="nil"/>
            </w:tcBorders>
            <w:vAlign w:val="center"/>
          </w:tcPr>
          <w:p w:rsidR="00D06B6F" w:rsidRPr="00BA1E4B" w:rsidRDefault="00D06B6F" w:rsidP="00A27160">
            <w:pPr>
              <w:pStyle w:val="NoSpacing"/>
              <w:rPr>
                <w:rFonts w:eastAsia="MS Mincho"/>
                <w:b/>
                <w:i/>
              </w:rPr>
            </w:pPr>
            <w:r w:rsidRPr="00BA1E4B">
              <w:rPr>
                <w:rFonts w:eastAsia="MS Mincho"/>
                <w:b/>
                <w:i/>
              </w:rPr>
              <w:lastRenderedPageBreak/>
              <w:t>Control Variables (Continued)</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sidRPr="002E34B2">
              <w:rPr>
                <w:rFonts w:eastAsia="MS Mincho"/>
                <w:i/>
              </w:rPr>
              <w:t>SalesGrow</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Sales in the current year divided by sales in the previous period</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sidRPr="002E34B2">
              <w:rPr>
                <w:rFonts w:eastAsia="MS Mincho"/>
                <w:i/>
              </w:rPr>
              <w:t>MAR</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D06B6F">
            <w:pPr>
              <w:pStyle w:val="NoSpacing"/>
              <w:spacing w:after="80"/>
              <w:rPr>
                <w:rFonts w:eastAsia="MS Mincho"/>
              </w:rPr>
            </w:pPr>
            <w:r w:rsidRPr="00475463">
              <w:rPr>
                <w:rFonts w:eastAsia="MS Mincho"/>
              </w:rPr>
              <w:t>One plus the market-adjusted stock return for the fiscal year</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StdROE</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A27160">
            <w:pPr>
              <w:pStyle w:val="NoSpacing"/>
              <w:rPr>
                <w:rFonts w:eastAsia="MS Mincho"/>
              </w:rPr>
            </w:pPr>
            <w:r w:rsidRPr="00475463">
              <w:rPr>
                <w:rFonts w:eastAsia="MS Mincho"/>
              </w:rPr>
              <w:t xml:space="preserve">Historical standard deviation of return on equity computed over the </w:t>
            </w:r>
            <w:r>
              <w:rPr>
                <w:rFonts w:eastAsia="MS Mincho"/>
              </w:rPr>
              <w:t>previous 5</w:t>
            </w:r>
            <w:r w:rsidRPr="00475463">
              <w:rPr>
                <w:rFonts w:eastAsia="MS Mincho"/>
              </w:rPr>
              <w:t xml:space="preserve"> years</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Corr5yr</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A27160">
            <w:pPr>
              <w:pStyle w:val="NoSpacing"/>
              <w:rPr>
                <w:rFonts w:eastAsia="MS Mincho"/>
              </w:rPr>
            </w:pPr>
            <w:r w:rsidRPr="00475463">
              <w:rPr>
                <w:rFonts w:eastAsia="MS Mincho"/>
              </w:rPr>
              <w:t>Historical correlation between the annual stock returns and earnings per share computed on over the pre</w:t>
            </w:r>
            <w:r>
              <w:rPr>
                <w:rFonts w:eastAsia="MS Mincho"/>
              </w:rPr>
              <w:t>ceding 5</w:t>
            </w:r>
            <w:r w:rsidRPr="00475463">
              <w:rPr>
                <w:rFonts w:eastAsia="MS Mincho"/>
              </w:rPr>
              <w:t xml:space="preserve"> years</w:t>
            </w:r>
          </w:p>
        </w:tc>
      </w:tr>
      <w:tr w:rsidR="0091777F" w:rsidRPr="00475463" w:rsidTr="00D06B6F">
        <w:tc>
          <w:tcPr>
            <w:tcW w:w="2721" w:type="dxa"/>
            <w:tcBorders>
              <w:top w:val="nil"/>
              <w:left w:val="nil"/>
              <w:bottom w:val="nil"/>
              <w:right w:val="nil"/>
            </w:tcBorders>
          </w:tcPr>
          <w:p w:rsidR="0091777F" w:rsidRPr="002E34B2" w:rsidRDefault="0091777F" w:rsidP="00A27160">
            <w:pPr>
              <w:pStyle w:val="NoSpacing"/>
              <w:jc w:val="right"/>
              <w:rPr>
                <w:rFonts w:eastAsia="MS Mincho"/>
                <w:i/>
              </w:rPr>
            </w:pPr>
            <w:r>
              <w:rPr>
                <w:rFonts w:eastAsia="MS Mincho"/>
                <w:i/>
              </w:rPr>
              <w:t>Surprise</w:t>
            </w:r>
          </w:p>
        </w:tc>
        <w:tc>
          <w:tcPr>
            <w:tcW w:w="352" w:type="dxa"/>
            <w:tcBorders>
              <w:top w:val="nil"/>
              <w:left w:val="nil"/>
              <w:bottom w:val="nil"/>
              <w:right w:val="nil"/>
            </w:tcBorders>
          </w:tcPr>
          <w:p w:rsidR="0091777F" w:rsidRPr="00475463" w:rsidRDefault="0091777F" w:rsidP="00A27160">
            <w:pPr>
              <w:pStyle w:val="NoSpacing"/>
              <w:jc w:val="right"/>
            </w:pPr>
            <w:r w:rsidRPr="00475463">
              <w:t>=</w:t>
            </w:r>
          </w:p>
        </w:tc>
        <w:tc>
          <w:tcPr>
            <w:tcW w:w="5619" w:type="dxa"/>
            <w:tcBorders>
              <w:top w:val="nil"/>
              <w:left w:val="nil"/>
              <w:bottom w:val="nil"/>
              <w:right w:val="nil"/>
            </w:tcBorders>
          </w:tcPr>
          <w:p w:rsidR="0091777F" w:rsidRPr="00475463" w:rsidRDefault="0091777F" w:rsidP="00A27160">
            <w:pPr>
              <w:pStyle w:val="NoSpacing"/>
              <w:rPr>
                <w:rFonts w:eastAsia="MS Mincho"/>
              </w:rPr>
            </w:pPr>
            <w:r w:rsidRPr="00475463">
              <w:rPr>
                <w:rFonts w:eastAsia="MS Mincho"/>
              </w:rPr>
              <w:t>The absolute val</w:t>
            </w:r>
            <w:r w:rsidR="00BA1E4B">
              <w:rPr>
                <w:rFonts w:eastAsia="MS Mincho"/>
              </w:rPr>
              <w:t>u</w:t>
            </w:r>
            <w:r w:rsidRPr="00475463">
              <w:rPr>
                <w:rFonts w:eastAsia="MS Mincho"/>
              </w:rPr>
              <w:t>e of the difference between current-year earnings per share and previous-year earnings per share, divided by the stock price at the beginning of the fiscal year</w:t>
            </w:r>
          </w:p>
        </w:tc>
      </w:tr>
    </w:tbl>
    <w:tbl>
      <w:tblPr>
        <w:tblStyle w:val="TableGrid1"/>
        <w:tblW w:w="8728" w:type="dxa"/>
        <w:tblInd w:w="20" w:type="dxa"/>
        <w:tblLook w:val="04A0" w:firstRow="1" w:lastRow="0" w:firstColumn="1" w:lastColumn="0" w:noHBand="0" w:noVBand="1"/>
      </w:tblPr>
      <w:tblGrid>
        <w:gridCol w:w="2676"/>
        <w:gridCol w:w="352"/>
        <w:gridCol w:w="5700"/>
      </w:tblGrid>
      <w:tr w:rsidR="00D06B6F" w:rsidRPr="00D06B6F" w:rsidTr="00BB7498">
        <w:tc>
          <w:tcPr>
            <w:tcW w:w="8728" w:type="dxa"/>
            <w:gridSpan w:val="3"/>
            <w:tcBorders>
              <w:top w:val="nil"/>
              <w:left w:val="nil"/>
              <w:bottom w:val="nil"/>
              <w:right w:val="nil"/>
            </w:tcBorders>
          </w:tcPr>
          <w:p w:rsidR="00D06B6F" w:rsidRPr="00D06B6F" w:rsidRDefault="00D06B6F" w:rsidP="00A27160">
            <w:pPr>
              <w:pStyle w:val="NoSpacing"/>
              <w:rPr>
                <w:rFonts w:eastAsia="MS Mincho"/>
                <w:b/>
                <w:i/>
              </w:rPr>
            </w:pPr>
            <w:r w:rsidRPr="00D06B6F">
              <w:rPr>
                <w:rFonts w:eastAsia="MS Mincho"/>
                <w:b/>
                <w:i/>
              </w:rPr>
              <w:t>Mandatory Disclosure</w:t>
            </w:r>
          </w:p>
        </w:tc>
      </w:tr>
      <w:tr w:rsidR="00D06B6F" w:rsidTr="00BB7498">
        <w:tc>
          <w:tcPr>
            <w:tcW w:w="2676" w:type="dxa"/>
            <w:tcBorders>
              <w:top w:val="nil"/>
              <w:left w:val="nil"/>
              <w:bottom w:val="nil"/>
              <w:right w:val="nil"/>
            </w:tcBorders>
          </w:tcPr>
          <w:p w:rsidR="00D06B6F" w:rsidRPr="002E34B2" w:rsidRDefault="00D06B6F" w:rsidP="00D06B6F">
            <w:pPr>
              <w:pStyle w:val="NoSpacing"/>
              <w:spacing w:after="80"/>
              <w:jc w:val="right"/>
              <w:rPr>
                <w:rFonts w:eastAsia="MS Mincho"/>
                <w:i/>
              </w:rPr>
            </w:pPr>
            <w:r w:rsidRPr="002E34B2">
              <w:rPr>
                <w:rFonts w:eastAsia="MS Mincho"/>
                <w:i/>
              </w:rPr>
              <w:t>Post</w:t>
            </w:r>
          </w:p>
        </w:tc>
        <w:tc>
          <w:tcPr>
            <w:tcW w:w="352" w:type="dxa"/>
            <w:tcBorders>
              <w:top w:val="nil"/>
              <w:left w:val="nil"/>
              <w:bottom w:val="nil"/>
              <w:right w:val="nil"/>
            </w:tcBorders>
          </w:tcPr>
          <w:p w:rsidR="00D06B6F" w:rsidRPr="00475463" w:rsidRDefault="00D06B6F" w:rsidP="00D06B6F">
            <w:pPr>
              <w:pStyle w:val="NoSpacing"/>
              <w:spacing w:after="80"/>
              <w:jc w:val="right"/>
            </w:pPr>
            <w:r w:rsidRPr="00475463">
              <w:t>=</w:t>
            </w:r>
          </w:p>
        </w:tc>
        <w:tc>
          <w:tcPr>
            <w:tcW w:w="5700" w:type="dxa"/>
            <w:tcBorders>
              <w:top w:val="nil"/>
              <w:left w:val="nil"/>
              <w:bottom w:val="nil"/>
              <w:right w:val="nil"/>
            </w:tcBorders>
          </w:tcPr>
          <w:p w:rsidR="00D06B6F" w:rsidRDefault="00D06B6F" w:rsidP="00D06B6F">
            <w:pPr>
              <w:pStyle w:val="NoSpacing"/>
              <w:spacing w:after="80"/>
              <w:rPr>
                <w:rFonts w:eastAsia="MS Mincho"/>
              </w:rPr>
            </w:pPr>
            <w:r w:rsidRPr="00475463">
              <w:rPr>
                <w:rFonts w:eastAsia="MS Mincho"/>
              </w:rPr>
              <w:t xml:space="preserve">An indicator variable equal to one if the firm-year observation is prior to the change in standard from SFAS No. 14 to SFAS No. 131 (now </w:t>
            </w:r>
            <w:r>
              <w:rPr>
                <w:rFonts w:eastAsia="MS Mincho"/>
              </w:rPr>
              <w:t>ASC</w:t>
            </w:r>
            <w:r w:rsidRPr="00475463">
              <w:rPr>
                <w:rFonts w:eastAsia="MS Mincho"/>
              </w:rPr>
              <w:t xml:space="preserve"> 280), zero otherwise</w:t>
            </w:r>
          </w:p>
        </w:tc>
      </w:tr>
      <w:tr w:rsidR="00D06B6F" w:rsidTr="00BB7498">
        <w:tc>
          <w:tcPr>
            <w:tcW w:w="8728" w:type="dxa"/>
            <w:gridSpan w:val="3"/>
            <w:tcBorders>
              <w:top w:val="nil"/>
              <w:left w:val="nil"/>
              <w:bottom w:val="nil"/>
              <w:right w:val="nil"/>
            </w:tcBorders>
          </w:tcPr>
          <w:p w:rsidR="00D06B6F" w:rsidRPr="00FF10BF" w:rsidRDefault="00D06B6F" w:rsidP="00A27160">
            <w:pPr>
              <w:pStyle w:val="NoSpacing"/>
              <w:rPr>
                <w:rFonts w:eastAsia="MS Mincho"/>
                <w:b/>
                <w:i/>
              </w:rPr>
            </w:pPr>
            <w:r>
              <w:rPr>
                <w:rFonts w:eastAsia="MS Mincho"/>
                <w:b/>
                <w:i/>
              </w:rPr>
              <w:t>Segments Less than 10% of Sales</w:t>
            </w:r>
          </w:p>
        </w:tc>
      </w:tr>
      <w:tr w:rsidR="00D06B6F" w:rsidTr="00BB7498">
        <w:tc>
          <w:tcPr>
            <w:tcW w:w="2676" w:type="dxa"/>
            <w:tcBorders>
              <w:top w:val="nil"/>
              <w:left w:val="nil"/>
              <w:bottom w:val="nil"/>
              <w:right w:val="nil"/>
            </w:tcBorders>
          </w:tcPr>
          <w:p w:rsidR="00D06B6F" w:rsidRPr="002E34B2" w:rsidRDefault="00D06B6F" w:rsidP="00D06B6F">
            <w:pPr>
              <w:pStyle w:val="NoSpacing"/>
              <w:spacing w:after="80"/>
              <w:jc w:val="right"/>
              <w:rPr>
                <w:rFonts w:eastAsia="MS Mincho"/>
                <w:i/>
              </w:rPr>
            </w:pPr>
            <w:r>
              <w:rPr>
                <w:rFonts w:eastAsia="MS Mincho"/>
                <w:i/>
              </w:rPr>
              <w:t>SmallSeg</w:t>
            </w:r>
          </w:p>
        </w:tc>
        <w:tc>
          <w:tcPr>
            <w:tcW w:w="352" w:type="dxa"/>
            <w:tcBorders>
              <w:top w:val="nil"/>
              <w:left w:val="nil"/>
              <w:bottom w:val="nil"/>
              <w:right w:val="nil"/>
            </w:tcBorders>
          </w:tcPr>
          <w:p w:rsidR="00D06B6F" w:rsidRPr="00475463" w:rsidRDefault="00D06B6F" w:rsidP="00D06B6F">
            <w:pPr>
              <w:pStyle w:val="NoSpacing"/>
              <w:spacing w:after="80"/>
              <w:jc w:val="right"/>
            </w:pPr>
            <w:r>
              <w:t>=</w:t>
            </w:r>
          </w:p>
        </w:tc>
        <w:tc>
          <w:tcPr>
            <w:tcW w:w="5700" w:type="dxa"/>
            <w:tcBorders>
              <w:top w:val="nil"/>
              <w:left w:val="nil"/>
              <w:bottom w:val="nil"/>
              <w:right w:val="nil"/>
            </w:tcBorders>
          </w:tcPr>
          <w:p w:rsidR="00D06B6F" w:rsidRPr="00475463" w:rsidRDefault="00D06B6F" w:rsidP="00D06B6F">
            <w:pPr>
              <w:pStyle w:val="NoSpacing"/>
              <w:spacing w:after="80"/>
              <w:rPr>
                <w:rFonts w:eastAsia="MS Mincho"/>
              </w:rPr>
            </w:pPr>
            <w:r>
              <w:rPr>
                <w:rFonts w:eastAsia="MS Mincho"/>
              </w:rPr>
              <w:t>Sum of the percentage of sal</w:t>
            </w:r>
            <w:r w:rsidR="00C66F5E">
              <w:rPr>
                <w:rFonts w:eastAsia="MS Mincho"/>
              </w:rPr>
              <w:t>es for a reported segments in a</w:t>
            </w:r>
            <w:r>
              <w:rPr>
                <w:rFonts w:eastAsia="MS Mincho"/>
              </w:rPr>
              <w:t xml:space="preserve"> four-digit SIC code not reported by the industry core operations portfolio that is also less than 10 percent of total sales.</w:t>
            </w:r>
          </w:p>
        </w:tc>
      </w:tr>
      <w:tr w:rsidR="00D06B6F" w:rsidTr="00BB7498">
        <w:tc>
          <w:tcPr>
            <w:tcW w:w="2676" w:type="dxa"/>
            <w:tcBorders>
              <w:top w:val="nil"/>
              <w:left w:val="nil"/>
              <w:bottom w:val="nil"/>
              <w:right w:val="nil"/>
            </w:tcBorders>
          </w:tcPr>
          <w:p w:rsidR="00D06B6F" w:rsidRPr="00BB6B71" w:rsidRDefault="00D06B6F" w:rsidP="00A27160">
            <w:pPr>
              <w:pStyle w:val="NoSpacing"/>
              <w:rPr>
                <w:rFonts w:eastAsia="MS Mincho"/>
                <w:b/>
                <w:i/>
              </w:rPr>
            </w:pPr>
            <w:r w:rsidRPr="00BB6B71">
              <w:rPr>
                <w:rFonts w:eastAsia="MS Mincho"/>
                <w:b/>
                <w:i/>
              </w:rPr>
              <w:t>Impact of Competition</w:t>
            </w:r>
          </w:p>
        </w:tc>
        <w:tc>
          <w:tcPr>
            <w:tcW w:w="352" w:type="dxa"/>
            <w:tcBorders>
              <w:top w:val="nil"/>
              <w:left w:val="nil"/>
              <w:bottom w:val="nil"/>
              <w:right w:val="nil"/>
            </w:tcBorders>
          </w:tcPr>
          <w:p w:rsidR="00D06B6F" w:rsidRDefault="00D06B6F" w:rsidP="00A27160">
            <w:pPr>
              <w:pStyle w:val="NoSpacing"/>
              <w:jc w:val="right"/>
            </w:pPr>
          </w:p>
        </w:tc>
        <w:tc>
          <w:tcPr>
            <w:tcW w:w="5700" w:type="dxa"/>
            <w:tcBorders>
              <w:top w:val="nil"/>
              <w:left w:val="nil"/>
              <w:bottom w:val="nil"/>
              <w:right w:val="nil"/>
            </w:tcBorders>
          </w:tcPr>
          <w:p w:rsidR="00D06B6F" w:rsidRDefault="00D06B6F" w:rsidP="00A27160">
            <w:pPr>
              <w:pStyle w:val="NoSpacing"/>
              <w:rPr>
                <w:rFonts w:eastAsia="MS Mincho"/>
              </w:rPr>
            </w:pPr>
          </w:p>
        </w:tc>
      </w:tr>
      <w:tr w:rsidR="00367338" w:rsidTr="00D81B99">
        <w:tc>
          <w:tcPr>
            <w:tcW w:w="2676" w:type="dxa"/>
            <w:tcBorders>
              <w:top w:val="nil"/>
              <w:left w:val="nil"/>
              <w:bottom w:val="nil"/>
              <w:right w:val="nil"/>
            </w:tcBorders>
          </w:tcPr>
          <w:p w:rsidR="00367338" w:rsidRDefault="00367338" w:rsidP="00D81B99">
            <w:pPr>
              <w:pStyle w:val="NoSpacing"/>
              <w:spacing w:after="80"/>
              <w:jc w:val="right"/>
              <w:rPr>
                <w:rFonts w:eastAsia="MS Mincho"/>
                <w:i/>
              </w:rPr>
            </w:pPr>
            <w:r>
              <w:rPr>
                <w:rFonts w:eastAsia="MS Mincho"/>
                <w:i/>
              </w:rPr>
              <w:t>Q1HHI</w:t>
            </w:r>
          </w:p>
        </w:tc>
        <w:tc>
          <w:tcPr>
            <w:tcW w:w="352" w:type="dxa"/>
            <w:tcBorders>
              <w:top w:val="nil"/>
              <w:left w:val="nil"/>
              <w:bottom w:val="nil"/>
              <w:right w:val="nil"/>
            </w:tcBorders>
          </w:tcPr>
          <w:p w:rsidR="00367338" w:rsidRDefault="00367338" w:rsidP="00D81B99">
            <w:pPr>
              <w:pStyle w:val="NoSpacing"/>
              <w:spacing w:after="80"/>
              <w:jc w:val="right"/>
            </w:pPr>
            <w:r>
              <w:t>=</w:t>
            </w:r>
          </w:p>
        </w:tc>
        <w:tc>
          <w:tcPr>
            <w:tcW w:w="5700" w:type="dxa"/>
            <w:tcBorders>
              <w:top w:val="nil"/>
              <w:left w:val="nil"/>
              <w:bottom w:val="nil"/>
              <w:right w:val="nil"/>
            </w:tcBorders>
          </w:tcPr>
          <w:p w:rsidR="00367338" w:rsidRDefault="00367338" w:rsidP="00D81B99">
            <w:pPr>
              <w:pStyle w:val="NoSpacing"/>
              <w:spacing w:after="80"/>
              <w:rPr>
                <w:rFonts w:eastAsia="MS Mincho"/>
              </w:rPr>
            </w:pPr>
            <w:r>
              <w:rPr>
                <w:rFonts w:eastAsia="MS Mincho"/>
              </w:rPr>
              <w:t>An indicator variable equal to one if the firm-year observation is below the first quartile of the Herfindahl index for that year, zero otherwise</w:t>
            </w:r>
          </w:p>
        </w:tc>
      </w:tr>
      <w:tr w:rsidR="00080F78" w:rsidTr="00BB7498">
        <w:tc>
          <w:tcPr>
            <w:tcW w:w="2676" w:type="dxa"/>
            <w:tcBorders>
              <w:top w:val="nil"/>
              <w:left w:val="nil"/>
              <w:bottom w:val="nil"/>
              <w:right w:val="nil"/>
            </w:tcBorders>
          </w:tcPr>
          <w:p w:rsidR="00080F78" w:rsidRDefault="00080F78" w:rsidP="00D06B6F">
            <w:pPr>
              <w:pStyle w:val="NoSpacing"/>
              <w:spacing w:after="80"/>
              <w:jc w:val="right"/>
              <w:rPr>
                <w:rFonts w:eastAsia="MS Mincho"/>
                <w:i/>
              </w:rPr>
            </w:pPr>
            <w:r>
              <w:rPr>
                <w:rFonts w:eastAsia="MS Mincho"/>
                <w:i/>
              </w:rPr>
              <w:t>Q3HHI</w:t>
            </w:r>
          </w:p>
        </w:tc>
        <w:tc>
          <w:tcPr>
            <w:tcW w:w="352" w:type="dxa"/>
            <w:tcBorders>
              <w:top w:val="nil"/>
              <w:left w:val="nil"/>
              <w:bottom w:val="nil"/>
              <w:right w:val="nil"/>
            </w:tcBorders>
          </w:tcPr>
          <w:p w:rsidR="00080F78" w:rsidRDefault="00080F78" w:rsidP="00D06B6F">
            <w:pPr>
              <w:pStyle w:val="NoSpacing"/>
              <w:spacing w:after="80"/>
              <w:jc w:val="right"/>
            </w:pPr>
            <w:r>
              <w:t>=</w:t>
            </w:r>
          </w:p>
        </w:tc>
        <w:tc>
          <w:tcPr>
            <w:tcW w:w="5700" w:type="dxa"/>
            <w:tcBorders>
              <w:top w:val="nil"/>
              <w:left w:val="nil"/>
              <w:bottom w:val="nil"/>
              <w:right w:val="nil"/>
            </w:tcBorders>
          </w:tcPr>
          <w:p w:rsidR="00080F78" w:rsidRDefault="00080F78" w:rsidP="00D06B6F">
            <w:pPr>
              <w:pStyle w:val="NoSpacing"/>
              <w:spacing w:after="80"/>
              <w:rPr>
                <w:rFonts w:eastAsia="MS Mincho"/>
              </w:rPr>
            </w:pPr>
            <w:r>
              <w:rPr>
                <w:rFonts w:eastAsia="MS Mincho"/>
              </w:rPr>
              <w:t>An indicator variable equal to one if the firm-year observation is above the third quartile of the Herfindahl index for that year, zero otherwise</w:t>
            </w:r>
          </w:p>
        </w:tc>
      </w:tr>
    </w:tbl>
    <w:p w:rsidR="003C25E0" w:rsidRDefault="003C25E0" w:rsidP="0091777F">
      <w:pPr>
        <w:spacing w:before="240" w:after="240"/>
      </w:pPr>
    </w:p>
    <w:p w:rsidR="003C25E0" w:rsidRDefault="003C25E0">
      <w:pPr>
        <w:spacing w:line="240" w:lineRule="auto"/>
      </w:pPr>
      <w:r>
        <w:br w:type="page"/>
      </w:r>
    </w:p>
    <w:p w:rsidR="006C33FA" w:rsidRDefault="006C33FA" w:rsidP="006C33FA">
      <w:pPr>
        <w:pStyle w:val="Caption"/>
        <w:keepNext/>
      </w:pPr>
    </w:p>
    <w:tbl>
      <w:tblPr>
        <w:tblStyle w:val="TableGrid"/>
        <w:tblW w:w="8280" w:type="dxa"/>
        <w:jc w:val="center"/>
        <w:tblInd w:w="288" w:type="dxa"/>
        <w:tblLayout w:type="fixed"/>
        <w:tblLook w:val="04A0" w:firstRow="1" w:lastRow="0" w:firstColumn="1" w:lastColumn="0" w:noHBand="0" w:noVBand="1"/>
      </w:tblPr>
      <w:tblGrid>
        <w:gridCol w:w="1161"/>
        <w:gridCol w:w="729"/>
        <w:gridCol w:w="236"/>
        <w:gridCol w:w="8"/>
        <w:gridCol w:w="1173"/>
        <w:gridCol w:w="1181"/>
        <w:gridCol w:w="1182"/>
        <w:gridCol w:w="1451"/>
        <w:gridCol w:w="1159"/>
      </w:tblGrid>
      <w:tr w:rsidR="003C25E0" w:rsidTr="00F25045">
        <w:trPr>
          <w:trHeight w:val="432"/>
          <w:jc w:val="center"/>
        </w:trPr>
        <w:tc>
          <w:tcPr>
            <w:tcW w:w="8280" w:type="dxa"/>
            <w:gridSpan w:val="9"/>
            <w:tcBorders>
              <w:top w:val="double" w:sz="4" w:space="0" w:color="auto"/>
              <w:left w:val="nil"/>
              <w:bottom w:val="single" w:sz="12" w:space="0" w:color="auto"/>
              <w:right w:val="nil"/>
            </w:tcBorders>
            <w:vAlign w:val="bottom"/>
          </w:tcPr>
          <w:p w:rsidR="008967FB" w:rsidRDefault="006C33FA" w:rsidP="004558D6">
            <w:pPr>
              <w:spacing w:line="240" w:lineRule="auto"/>
              <w:jc w:val="center"/>
              <w:rPr>
                <w:b/>
              </w:rPr>
            </w:pPr>
            <w:r w:rsidRPr="006C33FA">
              <w:rPr>
                <w:b/>
              </w:rPr>
              <w:t xml:space="preserve">Figure </w:t>
            </w:r>
            <w:r w:rsidR="004558D6">
              <w:rPr>
                <w:b/>
              </w:rPr>
              <w:t>1</w:t>
            </w:r>
            <w:r w:rsidRPr="006C33FA">
              <w:rPr>
                <w:b/>
              </w:rPr>
              <w:t>:</w:t>
            </w:r>
          </w:p>
          <w:p w:rsidR="003C25E0" w:rsidRPr="00480B87" w:rsidRDefault="00D27624" w:rsidP="004558D6">
            <w:pPr>
              <w:spacing w:line="240" w:lineRule="auto"/>
              <w:jc w:val="center"/>
              <w:rPr>
                <w:b/>
              </w:rPr>
            </w:pPr>
            <w:r w:rsidRPr="008967FB">
              <w:rPr>
                <w:b/>
                <w:i/>
              </w:rPr>
              <w:t>Example of How to C</w:t>
            </w:r>
            <w:r w:rsidR="003C25E0" w:rsidRPr="008967FB">
              <w:rPr>
                <w:b/>
                <w:i/>
              </w:rPr>
              <w:t>alculate</w:t>
            </w:r>
            <w:r w:rsidR="003C25E0" w:rsidRPr="000A0CBB">
              <w:rPr>
                <w:b/>
                <w:i/>
              </w:rPr>
              <w:t xml:space="preserve"> </w:t>
            </w:r>
            <w:r w:rsidR="003C25E0">
              <w:rPr>
                <w:b/>
                <w:i/>
              </w:rPr>
              <w:t>DIFF</w:t>
            </w:r>
          </w:p>
        </w:tc>
      </w:tr>
      <w:tr w:rsidR="003C25E0" w:rsidTr="00F25045">
        <w:trPr>
          <w:trHeight w:val="676"/>
          <w:jc w:val="center"/>
        </w:trPr>
        <w:tc>
          <w:tcPr>
            <w:tcW w:w="1890" w:type="dxa"/>
            <w:gridSpan w:val="2"/>
            <w:tcBorders>
              <w:top w:val="single" w:sz="12" w:space="0" w:color="auto"/>
              <w:left w:val="nil"/>
              <w:bottom w:val="single" w:sz="4" w:space="0" w:color="auto"/>
              <w:right w:val="nil"/>
            </w:tcBorders>
            <w:vAlign w:val="bottom"/>
          </w:tcPr>
          <w:p w:rsidR="003C25E0" w:rsidRPr="00F25045" w:rsidRDefault="003C25E0" w:rsidP="00A27160">
            <w:pPr>
              <w:spacing w:line="240" w:lineRule="auto"/>
              <w:jc w:val="center"/>
              <w:rPr>
                <w:b/>
              </w:rPr>
            </w:pPr>
            <w:r w:rsidRPr="00F25045">
              <w:rPr>
                <w:b/>
              </w:rPr>
              <w:t>Focal Firm</w:t>
            </w:r>
          </w:p>
          <w:p w:rsidR="003C25E0" w:rsidRPr="00F25045" w:rsidRDefault="003C25E0" w:rsidP="00A27160">
            <w:pPr>
              <w:spacing w:after="200" w:line="240" w:lineRule="auto"/>
              <w:jc w:val="center"/>
              <w:rPr>
                <w:b/>
              </w:rPr>
            </w:pPr>
            <w:r w:rsidRPr="00F25045">
              <w:rPr>
                <w:b/>
              </w:rPr>
              <w:t>Reported Segments</w:t>
            </w:r>
          </w:p>
        </w:tc>
        <w:tc>
          <w:tcPr>
            <w:tcW w:w="244" w:type="dxa"/>
            <w:gridSpan w:val="2"/>
            <w:tcBorders>
              <w:top w:val="single" w:sz="12" w:space="0" w:color="auto"/>
              <w:left w:val="nil"/>
              <w:bottom w:val="single" w:sz="4" w:space="0" w:color="auto"/>
              <w:right w:val="single" w:sz="4" w:space="0" w:color="auto"/>
            </w:tcBorders>
            <w:vAlign w:val="bottom"/>
          </w:tcPr>
          <w:p w:rsidR="003C25E0" w:rsidRPr="00F25045" w:rsidRDefault="003C25E0" w:rsidP="00A27160">
            <w:pPr>
              <w:spacing w:after="200" w:line="240" w:lineRule="auto"/>
              <w:jc w:val="center"/>
              <w:rPr>
                <w:b/>
              </w:rPr>
            </w:pPr>
          </w:p>
        </w:tc>
        <w:tc>
          <w:tcPr>
            <w:tcW w:w="3536" w:type="dxa"/>
            <w:gridSpan w:val="3"/>
            <w:tcBorders>
              <w:top w:val="single" w:sz="12" w:space="0" w:color="auto"/>
              <w:left w:val="nil"/>
              <w:bottom w:val="single" w:sz="4" w:space="0" w:color="auto"/>
              <w:right w:val="single" w:sz="4" w:space="0" w:color="auto"/>
            </w:tcBorders>
            <w:vAlign w:val="bottom"/>
          </w:tcPr>
          <w:p w:rsidR="003C25E0" w:rsidRPr="00F25045" w:rsidRDefault="003C25E0" w:rsidP="00A27160">
            <w:pPr>
              <w:spacing w:after="200" w:line="240" w:lineRule="auto"/>
              <w:jc w:val="center"/>
              <w:rPr>
                <w:b/>
              </w:rPr>
            </w:pPr>
            <w:r w:rsidRPr="00F25045">
              <w:rPr>
                <w:b/>
              </w:rPr>
              <w:t>TNIC Peer Firms</w:t>
            </w:r>
          </w:p>
        </w:tc>
        <w:tc>
          <w:tcPr>
            <w:tcW w:w="2610" w:type="dxa"/>
            <w:gridSpan w:val="2"/>
            <w:tcBorders>
              <w:top w:val="single" w:sz="12" w:space="0" w:color="auto"/>
              <w:left w:val="single" w:sz="4" w:space="0" w:color="auto"/>
              <w:bottom w:val="single" w:sz="4" w:space="0" w:color="auto"/>
              <w:right w:val="nil"/>
            </w:tcBorders>
            <w:vAlign w:val="bottom"/>
          </w:tcPr>
          <w:p w:rsidR="003C25E0" w:rsidRPr="00F25045" w:rsidRDefault="003C25E0" w:rsidP="00A27160">
            <w:pPr>
              <w:spacing w:after="200" w:line="240" w:lineRule="auto"/>
              <w:jc w:val="center"/>
              <w:rPr>
                <w:b/>
                <w:i/>
              </w:rPr>
            </w:pPr>
            <w:r w:rsidRPr="00F25045">
              <w:rPr>
                <w:b/>
                <w:i/>
              </w:rPr>
              <w:t>DIFF</w:t>
            </w:r>
          </w:p>
        </w:tc>
      </w:tr>
      <w:tr w:rsidR="003C25E0" w:rsidTr="00F25045">
        <w:trPr>
          <w:trHeight w:val="300"/>
          <w:jc w:val="center"/>
        </w:trPr>
        <w:tc>
          <w:tcPr>
            <w:tcW w:w="1890" w:type="dxa"/>
            <w:gridSpan w:val="2"/>
            <w:tcBorders>
              <w:top w:val="single" w:sz="4" w:space="0" w:color="auto"/>
              <w:left w:val="nil"/>
              <w:bottom w:val="single" w:sz="4" w:space="0" w:color="auto"/>
              <w:right w:val="nil"/>
            </w:tcBorders>
          </w:tcPr>
          <w:p w:rsidR="003C25E0" w:rsidRDefault="003C25E0" w:rsidP="00A27160">
            <w:pPr>
              <w:spacing w:line="240" w:lineRule="auto"/>
              <w:jc w:val="center"/>
            </w:pPr>
            <w:r>
              <w:t>Firm A</w:t>
            </w:r>
          </w:p>
        </w:tc>
        <w:tc>
          <w:tcPr>
            <w:tcW w:w="236" w:type="dxa"/>
            <w:tcBorders>
              <w:top w:val="single" w:sz="4" w:space="0" w:color="auto"/>
              <w:left w:val="nil"/>
              <w:bottom w:val="single" w:sz="4" w:space="0" w:color="auto"/>
              <w:right w:val="single" w:sz="4" w:space="0" w:color="auto"/>
            </w:tcBorders>
          </w:tcPr>
          <w:p w:rsidR="003C25E0" w:rsidRDefault="003C25E0" w:rsidP="00A27160">
            <w:pPr>
              <w:spacing w:line="240" w:lineRule="auto"/>
              <w:jc w:val="center"/>
            </w:pPr>
          </w:p>
        </w:tc>
        <w:tc>
          <w:tcPr>
            <w:tcW w:w="1181" w:type="dxa"/>
            <w:gridSpan w:val="2"/>
            <w:tcBorders>
              <w:top w:val="single" w:sz="4" w:space="0" w:color="auto"/>
              <w:left w:val="single" w:sz="4" w:space="0" w:color="auto"/>
              <w:bottom w:val="single" w:sz="4" w:space="0" w:color="auto"/>
              <w:right w:val="nil"/>
            </w:tcBorders>
          </w:tcPr>
          <w:p w:rsidR="003C25E0" w:rsidRDefault="003C25E0" w:rsidP="00A27160">
            <w:pPr>
              <w:spacing w:line="240" w:lineRule="auto"/>
              <w:jc w:val="center"/>
            </w:pPr>
            <w:r>
              <w:t>Firm X</w:t>
            </w:r>
          </w:p>
        </w:tc>
        <w:tc>
          <w:tcPr>
            <w:tcW w:w="1181" w:type="dxa"/>
            <w:tcBorders>
              <w:top w:val="single" w:sz="4" w:space="0" w:color="auto"/>
              <w:left w:val="nil"/>
              <w:bottom w:val="single" w:sz="4" w:space="0" w:color="auto"/>
              <w:right w:val="nil"/>
            </w:tcBorders>
          </w:tcPr>
          <w:p w:rsidR="003C25E0" w:rsidRDefault="003C25E0" w:rsidP="00A27160">
            <w:pPr>
              <w:spacing w:line="240" w:lineRule="auto"/>
              <w:jc w:val="center"/>
            </w:pPr>
            <w:r>
              <w:t>Firm Y</w:t>
            </w:r>
          </w:p>
        </w:tc>
        <w:tc>
          <w:tcPr>
            <w:tcW w:w="1182" w:type="dxa"/>
            <w:tcBorders>
              <w:top w:val="single" w:sz="4" w:space="0" w:color="auto"/>
              <w:left w:val="nil"/>
              <w:bottom w:val="single" w:sz="4" w:space="0" w:color="auto"/>
              <w:right w:val="single" w:sz="4" w:space="0" w:color="auto"/>
            </w:tcBorders>
          </w:tcPr>
          <w:p w:rsidR="003C25E0" w:rsidRDefault="003C25E0" w:rsidP="00A27160">
            <w:pPr>
              <w:spacing w:line="240" w:lineRule="auto"/>
              <w:jc w:val="center"/>
            </w:pPr>
            <w:r>
              <w:t>Firm Z</w:t>
            </w:r>
          </w:p>
        </w:tc>
        <w:tc>
          <w:tcPr>
            <w:tcW w:w="2610" w:type="dxa"/>
            <w:gridSpan w:val="2"/>
            <w:tcBorders>
              <w:top w:val="single" w:sz="4" w:space="0" w:color="auto"/>
              <w:left w:val="single" w:sz="4" w:space="0" w:color="auto"/>
              <w:bottom w:val="single" w:sz="4" w:space="0" w:color="auto"/>
              <w:right w:val="nil"/>
            </w:tcBorders>
          </w:tcPr>
          <w:p w:rsidR="003C25E0" w:rsidRDefault="003C25E0" w:rsidP="00A27160">
            <w:pPr>
              <w:spacing w:line="240" w:lineRule="auto"/>
              <w:jc w:val="center"/>
            </w:pPr>
            <w:r>
              <w:t>Firm A</w:t>
            </w:r>
          </w:p>
        </w:tc>
      </w:tr>
      <w:tr w:rsidR="003C25E0" w:rsidTr="00F25045">
        <w:trPr>
          <w:jc w:val="center"/>
        </w:trPr>
        <w:tc>
          <w:tcPr>
            <w:tcW w:w="1161" w:type="dxa"/>
            <w:tcBorders>
              <w:top w:val="nil"/>
              <w:left w:val="nil"/>
              <w:bottom w:val="single" w:sz="4" w:space="0" w:color="auto"/>
              <w:right w:val="nil"/>
            </w:tcBorders>
          </w:tcPr>
          <w:p w:rsidR="003C25E0" w:rsidRDefault="003C25E0" w:rsidP="00A27160">
            <w:pPr>
              <w:spacing w:line="240" w:lineRule="auto"/>
              <w:jc w:val="center"/>
            </w:pPr>
            <w:r>
              <w:t>Segments</w:t>
            </w:r>
          </w:p>
        </w:tc>
        <w:tc>
          <w:tcPr>
            <w:tcW w:w="729" w:type="dxa"/>
            <w:tcBorders>
              <w:top w:val="nil"/>
              <w:left w:val="nil"/>
              <w:bottom w:val="single" w:sz="4" w:space="0" w:color="auto"/>
              <w:right w:val="nil"/>
            </w:tcBorders>
          </w:tcPr>
          <w:p w:rsidR="003C25E0" w:rsidRDefault="003C25E0" w:rsidP="00A27160">
            <w:pPr>
              <w:spacing w:line="240" w:lineRule="auto"/>
              <w:jc w:val="center"/>
            </w:pPr>
            <w:r>
              <w:t>Sales</w:t>
            </w:r>
          </w:p>
        </w:tc>
        <w:tc>
          <w:tcPr>
            <w:tcW w:w="236" w:type="dxa"/>
            <w:tcBorders>
              <w:top w:val="nil"/>
              <w:left w:val="nil"/>
              <w:bottom w:val="single" w:sz="4" w:space="0" w:color="auto"/>
              <w:right w:val="single" w:sz="4" w:space="0" w:color="auto"/>
            </w:tcBorders>
          </w:tcPr>
          <w:p w:rsidR="003C25E0" w:rsidRDefault="003C25E0" w:rsidP="00A27160">
            <w:pPr>
              <w:spacing w:line="240" w:lineRule="auto"/>
              <w:jc w:val="center"/>
            </w:pPr>
          </w:p>
        </w:tc>
        <w:tc>
          <w:tcPr>
            <w:tcW w:w="1181" w:type="dxa"/>
            <w:gridSpan w:val="2"/>
            <w:tcBorders>
              <w:top w:val="nil"/>
              <w:left w:val="single" w:sz="4" w:space="0" w:color="auto"/>
              <w:bottom w:val="single" w:sz="4" w:space="0" w:color="auto"/>
              <w:right w:val="nil"/>
            </w:tcBorders>
          </w:tcPr>
          <w:p w:rsidR="003C25E0" w:rsidRDefault="003C25E0" w:rsidP="00A27160">
            <w:pPr>
              <w:spacing w:line="240" w:lineRule="auto"/>
              <w:jc w:val="center"/>
            </w:pPr>
          </w:p>
        </w:tc>
        <w:tc>
          <w:tcPr>
            <w:tcW w:w="1181" w:type="dxa"/>
            <w:tcBorders>
              <w:top w:val="nil"/>
              <w:left w:val="nil"/>
              <w:bottom w:val="single" w:sz="4" w:space="0" w:color="auto"/>
              <w:right w:val="nil"/>
            </w:tcBorders>
          </w:tcPr>
          <w:p w:rsidR="003C25E0" w:rsidRDefault="003C25E0" w:rsidP="00A27160">
            <w:pPr>
              <w:spacing w:line="240" w:lineRule="auto"/>
              <w:jc w:val="center"/>
            </w:pPr>
          </w:p>
        </w:tc>
        <w:tc>
          <w:tcPr>
            <w:tcW w:w="1182" w:type="dxa"/>
            <w:tcBorders>
              <w:top w:val="nil"/>
              <w:left w:val="nil"/>
              <w:bottom w:val="single" w:sz="4" w:space="0" w:color="auto"/>
              <w:right w:val="single" w:sz="4" w:space="0" w:color="auto"/>
            </w:tcBorders>
          </w:tcPr>
          <w:p w:rsidR="003C25E0" w:rsidRDefault="003C25E0" w:rsidP="00A27160">
            <w:pPr>
              <w:spacing w:line="240" w:lineRule="auto"/>
              <w:jc w:val="center"/>
            </w:pPr>
          </w:p>
        </w:tc>
        <w:tc>
          <w:tcPr>
            <w:tcW w:w="1451" w:type="dxa"/>
            <w:tcBorders>
              <w:top w:val="nil"/>
              <w:left w:val="single" w:sz="4" w:space="0" w:color="auto"/>
              <w:bottom w:val="single" w:sz="4" w:space="0" w:color="auto"/>
              <w:right w:val="nil"/>
            </w:tcBorders>
          </w:tcPr>
          <w:p w:rsidR="003C25E0" w:rsidRDefault="003C25E0" w:rsidP="00A27160">
            <w:pPr>
              <w:spacing w:line="240" w:lineRule="auto"/>
              <w:jc w:val="center"/>
            </w:pPr>
            <w:r>
              <w:t>Segments</w:t>
            </w:r>
          </w:p>
        </w:tc>
        <w:tc>
          <w:tcPr>
            <w:tcW w:w="1159" w:type="dxa"/>
            <w:tcBorders>
              <w:top w:val="nil"/>
              <w:left w:val="nil"/>
              <w:bottom w:val="single" w:sz="4" w:space="0" w:color="auto"/>
              <w:right w:val="nil"/>
            </w:tcBorders>
          </w:tcPr>
          <w:p w:rsidR="003C25E0" w:rsidRDefault="003C25E0" w:rsidP="00A27160">
            <w:pPr>
              <w:spacing w:line="240" w:lineRule="auto"/>
              <w:jc w:val="center"/>
            </w:pPr>
            <w:r>
              <w:t>Sales</w:t>
            </w:r>
          </w:p>
        </w:tc>
      </w:tr>
      <w:tr w:rsidR="003C25E0" w:rsidTr="00F25045">
        <w:trPr>
          <w:jc w:val="center"/>
        </w:trPr>
        <w:tc>
          <w:tcPr>
            <w:tcW w:w="1161" w:type="dxa"/>
            <w:tcBorders>
              <w:top w:val="single" w:sz="4" w:space="0" w:color="auto"/>
              <w:left w:val="nil"/>
              <w:bottom w:val="nil"/>
              <w:right w:val="nil"/>
            </w:tcBorders>
          </w:tcPr>
          <w:p w:rsidR="003C25E0" w:rsidRDefault="003C25E0" w:rsidP="00A27160">
            <w:pPr>
              <w:spacing w:after="200" w:line="240" w:lineRule="auto"/>
              <w:jc w:val="center"/>
            </w:pPr>
            <w:r>
              <w:t>1</w:t>
            </w:r>
          </w:p>
        </w:tc>
        <w:tc>
          <w:tcPr>
            <w:tcW w:w="729" w:type="dxa"/>
            <w:tcBorders>
              <w:top w:val="single" w:sz="4" w:space="0" w:color="auto"/>
              <w:left w:val="nil"/>
              <w:bottom w:val="nil"/>
              <w:right w:val="nil"/>
            </w:tcBorders>
          </w:tcPr>
          <w:p w:rsidR="003C25E0" w:rsidRDefault="003C25E0" w:rsidP="00A27160">
            <w:pPr>
              <w:spacing w:after="200" w:line="240" w:lineRule="auto"/>
              <w:jc w:val="center"/>
            </w:pPr>
            <w:r>
              <w:t>35</w:t>
            </w:r>
          </w:p>
        </w:tc>
        <w:tc>
          <w:tcPr>
            <w:tcW w:w="236" w:type="dxa"/>
            <w:tcBorders>
              <w:top w:val="single" w:sz="4" w:space="0" w:color="auto"/>
              <w:left w:val="nil"/>
              <w:bottom w:val="nil"/>
              <w:right w:val="single" w:sz="4" w:space="0" w:color="auto"/>
            </w:tcBorders>
          </w:tcPr>
          <w:p w:rsidR="003C25E0" w:rsidRDefault="003C25E0" w:rsidP="00A27160">
            <w:pPr>
              <w:spacing w:after="200" w:line="240" w:lineRule="auto"/>
              <w:jc w:val="center"/>
            </w:pPr>
          </w:p>
        </w:tc>
        <w:tc>
          <w:tcPr>
            <w:tcW w:w="1181" w:type="dxa"/>
            <w:gridSpan w:val="2"/>
            <w:tcBorders>
              <w:top w:val="single" w:sz="4" w:space="0" w:color="auto"/>
              <w:left w:val="single" w:sz="4" w:space="0" w:color="auto"/>
              <w:bottom w:val="nil"/>
              <w:right w:val="nil"/>
            </w:tcBorders>
          </w:tcPr>
          <w:p w:rsidR="003C25E0" w:rsidRDefault="003C25E0" w:rsidP="00A27160">
            <w:pPr>
              <w:spacing w:after="200" w:line="240" w:lineRule="auto"/>
              <w:jc w:val="center"/>
            </w:pPr>
          </w:p>
        </w:tc>
        <w:tc>
          <w:tcPr>
            <w:tcW w:w="1181" w:type="dxa"/>
            <w:tcBorders>
              <w:top w:val="single" w:sz="4" w:space="0" w:color="auto"/>
              <w:left w:val="nil"/>
              <w:bottom w:val="nil"/>
              <w:right w:val="nil"/>
            </w:tcBorders>
          </w:tcPr>
          <w:p w:rsidR="003C25E0" w:rsidRDefault="003C25E0" w:rsidP="00A27160">
            <w:pPr>
              <w:spacing w:after="200" w:line="240" w:lineRule="auto"/>
              <w:jc w:val="center"/>
            </w:pPr>
          </w:p>
        </w:tc>
        <w:tc>
          <w:tcPr>
            <w:tcW w:w="1182" w:type="dxa"/>
            <w:tcBorders>
              <w:top w:val="single" w:sz="4" w:space="0" w:color="auto"/>
              <w:left w:val="nil"/>
              <w:bottom w:val="nil"/>
              <w:right w:val="single" w:sz="4" w:space="0" w:color="auto"/>
            </w:tcBorders>
          </w:tcPr>
          <w:p w:rsidR="003C25E0" w:rsidRDefault="003C25E0" w:rsidP="00A27160">
            <w:pPr>
              <w:spacing w:after="200" w:line="240" w:lineRule="auto"/>
              <w:jc w:val="center"/>
            </w:pPr>
          </w:p>
        </w:tc>
        <w:tc>
          <w:tcPr>
            <w:tcW w:w="1451" w:type="dxa"/>
            <w:tcBorders>
              <w:top w:val="single" w:sz="4" w:space="0" w:color="auto"/>
              <w:left w:val="single" w:sz="4" w:space="0" w:color="auto"/>
              <w:bottom w:val="nil"/>
              <w:right w:val="nil"/>
            </w:tcBorders>
          </w:tcPr>
          <w:p w:rsidR="003C25E0" w:rsidRDefault="003C25E0" w:rsidP="00A27160">
            <w:pPr>
              <w:spacing w:after="200" w:line="240" w:lineRule="auto"/>
              <w:jc w:val="center"/>
            </w:pPr>
            <w:r>
              <w:t>1</w:t>
            </w:r>
          </w:p>
        </w:tc>
        <w:tc>
          <w:tcPr>
            <w:tcW w:w="1159" w:type="dxa"/>
            <w:tcBorders>
              <w:top w:val="single" w:sz="4" w:space="0" w:color="auto"/>
              <w:left w:val="nil"/>
              <w:bottom w:val="nil"/>
              <w:right w:val="nil"/>
            </w:tcBorders>
          </w:tcPr>
          <w:p w:rsidR="003C25E0" w:rsidRDefault="003C25E0" w:rsidP="00A27160">
            <w:pPr>
              <w:spacing w:after="200" w:line="240" w:lineRule="auto"/>
              <w:jc w:val="center"/>
            </w:pPr>
            <w:r>
              <w:t>35</w:t>
            </w:r>
          </w:p>
        </w:tc>
      </w:tr>
      <w:tr w:rsidR="003C25E0" w:rsidTr="00F25045">
        <w:trPr>
          <w:jc w:val="center"/>
        </w:trPr>
        <w:tc>
          <w:tcPr>
            <w:tcW w:w="1161" w:type="dxa"/>
            <w:tcBorders>
              <w:top w:val="nil"/>
              <w:left w:val="nil"/>
              <w:bottom w:val="nil"/>
              <w:right w:val="nil"/>
            </w:tcBorders>
          </w:tcPr>
          <w:p w:rsidR="003C25E0" w:rsidRDefault="003C25E0" w:rsidP="00A27160">
            <w:pPr>
              <w:spacing w:after="200" w:line="240" w:lineRule="auto"/>
              <w:jc w:val="center"/>
            </w:pPr>
            <w:r>
              <w:t>2</w:t>
            </w:r>
          </w:p>
        </w:tc>
        <w:tc>
          <w:tcPr>
            <w:tcW w:w="729" w:type="dxa"/>
            <w:tcBorders>
              <w:top w:val="nil"/>
              <w:left w:val="nil"/>
              <w:bottom w:val="nil"/>
              <w:right w:val="nil"/>
            </w:tcBorders>
          </w:tcPr>
          <w:p w:rsidR="003C25E0" w:rsidRDefault="003C25E0" w:rsidP="00A27160">
            <w:pPr>
              <w:spacing w:after="200" w:line="240" w:lineRule="auto"/>
              <w:jc w:val="center"/>
            </w:pPr>
            <w:r>
              <w:t>65</w:t>
            </w:r>
          </w:p>
        </w:tc>
        <w:tc>
          <w:tcPr>
            <w:tcW w:w="236" w:type="dxa"/>
            <w:tcBorders>
              <w:top w:val="nil"/>
              <w:left w:val="nil"/>
              <w:bottom w:val="nil"/>
              <w:right w:val="single" w:sz="4" w:space="0" w:color="auto"/>
            </w:tcBorders>
          </w:tcPr>
          <w:p w:rsidR="003C25E0" w:rsidRDefault="003C25E0" w:rsidP="00A27160">
            <w:pPr>
              <w:spacing w:after="200" w:line="240" w:lineRule="auto"/>
              <w:jc w:val="center"/>
            </w:pPr>
          </w:p>
        </w:tc>
        <w:tc>
          <w:tcPr>
            <w:tcW w:w="1181" w:type="dxa"/>
            <w:gridSpan w:val="2"/>
            <w:tcBorders>
              <w:top w:val="nil"/>
              <w:left w:val="single" w:sz="4" w:space="0" w:color="auto"/>
              <w:bottom w:val="nil"/>
              <w:right w:val="nil"/>
            </w:tcBorders>
          </w:tcPr>
          <w:p w:rsidR="003C25E0" w:rsidRDefault="003C25E0" w:rsidP="00A27160">
            <w:pPr>
              <w:spacing w:after="200" w:line="240" w:lineRule="auto"/>
              <w:jc w:val="center"/>
            </w:pPr>
            <w:r>
              <w:t>2</w:t>
            </w:r>
          </w:p>
        </w:tc>
        <w:tc>
          <w:tcPr>
            <w:tcW w:w="1181" w:type="dxa"/>
            <w:tcBorders>
              <w:top w:val="nil"/>
              <w:left w:val="nil"/>
              <w:bottom w:val="nil"/>
              <w:right w:val="nil"/>
            </w:tcBorders>
          </w:tcPr>
          <w:p w:rsidR="003C25E0" w:rsidRDefault="003C25E0" w:rsidP="00A27160">
            <w:pPr>
              <w:spacing w:after="200" w:line="240" w:lineRule="auto"/>
              <w:jc w:val="center"/>
            </w:pPr>
            <w:r>
              <w:t>2</w:t>
            </w:r>
          </w:p>
        </w:tc>
        <w:tc>
          <w:tcPr>
            <w:tcW w:w="1182" w:type="dxa"/>
            <w:tcBorders>
              <w:top w:val="nil"/>
              <w:left w:val="nil"/>
              <w:bottom w:val="nil"/>
              <w:right w:val="single" w:sz="4" w:space="0" w:color="auto"/>
            </w:tcBorders>
          </w:tcPr>
          <w:p w:rsidR="003C25E0" w:rsidRDefault="003C25E0" w:rsidP="00A27160">
            <w:pPr>
              <w:spacing w:after="200" w:line="240" w:lineRule="auto"/>
              <w:jc w:val="center"/>
            </w:pPr>
            <w:r>
              <w:t>2</w:t>
            </w:r>
          </w:p>
        </w:tc>
        <w:tc>
          <w:tcPr>
            <w:tcW w:w="1451" w:type="dxa"/>
            <w:tcBorders>
              <w:top w:val="nil"/>
              <w:left w:val="single" w:sz="4" w:space="0" w:color="auto"/>
              <w:bottom w:val="nil"/>
              <w:right w:val="nil"/>
            </w:tcBorders>
          </w:tcPr>
          <w:p w:rsidR="003C25E0" w:rsidRDefault="003C25E0" w:rsidP="00A27160">
            <w:pPr>
              <w:spacing w:after="200" w:line="240" w:lineRule="auto"/>
              <w:jc w:val="center"/>
            </w:pPr>
          </w:p>
        </w:tc>
        <w:tc>
          <w:tcPr>
            <w:tcW w:w="1159" w:type="dxa"/>
            <w:tcBorders>
              <w:top w:val="nil"/>
              <w:left w:val="nil"/>
              <w:bottom w:val="nil"/>
              <w:right w:val="nil"/>
            </w:tcBorders>
          </w:tcPr>
          <w:p w:rsidR="003C25E0" w:rsidRDefault="003C25E0" w:rsidP="00A27160">
            <w:pPr>
              <w:spacing w:after="200" w:line="240" w:lineRule="auto"/>
              <w:jc w:val="center"/>
            </w:pPr>
          </w:p>
        </w:tc>
      </w:tr>
      <w:tr w:rsidR="003C25E0" w:rsidTr="00F25045">
        <w:trPr>
          <w:jc w:val="center"/>
        </w:trPr>
        <w:tc>
          <w:tcPr>
            <w:tcW w:w="1161" w:type="dxa"/>
            <w:tcBorders>
              <w:top w:val="nil"/>
              <w:left w:val="nil"/>
              <w:bottom w:val="nil"/>
              <w:right w:val="nil"/>
            </w:tcBorders>
          </w:tcPr>
          <w:p w:rsidR="003C25E0" w:rsidRDefault="003C25E0" w:rsidP="00A27160">
            <w:pPr>
              <w:spacing w:after="200" w:line="240" w:lineRule="auto"/>
              <w:jc w:val="center"/>
            </w:pPr>
          </w:p>
        </w:tc>
        <w:tc>
          <w:tcPr>
            <w:tcW w:w="729" w:type="dxa"/>
            <w:tcBorders>
              <w:top w:val="nil"/>
              <w:left w:val="nil"/>
              <w:bottom w:val="nil"/>
              <w:right w:val="nil"/>
            </w:tcBorders>
          </w:tcPr>
          <w:p w:rsidR="003C25E0" w:rsidRDefault="003C25E0" w:rsidP="00A27160">
            <w:pPr>
              <w:spacing w:after="200" w:line="240" w:lineRule="auto"/>
              <w:jc w:val="center"/>
            </w:pPr>
          </w:p>
        </w:tc>
        <w:tc>
          <w:tcPr>
            <w:tcW w:w="236" w:type="dxa"/>
            <w:tcBorders>
              <w:top w:val="nil"/>
              <w:left w:val="nil"/>
              <w:bottom w:val="nil"/>
              <w:right w:val="single" w:sz="4" w:space="0" w:color="auto"/>
            </w:tcBorders>
          </w:tcPr>
          <w:p w:rsidR="003C25E0" w:rsidRDefault="003C25E0" w:rsidP="00A27160">
            <w:pPr>
              <w:spacing w:after="200" w:line="240" w:lineRule="auto"/>
              <w:jc w:val="center"/>
            </w:pPr>
          </w:p>
        </w:tc>
        <w:tc>
          <w:tcPr>
            <w:tcW w:w="1181" w:type="dxa"/>
            <w:gridSpan w:val="2"/>
            <w:tcBorders>
              <w:top w:val="nil"/>
              <w:left w:val="single" w:sz="4" w:space="0" w:color="auto"/>
              <w:bottom w:val="nil"/>
              <w:right w:val="nil"/>
            </w:tcBorders>
          </w:tcPr>
          <w:p w:rsidR="003C25E0" w:rsidRDefault="003C25E0" w:rsidP="00A27160">
            <w:pPr>
              <w:spacing w:after="200" w:line="240" w:lineRule="auto"/>
              <w:jc w:val="center"/>
            </w:pPr>
          </w:p>
        </w:tc>
        <w:tc>
          <w:tcPr>
            <w:tcW w:w="1181" w:type="dxa"/>
            <w:tcBorders>
              <w:top w:val="nil"/>
              <w:left w:val="nil"/>
              <w:bottom w:val="nil"/>
              <w:right w:val="nil"/>
            </w:tcBorders>
          </w:tcPr>
          <w:p w:rsidR="003C25E0" w:rsidRDefault="003C25E0" w:rsidP="00A27160">
            <w:pPr>
              <w:spacing w:after="200" w:line="240" w:lineRule="auto"/>
              <w:jc w:val="center"/>
            </w:pPr>
            <w:r>
              <w:t>3</w:t>
            </w:r>
          </w:p>
        </w:tc>
        <w:tc>
          <w:tcPr>
            <w:tcW w:w="1182" w:type="dxa"/>
            <w:tcBorders>
              <w:top w:val="nil"/>
              <w:left w:val="nil"/>
              <w:bottom w:val="nil"/>
              <w:right w:val="single" w:sz="4" w:space="0" w:color="auto"/>
            </w:tcBorders>
          </w:tcPr>
          <w:p w:rsidR="003C25E0" w:rsidRDefault="003C25E0" w:rsidP="00A27160">
            <w:pPr>
              <w:spacing w:after="200" w:line="240" w:lineRule="auto"/>
              <w:jc w:val="center"/>
            </w:pPr>
          </w:p>
        </w:tc>
        <w:tc>
          <w:tcPr>
            <w:tcW w:w="1451" w:type="dxa"/>
            <w:tcBorders>
              <w:top w:val="nil"/>
              <w:left w:val="single" w:sz="4" w:space="0" w:color="auto"/>
              <w:bottom w:val="nil"/>
              <w:right w:val="nil"/>
            </w:tcBorders>
          </w:tcPr>
          <w:p w:rsidR="003C25E0" w:rsidRDefault="003C25E0" w:rsidP="00A27160">
            <w:pPr>
              <w:spacing w:after="200" w:line="240" w:lineRule="auto"/>
              <w:jc w:val="center"/>
            </w:pPr>
          </w:p>
        </w:tc>
        <w:tc>
          <w:tcPr>
            <w:tcW w:w="1159" w:type="dxa"/>
            <w:tcBorders>
              <w:top w:val="nil"/>
              <w:left w:val="nil"/>
              <w:bottom w:val="nil"/>
              <w:right w:val="nil"/>
            </w:tcBorders>
          </w:tcPr>
          <w:p w:rsidR="003C25E0" w:rsidRDefault="003C25E0" w:rsidP="00A27160">
            <w:pPr>
              <w:spacing w:after="200" w:line="240" w:lineRule="auto"/>
              <w:jc w:val="center"/>
            </w:pPr>
          </w:p>
        </w:tc>
      </w:tr>
      <w:tr w:rsidR="003C25E0" w:rsidTr="00F25045">
        <w:trPr>
          <w:jc w:val="center"/>
        </w:trPr>
        <w:tc>
          <w:tcPr>
            <w:tcW w:w="1161" w:type="dxa"/>
            <w:tcBorders>
              <w:top w:val="nil"/>
              <w:left w:val="nil"/>
              <w:bottom w:val="nil"/>
              <w:right w:val="nil"/>
            </w:tcBorders>
          </w:tcPr>
          <w:p w:rsidR="003C25E0" w:rsidRDefault="003C25E0" w:rsidP="00A27160">
            <w:pPr>
              <w:spacing w:after="200" w:line="240" w:lineRule="auto"/>
              <w:jc w:val="center"/>
            </w:pPr>
          </w:p>
        </w:tc>
        <w:tc>
          <w:tcPr>
            <w:tcW w:w="729" w:type="dxa"/>
            <w:tcBorders>
              <w:top w:val="nil"/>
              <w:left w:val="nil"/>
              <w:bottom w:val="nil"/>
              <w:right w:val="nil"/>
            </w:tcBorders>
          </w:tcPr>
          <w:p w:rsidR="003C25E0" w:rsidRDefault="003C25E0" w:rsidP="00A27160">
            <w:pPr>
              <w:spacing w:after="200" w:line="240" w:lineRule="auto"/>
              <w:jc w:val="center"/>
            </w:pPr>
          </w:p>
        </w:tc>
        <w:tc>
          <w:tcPr>
            <w:tcW w:w="236" w:type="dxa"/>
            <w:tcBorders>
              <w:top w:val="nil"/>
              <w:left w:val="nil"/>
              <w:bottom w:val="nil"/>
              <w:right w:val="single" w:sz="4" w:space="0" w:color="auto"/>
            </w:tcBorders>
          </w:tcPr>
          <w:p w:rsidR="003C25E0" w:rsidRDefault="003C25E0" w:rsidP="00A27160">
            <w:pPr>
              <w:spacing w:after="200" w:line="240" w:lineRule="auto"/>
              <w:jc w:val="center"/>
            </w:pPr>
          </w:p>
        </w:tc>
        <w:tc>
          <w:tcPr>
            <w:tcW w:w="1181" w:type="dxa"/>
            <w:gridSpan w:val="2"/>
            <w:tcBorders>
              <w:top w:val="nil"/>
              <w:left w:val="single" w:sz="4" w:space="0" w:color="auto"/>
              <w:bottom w:val="nil"/>
              <w:right w:val="nil"/>
            </w:tcBorders>
          </w:tcPr>
          <w:p w:rsidR="003C25E0" w:rsidRDefault="003C25E0" w:rsidP="00A27160">
            <w:pPr>
              <w:spacing w:after="200" w:line="240" w:lineRule="auto"/>
              <w:jc w:val="center"/>
            </w:pPr>
          </w:p>
        </w:tc>
        <w:tc>
          <w:tcPr>
            <w:tcW w:w="1181" w:type="dxa"/>
            <w:tcBorders>
              <w:top w:val="nil"/>
              <w:left w:val="nil"/>
              <w:bottom w:val="nil"/>
              <w:right w:val="nil"/>
            </w:tcBorders>
          </w:tcPr>
          <w:p w:rsidR="003C25E0" w:rsidRDefault="003C25E0" w:rsidP="00A27160">
            <w:pPr>
              <w:spacing w:after="200" w:line="240" w:lineRule="auto"/>
              <w:jc w:val="center"/>
            </w:pPr>
          </w:p>
        </w:tc>
        <w:tc>
          <w:tcPr>
            <w:tcW w:w="1182" w:type="dxa"/>
            <w:tcBorders>
              <w:top w:val="nil"/>
              <w:left w:val="nil"/>
              <w:bottom w:val="nil"/>
              <w:right w:val="single" w:sz="4" w:space="0" w:color="auto"/>
            </w:tcBorders>
          </w:tcPr>
          <w:p w:rsidR="003C25E0" w:rsidRDefault="003C25E0" w:rsidP="00A27160">
            <w:pPr>
              <w:spacing w:after="200" w:line="240" w:lineRule="auto"/>
              <w:jc w:val="center"/>
            </w:pPr>
            <w:r>
              <w:t>4</w:t>
            </w:r>
          </w:p>
        </w:tc>
        <w:tc>
          <w:tcPr>
            <w:tcW w:w="1451" w:type="dxa"/>
            <w:tcBorders>
              <w:top w:val="nil"/>
              <w:left w:val="single" w:sz="4" w:space="0" w:color="auto"/>
              <w:bottom w:val="nil"/>
              <w:right w:val="nil"/>
            </w:tcBorders>
          </w:tcPr>
          <w:p w:rsidR="003C25E0" w:rsidRDefault="003C25E0" w:rsidP="00A27160">
            <w:pPr>
              <w:spacing w:after="200" w:line="240" w:lineRule="auto"/>
              <w:jc w:val="center"/>
            </w:pPr>
          </w:p>
        </w:tc>
        <w:tc>
          <w:tcPr>
            <w:tcW w:w="1159" w:type="dxa"/>
            <w:tcBorders>
              <w:top w:val="nil"/>
              <w:left w:val="nil"/>
              <w:bottom w:val="nil"/>
              <w:right w:val="nil"/>
            </w:tcBorders>
          </w:tcPr>
          <w:p w:rsidR="003C25E0" w:rsidRDefault="003C25E0" w:rsidP="00A27160">
            <w:pPr>
              <w:spacing w:after="200" w:line="240" w:lineRule="auto"/>
              <w:jc w:val="center"/>
            </w:pPr>
          </w:p>
        </w:tc>
      </w:tr>
      <w:tr w:rsidR="003C25E0" w:rsidTr="00F25045">
        <w:trPr>
          <w:trHeight w:val="276"/>
          <w:jc w:val="center"/>
        </w:trPr>
        <w:tc>
          <w:tcPr>
            <w:tcW w:w="1161" w:type="dxa"/>
            <w:tcBorders>
              <w:top w:val="single" w:sz="4" w:space="0" w:color="auto"/>
              <w:left w:val="nil"/>
              <w:bottom w:val="double" w:sz="4" w:space="0" w:color="auto"/>
              <w:right w:val="nil"/>
            </w:tcBorders>
            <w:vAlign w:val="bottom"/>
          </w:tcPr>
          <w:p w:rsidR="003C25E0" w:rsidRDefault="003C25E0" w:rsidP="00A27160">
            <w:pPr>
              <w:spacing w:line="240" w:lineRule="auto"/>
              <w:jc w:val="center"/>
            </w:pPr>
            <w:r>
              <w:t>Total</w:t>
            </w:r>
          </w:p>
        </w:tc>
        <w:tc>
          <w:tcPr>
            <w:tcW w:w="729" w:type="dxa"/>
            <w:tcBorders>
              <w:top w:val="single" w:sz="4" w:space="0" w:color="auto"/>
              <w:left w:val="nil"/>
              <w:bottom w:val="double" w:sz="4" w:space="0" w:color="auto"/>
              <w:right w:val="nil"/>
            </w:tcBorders>
            <w:vAlign w:val="bottom"/>
          </w:tcPr>
          <w:p w:rsidR="003C25E0" w:rsidRDefault="003C25E0" w:rsidP="00A27160">
            <w:pPr>
              <w:spacing w:line="240" w:lineRule="auto"/>
              <w:jc w:val="center"/>
            </w:pPr>
            <w:r>
              <w:t>100</w:t>
            </w:r>
          </w:p>
        </w:tc>
        <w:tc>
          <w:tcPr>
            <w:tcW w:w="236" w:type="dxa"/>
            <w:tcBorders>
              <w:top w:val="single" w:sz="4" w:space="0" w:color="auto"/>
              <w:left w:val="nil"/>
              <w:bottom w:val="double" w:sz="4" w:space="0" w:color="auto"/>
              <w:right w:val="single" w:sz="4" w:space="0" w:color="auto"/>
            </w:tcBorders>
            <w:vAlign w:val="bottom"/>
          </w:tcPr>
          <w:p w:rsidR="003C25E0" w:rsidRDefault="003C25E0" w:rsidP="00A27160">
            <w:pPr>
              <w:spacing w:line="240" w:lineRule="auto"/>
              <w:jc w:val="center"/>
            </w:pPr>
          </w:p>
        </w:tc>
        <w:tc>
          <w:tcPr>
            <w:tcW w:w="1181" w:type="dxa"/>
            <w:gridSpan w:val="2"/>
            <w:tcBorders>
              <w:top w:val="single" w:sz="4" w:space="0" w:color="auto"/>
              <w:left w:val="single" w:sz="4" w:space="0" w:color="auto"/>
              <w:bottom w:val="double" w:sz="4" w:space="0" w:color="auto"/>
              <w:right w:val="nil"/>
            </w:tcBorders>
            <w:vAlign w:val="bottom"/>
          </w:tcPr>
          <w:p w:rsidR="003C25E0" w:rsidRDefault="003C25E0" w:rsidP="00A27160">
            <w:pPr>
              <w:spacing w:line="240" w:lineRule="auto"/>
              <w:jc w:val="center"/>
            </w:pPr>
          </w:p>
        </w:tc>
        <w:tc>
          <w:tcPr>
            <w:tcW w:w="1181" w:type="dxa"/>
            <w:tcBorders>
              <w:top w:val="single" w:sz="4" w:space="0" w:color="auto"/>
              <w:left w:val="nil"/>
              <w:bottom w:val="double" w:sz="4" w:space="0" w:color="auto"/>
              <w:right w:val="nil"/>
            </w:tcBorders>
            <w:vAlign w:val="bottom"/>
          </w:tcPr>
          <w:p w:rsidR="003C25E0" w:rsidRDefault="003C25E0" w:rsidP="00A27160">
            <w:pPr>
              <w:spacing w:line="240" w:lineRule="auto"/>
              <w:jc w:val="center"/>
            </w:pPr>
          </w:p>
        </w:tc>
        <w:tc>
          <w:tcPr>
            <w:tcW w:w="1182" w:type="dxa"/>
            <w:tcBorders>
              <w:top w:val="single" w:sz="4" w:space="0" w:color="auto"/>
              <w:left w:val="nil"/>
              <w:bottom w:val="double" w:sz="4" w:space="0" w:color="auto"/>
              <w:right w:val="single" w:sz="4" w:space="0" w:color="auto"/>
            </w:tcBorders>
            <w:vAlign w:val="bottom"/>
          </w:tcPr>
          <w:p w:rsidR="003C25E0" w:rsidRDefault="003C25E0" w:rsidP="00A27160">
            <w:pPr>
              <w:spacing w:line="240" w:lineRule="auto"/>
              <w:jc w:val="center"/>
            </w:pPr>
          </w:p>
        </w:tc>
        <w:tc>
          <w:tcPr>
            <w:tcW w:w="2610" w:type="dxa"/>
            <w:gridSpan w:val="2"/>
            <w:tcBorders>
              <w:top w:val="single" w:sz="4" w:space="0" w:color="auto"/>
              <w:left w:val="single" w:sz="4" w:space="0" w:color="auto"/>
              <w:bottom w:val="double" w:sz="4" w:space="0" w:color="auto"/>
              <w:right w:val="nil"/>
            </w:tcBorders>
            <w:vAlign w:val="bottom"/>
          </w:tcPr>
          <w:p w:rsidR="003C25E0" w:rsidRDefault="003C25E0" w:rsidP="00A27160">
            <w:pPr>
              <w:spacing w:line="240" w:lineRule="auto"/>
              <w:jc w:val="center"/>
            </w:pPr>
            <w:r>
              <w:rPr>
                <w:i/>
              </w:rPr>
              <w:t xml:space="preserve">DIFF </w:t>
            </w:r>
            <w:r w:rsidRPr="00885576">
              <w:t>=</w:t>
            </w:r>
            <w:r>
              <w:rPr>
                <w:i/>
              </w:rPr>
              <w:t xml:space="preserve"> </w:t>
            </w:r>
            <w:r>
              <w:t>35</w:t>
            </w:r>
            <w:r w:rsidRPr="00885576">
              <w:t xml:space="preserve">/100 = </w:t>
            </w:r>
            <w:r>
              <w:t>35</w:t>
            </w:r>
            <w:r w:rsidRPr="00885576">
              <w:t>%</w:t>
            </w:r>
          </w:p>
        </w:tc>
      </w:tr>
      <w:tr w:rsidR="003C25E0" w:rsidRPr="00424119" w:rsidTr="00F25045">
        <w:trPr>
          <w:trHeight w:val="276"/>
          <w:jc w:val="center"/>
        </w:trPr>
        <w:tc>
          <w:tcPr>
            <w:tcW w:w="8280" w:type="dxa"/>
            <w:gridSpan w:val="9"/>
            <w:tcBorders>
              <w:top w:val="double" w:sz="4" w:space="0" w:color="auto"/>
              <w:left w:val="nil"/>
              <w:bottom w:val="nil"/>
              <w:right w:val="nil"/>
            </w:tcBorders>
            <w:vAlign w:val="bottom"/>
          </w:tcPr>
          <w:p w:rsidR="003C25E0" w:rsidRPr="003846A1" w:rsidRDefault="003C25E0" w:rsidP="0010090C">
            <w:pPr>
              <w:spacing w:before="120" w:line="240" w:lineRule="auto"/>
              <w:rPr>
                <w:sz w:val="20"/>
                <w:szCs w:val="20"/>
              </w:rPr>
            </w:pPr>
            <w:r w:rsidRPr="003846A1">
              <w:rPr>
                <w:sz w:val="20"/>
                <w:szCs w:val="20"/>
              </w:rPr>
              <w:t xml:space="preserve">This figure provides an example of how to calculate segment reporting differentiation for this study, </w:t>
            </w:r>
            <w:r w:rsidRPr="003846A1">
              <w:rPr>
                <w:i/>
                <w:sz w:val="20"/>
                <w:szCs w:val="20"/>
              </w:rPr>
              <w:t>DIFF</w:t>
            </w:r>
            <w:r w:rsidR="0010090C">
              <w:rPr>
                <w:sz w:val="20"/>
                <w:szCs w:val="20"/>
              </w:rPr>
              <w:t>, using a stylized example</w:t>
            </w:r>
            <w:r w:rsidRPr="003846A1">
              <w:rPr>
                <w:sz w:val="20"/>
                <w:szCs w:val="20"/>
              </w:rPr>
              <w:t xml:space="preserve">.  </w:t>
            </w:r>
            <w:r w:rsidRPr="003846A1">
              <w:rPr>
                <w:i/>
                <w:sz w:val="20"/>
                <w:szCs w:val="20"/>
              </w:rPr>
              <w:t xml:space="preserve">DIFF </w:t>
            </w:r>
            <w:r w:rsidRPr="003846A1">
              <w:rPr>
                <w:sz w:val="20"/>
                <w:szCs w:val="20"/>
              </w:rPr>
              <w:t xml:space="preserve">is the sales of segments not reported by peers, divided by total sales.  </w:t>
            </w:r>
            <w:r w:rsidRPr="003846A1">
              <w:rPr>
                <w:i/>
                <w:sz w:val="20"/>
                <w:szCs w:val="20"/>
              </w:rPr>
              <w:t>DIFF</w:t>
            </w:r>
            <w:r w:rsidRPr="003846A1">
              <w:rPr>
                <w:sz w:val="20"/>
                <w:szCs w:val="20"/>
              </w:rPr>
              <w:t xml:space="preserve"> is used to calculate focal firm segment reporting differentiation, </w:t>
            </w:r>
            <w:r w:rsidRPr="003846A1">
              <w:rPr>
                <w:i/>
                <w:sz w:val="20"/>
                <w:szCs w:val="20"/>
              </w:rPr>
              <w:t>FFDIFF</w:t>
            </w:r>
            <w:r w:rsidRPr="003846A1">
              <w:rPr>
                <w:sz w:val="20"/>
                <w:szCs w:val="20"/>
              </w:rPr>
              <w:t xml:space="preserve">, and peer firm segment reporting differentiation, </w:t>
            </w:r>
            <w:r w:rsidRPr="003846A1">
              <w:rPr>
                <w:i/>
                <w:sz w:val="20"/>
                <w:szCs w:val="20"/>
              </w:rPr>
              <w:t>PFDIFF</w:t>
            </w:r>
            <w:r w:rsidRPr="003846A1">
              <w:rPr>
                <w:sz w:val="20"/>
                <w:szCs w:val="20"/>
              </w:rPr>
              <w:t xml:space="preserve">. </w:t>
            </w:r>
          </w:p>
        </w:tc>
      </w:tr>
    </w:tbl>
    <w:p w:rsidR="00861F46" w:rsidRDefault="00861F46" w:rsidP="0091777F">
      <w:pPr>
        <w:spacing w:before="240" w:after="240"/>
        <w:sectPr w:rsidR="00861F46" w:rsidSect="00DA1971">
          <w:footerReference w:type="default" r:id="rId19"/>
          <w:pgSz w:w="12240" w:h="15840" w:code="1"/>
          <w:pgMar w:top="1440" w:right="1440" w:bottom="1440" w:left="2304" w:header="720" w:footer="720" w:gutter="0"/>
          <w:pgNumType w:start="1"/>
          <w:cols w:space="720"/>
          <w:docGrid w:linePitch="360"/>
        </w:sectPr>
      </w:pPr>
    </w:p>
    <w:tbl>
      <w:tblPr>
        <w:tblStyle w:val="TableGrid"/>
        <w:tblW w:w="11236" w:type="dxa"/>
        <w:jc w:val="center"/>
        <w:tblInd w:w="-1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8"/>
        <w:gridCol w:w="918"/>
        <w:gridCol w:w="919"/>
        <w:gridCol w:w="918"/>
        <w:gridCol w:w="919"/>
        <w:gridCol w:w="918"/>
        <w:gridCol w:w="919"/>
        <w:gridCol w:w="918"/>
        <w:gridCol w:w="919"/>
      </w:tblGrid>
      <w:tr w:rsidR="002D6AA1" w:rsidRPr="00680FD3" w:rsidTr="00DD4CBD">
        <w:trPr>
          <w:trHeight w:val="238"/>
          <w:jc w:val="center"/>
        </w:trPr>
        <w:tc>
          <w:tcPr>
            <w:tcW w:w="11236" w:type="dxa"/>
            <w:gridSpan w:val="9"/>
            <w:tcBorders>
              <w:top w:val="double" w:sz="4" w:space="0" w:color="auto"/>
              <w:bottom w:val="single" w:sz="12" w:space="0" w:color="auto"/>
            </w:tcBorders>
          </w:tcPr>
          <w:p w:rsidR="002D6AA1" w:rsidRPr="00680FD3" w:rsidRDefault="002D6AA1" w:rsidP="006D69D3">
            <w:pPr>
              <w:spacing w:line="240" w:lineRule="auto"/>
              <w:jc w:val="center"/>
              <w:rPr>
                <w:b/>
              </w:rPr>
            </w:pPr>
            <w:r w:rsidRPr="00680FD3">
              <w:rPr>
                <w:b/>
              </w:rPr>
              <w:lastRenderedPageBreak/>
              <w:t>Table 1:</w:t>
            </w:r>
          </w:p>
          <w:p w:rsidR="002D6AA1" w:rsidRPr="007128CB" w:rsidRDefault="002D6AA1" w:rsidP="006D69D3">
            <w:pPr>
              <w:spacing w:line="240" w:lineRule="auto"/>
              <w:jc w:val="center"/>
              <w:rPr>
                <w:b/>
                <w:i/>
              </w:rPr>
            </w:pPr>
            <w:r w:rsidRPr="007128CB">
              <w:rPr>
                <w:b/>
                <w:i/>
              </w:rPr>
              <w:t>Industry Composition of Single and Multi-Segment Firms and Firm-Years</w:t>
            </w:r>
          </w:p>
        </w:tc>
      </w:tr>
      <w:tr w:rsidR="002D6AA1" w:rsidRPr="007058D9" w:rsidTr="00DD4CBD">
        <w:trPr>
          <w:jc w:val="center"/>
        </w:trPr>
        <w:tc>
          <w:tcPr>
            <w:tcW w:w="3888" w:type="dxa"/>
            <w:tcBorders>
              <w:top w:val="single" w:sz="12" w:space="0" w:color="auto"/>
            </w:tcBorders>
            <w:vAlign w:val="bottom"/>
          </w:tcPr>
          <w:p w:rsidR="002D6AA1" w:rsidRPr="007058D9" w:rsidRDefault="002D6AA1" w:rsidP="006D69D3">
            <w:pPr>
              <w:spacing w:line="276" w:lineRule="auto"/>
              <w:rPr>
                <w:b/>
              </w:rPr>
            </w:pPr>
          </w:p>
        </w:tc>
        <w:tc>
          <w:tcPr>
            <w:tcW w:w="3674" w:type="dxa"/>
            <w:gridSpan w:val="4"/>
            <w:tcBorders>
              <w:top w:val="single" w:sz="12" w:space="0" w:color="auto"/>
            </w:tcBorders>
            <w:vAlign w:val="bottom"/>
          </w:tcPr>
          <w:p w:rsidR="002D6AA1" w:rsidRPr="007058D9" w:rsidRDefault="002D6AA1" w:rsidP="006D69D3">
            <w:pPr>
              <w:spacing w:line="276" w:lineRule="auto"/>
              <w:jc w:val="center"/>
              <w:rPr>
                <w:b/>
              </w:rPr>
            </w:pPr>
            <w:r w:rsidRPr="007058D9">
              <w:rPr>
                <w:b/>
              </w:rPr>
              <w:t>Multi-Segment Firms</w:t>
            </w:r>
          </w:p>
        </w:tc>
        <w:tc>
          <w:tcPr>
            <w:tcW w:w="3674" w:type="dxa"/>
            <w:gridSpan w:val="4"/>
            <w:tcBorders>
              <w:top w:val="single" w:sz="12" w:space="0" w:color="auto"/>
            </w:tcBorders>
            <w:vAlign w:val="bottom"/>
          </w:tcPr>
          <w:p w:rsidR="002D6AA1" w:rsidRPr="007058D9" w:rsidRDefault="002D6AA1" w:rsidP="006D69D3">
            <w:pPr>
              <w:spacing w:line="276" w:lineRule="auto"/>
              <w:jc w:val="center"/>
              <w:rPr>
                <w:b/>
              </w:rPr>
            </w:pPr>
            <w:r w:rsidRPr="007058D9">
              <w:rPr>
                <w:b/>
              </w:rPr>
              <w:t>Single Segment Firms</w:t>
            </w:r>
          </w:p>
        </w:tc>
      </w:tr>
      <w:tr w:rsidR="002D6AA1" w:rsidRPr="007058D9" w:rsidTr="00DD4CBD">
        <w:trPr>
          <w:jc w:val="center"/>
        </w:trPr>
        <w:tc>
          <w:tcPr>
            <w:tcW w:w="3888" w:type="dxa"/>
            <w:tcBorders>
              <w:bottom w:val="single" w:sz="4" w:space="0" w:color="auto"/>
            </w:tcBorders>
            <w:vAlign w:val="bottom"/>
          </w:tcPr>
          <w:p w:rsidR="002D6AA1" w:rsidRPr="007058D9" w:rsidRDefault="002D6AA1" w:rsidP="006D69D3">
            <w:pPr>
              <w:spacing w:line="276" w:lineRule="auto"/>
              <w:rPr>
                <w:b/>
                <w:i/>
                <w:sz w:val="20"/>
                <w:szCs w:val="20"/>
              </w:rPr>
            </w:pPr>
            <w:r w:rsidRPr="007058D9">
              <w:rPr>
                <w:b/>
                <w:i/>
                <w:sz w:val="20"/>
                <w:szCs w:val="20"/>
              </w:rPr>
              <w:t>Industry Description</w:t>
            </w:r>
          </w:p>
        </w:tc>
        <w:tc>
          <w:tcPr>
            <w:tcW w:w="918" w:type="dxa"/>
            <w:tcBorders>
              <w:bottom w:val="single" w:sz="4" w:space="0" w:color="auto"/>
            </w:tcBorders>
            <w:vAlign w:val="bottom"/>
          </w:tcPr>
          <w:p w:rsidR="002D6AA1" w:rsidRPr="007058D9" w:rsidRDefault="002D6AA1" w:rsidP="006D69D3">
            <w:pPr>
              <w:spacing w:line="276" w:lineRule="auto"/>
              <w:jc w:val="center"/>
              <w:rPr>
                <w:b/>
                <w:i/>
                <w:sz w:val="20"/>
                <w:szCs w:val="20"/>
              </w:rPr>
            </w:pPr>
            <w:r w:rsidRPr="007058D9">
              <w:rPr>
                <w:b/>
                <w:i/>
                <w:sz w:val="20"/>
                <w:szCs w:val="20"/>
              </w:rPr>
              <w:t>Firms</w:t>
            </w:r>
          </w:p>
        </w:tc>
        <w:tc>
          <w:tcPr>
            <w:tcW w:w="919" w:type="dxa"/>
            <w:tcBorders>
              <w:bottom w:val="single" w:sz="4" w:space="0" w:color="auto"/>
            </w:tcBorders>
            <w:vAlign w:val="bottom"/>
          </w:tcPr>
          <w:p w:rsidR="002D6AA1" w:rsidRPr="007058D9" w:rsidRDefault="002D6AA1" w:rsidP="006D69D3">
            <w:pPr>
              <w:spacing w:line="276" w:lineRule="auto"/>
              <w:jc w:val="center"/>
              <w:rPr>
                <w:b/>
                <w:i/>
                <w:sz w:val="20"/>
                <w:szCs w:val="20"/>
              </w:rPr>
            </w:pPr>
            <w:r>
              <w:rPr>
                <w:b/>
                <w:i/>
                <w:sz w:val="20"/>
                <w:szCs w:val="20"/>
              </w:rPr>
              <w:t>Relative Percent</w:t>
            </w:r>
          </w:p>
        </w:tc>
        <w:tc>
          <w:tcPr>
            <w:tcW w:w="918" w:type="dxa"/>
            <w:tcBorders>
              <w:bottom w:val="single" w:sz="4" w:space="0" w:color="auto"/>
            </w:tcBorders>
            <w:vAlign w:val="bottom"/>
          </w:tcPr>
          <w:p w:rsidR="002D6AA1" w:rsidRPr="007058D9" w:rsidRDefault="002D6AA1" w:rsidP="006D69D3">
            <w:pPr>
              <w:spacing w:line="276" w:lineRule="auto"/>
              <w:jc w:val="center"/>
              <w:rPr>
                <w:b/>
                <w:i/>
                <w:sz w:val="20"/>
                <w:szCs w:val="20"/>
              </w:rPr>
            </w:pPr>
            <w:r w:rsidRPr="007058D9">
              <w:rPr>
                <w:b/>
                <w:i/>
                <w:sz w:val="20"/>
                <w:szCs w:val="20"/>
              </w:rPr>
              <w:t>Firm-Years</w:t>
            </w:r>
          </w:p>
        </w:tc>
        <w:tc>
          <w:tcPr>
            <w:tcW w:w="919" w:type="dxa"/>
            <w:tcBorders>
              <w:bottom w:val="single" w:sz="4" w:space="0" w:color="auto"/>
            </w:tcBorders>
            <w:vAlign w:val="bottom"/>
          </w:tcPr>
          <w:p w:rsidR="002D6AA1" w:rsidRPr="007058D9" w:rsidRDefault="002D6AA1" w:rsidP="006D69D3">
            <w:pPr>
              <w:spacing w:line="276" w:lineRule="auto"/>
              <w:jc w:val="center"/>
              <w:rPr>
                <w:b/>
                <w:i/>
                <w:sz w:val="20"/>
                <w:szCs w:val="20"/>
              </w:rPr>
            </w:pPr>
            <w:r w:rsidRPr="007058D9">
              <w:rPr>
                <w:b/>
                <w:i/>
                <w:sz w:val="20"/>
                <w:szCs w:val="20"/>
              </w:rPr>
              <w:t>Relative Percent</w:t>
            </w:r>
          </w:p>
        </w:tc>
        <w:tc>
          <w:tcPr>
            <w:tcW w:w="918" w:type="dxa"/>
            <w:tcBorders>
              <w:bottom w:val="single" w:sz="4" w:space="0" w:color="auto"/>
            </w:tcBorders>
            <w:vAlign w:val="bottom"/>
          </w:tcPr>
          <w:p w:rsidR="002D6AA1" w:rsidRPr="007058D9" w:rsidRDefault="002D6AA1" w:rsidP="006D69D3">
            <w:pPr>
              <w:spacing w:line="276" w:lineRule="auto"/>
              <w:jc w:val="center"/>
              <w:rPr>
                <w:b/>
                <w:i/>
                <w:sz w:val="20"/>
                <w:szCs w:val="20"/>
              </w:rPr>
            </w:pPr>
            <w:r w:rsidRPr="007058D9">
              <w:rPr>
                <w:b/>
                <w:i/>
                <w:sz w:val="20"/>
                <w:szCs w:val="20"/>
              </w:rPr>
              <w:t>Firms</w:t>
            </w:r>
          </w:p>
        </w:tc>
        <w:tc>
          <w:tcPr>
            <w:tcW w:w="919" w:type="dxa"/>
            <w:tcBorders>
              <w:bottom w:val="single" w:sz="4" w:space="0" w:color="auto"/>
            </w:tcBorders>
            <w:vAlign w:val="bottom"/>
          </w:tcPr>
          <w:p w:rsidR="002D6AA1" w:rsidRPr="007058D9" w:rsidRDefault="002D6AA1" w:rsidP="006D69D3">
            <w:pPr>
              <w:spacing w:line="276" w:lineRule="auto"/>
              <w:jc w:val="center"/>
              <w:rPr>
                <w:b/>
                <w:i/>
                <w:sz w:val="20"/>
                <w:szCs w:val="20"/>
              </w:rPr>
            </w:pPr>
            <w:r w:rsidRPr="007058D9">
              <w:rPr>
                <w:b/>
                <w:i/>
                <w:sz w:val="20"/>
                <w:szCs w:val="20"/>
              </w:rPr>
              <w:t>Relative Percent</w:t>
            </w:r>
          </w:p>
        </w:tc>
        <w:tc>
          <w:tcPr>
            <w:tcW w:w="918" w:type="dxa"/>
            <w:tcBorders>
              <w:bottom w:val="single" w:sz="4" w:space="0" w:color="auto"/>
            </w:tcBorders>
            <w:vAlign w:val="bottom"/>
          </w:tcPr>
          <w:p w:rsidR="002D6AA1" w:rsidRPr="007058D9" w:rsidRDefault="002D6AA1" w:rsidP="006D69D3">
            <w:pPr>
              <w:spacing w:line="276" w:lineRule="auto"/>
              <w:jc w:val="center"/>
              <w:rPr>
                <w:b/>
                <w:i/>
                <w:sz w:val="20"/>
                <w:szCs w:val="20"/>
              </w:rPr>
            </w:pPr>
            <w:r w:rsidRPr="007058D9">
              <w:rPr>
                <w:b/>
                <w:i/>
                <w:sz w:val="20"/>
                <w:szCs w:val="20"/>
              </w:rPr>
              <w:t>Firm-Years</w:t>
            </w:r>
          </w:p>
        </w:tc>
        <w:tc>
          <w:tcPr>
            <w:tcW w:w="919" w:type="dxa"/>
            <w:tcBorders>
              <w:bottom w:val="single" w:sz="4" w:space="0" w:color="auto"/>
            </w:tcBorders>
            <w:vAlign w:val="bottom"/>
          </w:tcPr>
          <w:p w:rsidR="002D6AA1" w:rsidRPr="007058D9" w:rsidRDefault="002D6AA1" w:rsidP="006D69D3">
            <w:pPr>
              <w:spacing w:line="276" w:lineRule="auto"/>
              <w:jc w:val="center"/>
              <w:rPr>
                <w:b/>
                <w:i/>
                <w:sz w:val="20"/>
                <w:szCs w:val="20"/>
              </w:rPr>
            </w:pPr>
            <w:r w:rsidRPr="007058D9">
              <w:rPr>
                <w:b/>
                <w:i/>
                <w:sz w:val="20"/>
                <w:szCs w:val="20"/>
              </w:rPr>
              <w:t>Relative Percent</w:t>
            </w:r>
          </w:p>
        </w:tc>
      </w:tr>
      <w:tr w:rsidR="002D6AA1" w:rsidRPr="007058D9" w:rsidTr="00DD4CBD">
        <w:trPr>
          <w:jc w:val="center"/>
        </w:trPr>
        <w:tc>
          <w:tcPr>
            <w:tcW w:w="3888" w:type="dxa"/>
            <w:tcBorders>
              <w:top w:val="single" w:sz="4" w:space="0" w:color="auto"/>
            </w:tcBorders>
            <w:vAlign w:val="bottom"/>
          </w:tcPr>
          <w:p w:rsidR="002D6AA1" w:rsidRPr="00376333" w:rsidRDefault="002D6AA1" w:rsidP="006D69D3">
            <w:pPr>
              <w:spacing w:line="276" w:lineRule="auto"/>
              <w:rPr>
                <w:b/>
                <w:i/>
                <w:sz w:val="20"/>
                <w:szCs w:val="20"/>
              </w:rPr>
            </w:pPr>
            <w:r w:rsidRPr="00376333">
              <w:rPr>
                <w:b/>
                <w:sz w:val="20"/>
                <w:szCs w:val="20"/>
              </w:rPr>
              <w:t>Agriculture</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10</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0.40%</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52</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0.39%</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12</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0.34%</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44</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0.26%</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Food Products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51</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2.06%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344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2.57%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74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2.08%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411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2.41%</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Candy &amp; Soda</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3</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0.12%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101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0.59%</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Beer &amp; Liquor</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11</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0.44%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0.52%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0.39%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0.34%</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Tobacco Products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2</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0.08%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0.03%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0.06%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0.03%</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Recreation</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25</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1.01%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130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0.97%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1.18%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160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0.94%</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Entertainment</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38</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1.54%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151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1.13%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82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2.30%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396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2.33%</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Printing and Publishing</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27</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1.09%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180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1.35%</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0.79%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124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0.73%</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Consumer Goods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55</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2.22%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335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2.51%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1.94%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330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1.94%</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Apparel</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50</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2.02%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277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2.07%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1.91%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340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2.00%</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Healthcare</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75</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3.03%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337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2.52%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90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2.53%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433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2.54%</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Medical Equipment</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82</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3.32%</w:t>
            </w:r>
            <w:bookmarkStart w:id="46" w:name="_GoBack"/>
            <w:bookmarkEnd w:id="46"/>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422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3.16%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171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4.80%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869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5.10%</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Pharmaceutical Products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99</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4.00%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473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3.54%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253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7.10%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1,132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6.65%</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Chemicals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87</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3.52%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535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4.00%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1.46%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220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1.29%</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Rubber and Plastic Products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33</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1.33%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142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1.06%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178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1.05%</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Textiles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28</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1.13%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120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0.90%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0.90%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102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0.60%</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Construction Materials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70</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2.83%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472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3.53%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1.71%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257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1.51%</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Construction</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33</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1.33%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150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1.12%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1.37%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226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1.33%</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Steel Works, Etc.</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66</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2.67%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379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2.83%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1.32%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215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1.26%</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Fabricated Products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14</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0.57%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0.52%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0.51%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98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0.58%</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Machinery</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137</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5.54%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903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6.75%</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129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3.62%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622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3.65%</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Electrical Equipment</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63</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2.55%</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436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3.26%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1.74%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276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1.62%</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Automobiles and Trucks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59</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2.39%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285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2.13%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1.37%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261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1.53%</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Aircraft</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20</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0.81%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180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1.35%</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0.36%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0.25%</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Shipbuilding, and Railroad Equipment</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9</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0.36%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0.22%</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Defense</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9</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0.36%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74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0.55%</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0.08%</w:t>
            </w:r>
          </w:p>
        </w:tc>
      </w:tr>
      <w:tr w:rsidR="00AD69F3" w:rsidRPr="007058D9" w:rsidTr="006D69D3">
        <w:trPr>
          <w:jc w:val="center"/>
        </w:trPr>
        <w:tc>
          <w:tcPr>
            <w:tcW w:w="3888" w:type="dxa"/>
            <w:vAlign w:val="bottom"/>
          </w:tcPr>
          <w:p w:rsidR="00AD69F3" w:rsidRPr="007058D9" w:rsidRDefault="00AD69F3" w:rsidP="006D69D3">
            <w:pPr>
              <w:spacing w:line="276" w:lineRule="auto"/>
              <w:rPr>
                <w:i/>
                <w:sz w:val="20"/>
                <w:szCs w:val="20"/>
              </w:rPr>
            </w:pPr>
            <w:r w:rsidRPr="002D6AA1">
              <w:rPr>
                <w:sz w:val="20"/>
                <w:szCs w:val="20"/>
              </w:rPr>
              <w:lastRenderedPageBreak/>
              <w:t>Table 1 (</w:t>
            </w:r>
            <w:r>
              <w:rPr>
                <w:i/>
                <w:sz w:val="20"/>
                <w:szCs w:val="20"/>
              </w:rPr>
              <w:t>Continued</w:t>
            </w:r>
            <w:r w:rsidRPr="002D6AA1">
              <w:rPr>
                <w:sz w:val="20"/>
                <w:szCs w:val="20"/>
              </w:rPr>
              <w:t>)</w:t>
            </w:r>
          </w:p>
        </w:tc>
        <w:tc>
          <w:tcPr>
            <w:tcW w:w="918" w:type="dxa"/>
            <w:vAlign w:val="bottom"/>
          </w:tcPr>
          <w:p w:rsidR="00AD69F3" w:rsidRPr="007058D9" w:rsidRDefault="00AD69F3" w:rsidP="006D69D3">
            <w:pPr>
              <w:tabs>
                <w:tab w:val="decimal" w:pos="267"/>
              </w:tabs>
              <w:spacing w:line="276" w:lineRule="auto"/>
              <w:jc w:val="center"/>
              <w:rPr>
                <w:sz w:val="20"/>
                <w:szCs w:val="20"/>
              </w:rPr>
            </w:pPr>
          </w:p>
        </w:tc>
        <w:tc>
          <w:tcPr>
            <w:tcW w:w="919" w:type="dxa"/>
            <w:vAlign w:val="bottom"/>
          </w:tcPr>
          <w:p w:rsidR="00AD69F3" w:rsidRPr="007058D9" w:rsidRDefault="00AD69F3" w:rsidP="006D69D3">
            <w:pPr>
              <w:tabs>
                <w:tab w:val="decimal" w:pos="303"/>
              </w:tabs>
              <w:spacing w:line="276" w:lineRule="auto"/>
              <w:jc w:val="center"/>
              <w:rPr>
                <w:sz w:val="20"/>
                <w:szCs w:val="20"/>
              </w:rPr>
            </w:pPr>
          </w:p>
        </w:tc>
        <w:tc>
          <w:tcPr>
            <w:tcW w:w="918" w:type="dxa"/>
            <w:vAlign w:val="bottom"/>
          </w:tcPr>
          <w:p w:rsidR="00AD69F3" w:rsidRPr="007058D9" w:rsidRDefault="00AD69F3" w:rsidP="006D69D3">
            <w:pPr>
              <w:tabs>
                <w:tab w:val="decimal" w:pos="267"/>
              </w:tabs>
              <w:spacing w:line="276" w:lineRule="auto"/>
              <w:jc w:val="center"/>
              <w:rPr>
                <w:sz w:val="20"/>
                <w:szCs w:val="20"/>
              </w:rPr>
            </w:pPr>
          </w:p>
        </w:tc>
        <w:tc>
          <w:tcPr>
            <w:tcW w:w="919" w:type="dxa"/>
            <w:vAlign w:val="bottom"/>
          </w:tcPr>
          <w:p w:rsidR="00AD69F3" w:rsidRPr="007058D9" w:rsidRDefault="00AD69F3" w:rsidP="006D69D3">
            <w:pPr>
              <w:tabs>
                <w:tab w:val="decimal" w:pos="303"/>
              </w:tabs>
              <w:spacing w:line="276" w:lineRule="auto"/>
              <w:jc w:val="center"/>
              <w:rPr>
                <w:sz w:val="20"/>
                <w:szCs w:val="20"/>
              </w:rPr>
            </w:pPr>
          </w:p>
        </w:tc>
        <w:tc>
          <w:tcPr>
            <w:tcW w:w="918" w:type="dxa"/>
            <w:vAlign w:val="bottom"/>
          </w:tcPr>
          <w:p w:rsidR="00AD69F3" w:rsidRPr="007058D9" w:rsidRDefault="00AD69F3" w:rsidP="006D69D3">
            <w:pPr>
              <w:tabs>
                <w:tab w:val="decimal" w:pos="267"/>
              </w:tabs>
              <w:spacing w:line="276" w:lineRule="auto"/>
              <w:jc w:val="center"/>
              <w:rPr>
                <w:sz w:val="20"/>
                <w:szCs w:val="20"/>
              </w:rPr>
            </w:pPr>
          </w:p>
        </w:tc>
        <w:tc>
          <w:tcPr>
            <w:tcW w:w="919" w:type="dxa"/>
            <w:vAlign w:val="bottom"/>
          </w:tcPr>
          <w:p w:rsidR="00AD69F3" w:rsidRPr="007058D9" w:rsidRDefault="00AD69F3" w:rsidP="006D69D3">
            <w:pPr>
              <w:tabs>
                <w:tab w:val="decimal" w:pos="303"/>
              </w:tabs>
              <w:spacing w:line="276" w:lineRule="auto"/>
              <w:jc w:val="center"/>
              <w:rPr>
                <w:sz w:val="20"/>
                <w:szCs w:val="20"/>
              </w:rPr>
            </w:pPr>
          </w:p>
        </w:tc>
        <w:tc>
          <w:tcPr>
            <w:tcW w:w="918" w:type="dxa"/>
            <w:vAlign w:val="bottom"/>
          </w:tcPr>
          <w:p w:rsidR="00AD69F3" w:rsidRPr="007058D9" w:rsidRDefault="00AD69F3" w:rsidP="006D69D3">
            <w:pPr>
              <w:tabs>
                <w:tab w:val="decimal" w:pos="267"/>
              </w:tabs>
              <w:spacing w:line="276" w:lineRule="auto"/>
              <w:jc w:val="center"/>
              <w:rPr>
                <w:sz w:val="20"/>
                <w:szCs w:val="20"/>
              </w:rPr>
            </w:pPr>
          </w:p>
        </w:tc>
        <w:tc>
          <w:tcPr>
            <w:tcW w:w="919" w:type="dxa"/>
            <w:vAlign w:val="bottom"/>
          </w:tcPr>
          <w:p w:rsidR="00AD69F3" w:rsidRPr="007058D9" w:rsidRDefault="00AD69F3" w:rsidP="006D69D3">
            <w:pPr>
              <w:tabs>
                <w:tab w:val="decimal" w:pos="303"/>
              </w:tabs>
              <w:spacing w:line="276" w:lineRule="auto"/>
              <w:jc w:val="center"/>
              <w:rPr>
                <w:sz w:val="20"/>
                <w:szCs w:val="20"/>
              </w:rPr>
            </w:pPr>
          </w:p>
        </w:tc>
      </w:tr>
      <w:tr w:rsidR="007C2896" w:rsidRPr="007058D9" w:rsidTr="007C2896">
        <w:trPr>
          <w:jc w:val="center"/>
        </w:trPr>
        <w:tc>
          <w:tcPr>
            <w:tcW w:w="3888" w:type="dxa"/>
            <w:vAlign w:val="bottom"/>
          </w:tcPr>
          <w:p w:rsidR="007C2896" w:rsidRPr="007058D9" w:rsidRDefault="007C2896" w:rsidP="007C2896">
            <w:pPr>
              <w:spacing w:line="276" w:lineRule="auto"/>
              <w:rPr>
                <w:b/>
              </w:rPr>
            </w:pPr>
          </w:p>
        </w:tc>
        <w:tc>
          <w:tcPr>
            <w:tcW w:w="3674" w:type="dxa"/>
            <w:gridSpan w:val="4"/>
            <w:vAlign w:val="bottom"/>
          </w:tcPr>
          <w:p w:rsidR="007C2896" w:rsidRPr="007058D9" w:rsidRDefault="007C2896" w:rsidP="007C2896">
            <w:pPr>
              <w:spacing w:line="276" w:lineRule="auto"/>
              <w:jc w:val="center"/>
              <w:rPr>
                <w:b/>
              </w:rPr>
            </w:pPr>
            <w:r w:rsidRPr="007058D9">
              <w:rPr>
                <w:b/>
              </w:rPr>
              <w:t>Multi-Segment Firms</w:t>
            </w:r>
          </w:p>
        </w:tc>
        <w:tc>
          <w:tcPr>
            <w:tcW w:w="3674" w:type="dxa"/>
            <w:gridSpan w:val="4"/>
            <w:vAlign w:val="bottom"/>
          </w:tcPr>
          <w:p w:rsidR="007C2896" w:rsidRPr="007058D9" w:rsidRDefault="007C2896" w:rsidP="007C2896">
            <w:pPr>
              <w:spacing w:line="276" w:lineRule="auto"/>
              <w:jc w:val="center"/>
              <w:rPr>
                <w:b/>
              </w:rPr>
            </w:pPr>
            <w:r w:rsidRPr="007058D9">
              <w:rPr>
                <w:b/>
              </w:rPr>
              <w:t>Single Segment Firms</w:t>
            </w:r>
          </w:p>
        </w:tc>
      </w:tr>
      <w:tr w:rsidR="007C2896" w:rsidRPr="007058D9" w:rsidTr="00DD4CBD">
        <w:trPr>
          <w:jc w:val="center"/>
        </w:trPr>
        <w:tc>
          <w:tcPr>
            <w:tcW w:w="3888" w:type="dxa"/>
            <w:tcBorders>
              <w:bottom w:val="single" w:sz="4" w:space="0" w:color="auto"/>
            </w:tcBorders>
            <w:vAlign w:val="bottom"/>
          </w:tcPr>
          <w:p w:rsidR="007C2896" w:rsidRPr="007058D9" w:rsidRDefault="007C2896" w:rsidP="007C2896">
            <w:pPr>
              <w:spacing w:line="276" w:lineRule="auto"/>
              <w:rPr>
                <w:b/>
                <w:i/>
                <w:sz w:val="20"/>
                <w:szCs w:val="20"/>
              </w:rPr>
            </w:pPr>
            <w:r w:rsidRPr="007058D9">
              <w:rPr>
                <w:b/>
                <w:i/>
                <w:sz w:val="20"/>
                <w:szCs w:val="20"/>
              </w:rPr>
              <w:t>Industry Description</w:t>
            </w:r>
          </w:p>
        </w:tc>
        <w:tc>
          <w:tcPr>
            <w:tcW w:w="918" w:type="dxa"/>
            <w:tcBorders>
              <w:bottom w:val="single" w:sz="4" w:space="0" w:color="auto"/>
            </w:tcBorders>
            <w:vAlign w:val="bottom"/>
          </w:tcPr>
          <w:p w:rsidR="007C2896" w:rsidRPr="007058D9" w:rsidRDefault="007C2896" w:rsidP="007C2896">
            <w:pPr>
              <w:spacing w:line="276" w:lineRule="auto"/>
              <w:jc w:val="center"/>
              <w:rPr>
                <w:b/>
                <w:i/>
                <w:sz w:val="20"/>
                <w:szCs w:val="20"/>
              </w:rPr>
            </w:pPr>
            <w:r w:rsidRPr="007058D9">
              <w:rPr>
                <w:b/>
                <w:i/>
                <w:sz w:val="20"/>
                <w:szCs w:val="20"/>
              </w:rPr>
              <w:t>Firms</w:t>
            </w:r>
          </w:p>
        </w:tc>
        <w:tc>
          <w:tcPr>
            <w:tcW w:w="919" w:type="dxa"/>
            <w:tcBorders>
              <w:bottom w:val="single" w:sz="4" w:space="0" w:color="auto"/>
            </w:tcBorders>
            <w:vAlign w:val="bottom"/>
          </w:tcPr>
          <w:p w:rsidR="007C2896" w:rsidRPr="007058D9" w:rsidRDefault="007C2896" w:rsidP="007C2896">
            <w:pPr>
              <w:spacing w:line="276" w:lineRule="auto"/>
              <w:jc w:val="center"/>
              <w:rPr>
                <w:b/>
                <w:i/>
                <w:sz w:val="20"/>
                <w:szCs w:val="20"/>
              </w:rPr>
            </w:pPr>
            <w:r>
              <w:rPr>
                <w:b/>
                <w:i/>
                <w:sz w:val="20"/>
                <w:szCs w:val="20"/>
              </w:rPr>
              <w:t>Relative Percent</w:t>
            </w:r>
          </w:p>
        </w:tc>
        <w:tc>
          <w:tcPr>
            <w:tcW w:w="918" w:type="dxa"/>
            <w:tcBorders>
              <w:bottom w:val="single" w:sz="4" w:space="0" w:color="auto"/>
            </w:tcBorders>
            <w:vAlign w:val="bottom"/>
          </w:tcPr>
          <w:p w:rsidR="007C2896" w:rsidRPr="007058D9" w:rsidRDefault="007C2896" w:rsidP="007C2896">
            <w:pPr>
              <w:spacing w:line="276" w:lineRule="auto"/>
              <w:jc w:val="center"/>
              <w:rPr>
                <w:b/>
                <w:i/>
                <w:sz w:val="20"/>
                <w:szCs w:val="20"/>
              </w:rPr>
            </w:pPr>
            <w:r w:rsidRPr="007058D9">
              <w:rPr>
                <w:b/>
                <w:i/>
                <w:sz w:val="20"/>
                <w:szCs w:val="20"/>
              </w:rPr>
              <w:t>Firm-Years</w:t>
            </w:r>
          </w:p>
        </w:tc>
        <w:tc>
          <w:tcPr>
            <w:tcW w:w="919" w:type="dxa"/>
            <w:tcBorders>
              <w:bottom w:val="single" w:sz="4" w:space="0" w:color="auto"/>
            </w:tcBorders>
            <w:vAlign w:val="bottom"/>
          </w:tcPr>
          <w:p w:rsidR="007C2896" w:rsidRPr="007058D9" w:rsidRDefault="007C2896" w:rsidP="007C2896">
            <w:pPr>
              <w:spacing w:line="276" w:lineRule="auto"/>
              <w:jc w:val="center"/>
              <w:rPr>
                <w:b/>
                <w:i/>
                <w:sz w:val="20"/>
                <w:szCs w:val="20"/>
              </w:rPr>
            </w:pPr>
            <w:r w:rsidRPr="007058D9">
              <w:rPr>
                <w:b/>
                <w:i/>
                <w:sz w:val="20"/>
                <w:szCs w:val="20"/>
              </w:rPr>
              <w:t>Relative Percent</w:t>
            </w:r>
          </w:p>
        </w:tc>
        <w:tc>
          <w:tcPr>
            <w:tcW w:w="918" w:type="dxa"/>
            <w:tcBorders>
              <w:bottom w:val="single" w:sz="4" w:space="0" w:color="auto"/>
            </w:tcBorders>
            <w:vAlign w:val="bottom"/>
          </w:tcPr>
          <w:p w:rsidR="007C2896" w:rsidRPr="007058D9" w:rsidRDefault="007C2896" w:rsidP="007C2896">
            <w:pPr>
              <w:spacing w:line="276" w:lineRule="auto"/>
              <w:jc w:val="center"/>
              <w:rPr>
                <w:b/>
                <w:i/>
                <w:sz w:val="20"/>
                <w:szCs w:val="20"/>
              </w:rPr>
            </w:pPr>
            <w:r w:rsidRPr="007058D9">
              <w:rPr>
                <w:b/>
                <w:i/>
                <w:sz w:val="20"/>
                <w:szCs w:val="20"/>
              </w:rPr>
              <w:t>Firms</w:t>
            </w:r>
          </w:p>
        </w:tc>
        <w:tc>
          <w:tcPr>
            <w:tcW w:w="919" w:type="dxa"/>
            <w:tcBorders>
              <w:bottom w:val="single" w:sz="4" w:space="0" w:color="auto"/>
            </w:tcBorders>
            <w:vAlign w:val="bottom"/>
          </w:tcPr>
          <w:p w:rsidR="007C2896" w:rsidRPr="007058D9" w:rsidRDefault="007C2896" w:rsidP="007C2896">
            <w:pPr>
              <w:spacing w:line="276" w:lineRule="auto"/>
              <w:jc w:val="center"/>
              <w:rPr>
                <w:b/>
                <w:i/>
                <w:sz w:val="20"/>
                <w:szCs w:val="20"/>
              </w:rPr>
            </w:pPr>
            <w:r w:rsidRPr="007058D9">
              <w:rPr>
                <w:b/>
                <w:i/>
                <w:sz w:val="20"/>
                <w:szCs w:val="20"/>
              </w:rPr>
              <w:t>Relative Percent</w:t>
            </w:r>
          </w:p>
        </w:tc>
        <w:tc>
          <w:tcPr>
            <w:tcW w:w="918" w:type="dxa"/>
            <w:tcBorders>
              <w:bottom w:val="single" w:sz="4" w:space="0" w:color="auto"/>
            </w:tcBorders>
            <w:vAlign w:val="bottom"/>
          </w:tcPr>
          <w:p w:rsidR="007C2896" w:rsidRPr="007058D9" w:rsidRDefault="007C2896" w:rsidP="007C2896">
            <w:pPr>
              <w:spacing w:line="276" w:lineRule="auto"/>
              <w:jc w:val="center"/>
              <w:rPr>
                <w:b/>
                <w:i/>
                <w:sz w:val="20"/>
                <w:szCs w:val="20"/>
              </w:rPr>
            </w:pPr>
            <w:r w:rsidRPr="007058D9">
              <w:rPr>
                <w:b/>
                <w:i/>
                <w:sz w:val="20"/>
                <w:szCs w:val="20"/>
              </w:rPr>
              <w:t>Firm-Years</w:t>
            </w:r>
          </w:p>
        </w:tc>
        <w:tc>
          <w:tcPr>
            <w:tcW w:w="919" w:type="dxa"/>
            <w:tcBorders>
              <w:bottom w:val="single" w:sz="4" w:space="0" w:color="auto"/>
            </w:tcBorders>
            <w:vAlign w:val="bottom"/>
          </w:tcPr>
          <w:p w:rsidR="007C2896" w:rsidRPr="007058D9" w:rsidRDefault="007C2896" w:rsidP="007C2896">
            <w:pPr>
              <w:spacing w:line="276" w:lineRule="auto"/>
              <w:jc w:val="center"/>
              <w:rPr>
                <w:b/>
                <w:i/>
                <w:sz w:val="20"/>
                <w:szCs w:val="20"/>
              </w:rPr>
            </w:pPr>
            <w:r w:rsidRPr="007058D9">
              <w:rPr>
                <w:b/>
                <w:i/>
                <w:sz w:val="20"/>
                <w:szCs w:val="20"/>
              </w:rPr>
              <w:t>Relative Percent</w:t>
            </w:r>
          </w:p>
        </w:tc>
      </w:tr>
      <w:tr w:rsidR="002D6AA1" w:rsidRPr="007058D9" w:rsidTr="00DD4CBD">
        <w:trPr>
          <w:jc w:val="center"/>
        </w:trPr>
        <w:tc>
          <w:tcPr>
            <w:tcW w:w="3888" w:type="dxa"/>
            <w:tcBorders>
              <w:top w:val="single" w:sz="4" w:space="0" w:color="auto"/>
            </w:tcBorders>
            <w:vAlign w:val="bottom"/>
          </w:tcPr>
          <w:p w:rsidR="002D6AA1" w:rsidRPr="00376333" w:rsidRDefault="002D6AA1" w:rsidP="006D69D3">
            <w:pPr>
              <w:spacing w:line="276" w:lineRule="auto"/>
              <w:rPr>
                <w:b/>
                <w:i/>
                <w:sz w:val="20"/>
                <w:szCs w:val="20"/>
              </w:rPr>
            </w:pPr>
            <w:r w:rsidRPr="00376333">
              <w:rPr>
                <w:b/>
                <w:sz w:val="20"/>
                <w:szCs w:val="20"/>
              </w:rPr>
              <w:t>Precious Metals</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7</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0.28%</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36</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0.27%</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12</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0.34%</w:t>
            </w:r>
          </w:p>
        </w:tc>
        <w:tc>
          <w:tcPr>
            <w:tcW w:w="918" w:type="dxa"/>
            <w:tcBorders>
              <w:top w:val="single" w:sz="4" w:space="0" w:color="auto"/>
            </w:tcBorders>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40</w:t>
            </w:r>
          </w:p>
        </w:tc>
        <w:tc>
          <w:tcPr>
            <w:tcW w:w="919" w:type="dxa"/>
            <w:tcBorders>
              <w:top w:val="single" w:sz="4" w:space="0" w:color="auto"/>
            </w:tcBorders>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0.23%</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Non-Metallic and Industrial Metal Mining</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13</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0.53%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0.47%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0.18%</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Coal</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8</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0.32%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0.10%</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Petroleum and Natural Gas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111</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4.49%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607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4.54%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168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4.71%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832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4.89%</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Personal Services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32</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1.29%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147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1.10%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1.09%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215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1.26%</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Business Services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395</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15.98%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1,714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12.82%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577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16.19%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2,259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13.27%</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Computers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111</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4.49%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566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4.23%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204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5.72%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911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5.35%</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Electronic Equipment</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182</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7.36%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1,008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7.54%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314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8.81%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1,719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10.10%</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Measuring and Control Equipment</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68</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2.75%</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473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3.54%</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92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2.58%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493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2.90%</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Business Supplies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55</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2.22%</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360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2.69%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45</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161</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0.95%</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Shipping Containers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12</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0.49%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97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0.73%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44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0.26%</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Wholesale</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118</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4.77%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709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5.30%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164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4.60%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728</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4.28%</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Retail</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138</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5.58%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643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4.81%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306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8.59%</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1,837</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10.79%</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Restaurants, Hotels, and Motels</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33</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1.33%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162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1.21%</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106</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2.97%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633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3.72%</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Trading</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4</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0.16%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24</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0.18%</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2</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0.06%</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0.05%</w:t>
            </w:r>
          </w:p>
        </w:tc>
      </w:tr>
      <w:tr w:rsidR="002D6AA1" w:rsidRPr="007058D9" w:rsidTr="00AD69F3">
        <w:trPr>
          <w:jc w:val="center"/>
        </w:trPr>
        <w:tc>
          <w:tcPr>
            <w:tcW w:w="3888" w:type="dxa"/>
            <w:vAlign w:val="bottom"/>
          </w:tcPr>
          <w:p w:rsidR="002D6AA1" w:rsidRPr="00376333" w:rsidRDefault="002D6AA1" w:rsidP="006D69D3">
            <w:pPr>
              <w:spacing w:line="276" w:lineRule="auto"/>
              <w:rPr>
                <w:b/>
                <w:i/>
                <w:sz w:val="20"/>
                <w:szCs w:val="20"/>
              </w:rPr>
            </w:pPr>
            <w:r w:rsidRPr="00376333">
              <w:rPr>
                <w:b/>
                <w:sz w:val="20"/>
                <w:szCs w:val="20"/>
              </w:rPr>
              <w:t>Other</w:t>
            </w:r>
          </w:p>
        </w:tc>
        <w:tc>
          <w:tcPr>
            <w:tcW w:w="918" w:type="dxa"/>
            <w:vAlign w:val="bottom"/>
          </w:tcPr>
          <w:p w:rsidR="002D6AA1" w:rsidRPr="007058D9" w:rsidRDefault="002D6AA1" w:rsidP="006D69D3">
            <w:pPr>
              <w:tabs>
                <w:tab w:val="decimal" w:pos="267"/>
              </w:tabs>
              <w:spacing w:line="276" w:lineRule="auto"/>
              <w:jc w:val="center"/>
              <w:rPr>
                <w:b/>
                <w:i/>
                <w:sz w:val="20"/>
                <w:szCs w:val="20"/>
              </w:rPr>
            </w:pPr>
            <w:r w:rsidRPr="007058D9">
              <w:rPr>
                <w:sz w:val="20"/>
                <w:szCs w:val="20"/>
              </w:rPr>
              <w:t>29</w:t>
            </w:r>
          </w:p>
        </w:tc>
        <w:tc>
          <w:tcPr>
            <w:tcW w:w="919" w:type="dxa"/>
            <w:vAlign w:val="bottom"/>
          </w:tcPr>
          <w:p w:rsidR="002D6AA1" w:rsidRPr="007058D9" w:rsidRDefault="002D6AA1" w:rsidP="006D69D3">
            <w:pPr>
              <w:tabs>
                <w:tab w:val="decimal" w:pos="303"/>
              </w:tabs>
              <w:spacing w:line="276" w:lineRule="auto"/>
              <w:jc w:val="center"/>
              <w:rPr>
                <w:b/>
                <w:i/>
                <w:sz w:val="20"/>
                <w:szCs w:val="20"/>
              </w:rPr>
            </w:pPr>
            <w:r w:rsidRPr="007058D9">
              <w:rPr>
                <w:sz w:val="20"/>
                <w:szCs w:val="20"/>
              </w:rPr>
              <w:t>1.17%</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160</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1.20%</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33</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0.93%</w:t>
            </w:r>
          </w:p>
        </w:tc>
        <w:tc>
          <w:tcPr>
            <w:tcW w:w="918" w:type="dxa"/>
            <w:vAlign w:val="bottom"/>
          </w:tcPr>
          <w:p w:rsidR="002D6AA1" w:rsidRPr="007058D9" w:rsidRDefault="002D6AA1" w:rsidP="006D69D3">
            <w:pPr>
              <w:tabs>
                <w:tab w:val="decimal" w:pos="267"/>
              </w:tabs>
              <w:spacing w:line="276" w:lineRule="auto"/>
              <w:jc w:val="center"/>
              <w:rPr>
                <w:sz w:val="20"/>
                <w:szCs w:val="20"/>
              </w:rPr>
            </w:pPr>
            <w:r w:rsidRPr="007058D9">
              <w:rPr>
                <w:sz w:val="20"/>
                <w:szCs w:val="20"/>
              </w:rPr>
              <w:t>139</w:t>
            </w:r>
          </w:p>
        </w:tc>
        <w:tc>
          <w:tcPr>
            <w:tcW w:w="919" w:type="dxa"/>
            <w:vAlign w:val="bottom"/>
          </w:tcPr>
          <w:p w:rsidR="002D6AA1" w:rsidRPr="007058D9" w:rsidRDefault="002D6AA1" w:rsidP="006D69D3">
            <w:pPr>
              <w:tabs>
                <w:tab w:val="decimal" w:pos="303"/>
              </w:tabs>
              <w:spacing w:line="276" w:lineRule="auto"/>
              <w:jc w:val="center"/>
              <w:rPr>
                <w:sz w:val="20"/>
                <w:szCs w:val="20"/>
              </w:rPr>
            </w:pPr>
            <w:r w:rsidRPr="007058D9">
              <w:rPr>
                <w:sz w:val="20"/>
                <w:szCs w:val="20"/>
              </w:rPr>
              <w:t>0.82%</w:t>
            </w:r>
          </w:p>
        </w:tc>
      </w:tr>
      <w:tr w:rsidR="002D6AA1" w:rsidRPr="007058D9" w:rsidTr="00AD69F3">
        <w:trPr>
          <w:jc w:val="center"/>
        </w:trPr>
        <w:tc>
          <w:tcPr>
            <w:tcW w:w="3888" w:type="dxa"/>
            <w:tcBorders>
              <w:top w:val="single" w:sz="4" w:space="0" w:color="auto"/>
              <w:bottom w:val="double" w:sz="4" w:space="0" w:color="auto"/>
            </w:tcBorders>
            <w:vAlign w:val="bottom"/>
          </w:tcPr>
          <w:p w:rsidR="002D6AA1" w:rsidRPr="007058D9" w:rsidRDefault="002D6AA1" w:rsidP="006D69D3">
            <w:pPr>
              <w:spacing w:line="276" w:lineRule="auto"/>
              <w:jc w:val="right"/>
              <w:rPr>
                <w:b/>
                <w:sz w:val="20"/>
                <w:szCs w:val="20"/>
              </w:rPr>
            </w:pPr>
            <w:r w:rsidRPr="007058D9">
              <w:rPr>
                <w:b/>
                <w:sz w:val="20"/>
                <w:szCs w:val="20"/>
              </w:rPr>
              <w:t>Total</w:t>
            </w:r>
          </w:p>
        </w:tc>
        <w:tc>
          <w:tcPr>
            <w:tcW w:w="918"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sidRPr="007058D9">
              <w:rPr>
                <w:sz w:val="20"/>
                <w:szCs w:val="20"/>
              </w:rPr>
              <w:t>2,472</w:t>
            </w:r>
          </w:p>
        </w:tc>
        <w:tc>
          <w:tcPr>
            <w:tcW w:w="919"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Pr>
                <w:sz w:val="20"/>
                <w:szCs w:val="20"/>
              </w:rPr>
              <w:t>100</w:t>
            </w:r>
            <w:r w:rsidRPr="007058D9">
              <w:rPr>
                <w:sz w:val="20"/>
                <w:szCs w:val="20"/>
              </w:rPr>
              <w:t>%</w:t>
            </w:r>
          </w:p>
        </w:tc>
        <w:tc>
          <w:tcPr>
            <w:tcW w:w="918"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sidRPr="007058D9">
              <w:rPr>
                <w:sz w:val="20"/>
                <w:szCs w:val="20"/>
              </w:rPr>
              <w:t>13,369</w:t>
            </w:r>
          </w:p>
        </w:tc>
        <w:tc>
          <w:tcPr>
            <w:tcW w:w="919"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Pr>
                <w:sz w:val="20"/>
                <w:szCs w:val="20"/>
              </w:rPr>
              <w:t>100</w:t>
            </w:r>
            <w:r w:rsidRPr="007058D9">
              <w:rPr>
                <w:sz w:val="20"/>
                <w:szCs w:val="20"/>
              </w:rPr>
              <w:t>%</w:t>
            </w:r>
          </w:p>
        </w:tc>
        <w:tc>
          <w:tcPr>
            <w:tcW w:w="918"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sidRPr="007058D9">
              <w:rPr>
                <w:sz w:val="20"/>
                <w:szCs w:val="20"/>
              </w:rPr>
              <w:t>3,564</w:t>
            </w:r>
          </w:p>
        </w:tc>
        <w:tc>
          <w:tcPr>
            <w:tcW w:w="919"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Pr>
                <w:sz w:val="20"/>
                <w:szCs w:val="20"/>
              </w:rPr>
              <w:t>100</w:t>
            </w:r>
            <w:r w:rsidRPr="007058D9">
              <w:rPr>
                <w:sz w:val="20"/>
                <w:szCs w:val="20"/>
              </w:rPr>
              <w:t>%</w:t>
            </w:r>
          </w:p>
        </w:tc>
        <w:tc>
          <w:tcPr>
            <w:tcW w:w="918"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sidRPr="007058D9">
              <w:rPr>
                <w:sz w:val="20"/>
                <w:szCs w:val="20"/>
              </w:rPr>
              <w:t>17,026</w:t>
            </w:r>
          </w:p>
        </w:tc>
        <w:tc>
          <w:tcPr>
            <w:tcW w:w="919" w:type="dxa"/>
            <w:tcBorders>
              <w:top w:val="single" w:sz="4" w:space="0" w:color="auto"/>
              <w:bottom w:val="double" w:sz="4" w:space="0" w:color="auto"/>
            </w:tcBorders>
            <w:vAlign w:val="bottom"/>
          </w:tcPr>
          <w:p w:rsidR="002D6AA1" w:rsidRPr="007058D9" w:rsidRDefault="002D6AA1" w:rsidP="006D69D3">
            <w:pPr>
              <w:spacing w:line="276" w:lineRule="auto"/>
              <w:jc w:val="center"/>
              <w:rPr>
                <w:b/>
                <w:i/>
                <w:sz w:val="20"/>
                <w:szCs w:val="20"/>
              </w:rPr>
            </w:pPr>
            <w:r>
              <w:rPr>
                <w:sz w:val="20"/>
                <w:szCs w:val="20"/>
              </w:rPr>
              <w:t>100</w:t>
            </w:r>
            <w:r w:rsidRPr="007058D9">
              <w:rPr>
                <w:sz w:val="20"/>
                <w:szCs w:val="20"/>
              </w:rPr>
              <w:t>%</w:t>
            </w:r>
          </w:p>
        </w:tc>
      </w:tr>
    </w:tbl>
    <w:p w:rsidR="002D6AA1" w:rsidRPr="00C74B49" w:rsidRDefault="002D6AA1" w:rsidP="002D6AA1">
      <w:pPr>
        <w:spacing w:line="276" w:lineRule="auto"/>
        <w:rPr>
          <w:sz w:val="2"/>
          <w:szCs w:val="2"/>
        </w:rPr>
      </w:pPr>
    </w:p>
    <w:tbl>
      <w:tblPr>
        <w:tblStyle w:val="TableGrid"/>
        <w:tblW w:w="11376" w:type="dxa"/>
        <w:jc w:val="center"/>
        <w:tblInd w:w="-1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76"/>
      </w:tblGrid>
      <w:tr w:rsidR="002D6AA1" w:rsidRPr="004225CC" w:rsidTr="007C2896">
        <w:trPr>
          <w:jc w:val="center"/>
        </w:trPr>
        <w:tc>
          <w:tcPr>
            <w:tcW w:w="11376" w:type="dxa"/>
          </w:tcPr>
          <w:p w:rsidR="002D6AA1" w:rsidRPr="004225CC" w:rsidRDefault="002D6AA1" w:rsidP="000D71AF">
            <w:pPr>
              <w:spacing w:line="276" w:lineRule="auto"/>
              <w:jc w:val="both"/>
              <w:rPr>
                <w:sz w:val="20"/>
                <w:szCs w:val="20"/>
              </w:rPr>
            </w:pPr>
            <w:r w:rsidRPr="004225CC">
              <w:rPr>
                <w:sz w:val="20"/>
                <w:szCs w:val="20"/>
              </w:rPr>
              <w:t>This table provides the industry composition of multi-segment and single segment firms and firm-years over the sample period 1996 to 2011.  Industries in this table are defined using the Fama-French 48 industries for descriptive purposes.</w:t>
            </w:r>
          </w:p>
        </w:tc>
      </w:tr>
    </w:tbl>
    <w:p w:rsidR="0077457C" w:rsidRDefault="0077457C" w:rsidP="00AA0B13"/>
    <w:p w:rsidR="00D80F89" w:rsidRDefault="00D80F89">
      <w:pPr>
        <w:spacing w:line="240" w:lineRule="auto"/>
      </w:pPr>
      <w: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171"/>
        <w:gridCol w:w="1171"/>
        <w:gridCol w:w="1170"/>
        <w:gridCol w:w="1170"/>
        <w:gridCol w:w="1170"/>
        <w:gridCol w:w="1170"/>
        <w:gridCol w:w="1170"/>
      </w:tblGrid>
      <w:tr w:rsidR="00AD69F3" w:rsidRPr="00680FD3" w:rsidTr="00AD69F3">
        <w:trPr>
          <w:jc w:val="center"/>
        </w:trPr>
        <w:tc>
          <w:tcPr>
            <w:tcW w:w="9576" w:type="dxa"/>
            <w:gridSpan w:val="8"/>
            <w:tcBorders>
              <w:top w:val="double" w:sz="4" w:space="0" w:color="auto"/>
              <w:bottom w:val="single" w:sz="12" w:space="0" w:color="auto"/>
            </w:tcBorders>
          </w:tcPr>
          <w:p w:rsidR="00AD69F3" w:rsidRPr="00680FD3" w:rsidRDefault="00AD69F3" w:rsidP="006D69D3">
            <w:pPr>
              <w:spacing w:line="240" w:lineRule="auto"/>
              <w:jc w:val="center"/>
              <w:rPr>
                <w:b/>
              </w:rPr>
            </w:pPr>
            <w:r w:rsidRPr="00680FD3">
              <w:rPr>
                <w:b/>
              </w:rPr>
              <w:lastRenderedPageBreak/>
              <w:t>Table 2:</w:t>
            </w:r>
          </w:p>
          <w:p w:rsidR="00AD69F3" w:rsidRDefault="00AD69F3" w:rsidP="006D69D3">
            <w:pPr>
              <w:spacing w:line="240" w:lineRule="auto"/>
              <w:jc w:val="center"/>
              <w:rPr>
                <w:b/>
                <w:i/>
              </w:rPr>
            </w:pPr>
            <w:r w:rsidRPr="007128CB">
              <w:rPr>
                <w:b/>
                <w:i/>
              </w:rPr>
              <w:t xml:space="preserve">Valuation, Performance, Size, and Model Descriptive Statistics </w:t>
            </w:r>
          </w:p>
          <w:p w:rsidR="00AD69F3" w:rsidRPr="007128CB" w:rsidRDefault="00AD69F3" w:rsidP="006D69D3">
            <w:pPr>
              <w:spacing w:line="240" w:lineRule="auto"/>
              <w:jc w:val="center"/>
              <w:rPr>
                <w:b/>
                <w:i/>
              </w:rPr>
            </w:pPr>
            <w:r w:rsidRPr="007128CB">
              <w:rPr>
                <w:b/>
                <w:i/>
              </w:rPr>
              <w:t>for Single and Multi-Segment Firms</w:t>
            </w:r>
          </w:p>
        </w:tc>
      </w:tr>
      <w:tr w:rsidR="00AD69F3" w:rsidRPr="0040142E" w:rsidTr="00AD69F3">
        <w:trPr>
          <w:jc w:val="center"/>
        </w:trPr>
        <w:tc>
          <w:tcPr>
            <w:tcW w:w="1384"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p>
        </w:tc>
        <w:tc>
          <w:tcPr>
            <w:tcW w:w="1171"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r w:rsidRPr="0040142E">
              <w:rPr>
                <w:b/>
              </w:rPr>
              <w:t>Mean</w:t>
            </w:r>
          </w:p>
        </w:tc>
        <w:tc>
          <w:tcPr>
            <w:tcW w:w="1171"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r w:rsidRPr="0040142E">
              <w:rPr>
                <w:b/>
              </w:rPr>
              <w:t>Std. Dev.</w:t>
            </w:r>
          </w:p>
        </w:tc>
        <w:tc>
          <w:tcPr>
            <w:tcW w:w="1170"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r w:rsidRPr="0040142E">
              <w:rPr>
                <w:b/>
              </w:rPr>
              <w:t>Min</w:t>
            </w:r>
          </w:p>
        </w:tc>
        <w:tc>
          <w:tcPr>
            <w:tcW w:w="1170"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r w:rsidRPr="0040142E">
              <w:rPr>
                <w:b/>
              </w:rPr>
              <w:t>25</w:t>
            </w:r>
            <w:r w:rsidRPr="0040142E">
              <w:rPr>
                <w:b/>
                <w:vertAlign w:val="superscript"/>
              </w:rPr>
              <w:t>th</w:t>
            </w:r>
            <w:r w:rsidRPr="0040142E">
              <w:rPr>
                <w:b/>
              </w:rPr>
              <w:t xml:space="preserve"> </w:t>
            </w:r>
          </w:p>
        </w:tc>
        <w:tc>
          <w:tcPr>
            <w:tcW w:w="1170"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r w:rsidRPr="0040142E">
              <w:rPr>
                <w:b/>
              </w:rPr>
              <w:t>Median</w:t>
            </w:r>
          </w:p>
        </w:tc>
        <w:tc>
          <w:tcPr>
            <w:tcW w:w="1170"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r w:rsidRPr="0040142E">
              <w:rPr>
                <w:b/>
              </w:rPr>
              <w:t>75</w:t>
            </w:r>
            <w:r w:rsidRPr="0040142E">
              <w:rPr>
                <w:b/>
                <w:vertAlign w:val="superscript"/>
              </w:rPr>
              <w:t>th</w:t>
            </w:r>
            <w:r w:rsidRPr="0040142E">
              <w:rPr>
                <w:b/>
              </w:rPr>
              <w:t xml:space="preserve"> </w:t>
            </w:r>
          </w:p>
        </w:tc>
        <w:tc>
          <w:tcPr>
            <w:tcW w:w="1170" w:type="dxa"/>
            <w:tcBorders>
              <w:top w:val="single" w:sz="12" w:space="0" w:color="auto"/>
              <w:bottom w:val="single" w:sz="4" w:space="0" w:color="auto"/>
            </w:tcBorders>
            <w:vAlign w:val="bottom"/>
          </w:tcPr>
          <w:p w:rsidR="00AD69F3" w:rsidRPr="0040142E" w:rsidRDefault="00AD69F3" w:rsidP="006D69D3">
            <w:pPr>
              <w:spacing w:line="240" w:lineRule="auto"/>
              <w:jc w:val="center"/>
              <w:rPr>
                <w:b/>
              </w:rPr>
            </w:pPr>
            <w:r w:rsidRPr="0040142E">
              <w:rPr>
                <w:b/>
              </w:rPr>
              <w:t>Max</w:t>
            </w:r>
          </w:p>
        </w:tc>
      </w:tr>
      <w:tr w:rsidR="00AD69F3" w:rsidRPr="0040142E" w:rsidTr="00AD69F3">
        <w:trPr>
          <w:jc w:val="center"/>
        </w:trPr>
        <w:tc>
          <w:tcPr>
            <w:tcW w:w="9576" w:type="dxa"/>
            <w:gridSpan w:val="8"/>
            <w:tcBorders>
              <w:top w:val="single" w:sz="4" w:space="0" w:color="auto"/>
              <w:bottom w:val="single" w:sz="4" w:space="0" w:color="auto"/>
            </w:tcBorders>
            <w:vAlign w:val="bottom"/>
          </w:tcPr>
          <w:p w:rsidR="00AD69F3" w:rsidRPr="0040142E" w:rsidRDefault="00AD69F3" w:rsidP="006D69D3">
            <w:pPr>
              <w:spacing w:before="120" w:line="276" w:lineRule="auto"/>
              <w:rPr>
                <w:b/>
              </w:rPr>
            </w:pPr>
            <w:r w:rsidRPr="0040142E">
              <w:rPr>
                <w:b/>
              </w:rPr>
              <w:t>Panel A: Multi-Segment Firms</w:t>
            </w:r>
          </w:p>
        </w:tc>
      </w:tr>
      <w:tr w:rsidR="00AD69F3" w:rsidRPr="007128CB" w:rsidTr="00AD69F3">
        <w:trPr>
          <w:jc w:val="center"/>
        </w:trPr>
        <w:tc>
          <w:tcPr>
            <w:tcW w:w="1384" w:type="dxa"/>
            <w:tcBorders>
              <w:top w:val="single" w:sz="4" w:space="0" w:color="auto"/>
            </w:tcBorders>
          </w:tcPr>
          <w:p w:rsidR="00AD69F3" w:rsidRPr="007128CB" w:rsidRDefault="00AD69F3" w:rsidP="006D69D3">
            <w:pPr>
              <w:spacing w:line="276" w:lineRule="auto"/>
              <w:rPr>
                <w:b/>
                <w:i/>
                <w:sz w:val="20"/>
                <w:szCs w:val="20"/>
              </w:rPr>
            </w:pPr>
            <w:bookmarkStart w:id="47" w:name="OLE_LINK1"/>
            <w:r w:rsidRPr="007128CB">
              <w:rPr>
                <w:b/>
                <w:i/>
                <w:sz w:val="20"/>
                <w:szCs w:val="20"/>
              </w:rPr>
              <w:t>ExVal</w:t>
            </w:r>
            <w:r w:rsidRPr="007128CB">
              <w:rPr>
                <w:b/>
                <w:i/>
                <w:sz w:val="20"/>
                <w:szCs w:val="20"/>
                <w:vertAlign w:val="subscript"/>
              </w:rPr>
              <w:t>Rev</w:t>
            </w:r>
          </w:p>
        </w:tc>
        <w:tc>
          <w:tcPr>
            <w:tcW w:w="1171"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-0.23</w:t>
            </w:r>
          </w:p>
        </w:tc>
        <w:tc>
          <w:tcPr>
            <w:tcW w:w="1171"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0.61</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-1.39</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-0.69</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-0.26</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1.38</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ExVal</w:t>
            </w:r>
            <w:r w:rsidRPr="007128CB">
              <w:rPr>
                <w:b/>
                <w:i/>
                <w:sz w:val="20"/>
                <w:szCs w:val="20"/>
                <w:vertAlign w:val="subscript"/>
              </w:rPr>
              <w:t>AT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-0.09</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0.55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-0.47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1.38</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PM</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0.05</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-16.38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ROA</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-1.44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0.37</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NumSeg</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2.96</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1.16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Related</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1.02</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1.15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9.00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V</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4,802.12</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18,314.73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3.14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178.46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731.55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2,761.24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460,767.94</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Sale</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2,711.46</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5,983.62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20.06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177.63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649.42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2,153.95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38,614.00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Asset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2,927.75</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7,999.26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3.60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160.67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610.14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2,155.40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97,860.60</w:t>
            </w:r>
          </w:p>
        </w:tc>
      </w:tr>
      <w:tr w:rsidR="00AD69F3" w:rsidRPr="007128CB" w:rsidTr="00AD69F3">
        <w:trPr>
          <w:jc w:val="center"/>
        </w:trPr>
        <w:tc>
          <w:tcPr>
            <w:tcW w:w="1384" w:type="dxa"/>
          </w:tcPr>
          <w:p w:rsidR="00AD69F3" w:rsidRPr="007128CB" w:rsidRDefault="00AD69F3" w:rsidP="006D69D3">
            <w:pPr>
              <w:spacing w:line="276" w:lineRule="auto"/>
              <w:rPr>
                <w:b/>
                <w:i/>
                <w:sz w:val="20"/>
                <w:szCs w:val="20"/>
                <w:vertAlign w:val="subscript"/>
              </w:rPr>
            </w:pPr>
            <w:r w:rsidRPr="007128CB">
              <w:rPr>
                <w:b/>
                <w:i/>
                <w:sz w:val="20"/>
                <w:szCs w:val="20"/>
              </w:rPr>
              <w:t>DIFF</w:t>
            </w:r>
            <w:r w:rsidRPr="007128CB">
              <w:rPr>
                <w:b/>
                <w:i/>
                <w:sz w:val="20"/>
                <w:szCs w:val="20"/>
                <w:vertAlign w:val="subscript"/>
              </w:rPr>
              <w:t>FF</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0.37</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0.41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0.85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vertAlign w:val="subscript"/>
              </w:rPr>
            </w:pPr>
            <w:r w:rsidRPr="007128CB">
              <w:rPr>
                <w:b/>
                <w:i/>
                <w:sz w:val="20"/>
                <w:szCs w:val="20"/>
              </w:rPr>
              <w:t>DIFF</w:t>
            </w:r>
            <w:r w:rsidRPr="007128CB">
              <w:rPr>
                <w:b/>
                <w:i/>
                <w:sz w:val="20"/>
                <w:szCs w:val="20"/>
                <w:vertAlign w:val="subscript"/>
              </w:rPr>
              <w:t>PF</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0.20</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NumTNICPrs</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46.01</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59.27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9.00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23.00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58.00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590.00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HHI</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0.20</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Profit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-1.48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0.26</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Invest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0.05</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0.37</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Leverage</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0.22</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0.95</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SalesGrow</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-2.27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0.89</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StdROE</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0.33</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1.09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10.62</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MAR</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1.11</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0.50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0.83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3.29</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Corr5yr</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0.15</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0.50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0.57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0.96</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Surprise</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1.72</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4.10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0.52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29.00</w:t>
            </w:r>
          </w:p>
        </w:tc>
      </w:tr>
      <w:bookmarkEnd w:id="47"/>
    </w:tbl>
    <w:p w:rsidR="00AD69F3" w:rsidRDefault="00AD69F3">
      <w:pPr>
        <w:spacing w:line="240" w:lineRule="auto"/>
      </w:pPr>
    </w:p>
    <w:p w:rsidR="00AD69F3" w:rsidRDefault="00AD69F3">
      <w:pPr>
        <w:spacing w:line="240" w:lineRule="auto"/>
      </w:pPr>
      <w: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1171"/>
        <w:gridCol w:w="1171"/>
        <w:gridCol w:w="1170"/>
        <w:gridCol w:w="1170"/>
        <w:gridCol w:w="1170"/>
        <w:gridCol w:w="1170"/>
        <w:gridCol w:w="1170"/>
      </w:tblGrid>
      <w:tr w:rsidR="00AD69F3" w:rsidRPr="0040142E" w:rsidTr="00AD69F3">
        <w:trPr>
          <w:jc w:val="center"/>
        </w:trPr>
        <w:tc>
          <w:tcPr>
            <w:tcW w:w="9576" w:type="dxa"/>
            <w:gridSpan w:val="8"/>
          </w:tcPr>
          <w:p w:rsidR="00AD69F3" w:rsidRPr="0040142E" w:rsidRDefault="00AD69F3" w:rsidP="006D69D3">
            <w:pPr>
              <w:tabs>
                <w:tab w:val="decimal" w:pos="666"/>
                <w:tab w:val="decimal" w:pos="873"/>
              </w:tabs>
              <w:spacing w:before="120" w:line="276" w:lineRule="auto"/>
              <w:rPr>
                <w:i/>
                <w:sz w:val="20"/>
                <w:szCs w:val="20"/>
              </w:rPr>
            </w:pPr>
            <w:r w:rsidRPr="00376333">
              <w:rPr>
                <w:sz w:val="20"/>
                <w:szCs w:val="20"/>
              </w:rPr>
              <w:lastRenderedPageBreak/>
              <w:t>Table 2</w:t>
            </w:r>
            <w:r>
              <w:rPr>
                <w:i/>
                <w:sz w:val="20"/>
                <w:szCs w:val="20"/>
              </w:rPr>
              <w:t xml:space="preserve"> (Continued)</w:t>
            </w:r>
          </w:p>
        </w:tc>
      </w:tr>
      <w:tr w:rsidR="00AD69F3" w:rsidRPr="0040142E" w:rsidTr="00BF2728">
        <w:trPr>
          <w:jc w:val="center"/>
        </w:trPr>
        <w:tc>
          <w:tcPr>
            <w:tcW w:w="1384" w:type="dxa"/>
            <w:tcBorders>
              <w:bottom w:val="single" w:sz="4" w:space="0" w:color="auto"/>
            </w:tcBorders>
            <w:vAlign w:val="bottom"/>
          </w:tcPr>
          <w:p w:rsidR="00AD69F3" w:rsidRPr="0040142E" w:rsidRDefault="00AD69F3" w:rsidP="006D69D3">
            <w:pPr>
              <w:spacing w:line="240" w:lineRule="auto"/>
              <w:jc w:val="center"/>
              <w:rPr>
                <w:b/>
              </w:rPr>
            </w:pPr>
          </w:p>
        </w:tc>
        <w:tc>
          <w:tcPr>
            <w:tcW w:w="1171" w:type="dxa"/>
            <w:tcBorders>
              <w:bottom w:val="single" w:sz="4" w:space="0" w:color="auto"/>
            </w:tcBorders>
            <w:vAlign w:val="bottom"/>
          </w:tcPr>
          <w:p w:rsidR="00AD69F3" w:rsidRPr="0040142E" w:rsidRDefault="00AD69F3" w:rsidP="006D69D3">
            <w:pPr>
              <w:spacing w:line="240" w:lineRule="auto"/>
              <w:jc w:val="center"/>
              <w:rPr>
                <w:b/>
              </w:rPr>
            </w:pPr>
            <w:r w:rsidRPr="0040142E">
              <w:rPr>
                <w:b/>
              </w:rPr>
              <w:t>Mean</w:t>
            </w:r>
          </w:p>
        </w:tc>
        <w:tc>
          <w:tcPr>
            <w:tcW w:w="1171" w:type="dxa"/>
            <w:tcBorders>
              <w:bottom w:val="single" w:sz="4" w:space="0" w:color="auto"/>
            </w:tcBorders>
            <w:vAlign w:val="bottom"/>
          </w:tcPr>
          <w:p w:rsidR="00AD69F3" w:rsidRPr="0040142E" w:rsidRDefault="00AD69F3" w:rsidP="006D69D3">
            <w:pPr>
              <w:spacing w:line="240" w:lineRule="auto"/>
              <w:jc w:val="center"/>
              <w:rPr>
                <w:b/>
              </w:rPr>
            </w:pPr>
            <w:r w:rsidRPr="0040142E">
              <w:rPr>
                <w:b/>
              </w:rPr>
              <w:t>Std. Dev.</w:t>
            </w:r>
          </w:p>
        </w:tc>
        <w:tc>
          <w:tcPr>
            <w:tcW w:w="1170" w:type="dxa"/>
            <w:tcBorders>
              <w:bottom w:val="single" w:sz="4" w:space="0" w:color="auto"/>
            </w:tcBorders>
            <w:vAlign w:val="bottom"/>
          </w:tcPr>
          <w:p w:rsidR="00AD69F3" w:rsidRPr="0040142E" w:rsidRDefault="00AD69F3" w:rsidP="006D69D3">
            <w:pPr>
              <w:spacing w:line="240" w:lineRule="auto"/>
              <w:jc w:val="center"/>
              <w:rPr>
                <w:b/>
              </w:rPr>
            </w:pPr>
            <w:r w:rsidRPr="0040142E">
              <w:rPr>
                <w:b/>
              </w:rPr>
              <w:t>Min</w:t>
            </w:r>
          </w:p>
        </w:tc>
        <w:tc>
          <w:tcPr>
            <w:tcW w:w="1170" w:type="dxa"/>
            <w:tcBorders>
              <w:bottom w:val="single" w:sz="4" w:space="0" w:color="auto"/>
            </w:tcBorders>
            <w:vAlign w:val="bottom"/>
          </w:tcPr>
          <w:p w:rsidR="00AD69F3" w:rsidRPr="0040142E" w:rsidRDefault="00AD69F3" w:rsidP="006D69D3">
            <w:pPr>
              <w:spacing w:line="240" w:lineRule="auto"/>
              <w:jc w:val="center"/>
              <w:rPr>
                <w:b/>
              </w:rPr>
            </w:pPr>
            <w:r w:rsidRPr="0040142E">
              <w:rPr>
                <w:b/>
              </w:rPr>
              <w:t>25</w:t>
            </w:r>
            <w:r w:rsidRPr="0040142E">
              <w:rPr>
                <w:b/>
                <w:vertAlign w:val="superscript"/>
              </w:rPr>
              <w:t>th</w:t>
            </w:r>
            <w:r w:rsidRPr="0040142E">
              <w:rPr>
                <w:b/>
              </w:rPr>
              <w:t xml:space="preserve"> </w:t>
            </w:r>
          </w:p>
        </w:tc>
        <w:tc>
          <w:tcPr>
            <w:tcW w:w="1170" w:type="dxa"/>
            <w:tcBorders>
              <w:bottom w:val="single" w:sz="4" w:space="0" w:color="auto"/>
            </w:tcBorders>
            <w:vAlign w:val="bottom"/>
          </w:tcPr>
          <w:p w:rsidR="00AD69F3" w:rsidRPr="0040142E" w:rsidRDefault="00AD69F3" w:rsidP="006D69D3">
            <w:pPr>
              <w:spacing w:line="240" w:lineRule="auto"/>
              <w:jc w:val="center"/>
              <w:rPr>
                <w:b/>
              </w:rPr>
            </w:pPr>
            <w:r w:rsidRPr="0040142E">
              <w:rPr>
                <w:b/>
              </w:rPr>
              <w:t>Median</w:t>
            </w:r>
          </w:p>
        </w:tc>
        <w:tc>
          <w:tcPr>
            <w:tcW w:w="1170" w:type="dxa"/>
            <w:tcBorders>
              <w:bottom w:val="single" w:sz="4" w:space="0" w:color="auto"/>
            </w:tcBorders>
            <w:vAlign w:val="bottom"/>
          </w:tcPr>
          <w:p w:rsidR="00AD69F3" w:rsidRPr="0040142E" w:rsidRDefault="00AD69F3" w:rsidP="006D69D3">
            <w:pPr>
              <w:spacing w:line="240" w:lineRule="auto"/>
              <w:jc w:val="center"/>
              <w:rPr>
                <w:b/>
              </w:rPr>
            </w:pPr>
            <w:r w:rsidRPr="0040142E">
              <w:rPr>
                <w:b/>
              </w:rPr>
              <w:t>75</w:t>
            </w:r>
            <w:r w:rsidRPr="0040142E">
              <w:rPr>
                <w:b/>
                <w:vertAlign w:val="superscript"/>
              </w:rPr>
              <w:t>th</w:t>
            </w:r>
            <w:r w:rsidRPr="0040142E">
              <w:rPr>
                <w:b/>
              </w:rPr>
              <w:t xml:space="preserve"> </w:t>
            </w:r>
          </w:p>
        </w:tc>
        <w:tc>
          <w:tcPr>
            <w:tcW w:w="1170" w:type="dxa"/>
            <w:tcBorders>
              <w:bottom w:val="single" w:sz="4" w:space="0" w:color="auto"/>
            </w:tcBorders>
            <w:vAlign w:val="bottom"/>
          </w:tcPr>
          <w:p w:rsidR="00AD69F3" w:rsidRPr="0040142E" w:rsidRDefault="00AD69F3" w:rsidP="006D69D3">
            <w:pPr>
              <w:spacing w:line="240" w:lineRule="auto"/>
              <w:jc w:val="center"/>
              <w:rPr>
                <w:b/>
              </w:rPr>
            </w:pPr>
            <w:r w:rsidRPr="0040142E">
              <w:rPr>
                <w:b/>
              </w:rPr>
              <w:t>Max</w:t>
            </w:r>
          </w:p>
        </w:tc>
      </w:tr>
      <w:tr w:rsidR="00AD69F3" w:rsidRPr="0040142E" w:rsidTr="00AD69F3">
        <w:trPr>
          <w:jc w:val="center"/>
        </w:trPr>
        <w:tc>
          <w:tcPr>
            <w:tcW w:w="9576" w:type="dxa"/>
            <w:gridSpan w:val="8"/>
            <w:tcBorders>
              <w:top w:val="single" w:sz="4" w:space="0" w:color="auto"/>
              <w:bottom w:val="single" w:sz="4" w:space="0" w:color="auto"/>
            </w:tcBorders>
          </w:tcPr>
          <w:p w:rsidR="00AD69F3" w:rsidRPr="0040142E" w:rsidRDefault="00AD69F3" w:rsidP="006D69D3">
            <w:pPr>
              <w:tabs>
                <w:tab w:val="decimal" w:pos="666"/>
                <w:tab w:val="decimal" w:pos="873"/>
              </w:tabs>
              <w:spacing w:before="120" w:line="276" w:lineRule="auto"/>
              <w:rPr>
                <w:b/>
              </w:rPr>
            </w:pPr>
            <w:r w:rsidRPr="0040142E">
              <w:rPr>
                <w:b/>
              </w:rPr>
              <w:t>Panel B: Single Segment Firms</w:t>
            </w:r>
          </w:p>
        </w:tc>
      </w:tr>
      <w:tr w:rsidR="00AD69F3" w:rsidRPr="007128CB" w:rsidTr="00AD69F3">
        <w:trPr>
          <w:jc w:val="center"/>
        </w:trPr>
        <w:tc>
          <w:tcPr>
            <w:tcW w:w="1384" w:type="dxa"/>
            <w:tcBorders>
              <w:top w:val="single" w:sz="4" w:space="0" w:color="auto"/>
            </w:tcBorders>
          </w:tcPr>
          <w:p w:rsidR="00AD69F3" w:rsidRPr="007128CB" w:rsidRDefault="00AD69F3" w:rsidP="006D69D3">
            <w:pPr>
              <w:spacing w:line="276" w:lineRule="auto"/>
              <w:rPr>
                <w:b/>
                <w:i/>
                <w:sz w:val="20"/>
                <w:szCs w:val="20"/>
              </w:rPr>
            </w:pPr>
            <w:r w:rsidRPr="007128CB">
              <w:rPr>
                <w:b/>
                <w:i/>
                <w:sz w:val="20"/>
                <w:szCs w:val="20"/>
              </w:rPr>
              <w:t>ExVal</w:t>
            </w:r>
            <w:r w:rsidRPr="007128CB">
              <w:rPr>
                <w:b/>
                <w:i/>
                <w:sz w:val="20"/>
                <w:szCs w:val="20"/>
                <w:vertAlign w:val="subscript"/>
              </w:rPr>
              <w:t>Rev</w:t>
            </w:r>
          </w:p>
        </w:tc>
        <w:tc>
          <w:tcPr>
            <w:tcW w:w="1171"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-0.16</w:t>
            </w:r>
          </w:p>
        </w:tc>
        <w:tc>
          <w:tcPr>
            <w:tcW w:w="1171"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0.55</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-1.39</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-0.55</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-0.07</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0" w:type="dxa"/>
            <w:tcBorders>
              <w:top w:val="sing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1.38</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ExVal</w:t>
            </w:r>
            <w:r w:rsidRPr="007128CB">
              <w:rPr>
                <w:b/>
                <w:i/>
                <w:sz w:val="20"/>
                <w:szCs w:val="20"/>
                <w:vertAlign w:val="subscript"/>
              </w:rPr>
              <w:t>AT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-0.13</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0.49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-0.46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1.38</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PM</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0.01</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0.44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-16.38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ROA</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-1.44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0.37</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V</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2,291.36</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9,913.58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2.36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87.79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322.16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1,216.13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467,092.88</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Sale</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1,312.15</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4,052.03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75.68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233.78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778.79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38,614.00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Asset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1,214.17</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3,854.24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2.73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75.91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234.00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762.36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87,095.00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DIFF</w:t>
            </w:r>
            <w:r w:rsidRPr="007128CB">
              <w:rPr>
                <w:b/>
                <w:i/>
                <w:sz w:val="20"/>
                <w:szCs w:val="20"/>
                <w:vertAlign w:val="subscript"/>
              </w:rPr>
              <w:t>FF</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0.25</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0.43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DIFF</w:t>
            </w:r>
            <w:r w:rsidRPr="007128CB">
              <w:rPr>
                <w:b/>
                <w:i/>
                <w:sz w:val="20"/>
                <w:szCs w:val="20"/>
                <w:vertAlign w:val="subscript"/>
              </w:rPr>
              <w:t>PF</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0.15</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NumTNICPrs</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75.01</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85.02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42.00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109.00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608.00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HHI</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0.18</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1.00</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Profit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-1.48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0.26</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Invest</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0.37</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Leverage</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0.20</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0.95</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SalesGrow</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0.06</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0.28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-2.27</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0.89</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StdROE</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0.44</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1.33</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0.04</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10.62</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MAR</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1.13</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0.56</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-0.31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0.80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1.08</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1.39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3.29</w:t>
            </w:r>
          </w:p>
        </w:tc>
      </w:tr>
      <w:tr w:rsidR="00AD69F3" w:rsidRPr="007128CB" w:rsidTr="00AD69F3">
        <w:trPr>
          <w:jc w:val="center"/>
        </w:trPr>
        <w:tc>
          <w:tcPr>
            <w:tcW w:w="1384" w:type="dxa"/>
          </w:tcPr>
          <w:p w:rsidR="00AD69F3" w:rsidRPr="007128CB" w:rsidRDefault="00AD69F3" w:rsidP="006D69D3">
            <w:pPr>
              <w:spacing w:line="276" w:lineRule="auto"/>
              <w:rPr>
                <w:b/>
                <w:i/>
                <w:sz w:val="20"/>
                <w:szCs w:val="20"/>
              </w:rPr>
            </w:pPr>
            <w:r w:rsidRPr="007128CB">
              <w:rPr>
                <w:b/>
                <w:i/>
                <w:sz w:val="20"/>
                <w:szCs w:val="20"/>
              </w:rPr>
              <w:t>Corr5yr</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1" w:type="dxa"/>
            <w:vAlign w:val="bottom"/>
          </w:tcPr>
          <w:p w:rsidR="00AD69F3" w:rsidRPr="007128CB" w:rsidRDefault="00AD69F3" w:rsidP="006D69D3">
            <w:pPr>
              <w:tabs>
                <w:tab w:val="decimal" w:pos="693"/>
              </w:tabs>
              <w:spacing w:line="276" w:lineRule="auto"/>
              <w:rPr>
                <w:sz w:val="20"/>
                <w:szCs w:val="20"/>
              </w:rPr>
            </w:pPr>
            <w:r w:rsidRPr="007128CB">
              <w:rPr>
                <w:sz w:val="20"/>
                <w:szCs w:val="20"/>
              </w:rPr>
              <w:t>0.50</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-0.92</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-0.19</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0.25</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0.61</w:t>
            </w:r>
          </w:p>
        </w:tc>
        <w:tc>
          <w:tcPr>
            <w:tcW w:w="1170" w:type="dxa"/>
            <w:vAlign w:val="bottom"/>
          </w:tcPr>
          <w:p w:rsidR="00AD69F3" w:rsidRPr="007128CB" w:rsidRDefault="00AD69F3" w:rsidP="006D69D3">
            <w:pPr>
              <w:tabs>
                <w:tab w:val="decimal" w:pos="693"/>
              </w:tabs>
              <w:spacing w:line="276" w:lineRule="auto"/>
              <w:rPr>
                <w:sz w:val="20"/>
                <w:szCs w:val="20"/>
              </w:rPr>
            </w:pPr>
            <w:r w:rsidRPr="007128CB">
              <w:rPr>
                <w:sz w:val="20"/>
                <w:szCs w:val="20"/>
              </w:rPr>
              <w:t>0.96</w:t>
            </w:r>
          </w:p>
        </w:tc>
      </w:tr>
      <w:tr w:rsidR="00AD69F3" w:rsidRPr="007128CB" w:rsidTr="00AD69F3">
        <w:trPr>
          <w:jc w:val="center"/>
        </w:trPr>
        <w:tc>
          <w:tcPr>
            <w:tcW w:w="1384" w:type="dxa"/>
            <w:tcBorders>
              <w:bottom w:val="double" w:sz="4" w:space="0" w:color="auto"/>
            </w:tcBorders>
          </w:tcPr>
          <w:p w:rsidR="00AD69F3" w:rsidRPr="007128CB" w:rsidRDefault="00AD69F3" w:rsidP="006D69D3">
            <w:pPr>
              <w:spacing w:line="276" w:lineRule="auto"/>
              <w:rPr>
                <w:b/>
                <w:i/>
                <w:sz w:val="20"/>
                <w:szCs w:val="20"/>
              </w:rPr>
            </w:pPr>
            <w:r w:rsidRPr="007128CB">
              <w:rPr>
                <w:b/>
                <w:i/>
                <w:sz w:val="20"/>
                <w:szCs w:val="20"/>
              </w:rPr>
              <w:t>Surprise</w:t>
            </w:r>
          </w:p>
        </w:tc>
        <w:tc>
          <w:tcPr>
            <w:tcW w:w="1171" w:type="dxa"/>
            <w:tcBorders>
              <w:bottom w:val="doub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1.82</w:t>
            </w:r>
          </w:p>
        </w:tc>
        <w:tc>
          <w:tcPr>
            <w:tcW w:w="1171" w:type="dxa"/>
            <w:tcBorders>
              <w:bottom w:val="doub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4.23</w:t>
            </w:r>
          </w:p>
        </w:tc>
        <w:tc>
          <w:tcPr>
            <w:tcW w:w="1170" w:type="dxa"/>
            <w:tcBorders>
              <w:bottom w:val="doub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0.00</w:t>
            </w:r>
          </w:p>
        </w:tc>
        <w:tc>
          <w:tcPr>
            <w:tcW w:w="1170" w:type="dxa"/>
            <w:tcBorders>
              <w:bottom w:val="doub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0.21</w:t>
            </w:r>
          </w:p>
        </w:tc>
        <w:tc>
          <w:tcPr>
            <w:tcW w:w="1170" w:type="dxa"/>
            <w:tcBorders>
              <w:bottom w:val="doub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0.56</w:t>
            </w:r>
          </w:p>
        </w:tc>
        <w:tc>
          <w:tcPr>
            <w:tcW w:w="1170" w:type="dxa"/>
            <w:tcBorders>
              <w:bottom w:val="doub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1.37</w:t>
            </w:r>
          </w:p>
        </w:tc>
        <w:tc>
          <w:tcPr>
            <w:tcW w:w="1170" w:type="dxa"/>
            <w:tcBorders>
              <w:bottom w:val="double" w:sz="4" w:space="0" w:color="auto"/>
            </w:tcBorders>
            <w:vAlign w:val="bottom"/>
          </w:tcPr>
          <w:p w:rsidR="00AD69F3" w:rsidRPr="007128CB" w:rsidRDefault="00AD69F3" w:rsidP="006D69D3">
            <w:pPr>
              <w:tabs>
                <w:tab w:val="decimal" w:pos="693"/>
              </w:tabs>
              <w:spacing w:line="276" w:lineRule="auto"/>
              <w:rPr>
                <w:sz w:val="20"/>
                <w:szCs w:val="20"/>
              </w:rPr>
            </w:pPr>
            <w:r w:rsidRPr="007128CB">
              <w:rPr>
                <w:sz w:val="20"/>
                <w:szCs w:val="20"/>
              </w:rPr>
              <w:t>29.00</w:t>
            </w:r>
          </w:p>
        </w:tc>
      </w:tr>
      <w:tr w:rsidR="00AD69F3" w:rsidRPr="007058D9" w:rsidTr="00AD69F3">
        <w:trPr>
          <w:trHeight w:val="45"/>
          <w:jc w:val="center"/>
        </w:trPr>
        <w:tc>
          <w:tcPr>
            <w:tcW w:w="9576" w:type="dxa"/>
            <w:gridSpan w:val="8"/>
            <w:tcBorders>
              <w:top w:val="double" w:sz="4" w:space="0" w:color="auto"/>
            </w:tcBorders>
          </w:tcPr>
          <w:p w:rsidR="00AD69F3" w:rsidRPr="007058D9" w:rsidRDefault="00AD69F3" w:rsidP="006D69D3">
            <w:pPr>
              <w:tabs>
                <w:tab w:val="decimal" w:pos="0"/>
              </w:tabs>
              <w:spacing w:line="276" w:lineRule="auto"/>
              <w:rPr>
                <w:sz w:val="8"/>
                <w:szCs w:val="8"/>
              </w:rPr>
            </w:pPr>
          </w:p>
          <w:p w:rsidR="00AD69F3" w:rsidRPr="007058D9" w:rsidRDefault="00AD69F3" w:rsidP="006D69D3">
            <w:pPr>
              <w:tabs>
                <w:tab w:val="decimal" w:pos="0"/>
              </w:tabs>
              <w:spacing w:line="276" w:lineRule="auto"/>
              <w:rPr>
                <w:i/>
                <w:sz w:val="20"/>
                <w:szCs w:val="20"/>
              </w:rPr>
            </w:pPr>
            <w:r w:rsidRPr="007128CB">
              <w:rPr>
                <w:sz w:val="20"/>
                <w:szCs w:val="20"/>
              </w:rPr>
              <w:t xml:space="preserve">This table provides statistics for valuation, performance, and size statistics for the sample period, 1996 to 2011 for single and multi-segments.  </w:t>
            </w:r>
            <w:r w:rsidRPr="007128CB">
              <w:rPr>
                <w:i/>
                <w:sz w:val="20"/>
                <w:szCs w:val="20"/>
              </w:rPr>
              <w:t>PM</w:t>
            </w:r>
            <w:r w:rsidRPr="007128CB">
              <w:rPr>
                <w:sz w:val="20"/>
                <w:szCs w:val="20"/>
              </w:rPr>
              <w:t xml:space="preserve"> is the earnings before income and taxes (sum of income before extraordinary items, interested and related expenses, and income taxes).  </w:t>
            </w:r>
            <w:r w:rsidRPr="007128CB">
              <w:rPr>
                <w:i/>
                <w:sz w:val="20"/>
                <w:szCs w:val="20"/>
              </w:rPr>
              <w:t>ROA</w:t>
            </w:r>
            <w:r w:rsidRPr="007128CB">
              <w:rPr>
                <w:sz w:val="20"/>
                <w:szCs w:val="20"/>
              </w:rPr>
              <w:t xml:space="preserve"> is return on assets (EBIT define</w:t>
            </w:r>
            <w:r w:rsidR="00EC1E2F">
              <w:rPr>
                <w:sz w:val="20"/>
                <w:szCs w:val="20"/>
              </w:rPr>
              <w:t>d</w:t>
            </w:r>
            <w:r w:rsidRPr="007128CB">
              <w:rPr>
                <w:sz w:val="20"/>
                <w:szCs w:val="20"/>
              </w:rPr>
              <w:t xml:space="preserve"> previously divided by total assets).  </w:t>
            </w:r>
            <w:r w:rsidRPr="007128CB">
              <w:rPr>
                <w:i/>
                <w:sz w:val="20"/>
                <w:szCs w:val="20"/>
              </w:rPr>
              <w:t>V</w:t>
            </w:r>
            <w:r>
              <w:rPr>
                <w:i/>
                <w:sz w:val="20"/>
                <w:szCs w:val="20"/>
              </w:rPr>
              <w:t xml:space="preserve"> </w:t>
            </w:r>
            <w:r w:rsidRPr="007128CB">
              <w:rPr>
                <w:sz w:val="20"/>
                <w:szCs w:val="20"/>
              </w:rPr>
              <w:t xml:space="preserve">value of the firm (price per share times the number of shares plus current and long-term liabilities).  </w:t>
            </w:r>
            <w:r w:rsidRPr="007128CB">
              <w:rPr>
                <w:i/>
                <w:sz w:val="20"/>
                <w:szCs w:val="20"/>
              </w:rPr>
              <w:t>DIFF</w:t>
            </w:r>
            <w:r w:rsidRPr="007128CB">
              <w:rPr>
                <w:i/>
                <w:sz w:val="20"/>
                <w:szCs w:val="20"/>
                <w:vertAlign w:val="subscript"/>
              </w:rPr>
              <w:t>FF</w:t>
            </w:r>
            <w:r w:rsidRPr="007128CB">
              <w:rPr>
                <w:sz w:val="20"/>
                <w:szCs w:val="20"/>
              </w:rPr>
              <w:t xml:space="preserve"> and </w:t>
            </w:r>
            <w:r w:rsidRPr="007128CB">
              <w:rPr>
                <w:i/>
                <w:sz w:val="20"/>
                <w:szCs w:val="20"/>
              </w:rPr>
              <w:t>DIFF</w:t>
            </w:r>
            <w:r w:rsidRPr="007128CB">
              <w:rPr>
                <w:i/>
                <w:sz w:val="20"/>
                <w:szCs w:val="20"/>
                <w:vertAlign w:val="subscript"/>
              </w:rPr>
              <w:t>PF</w:t>
            </w:r>
            <w:r w:rsidRPr="007128CB">
              <w:rPr>
                <w:i/>
                <w:sz w:val="20"/>
                <w:szCs w:val="20"/>
              </w:rPr>
              <w:t xml:space="preserve"> </w:t>
            </w:r>
            <w:r w:rsidRPr="007128CB">
              <w:rPr>
                <w:sz w:val="20"/>
                <w:szCs w:val="20"/>
              </w:rPr>
              <w:t xml:space="preserve">are the values of segment reporting differentiation </w:t>
            </w:r>
            <w:r w:rsidR="00EC1E2F">
              <w:rPr>
                <w:sz w:val="20"/>
                <w:szCs w:val="20"/>
              </w:rPr>
              <w:t xml:space="preserve">(percentage of sales not disclosed by peers) </w:t>
            </w:r>
            <w:r w:rsidRPr="007128CB">
              <w:rPr>
                <w:sz w:val="20"/>
                <w:szCs w:val="20"/>
              </w:rPr>
              <w:t>before adding one and taking the natural log.  The remaining variables are defined in appendix B.</w:t>
            </w:r>
          </w:p>
        </w:tc>
      </w:tr>
    </w:tbl>
    <w:p w:rsidR="007C2896" w:rsidRDefault="007C2896">
      <w:pPr>
        <w:spacing w:line="240" w:lineRule="auto"/>
      </w:pPr>
    </w:p>
    <w:p w:rsidR="007C2896" w:rsidRDefault="007C2896">
      <w:pPr>
        <w:spacing w:line="240" w:lineRule="auto"/>
      </w:pPr>
      <w:r>
        <w:br w:type="page"/>
      </w:r>
    </w:p>
    <w:tbl>
      <w:tblPr>
        <w:tblW w:w="13070" w:type="dxa"/>
        <w:jc w:val="center"/>
        <w:tblInd w:w="331" w:type="dxa"/>
        <w:tblLayout w:type="fixed"/>
        <w:tblLook w:val="04A0" w:firstRow="1" w:lastRow="0" w:firstColumn="1" w:lastColumn="0" w:noHBand="0" w:noVBand="1"/>
      </w:tblPr>
      <w:tblGrid>
        <w:gridCol w:w="1495"/>
        <w:gridCol w:w="1165"/>
        <w:gridCol w:w="1301"/>
        <w:gridCol w:w="1301"/>
        <w:gridCol w:w="1301"/>
        <w:gridCol w:w="1302"/>
        <w:gridCol w:w="1301"/>
        <w:gridCol w:w="1301"/>
        <w:gridCol w:w="1301"/>
        <w:gridCol w:w="1302"/>
      </w:tblGrid>
      <w:tr w:rsidR="007C2896" w:rsidRPr="00680FD3" w:rsidTr="000345AA">
        <w:trPr>
          <w:trHeight w:val="255"/>
          <w:jc w:val="center"/>
        </w:trPr>
        <w:tc>
          <w:tcPr>
            <w:tcW w:w="13070" w:type="dxa"/>
            <w:gridSpan w:val="10"/>
            <w:tcBorders>
              <w:top w:val="double" w:sz="4" w:space="0" w:color="auto"/>
              <w:left w:val="nil"/>
              <w:bottom w:val="single" w:sz="12" w:space="0" w:color="auto"/>
              <w:right w:val="nil"/>
            </w:tcBorders>
            <w:shd w:val="clear" w:color="auto" w:fill="auto"/>
            <w:noWrap/>
            <w:vAlign w:val="bottom"/>
          </w:tcPr>
          <w:p w:rsidR="007C2896" w:rsidRPr="00680FD3" w:rsidRDefault="007C2896" w:rsidP="007C2896">
            <w:pPr>
              <w:spacing w:line="240" w:lineRule="auto"/>
              <w:jc w:val="center"/>
              <w:rPr>
                <w:b/>
              </w:rPr>
            </w:pPr>
            <w:r w:rsidRPr="00680FD3">
              <w:rPr>
                <w:b/>
              </w:rPr>
              <w:lastRenderedPageBreak/>
              <w:t>Table 3:</w:t>
            </w:r>
          </w:p>
          <w:p w:rsidR="007C2896" w:rsidRPr="00680FD3" w:rsidRDefault="007C2896" w:rsidP="007C2896">
            <w:pPr>
              <w:spacing w:line="240" w:lineRule="auto"/>
              <w:jc w:val="center"/>
              <w:rPr>
                <w:b/>
              </w:rPr>
            </w:pPr>
            <w:r w:rsidRPr="007128CB">
              <w:rPr>
                <w:b/>
                <w:i/>
              </w:rPr>
              <w:t>Correlations for Single and Multi-Segment Firms</w:t>
            </w:r>
          </w:p>
        </w:tc>
      </w:tr>
      <w:tr w:rsidR="000345AA" w:rsidRPr="007128CB" w:rsidTr="000345AA">
        <w:trPr>
          <w:trHeight w:val="255"/>
          <w:jc w:val="center"/>
        </w:trPr>
        <w:tc>
          <w:tcPr>
            <w:tcW w:w="13070" w:type="dxa"/>
            <w:gridSpan w:val="10"/>
            <w:tcBorders>
              <w:top w:val="single" w:sz="12" w:space="0" w:color="auto"/>
              <w:left w:val="nil"/>
            </w:tcBorders>
            <w:shd w:val="clear" w:color="auto" w:fill="auto"/>
            <w:noWrap/>
            <w:vAlign w:val="bottom"/>
          </w:tcPr>
          <w:p w:rsidR="000345AA" w:rsidRPr="007128CB" w:rsidRDefault="000345AA" w:rsidP="007C2896">
            <w:pPr>
              <w:spacing w:line="240" w:lineRule="auto"/>
              <w:rPr>
                <w:b/>
                <w:sz w:val="20"/>
                <w:szCs w:val="20"/>
              </w:rPr>
            </w:pPr>
            <w:r w:rsidRPr="007128CB">
              <w:rPr>
                <w:b/>
                <w:sz w:val="20"/>
                <w:szCs w:val="20"/>
              </w:rPr>
              <w:t>Panel A: Multi-Segment Firms</w:t>
            </w:r>
          </w:p>
        </w:tc>
      </w:tr>
      <w:tr w:rsidR="000345AA" w:rsidRPr="000345AA" w:rsidTr="000345AA">
        <w:trPr>
          <w:trHeight w:val="255"/>
          <w:jc w:val="center"/>
        </w:trPr>
        <w:tc>
          <w:tcPr>
            <w:tcW w:w="1495"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p>
        </w:tc>
        <w:tc>
          <w:tcPr>
            <w:tcW w:w="1165"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ExVal</w:t>
            </w:r>
            <w:r w:rsidRPr="000345AA">
              <w:rPr>
                <w:b/>
                <w:i/>
                <w:sz w:val="18"/>
                <w:szCs w:val="18"/>
                <w:vertAlign w:val="subscript"/>
              </w:rPr>
              <w:t>Rev</w:t>
            </w:r>
          </w:p>
        </w:tc>
        <w:tc>
          <w:tcPr>
            <w:tcW w:w="1301"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ExVal</w:t>
            </w:r>
            <w:r w:rsidRPr="000345AA">
              <w:rPr>
                <w:b/>
                <w:i/>
                <w:sz w:val="18"/>
                <w:szCs w:val="18"/>
                <w:vertAlign w:val="subscript"/>
              </w:rPr>
              <w:t>AT</w:t>
            </w:r>
          </w:p>
        </w:tc>
        <w:tc>
          <w:tcPr>
            <w:tcW w:w="1301"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FFDIFF</w:t>
            </w:r>
          </w:p>
        </w:tc>
        <w:tc>
          <w:tcPr>
            <w:tcW w:w="1301"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PFDIFF</w:t>
            </w:r>
          </w:p>
        </w:tc>
        <w:tc>
          <w:tcPr>
            <w:tcW w:w="1302"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NumSeg</w:t>
            </w:r>
          </w:p>
        </w:tc>
        <w:tc>
          <w:tcPr>
            <w:tcW w:w="1301"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NumTNICPrs</w:t>
            </w:r>
          </w:p>
        </w:tc>
        <w:tc>
          <w:tcPr>
            <w:tcW w:w="1301"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HHI</w:t>
            </w:r>
          </w:p>
        </w:tc>
        <w:tc>
          <w:tcPr>
            <w:tcW w:w="1301"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Related</w:t>
            </w:r>
          </w:p>
        </w:tc>
        <w:tc>
          <w:tcPr>
            <w:tcW w:w="1302" w:type="dxa"/>
            <w:tcBorders>
              <w:top w:val="nil"/>
              <w:left w:val="nil"/>
              <w:bottom w:val="single" w:sz="4" w:space="0" w:color="auto"/>
              <w:right w:val="nil"/>
            </w:tcBorders>
            <w:shd w:val="clear" w:color="auto" w:fill="auto"/>
            <w:noWrap/>
            <w:vAlign w:val="bottom"/>
            <w:hideMark/>
          </w:tcPr>
          <w:p w:rsidR="000345AA" w:rsidRPr="000345AA" w:rsidRDefault="000345AA" w:rsidP="007C2896">
            <w:pPr>
              <w:spacing w:line="240" w:lineRule="auto"/>
              <w:jc w:val="center"/>
              <w:rPr>
                <w:b/>
                <w:i/>
                <w:sz w:val="18"/>
                <w:szCs w:val="18"/>
              </w:rPr>
            </w:pPr>
            <w:r w:rsidRPr="000345AA">
              <w:rPr>
                <w:b/>
                <w:i/>
                <w:sz w:val="18"/>
                <w:szCs w:val="18"/>
              </w:rPr>
              <w:t>Size</w:t>
            </w:r>
          </w:p>
        </w:tc>
      </w:tr>
      <w:tr w:rsidR="000345AA" w:rsidRPr="000345AA" w:rsidTr="000345AA">
        <w:trPr>
          <w:trHeight w:val="255"/>
          <w:jc w:val="center"/>
        </w:trPr>
        <w:tc>
          <w:tcPr>
            <w:tcW w:w="1495" w:type="dxa"/>
            <w:tcBorders>
              <w:top w:val="single" w:sz="4" w:space="0" w:color="auto"/>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ExVal</w:t>
            </w:r>
            <w:r w:rsidRPr="000345AA">
              <w:rPr>
                <w:b/>
                <w:i/>
                <w:sz w:val="20"/>
                <w:szCs w:val="20"/>
                <w:vertAlign w:val="subscript"/>
              </w:rPr>
              <w:t>Rev</w:t>
            </w:r>
          </w:p>
        </w:tc>
        <w:tc>
          <w:tcPr>
            <w:tcW w:w="1165" w:type="dxa"/>
            <w:tcBorders>
              <w:top w:val="single" w:sz="4" w:space="0" w:color="auto"/>
              <w:left w:val="nil"/>
              <w:bottom w:val="nil"/>
              <w:right w:val="nil"/>
            </w:tcBorders>
            <w:shd w:val="clear" w:color="auto" w:fill="auto"/>
            <w:noWrap/>
            <w:vAlign w:val="bottom"/>
            <w:hideMark/>
          </w:tcPr>
          <w:p w:rsidR="000345AA" w:rsidRPr="000345AA" w:rsidRDefault="000345AA" w:rsidP="007C2896">
            <w:pPr>
              <w:tabs>
                <w:tab w:val="decimal" w:pos="113"/>
              </w:tabs>
              <w:spacing w:line="240" w:lineRule="auto"/>
              <w:jc w:val="center"/>
              <w:rPr>
                <w:sz w:val="20"/>
                <w:szCs w:val="20"/>
              </w:rPr>
            </w:pPr>
            <w:r w:rsidRPr="000345AA">
              <w:rPr>
                <w:sz w:val="20"/>
                <w:szCs w:val="20"/>
              </w:rPr>
              <w:t>1</w:t>
            </w:r>
          </w:p>
        </w:tc>
        <w:tc>
          <w:tcPr>
            <w:tcW w:w="1301"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0.623***</w:t>
            </w:r>
          </w:p>
        </w:tc>
        <w:tc>
          <w:tcPr>
            <w:tcW w:w="1301"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0.048***</w:t>
            </w:r>
          </w:p>
        </w:tc>
        <w:tc>
          <w:tcPr>
            <w:tcW w:w="1301"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0.058***</w:t>
            </w:r>
          </w:p>
        </w:tc>
        <w:tc>
          <w:tcPr>
            <w:tcW w:w="1302"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0.031**</w:t>
            </w:r>
          </w:p>
        </w:tc>
        <w:tc>
          <w:tcPr>
            <w:tcW w:w="1301"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-0.033**</w:t>
            </w:r>
          </w:p>
        </w:tc>
        <w:tc>
          <w:tcPr>
            <w:tcW w:w="1301"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0.025*</w:t>
            </w:r>
          </w:p>
        </w:tc>
        <w:tc>
          <w:tcPr>
            <w:tcW w:w="1301"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0.034**</w:t>
            </w:r>
          </w:p>
        </w:tc>
        <w:tc>
          <w:tcPr>
            <w:tcW w:w="1302" w:type="dxa"/>
            <w:tcBorders>
              <w:top w:val="single" w:sz="4" w:space="0" w:color="auto"/>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0.170***</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ExVal</w:t>
            </w:r>
            <w:r w:rsidRPr="000345AA">
              <w:rPr>
                <w:b/>
                <w:i/>
                <w:sz w:val="20"/>
                <w:szCs w:val="20"/>
                <w:vertAlign w:val="subscript"/>
              </w:rPr>
              <w:t>AT</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0.630***</w:t>
            </w:r>
          </w:p>
        </w:tc>
        <w:tc>
          <w:tcPr>
            <w:tcW w:w="1301"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0.044***</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-0.059***</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0.022</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0.115***</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FFDIFF</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0.046***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0.040***</w:t>
            </w:r>
          </w:p>
        </w:tc>
        <w:tc>
          <w:tcPr>
            <w:tcW w:w="1301"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0.379***</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-0.216***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0.247***</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-0.205***</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-0.093***</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PFDIFF</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0.052***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0.351***</w:t>
            </w:r>
          </w:p>
        </w:tc>
        <w:tc>
          <w:tcPr>
            <w:tcW w:w="1301"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-0.235***</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0.173***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-0.142***</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-0.023*</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Pr>
                <w:b/>
                <w:i/>
                <w:sz w:val="20"/>
                <w:szCs w:val="20"/>
              </w:rPr>
              <w:t xml:space="preserve"> </w:t>
            </w:r>
            <w:r w:rsidRPr="000345AA">
              <w:rPr>
                <w:b/>
                <w:i/>
                <w:sz w:val="20"/>
                <w:szCs w:val="20"/>
              </w:rPr>
              <w:t>NumSeg</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0.025*</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0.009</w:t>
            </w:r>
          </w:p>
        </w:tc>
        <w:tc>
          <w:tcPr>
            <w:tcW w:w="1302"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-0.055***</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0.671***</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0.343***</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NumTNICPrs</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-0.041***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-0.035**</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-0.271***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-0.281***</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-0.019</w:t>
            </w:r>
          </w:p>
        </w:tc>
        <w:tc>
          <w:tcPr>
            <w:tcW w:w="1301"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-0.483***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0.074***</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0.037***</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HHI</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0.024*</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0.014</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0.198***</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0.189***</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-0.873***</w:t>
            </w:r>
          </w:p>
        </w:tc>
        <w:tc>
          <w:tcPr>
            <w:tcW w:w="1301"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-0.050***</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-0.266***</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Related</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0.029*</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-0.234***</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-0.156***</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0.540***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0.069***</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-0.017</w:t>
            </w:r>
          </w:p>
        </w:tc>
        <w:tc>
          <w:tcPr>
            <w:tcW w:w="1301"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0.188***</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Size</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0.176***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0.116***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-0.081***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-0.004</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0.320***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0.100***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-0.273***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0.144***</w:t>
            </w:r>
          </w:p>
        </w:tc>
        <w:tc>
          <w:tcPr>
            <w:tcW w:w="1302" w:type="dxa"/>
            <w:tcBorders>
              <w:top w:val="nil"/>
              <w:left w:val="nil"/>
              <w:bottom w:val="nil"/>
              <w:right w:val="nil"/>
            </w:tcBorders>
            <w:shd w:val="clear" w:color="auto" w:fill="auto"/>
            <w:noWrap/>
            <w:vAlign w:val="bottom"/>
            <w:hideMark/>
          </w:tcPr>
          <w:p w:rsidR="000345AA" w:rsidRPr="000345AA" w:rsidRDefault="000345AA" w:rsidP="007C2896">
            <w:pPr>
              <w:spacing w:line="240" w:lineRule="auto"/>
              <w:jc w:val="center"/>
              <w:rPr>
                <w:sz w:val="20"/>
                <w:szCs w:val="20"/>
              </w:rPr>
            </w:pPr>
            <w:r w:rsidRPr="000345AA">
              <w:rPr>
                <w:sz w:val="20"/>
                <w:szCs w:val="20"/>
              </w:rPr>
              <w:t>1</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Profit</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0.212***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0.352***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0.042***</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-0.025*</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0.001</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0.186***</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Invest</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0.012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0.091***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-0.052***</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0.015</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0.089***</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-0.163***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-0.053***</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0.086***</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Leverage</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0.034**</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-0.060***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0.090***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0.093***</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0.078***</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-0.099***</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-0.022</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-0.054***</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0.231***</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SalesGrow</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0.080***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0.080***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-0.028*</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-0.036***</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0.020</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0.066***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-0.043***</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0.003</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0.023*</w:t>
            </w:r>
          </w:p>
        </w:tc>
      </w:tr>
      <w:tr w:rsidR="000345AA" w:rsidRPr="000345AA" w:rsidTr="000345AA">
        <w:trPr>
          <w:trHeight w:val="255"/>
          <w:jc w:val="center"/>
        </w:trPr>
        <w:tc>
          <w:tcPr>
            <w:tcW w:w="1495" w:type="dxa"/>
            <w:tcBorders>
              <w:top w:val="nil"/>
              <w:left w:val="nil"/>
              <w:bottom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StdROE</w:t>
            </w:r>
          </w:p>
        </w:tc>
        <w:tc>
          <w:tcPr>
            <w:tcW w:w="1165" w:type="dxa"/>
            <w:tcBorders>
              <w:top w:val="nil"/>
              <w:left w:val="nil"/>
              <w:bottom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-0.096***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-0.075***</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-0.084***</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-0.102***</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0.091***</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-0.016</w:t>
            </w:r>
          </w:p>
        </w:tc>
        <w:tc>
          <w:tcPr>
            <w:tcW w:w="1301"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0.052***</w:t>
            </w:r>
          </w:p>
        </w:tc>
        <w:tc>
          <w:tcPr>
            <w:tcW w:w="1302" w:type="dxa"/>
            <w:tcBorders>
              <w:top w:val="nil"/>
              <w:left w:val="nil"/>
              <w:bottom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-0.201***</w:t>
            </w:r>
          </w:p>
        </w:tc>
      </w:tr>
      <w:tr w:rsidR="000345AA" w:rsidRPr="000345AA" w:rsidTr="000345AA">
        <w:trPr>
          <w:trHeight w:val="255"/>
          <w:jc w:val="center"/>
        </w:trPr>
        <w:tc>
          <w:tcPr>
            <w:tcW w:w="1495" w:type="dxa"/>
            <w:tcBorders>
              <w:top w:val="nil"/>
              <w:left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MAR</w:t>
            </w:r>
          </w:p>
        </w:tc>
        <w:tc>
          <w:tcPr>
            <w:tcW w:w="1165" w:type="dxa"/>
            <w:tcBorders>
              <w:top w:val="nil"/>
              <w:left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0.115***</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0.194***</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-0.011</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-0.006</w:t>
            </w:r>
          </w:p>
        </w:tc>
        <w:tc>
          <w:tcPr>
            <w:tcW w:w="1302"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-0.010</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0.001</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0.022</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0.014</w:t>
            </w:r>
          </w:p>
        </w:tc>
        <w:tc>
          <w:tcPr>
            <w:tcW w:w="1302"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-0.073***</w:t>
            </w:r>
          </w:p>
        </w:tc>
      </w:tr>
      <w:tr w:rsidR="000345AA" w:rsidRPr="000345AA" w:rsidTr="000345AA">
        <w:trPr>
          <w:trHeight w:val="255"/>
          <w:jc w:val="center"/>
        </w:trPr>
        <w:tc>
          <w:tcPr>
            <w:tcW w:w="1495" w:type="dxa"/>
            <w:tcBorders>
              <w:top w:val="nil"/>
              <w:left w:val="nil"/>
              <w:right w:val="nil"/>
            </w:tcBorders>
            <w:shd w:val="clear" w:color="auto" w:fill="auto"/>
            <w:noWrap/>
            <w:vAlign w:val="bottom"/>
            <w:hideMark/>
          </w:tcPr>
          <w:p w:rsidR="000345AA" w:rsidRPr="000345AA" w:rsidRDefault="000345AA" w:rsidP="007C2896">
            <w:pPr>
              <w:spacing w:line="240" w:lineRule="auto"/>
              <w:rPr>
                <w:b/>
                <w:i/>
                <w:sz w:val="20"/>
                <w:szCs w:val="20"/>
              </w:rPr>
            </w:pPr>
            <w:r w:rsidRPr="000345AA">
              <w:rPr>
                <w:b/>
                <w:i/>
                <w:sz w:val="20"/>
                <w:szCs w:val="20"/>
              </w:rPr>
              <w:t>Corr5yr</w:t>
            </w:r>
          </w:p>
        </w:tc>
        <w:tc>
          <w:tcPr>
            <w:tcW w:w="1165" w:type="dxa"/>
            <w:tcBorders>
              <w:top w:val="nil"/>
              <w:left w:val="nil"/>
              <w:right w:val="nil"/>
            </w:tcBorders>
            <w:shd w:val="clear" w:color="auto" w:fill="auto"/>
            <w:noWrap/>
            <w:vAlign w:val="bottom"/>
            <w:hideMark/>
          </w:tcPr>
          <w:p w:rsidR="000345AA" w:rsidRPr="000345AA" w:rsidRDefault="000345AA" w:rsidP="00E87FD6">
            <w:pPr>
              <w:tabs>
                <w:tab w:val="decimal" w:pos="162"/>
              </w:tabs>
              <w:spacing w:line="240" w:lineRule="auto"/>
              <w:rPr>
                <w:sz w:val="20"/>
                <w:szCs w:val="20"/>
              </w:rPr>
            </w:pPr>
            <w:r w:rsidRPr="000345AA">
              <w:rPr>
                <w:sz w:val="20"/>
                <w:szCs w:val="20"/>
              </w:rPr>
              <w:t>-0.071***</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-0.088***</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-0.033**</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-0.048***</w:t>
            </w:r>
          </w:p>
        </w:tc>
        <w:tc>
          <w:tcPr>
            <w:tcW w:w="1302"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-0.023*</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0.032**</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-0.004</w:t>
            </w:r>
          </w:p>
        </w:tc>
        <w:tc>
          <w:tcPr>
            <w:tcW w:w="1301"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-0.005</w:t>
            </w:r>
          </w:p>
        </w:tc>
        <w:tc>
          <w:tcPr>
            <w:tcW w:w="1302" w:type="dxa"/>
            <w:tcBorders>
              <w:top w:val="nil"/>
              <w:left w:val="nil"/>
              <w:right w:val="nil"/>
            </w:tcBorders>
            <w:shd w:val="clear" w:color="auto" w:fill="auto"/>
            <w:noWrap/>
            <w:vAlign w:val="bottom"/>
            <w:hideMark/>
          </w:tcPr>
          <w:p w:rsidR="000345AA" w:rsidRPr="000345AA" w:rsidRDefault="000345AA" w:rsidP="00E87FD6">
            <w:pPr>
              <w:tabs>
                <w:tab w:val="decimal" w:pos="329"/>
              </w:tabs>
              <w:spacing w:line="240" w:lineRule="auto"/>
              <w:rPr>
                <w:sz w:val="20"/>
                <w:szCs w:val="20"/>
              </w:rPr>
            </w:pPr>
            <w:r w:rsidRPr="000345AA">
              <w:rPr>
                <w:sz w:val="20"/>
                <w:szCs w:val="20"/>
              </w:rPr>
              <w:t>-0.124***</w:t>
            </w:r>
          </w:p>
        </w:tc>
      </w:tr>
      <w:tr w:rsidR="000345AA" w:rsidRPr="000345AA" w:rsidTr="000345AA">
        <w:trPr>
          <w:trHeight w:val="255"/>
          <w:jc w:val="center"/>
        </w:trPr>
        <w:tc>
          <w:tcPr>
            <w:tcW w:w="1495" w:type="dxa"/>
            <w:tcBorders>
              <w:left w:val="nil"/>
              <w:bottom w:val="double" w:sz="4" w:space="0" w:color="auto"/>
              <w:right w:val="nil"/>
            </w:tcBorders>
            <w:shd w:val="clear" w:color="auto" w:fill="auto"/>
            <w:noWrap/>
            <w:vAlign w:val="bottom"/>
          </w:tcPr>
          <w:p w:rsidR="000345AA" w:rsidRPr="000345AA" w:rsidRDefault="000345AA" w:rsidP="007C2896">
            <w:pPr>
              <w:spacing w:line="240" w:lineRule="auto"/>
              <w:rPr>
                <w:b/>
                <w:i/>
                <w:sz w:val="20"/>
                <w:szCs w:val="20"/>
              </w:rPr>
            </w:pPr>
            <w:r w:rsidRPr="000345AA">
              <w:rPr>
                <w:b/>
                <w:i/>
                <w:sz w:val="20"/>
                <w:szCs w:val="20"/>
              </w:rPr>
              <w:t>Surprise</w:t>
            </w:r>
          </w:p>
        </w:tc>
        <w:tc>
          <w:tcPr>
            <w:tcW w:w="1165" w:type="dxa"/>
            <w:tcBorders>
              <w:left w:val="nil"/>
              <w:bottom w:val="double" w:sz="4" w:space="0" w:color="auto"/>
              <w:right w:val="nil"/>
            </w:tcBorders>
            <w:shd w:val="clear" w:color="auto" w:fill="auto"/>
            <w:noWrap/>
            <w:vAlign w:val="bottom"/>
          </w:tcPr>
          <w:p w:rsidR="000345AA" w:rsidRPr="000345AA" w:rsidRDefault="000345AA" w:rsidP="00E87FD6">
            <w:pPr>
              <w:tabs>
                <w:tab w:val="decimal" w:pos="162"/>
              </w:tabs>
              <w:spacing w:line="240" w:lineRule="auto"/>
              <w:rPr>
                <w:sz w:val="20"/>
                <w:szCs w:val="20"/>
              </w:rPr>
            </w:pPr>
            <w:r w:rsidRPr="000345AA">
              <w:rPr>
                <w:sz w:val="20"/>
                <w:szCs w:val="20"/>
              </w:rPr>
              <w:t>-0.133***</w:t>
            </w:r>
          </w:p>
        </w:tc>
        <w:tc>
          <w:tcPr>
            <w:tcW w:w="1301"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-0.17***</w:t>
            </w:r>
          </w:p>
        </w:tc>
        <w:tc>
          <w:tcPr>
            <w:tcW w:w="1301"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-0.064***</w:t>
            </w:r>
          </w:p>
        </w:tc>
        <w:tc>
          <w:tcPr>
            <w:tcW w:w="1301"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-0.079***</w:t>
            </w:r>
          </w:p>
        </w:tc>
        <w:tc>
          <w:tcPr>
            <w:tcW w:w="1302"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-0.043***</w:t>
            </w:r>
          </w:p>
        </w:tc>
        <w:tc>
          <w:tcPr>
            <w:tcW w:w="1301"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0.051***</w:t>
            </w:r>
          </w:p>
        </w:tc>
        <w:tc>
          <w:tcPr>
            <w:tcW w:w="1301"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0.005</w:t>
            </w:r>
          </w:p>
        </w:tc>
        <w:tc>
          <w:tcPr>
            <w:tcW w:w="1301"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0.017</w:t>
            </w:r>
          </w:p>
        </w:tc>
        <w:tc>
          <w:tcPr>
            <w:tcW w:w="1302" w:type="dxa"/>
            <w:tcBorders>
              <w:left w:val="nil"/>
              <w:bottom w:val="double" w:sz="4" w:space="0" w:color="auto"/>
              <w:right w:val="nil"/>
            </w:tcBorders>
            <w:shd w:val="clear" w:color="auto" w:fill="auto"/>
            <w:noWrap/>
            <w:vAlign w:val="bottom"/>
          </w:tcPr>
          <w:p w:rsidR="000345AA" w:rsidRPr="000345AA" w:rsidRDefault="000345AA" w:rsidP="00E87FD6">
            <w:pPr>
              <w:tabs>
                <w:tab w:val="decimal" w:pos="329"/>
              </w:tabs>
              <w:spacing w:line="240" w:lineRule="auto"/>
              <w:rPr>
                <w:sz w:val="20"/>
                <w:szCs w:val="20"/>
              </w:rPr>
            </w:pPr>
            <w:r w:rsidRPr="000345AA">
              <w:rPr>
                <w:sz w:val="20"/>
                <w:szCs w:val="20"/>
              </w:rPr>
              <w:t>-0.158***</w:t>
            </w:r>
          </w:p>
        </w:tc>
      </w:tr>
    </w:tbl>
    <w:p w:rsidR="00CE6964" w:rsidRDefault="00CE6964">
      <w:pPr>
        <w:spacing w:line="240" w:lineRule="auto"/>
      </w:pPr>
    </w:p>
    <w:p w:rsidR="00CE6964" w:rsidRDefault="00CE6964">
      <w:pPr>
        <w:spacing w:line="240" w:lineRule="auto"/>
      </w:pPr>
      <w:r>
        <w:br w:type="page"/>
      </w:r>
    </w:p>
    <w:p w:rsidR="00382CEC" w:rsidRDefault="00382CEC">
      <w:pPr>
        <w:spacing w:line="240" w:lineRule="auto"/>
      </w:pPr>
    </w:p>
    <w:tbl>
      <w:tblPr>
        <w:tblW w:w="11562" w:type="dxa"/>
        <w:jc w:val="center"/>
        <w:tblLook w:val="04A0" w:firstRow="1" w:lastRow="0" w:firstColumn="1" w:lastColumn="0" w:noHBand="0" w:noVBand="1"/>
      </w:tblPr>
      <w:tblGrid>
        <w:gridCol w:w="1383"/>
        <w:gridCol w:w="1299"/>
        <w:gridCol w:w="1299"/>
        <w:gridCol w:w="1299"/>
        <w:gridCol w:w="1299"/>
        <w:gridCol w:w="1299"/>
        <w:gridCol w:w="1299"/>
        <w:gridCol w:w="1299"/>
        <w:gridCol w:w="1299"/>
      </w:tblGrid>
      <w:tr w:rsidR="00CE6964" w:rsidRPr="007128CB" w:rsidTr="00CE6964">
        <w:trPr>
          <w:trHeight w:val="255"/>
          <w:jc w:val="center"/>
        </w:trPr>
        <w:tc>
          <w:tcPr>
            <w:tcW w:w="11562" w:type="dxa"/>
            <w:gridSpan w:val="9"/>
            <w:tcBorders>
              <w:left w:val="nil"/>
            </w:tcBorders>
            <w:shd w:val="clear" w:color="auto" w:fill="auto"/>
            <w:noWrap/>
            <w:vAlign w:val="bottom"/>
          </w:tcPr>
          <w:p w:rsidR="00CE6964" w:rsidRPr="00CE6964" w:rsidRDefault="00CE6964" w:rsidP="00CE6964">
            <w:pPr>
              <w:spacing w:line="240" w:lineRule="auto"/>
              <w:rPr>
                <w:sz w:val="20"/>
                <w:szCs w:val="20"/>
              </w:rPr>
            </w:pPr>
            <w:r w:rsidRPr="00CE6964">
              <w:rPr>
                <w:sz w:val="20"/>
                <w:szCs w:val="20"/>
              </w:rPr>
              <w:t>Table 3 Panel A (</w:t>
            </w:r>
            <w:r w:rsidRPr="00CE6964">
              <w:rPr>
                <w:i/>
                <w:sz w:val="20"/>
                <w:szCs w:val="20"/>
              </w:rPr>
              <w:t>Continued</w:t>
            </w:r>
            <w:r w:rsidRPr="00CE6964">
              <w:rPr>
                <w:sz w:val="20"/>
                <w:szCs w:val="20"/>
              </w:rPr>
              <w:t>)</w:t>
            </w:r>
          </w:p>
        </w:tc>
      </w:tr>
      <w:tr w:rsidR="000345AA" w:rsidRPr="00CE6964" w:rsidTr="00CE6964">
        <w:trPr>
          <w:trHeight w:val="255"/>
          <w:jc w:val="center"/>
        </w:trPr>
        <w:tc>
          <w:tcPr>
            <w:tcW w:w="1383"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p>
        </w:tc>
        <w:tc>
          <w:tcPr>
            <w:tcW w:w="1296"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r w:rsidRPr="00CE6964">
              <w:rPr>
                <w:b/>
                <w:i/>
                <w:sz w:val="20"/>
                <w:szCs w:val="20"/>
              </w:rPr>
              <w:t>Profit</w:t>
            </w:r>
          </w:p>
        </w:tc>
        <w:tc>
          <w:tcPr>
            <w:tcW w:w="1296"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r w:rsidRPr="00CE6964">
              <w:rPr>
                <w:b/>
                <w:i/>
                <w:sz w:val="20"/>
                <w:szCs w:val="20"/>
              </w:rPr>
              <w:t>Invest</w:t>
            </w:r>
          </w:p>
        </w:tc>
        <w:tc>
          <w:tcPr>
            <w:tcW w:w="1296"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r w:rsidRPr="00CE6964">
              <w:rPr>
                <w:b/>
                <w:i/>
                <w:sz w:val="20"/>
                <w:szCs w:val="20"/>
              </w:rPr>
              <w:t>Leverage</w:t>
            </w:r>
          </w:p>
        </w:tc>
        <w:tc>
          <w:tcPr>
            <w:tcW w:w="1296"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r w:rsidRPr="00CE6964">
              <w:rPr>
                <w:b/>
                <w:i/>
                <w:sz w:val="20"/>
                <w:szCs w:val="20"/>
              </w:rPr>
              <w:t>SalesGrow</w:t>
            </w:r>
          </w:p>
        </w:tc>
        <w:tc>
          <w:tcPr>
            <w:tcW w:w="1296"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r w:rsidRPr="00CE6964">
              <w:rPr>
                <w:b/>
                <w:i/>
                <w:sz w:val="20"/>
                <w:szCs w:val="20"/>
              </w:rPr>
              <w:t>StdROE</w:t>
            </w:r>
          </w:p>
        </w:tc>
        <w:tc>
          <w:tcPr>
            <w:tcW w:w="1296"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r w:rsidRPr="00CE6964">
              <w:rPr>
                <w:b/>
                <w:i/>
                <w:sz w:val="20"/>
                <w:szCs w:val="20"/>
              </w:rPr>
              <w:t>MAR</w:t>
            </w:r>
          </w:p>
        </w:tc>
        <w:tc>
          <w:tcPr>
            <w:tcW w:w="1296" w:type="dxa"/>
            <w:tcBorders>
              <w:top w:val="nil"/>
              <w:left w:val="nil"/>
              <w:bottom w:val="single" w:sz="4" w:space="0" w:color="auto"/>
              <w:right w:val="nil"/>
            </w:tcBorders>
            <w:shd w:val="clear" w:color="auto" w:fill="auto"/>
            <w:noWrap/>
            <w:vAlign w:val="bottom"/>
            <w:hideMark/>
          </w:tcPr>
          <w:p w:rsidR="000345AA" w:rsidRPr="00CE6964" w:rsidRDefault="000345AA" w:rsidP="00CE6964">
            <w:pPr>
              <w:spacing w:line="240" w:lineRule="auto"/>
              <w:jc w:val="center"/>
              <w:rPr>
                <w:b/>
                <w:i/>
                <w:sz w:val="20"/>
                <w:szCs w:val="20"/>
              </w:rPr>
            </w:pPr>
            <w:r w:rsidRPr="00CE6964">
              <w:rPr>
                <w:b/>
                <w:i/>
                <w:sz w:val="20"/>
                <w:szCs w:val="20"/>
              </w:rPr>
              <w:t>Corr5yr</w:t>
            </w:r>
          </w:p>
        </w:tc>
        <w:tc>
          <w:tcPr>
            <w:tcW w:w="1101" w:type="dxa"/>
            <w:tcBorders>
              <w:top w:val="nil"/>
              <w:left w:val="nil"/>
              <w:bottom w:val="single" w:sz="4" w:space="0" w:color="auto"/>
              <w:right w:val="nil"/>
            </w:tcBorders>
            <w:vAlign w:val="bottom"/>
          </w:tcPr>
          <w:p w:rsidR="000345AA" w:rsidRPr="00CE6964" w:rsidRDefault="000345AA" w:rsidP="00CE6964">
            <w:pPr>
              <w:spacing w:line="240" w:lineRule="auto"/>
              <w:jc w:val="center"/>
              <w:rPr>
                <w:b/>
                <w:i/>
                <w:sz w:val="20"/>
                <w:szCs w:val="20"/>
              </w:rPr>
            </w:pPr>
            <w:r w:rsidRPr="00CE6964">
              <w:rPr>
                <w:b/>
                <w:i/>
                <w:sz w:val="20"/>
                <w:szCs w:val="20"/>
              </w:rPr>
              <w:t>Surprise</w:t>
            </w:r>
          </w:p>
        </w:tc>
      </w:tr>
      <w:tr w:rsidR="000345AA" w:rsidRPr="00CE6964" w:rsidTr="00CE6964">
        <w:trPr>
          <w:trHeight w:val="255"/>
          <w:jc w:val="center"/>
        </w:trPr>
        <w:tc>
          <w:tcPr>
            <w:tcW w:w="1383" w:type="dxa"/>
            <w:tcBorders>
              <w:top w:val="single" w:sz="4" w:space="0" w:color="auto"/>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ExVal</w:t>
            </w:r>
            <w:r w:rsidRPr="00CE6964">
              <w:rPr>
                <w:b/>
                <w:i/>
                <w:sz w:val="20"/>
                <w:szCs w:val="20"/>
                <w:vertAlign w:val="subscript"/>
              </w:rPr>
              <w:t>Rev</w:t>
            </w:r>
          </w:p>
        </w:tc>
        <w:tc>
          <w:tcPr>
            <w:tcW w:w="1296" w:type="dxa"/>
            <w:tcBorders>
              <w:top w:val="single" w:sz="4" w:space="0" w:color="auto"/>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0.143***</w:t>
            </w:r>
          </w:p>
        </w:tc>
        <w:tc>
          <w:tcPr>
            <w:tcW w:w="1296" w:type="dxa"/>
            <w:tcBorders>
              <w:top w:val="single" w:sz="4" w:space="0" w:color="auto"/>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0.018</w:t>
            </w:r>
          </w:p>
        </w:tc>
        <w:tc>
          <w:tcPr>
            <w:tcW w:w="1296" w:type="dxa"/>
            <w:tcBorders>
              <w:top w:val="single" w:sz="4" w:space="0" w:color="auto"/>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0.044***</w:t>
            </w:r>
          </w:p>
        </w:tc>
        <w:tc>
          <w:tcPr>
            <w:tcW w:w="1296" w:type="dxa"/>
            <w:tcBorders>
              <w:top w:val="single" w:sz="4" w:space="0" w:color="auto"/>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0.049***</w:t>
            </w:r>
          </w:p>
        </w:tc>
        <w:tc>
          <w:tcPr>
            <w:tcW w:w="1296" w:type="dxa"/>
            <w:tcBorders>
              <w:top w:val="single" w:sz="4" w:space="0" w:color="auto"/>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-0.021</w:t>
            </w:r>
          </w:p>
        </w:tc>
        <w:tc>
          <w:tcPr>
            <w:tcW w:w="1296" w:type="dxa"/>
            <w:tcBorders>
              <w:top w:val="single" w:sz="4" w:space="0" w:color="auto"/>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0.097***</w:t>
            </w:r>
          </w:p>
        </w:tc>
        <w:tc>
          <w:tcPr>
            <w:tcW w:w="1296" w:type="dxa"/>
            <w:tcBorders>
              <w:top w:val="single" w:sz="4" w:space="0" w:color="auto"/>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-0.068***</w:t>
            </w:r>
          </w:p>
        </w:tc>
        <w:tc>
          <w:tcPr>
            <w:tcW w:w="1101" w:type="dxa"/>
            <w:tcBorders>
              <w:top w:val="single" w:sz="4" w:space="0" w:color="auto"/>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-0.063***</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ExVal</w:t>
            </w:r>
            <w:r w:rsidRPr="00CE6964">
              <w:rPr>
                <w:b/>
                <w:i/>
                <w:sz w:val="20"/>
                <w:szCs w:val="20"/>
                <w:vertAlign w:val="subscript"/>
              </w:rPr>
              <w:t>AT</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0.189***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0.057***</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0.182***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-0.084***</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-0.089***</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FFDIFF</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-0.057***</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0.073***</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-0.010</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-0.020</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-0.013</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-0.030**</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-0.042***</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PFDIFF</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0.052***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-0.065***</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0.089***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-0.015</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-0.027*</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-0.028*</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-0.03**</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NumSeg</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0.072***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0.026*</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-0.019</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-0.016</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NumTNICPrs</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-0.106***</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0.103***</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-0.110***</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0.017</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0.023*</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0.062***</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0.038***</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HHI</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-0.114***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-0.023*</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0.025*</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0.023*</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0.001</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Related</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-0.039***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-0.005</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0.009</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Size</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0.221***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0.161***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0.039***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-0.082***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-0.108***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-0.119***</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-0.063***</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Profit</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113"/>
              </w:tabs>
              <w:spacing w:line="240" w:lineRule="auto"/>
              <w:jc w:val="center"/>
              <w:rPr>
                <w:sz w:val="20"/>
                <w:szCs w:val="20"/>
              </w:rPr>
            </w:pPr>
            <w:r w:rsidRPr="00CE6964">
              <w:rPr>
                <w:sz w:val="20"/>
                <w:szCs w:val="20"/>
              </w:rPr>
              <w:t>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-0.174***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0.259***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-0.107***</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0.164***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-0.091***</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-0.06***</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Invest</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0.128***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113"/>
              </w:tabs>
              <w:spacing w:line="240" w:lineRule="auto"/>
              <w:jc w:val="center"/>
              <w:rPr>
                <w:sz w:val="20"/>
                <w:szCs w:val="20"/>
              </w:rPr>
            </w:pPr>
            <w:r w:rsidRPr="00CE6964">
              <w:rPr>
                <w:sz w:val="20"/>
                <w:szCs w:val="20"/>
              </w:rPr>
              <w:t>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0.059***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0.088***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-0.058***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0.000</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-0.015</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Leverage</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-0.253***</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113"/>
              </w:tabs>
              <w:spacing w:line="240" w:lineRule="auto"/>
              <w:jc w:val="center"/>
              <w:rPr>
                <w:sz w:val="20"/>
                <w:szCs w:val="20"/>
              </w:rPr>
            </w:pPr>
            <w:r w:rsidRPr="00CE6964">
              <w:rPr>
                <w:sz w:val="20"/>
                <w:szCs w:val="20"/>
              </w:rPr>
              <w:t>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-0.026*</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0.156***</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-0.068***</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0.012</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0.034***</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SalesGrow</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0.299***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0.089***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-0.04***</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113"/>
              </w:tabs>
              <w:spacing w:line="240" w:lineRule="auto"/>
              <w:jc w:val="center"/>
              <w:rPr>
                <w:sz w:val="20"/>
                <w:szCs w:val="20"/>
              </w:rPr>
            </w:pPr>
            <w:r w:rsidRPr="00CE6964">
              <w:rPr>
                <w:sz w:val="20"/>
                <w:szCs w:val="20"/>
              </w:rPr>
              <w:t>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-0.015</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0.091***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-0.010</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-0.14***</w:t>
            </w:r>
          </w:p>
        </w:tc>
      </w:tr>
      <w:tr w:rsidR="000345AA" w:rsidRPr="00CE6964" w:rsidTr="00CE6964">
        <w:trPr>
          <w:trHeight w:val="255"/>
          <w:jc w:val="center"/>
        </w:trPr>
        <w:tc>
          <w:tcPr>
            <w:tcW w:w="1383" w:type="dxa"/>
            <w:tcBorders>
              <w:top w:val="nil"/>
              <w:left w:val="nil"/>
              <w:bottom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StdROE</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-0.256***</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-0.079***</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0.131***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-0.062***</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113"/>
              </w:tabs>
              <w:spacing w:line="240" w:lineRule="auto"/>
              <w:jc w:val="center"/>
              <w:rPr>
                <w:sz w:val="20"/>
                <w:szCs w:val="20"/>
              </w:rPr>
            </w:pPr>
            <w:r w:rsidRPr="00CE6964">
              <w:rPr>
                <w:sz w:val="20"/>
                <w:szCs w:val="20"/>
              </w:rPr>
              <w:t>1</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0.033**</w:t>
            </w:r>
          </w:p>
        </w:tc>
        <w:tc>
          <w:tcPr>
            <w:tcW w:w="1296" w:type="dxa"/>
            <w:tcBorders>
              <w:top w:val="nil"/>
              <w:left w:val="nil"/>
              <w:bottom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0.031**</w:t>
            </w:r>
          </w:p>
        </w:tc>
        <w:tc>
          <w:tcPr>
            <w:tcW w:w="1101" w:type="dxa"/>
            <w:tcBorders>
              <w:top w:val="nil"/>
              <w:left w:val="nil"/>
              <w:bottom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0.077***</w:t>
            </w:r>
          </w:p>
        </w:tc>
      </w:tr>
      <w:tr w:rsidR="000345AA" w:rsidRPr="00CE6964" w:rsidTr="00CE6964">
        <w:trPr>
          <w:trHeight w:val="255"/>
          <w:jc w:val="center"/>
        </w:trPr>
        <w:tc>
          <w:tcPr>
            <w:tcW w:w="1383" w:type="dxa"/>
            <w:tcBorders>
              <w:top w:val="nil"/>
              <w:left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MAR</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0.165***</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-0.065***</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-0.073***</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0.144***</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jc w:val="both"/>
              <w:rPr>
                <w:sz w:val="20"/>
                <w:szCs w:val="20"/>
              </w:rPr>
            </w:pPr>
            <w:r w:rsidRPr="00CE6964">
              <w:rPr>
                <w:sz w:val="20"/>
                <w:szCs w:val="20"/>
              </w:rPr>
              <w:t>0.05***</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113"/>
              </w:tabs>
              <w:spacing w:line="240" w:lineRule="auto"/>
              <w:jc w:val="center"/>
              <w:rPr>
                <w:sz w:val="20"/>
                <w:szCs w:val="20"/>
              </w:rPr>
            </w:pPr>
            <w:r w:rsidRPr="00CE6964">
              <w:rPr>
                <w:sz w:val="20"/>
                <w:szCs w:val="20"/>
              </w:rPr>
              <w:t>1</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-0.011</w:t>
            </w:r>
          </w:p>
        </w:tc>
        <w:tc>
          <w:tcPr>
            <w:tcW w:w="1101" w:type="dxa"/>
            <w:tcBorders>
              <w:top w:val="nil"/>
              <w:left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0.036***</w:t>
            </w:r>
          </w:p>
        </w:tc>
      </w:tr>
      <w:tr w:rsidR="000345AA" w:rsidRPr="00CE6964" w:rsidTr="00CE6964">
        <w:trPr>
          <w:trHeight w:val="255"/>
          <w:jc w:val="center"/>
        </w:trPr>
        <w:tc>
          <w:tcPr>
            <w:tcW w:w="1383" w:type="dxa"/>
            <w:tcBorders>
              <w:top w:val="nil"/>
              <w:left w:val="nil"/>
              <w:right w:val="nil"/>
            </w:tcBorders>
            <w:shd w:val="clear" w:color="auto" w:fill="auto"/>
            <w:noWrap/>
            <w:vAlign w:val="bottom"/>
            <w:hideMark/>
          </w:tcPr>
          <w:p w:rsidR="000345AA" w:rsidRPr="00CE6964" w:rsidRDefault="000345AA" w:rsidP="00CE6964">
            <w:pPr>
              <w:spacing w:line="240" w:lineRule="auto"/>
              <w:rPr>
                <w:b/>
                <w:i/>
                <w:sz w:val="20"/>
                <w:szCs w:val="20"/>
              </w:rPr>
            </w:pPr>
            <w:r w:rsidRPr="00CE6964">
              <w:rPr>
                <w:b/>
                <w:i/>
                <w:sz w:val="20"/>
                <w:szCs w:val="20"/>
              </w:rPr>
              <w:t>Corr5yr</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-0.106***</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-0.001</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0.002</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-0.014</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jc w:val="both"/>
              <w:rPr>
                <w:sz w:val="20"/>
                <w:szCs w:val="20"/>
              </w:rPr>
            </w:pPr>
            <w:r w:rsidRPr="00CE6964">
              <w:rPr>
                <w:sz w:val="20"/>
                <w:szCs w:val="20"/>
              </w:rPr>
              <w:t>0.093***</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432"/>
              </w:tabs>
              <w:spacing w:line="240" w:lineRule="auto"/>
              <w:rPr>
                <w:sz w:val="20"/>
                <w:szCs w:val="20"/>
              </w:rPr>
            </w:pPr>
            <w:r w:rsidRPr="00CE6964">
              <w:rPr>
                <w:sz w:val="20"/>
                <w:szCs w:val="20"/>
              </w:rPr>
              <w:t>-0.017</w:t>
            </w:r>
          </w:p>
        </w:tc>
        <w:tc>
          <w:tcPr>
            <w:tcW w:w="1296" w:type="dxa"/>
            <w:tcBorders>
              <w:top w:val="nil"/>
              <w:left w:val="nil"/>
              <w:right w:val="nil"/>
            </w:tcBorders>
            <w:shd w:val="clear" w:color="auto" w:fill="auto"/>
            <w:noWrap/>
            <w:vAlign w:val="bottom"/>
            <w:hideMark/>
          </w:tcPr>
          <w:p w:rsidR="000345AA" w:rsidRPr="00CE6964" w:rsidRDefault="000345AA" w:rsidP="00EC1E2F">
            <w:pPr>
              <w:tabs>
                <w:tab w:val="decimal" w:pos="113"/>
              </w:tabs>
              <w:spacing w:line="240" w:lineRule="auto"/>
              <w:jc w:val="center"/>
              <w:rPr>
                <w:sz w:val="20"/>
                <w:szCs w:val="20"/>
              </w:rPr>
            </w:pPr>
            <w:r w:rsidRPr="00CE6964">
              <w:rPr>
                <w:sz w:val="20"/>
                <w:szCs w:val="20"/>
              </w:rPr>
              <w:t>1</w:t>
            </w:r>
          </w:p>
        </w:tc>
        <w:tc>
          <w:tcPr>
            <w:tcW w:w="1101" w:type="dxa"/>
            <w:tcBorders>
              <w:top w:val="nil"/>
              <w:left w:val="nil"/>
              <w:right w:val="nil"/>
            </w:tcBorders>
            <w:vAlign w:val="bottom"/>
          </w:tcPr>
          <w:p w:rsidR="000345AA" w:rsidRPr="00CE6964" w:rsidRDefault="000345AA" w:rsidP="00EC1E2F">
            <w:pPr>
              <w:tabs>
                <w:tab w:val="decimal" w:pos="432"/>
              </w:tabs>
              <w:spacing w:line="240" w:lineRule="auto"/>
              <w:rPr>
                <w:sz w:val="20"/>
                <w:szCs w:val="20"/>
              </w:rPr>
            </w:pPr>
            <w:r w:rsidRPr="00CE6964">
              <w:rPr>
                <w:sz w:val="20"/>
                <w:szCs w:val="20"/>
              </w:rPr>
              <w:t>0.059***</w:t>
            </w:r>
          </w:p>
        </w:tc>
      </w:tr>
      <w:tr w:rsidR="000345AA" w:rsidRPr="00CE6964" w:rsidTr="00CE6964">
        <w:trPr>
          <w:trHeight w:val="255"/>
          <w:jc w:val="center"/>
        </w:trPr>
        <w:tc>
          <w:tcPr>
            <w:tcW w:w="1383" w:type="dxa"/>
            <w:tcBorders>
              <w:left w:val="nil"/>
              <w:bottom w:val="double" w:sz="4" w:space="0" w:color="auto"/>
              <w:right w:val="nil"/>
            </w:tcBorders>
            <w:shd w:val="clear" w:color="auto" w:fill="auto"/>
            <w:noWrap/>
            <w:vAlign w:val="bottom"/>
          </w:tcPr>
          <w:p w:rsidR="000345AA" w:rsidRPr="00CE6964" w:rsidRDefault="000345AA" w:rsidP="00CE6964">
            <w:pPr>
              <w:spacing w:line="240" w:lineRule="auto"/>
              <w:rPr>
                <w:b/>
                <w:i/>
                <w:sz w:val="20"/>
                <w:szCs w:val="20"/>
              </w:rPr>
            </w:pPr>
            <w:r w:rsidRPr="00CE6964">
              <w:rPr>
                <w:b/>
                <w:i/>
                <w:sz w:val="20"/>
                <w:szCs w:val="20"/>
              </w:rPr>
              <w:t>Surprise</w:t>
            </w:r>
          </w:p>
        </w:tc>
        <w:tc>
          <w:tcPr>
            <w:tcW w:w="1296" w:type="dxa"/>
            <w:tcBorders>
              <w:left w:val="nil"/>
              <w:bottom w:val="double" w:sz="4" w:space="0" w:color="auto"/>
              <w:right w:val="nil"/>
            </w:tcBorders>
            <w:shd w:val="clear" w:color="auto" w:fill="auto"/>
            <w:noWrap/>
            <w:vAlign w:val="bottom"/>
          </w:tcPr>
          <w:p w:rsidR="000345AA" w:rsidRPr="00CE6964" w:rsidRDefault="000345AA" w:rsidP="00EC1E2F">
            <w:pPr>
              <w:tabs>
                <w:tab w:val="decimal" w:pos="432"/>
              </w:tabs>
              <w:spacing w:line="240" w:lineRule="auto"/>
              <w:rPr>
                <w:sz w:val="20"/>
                <w:szCs w:val="20"/>
              </w:rPr>
            </w:pPr>
            <w:r w:rsidRPr="00CE6964">
              <w:rPr>
                <w:sz w:val="20"/>
                <w:szCs w:val="20"/>
              </w:rPr>
              <w:t>-0.491***</w:t>
            </w:r>
          </w:p>
        </w:tc>
        <w:tc>
          <w:tcPr>
            <w:tcW w:w="1296" w:type="dxa"/>
            <w:tcBorders>
              <w:left w:val="nil"/>
              <w:bottom w:val="double" w:sz="4" w:space="0" w:color="auto"/>
              <w:right w:val="nil"/>
            </w:tcBorders>
            <w:shd w:val="clear" w:color="auto" w:fill="auto"/>
            <w:noWrap/>
            <w:vAlign w:val="bottom"/>
          </w:tcPr>
          <w:p w:rsidR="000345AA" w:rsidRPr="00CE6964" w:rsidRDefault="000345AA" w:rsidP="00EC1E2F">
            <w:pPr>
              <w:tabs>
                <w:tab w:val="decimal" w:pos="432"/>
              </w:tabs>
              <w:spacing w:line="240" w:lineRule="auto"/>
              <w:rPr>
                <w:sz w:val="20"/>
                <w:szCs w:val="20"/>
              </w:rPr>
            </w:pPr>
            <w:r w:rsidRPr="00CE6964">
              <w:rPr>
                <w:sz w:val="20"/>
                <w:szCs w:val="20"/>
              </w:rPr>
              <w:t>-0.067***</w:t>
            </w:r>
          </w:p>
        </w:tc>
        <w:tc>
          <w:tcPr>
            <w:tcW w:w="1296" w:type="dxa"/>
            <w:tcBorders>
              <w:left w:val="nil"/>
              <w:bottom w:val="double" w:sz="4" w:space="0" w:color="auto"/>
              <w:right w:val="nil"/>
            </w:tcBorders>
            <w:shd w:val="clear" w:color="auto" w:fill="auto"/>
            <w:noWrap/>
            <w:vAlign w:val="bottom"/>
          </w:tcPr>
          <w:p w:rsidR="000345AA" w:rsidRPr="00CE6964" w:rsidRDefault="000345AA" w:rsidP="00EC1E2F">
            <w:pPr>
              <w:tabs>
                <w:tab w:val="decimal" w:pos="432"/>
              </w:tabs>
              <w:spacing w:line="240" w:lineRule="auto"/>
              <w:rPr>
                <w:sz w:val="20"/>
                <w:szCs w:val="20"/>
              </w:rPr>
            </w:pPr>
            <w:r w:rsidRPr="00CE6964">
              <w:rPr>
                <w:sz w:val="20"/>
                <w:szCs w:val="20"/>
              </w:rPr>
              <w:t>0.064***</w:t>
            </w:r>
          </w:p>
        </w:tc>
        <w:tc>
          <w:tcPr>
            <w:tcW w:w="1296" w:type="dxa"/>
            <w:tcBorders>
              <w:left w:val="nil"/>
              <w:bottom w:val="double" w:sz="4" w:space="0" w:color="auto"/>
              <w:right w:val="nil"/>
            </w:tcBorders>
            <w:shd w:val="clear" w:color="auto" w:fill="auto"/>
            <w:noWrap/>
            <w:vAlign w:val="bottom"/>
          </w:tcPr>
          <w:p w:rsidR="000345AA" w:rsidRPr="00CE6964" w:rsidRDefault="000345AA" w:rsidP="00EC1E2F">
            <w:pPr>
              <w:tabs>
                <w:tab w:val="decimal" w:pos="432"/>
              </w:tabs>
              <w:spacing w:line="240" w:lineRule="auto"/>
              <w:rPr>
                <w:sz w:val="20"/>
                <w:szCs w:val="20"/>
              </w:rPr>
            </w:pPr>
            <w:r w:rsidRPr="00CE6964">
              <w:rPr>
                <w:sz w:val="20"/>
                <w:szCs w:val="20"/>
              </w:rPr>
              <w:t>-0.166***</w:t>
            </w:r>
          </w:p>
        </w:tc>
        <w:tc>
          <w:tcPr>
            <w:tcW w:w="1296" w:type="dxa"/>
            <w:tcBorders>
              <w:left w:val="nil"/>
              <w:bottom w:val="double" w:sz="4" w:space="0" w:color="auto"/>
              <w:right w:val="nil"/>
            </w:tcBorders>
            <w:shd w:val="clear" w:color="auto" w:fill="auto"/>
            <w:noWrap/>
            <w:vAlign w:val="bottom"/>
          </w:tcPr>
          <w:p w:rsidR="000345AA" w:rsidRPr="00CE6964" w:rsidRDefault="000345AA" w:rsidP="00EC1E2F">
            <w:pPr>
              <w:tabs>
                <w:tab w:val="decimal" w:pos="432"/>
              </w:tabs>
              <w:spacing w:line="240" w:lineRule="auto"/>
              <w:jc w:val="both"/>
              <w:rPr>
                <w:sz w:val="20"/>
                <w:szCs w:val="20"/>
              </w:rPr>
            </w:pPr>
            <w:r w:rsidRPr="00CE6964">
              <w:rPr>
                <w:sz w:val="20"/>
                <w:szCs w:val="20"/>
              </w:rPr>
              <w:t>0.32***</w:t>
            </w:r>
          </w:p>
        </w:tc>
        <w:tc>
          <w:tcPr>
            <w:tcW w:w="1296" w:type="dxa"/>
            <w:tcBorders>
              <w:left w:val="nil"/>
              <w:bottom w:val="double" w:sz="4" w:space="0" w:color="auto"/>
              <w:right w:val="nil"/>
            </w:tcBorders>
            <w:shd w:val="clear" w:color="auto" w:fill="auto"/>
            <w:noWrap/>
            <w:vAlign w:val="bottom"/>
          </w:tcPr>
          <w:p w:rsidR="000345AA" w:rsidRPr="00CE6964" w:rsidRDefault="000345AA" w:rsidP="00EC1E2F">
            <w:pPr>
              <w:tabs>
                <w:tab w:val="decimal" w:pos="432"/>
              </w:tabs>
              <w:spacing w:line="240" w:lineRule="auto"/>
              <w:rPr>
                <w:sz w:val="20"/>
                <w:szCs w:val="20"/>
              </w:rPr>
            </w:pPr>
            <w:r w:rsidRPr="00CE6964">
              <w:rPr>
                <w:sz w:val="20"/>
                <w:szCs w:val="20"/>
              </w:rPr>
              <w:t>0.015</w:t>
            </w:r>
          </w:p>
        </w:tc>
        <w:tc>
          <w:tcPr>
            <w:tcW w:w="1296" w:type="dxa"/>
            <w:tcBorders>
              <w:left w:val="nil"/>
              <w:bottom w:val="double" w:sz="4" w:space="0" w:color="auto"/>
              <w:right w:val="nil"/>
            </w:tcBorders>
            <w:shd w:val="clear" w:color="auto" w:fill="auto"/>
            <w:noWrap/>
            <w:vAlign w:val="bottom"/>
          </w:tcPr>
          <w:p w:rsidR="000345AA" w:rsidRPr="00CE6964" w:rsidRDefault="000345AA" w:rsidP="00EC1E2F">
            <w:pPr>
              <w:tabs>
                <w:tab w:val="decimal" w:pos="432"/>
              </w:tabs>
              <w:spacing w:line="240" w:lineRule="auto"/>
              <w:jc w:val="center"/>
              <w:rPr>
                <w:sz w:val="20"/>
                <w:szCs w:val="20"/>
              </w:rPr>
            </w:pPr>
            <w:r w:rsidRPr="00CE6964">
              <w:rPr>
                <w:sz w:val="20"/>
                <w:szCs w:val="20"/>
              </w:rPr>
              <w:t>0.136***</w:t>
            </w:r>
          </w:p>
        </w:tc>
        <w:tc>
          <w:tcPr>
            <w:tcW w:w="1101" w:type="dxa"/>
            <w:tcBorders>
              <w:left w:val="nil"/>
              <w:bottom w:val="double" w:sz="4" w:space="0" w:color="auto"/>
              <w:right w:val="nil"/>
            </w:tcBorders>
            <w:vAlign w:val="bottom"/>
          </w:tcPr>
          <w:p w:rsidR="000345AA" w:rsidRPr="00CE6964" w:rsidRDefault="000345AA" w:rsidP="00092867">
            <w:pPr>
              <w:tabs>
                <w:tab w:val="decimal" w:pos="113"/>
              </w:tabs>
              <w:spacing w:line="240" w:lineRule="auto"/>
              <w:jc w:val="center"/>
              <w:rPr>
                <w:sz w:val="20"/>
                <w:szCs w:val="20"/>
              </w:rPr>
            </w:pPr>
            <w:r w:rsidRPr="00CE6964">
              <w:rPr>
                <w:sz w:val="20"/>
                <w:szCs w:val="20"/>
              </w:rPr>
              <w:t>1</w:t>
            </w:r>
          </w:p>
        </w:tc>
      </w:tr>
    </w:tbl>
    <w:p w:rsidR="00CE6964" w:rsidRDefault="00CE6964">
      <w:pPr>
        <w:spacing w:line="240" w:lineRule="auto"/>
      </w:pPr>
    </w:p>
    <w:p w:rsidR="00CE6964" w:rsidRDefault="00CE6964">
      <w:pPr>
        <w:spacing w:line="240" w:lineRule="auto"/>
      </w:pPr>
      <w:r>
        <w:br w:type="page"/>
      </w:r>
    </w:p>
    <w:tbl>
      <w:tblPr>
        <w:tblW w:w="11573" w:type="dxa"/>
        <w:jc w:val="center"/>
        <w:tblLayout w:type="fixed"/>
        <w:tblLook w:val="04A0" w:firstRow="1" w:lastRow="0" w:firstColumn="1" w:lastColumn="0" w:noHBand="0" w:noVBand="1"/>
      </w:tblPr>
      <w:tblGrid>
        <w:gridCol w:w="29"/>
        <w:gridCol w:w="1440"/>
        <w:gridCol w:w="1440"/>
        <w:gridCol w:w="1440"/>
        <w:gridCol w:w="1440"/>
        <w:gridCol w:w="1440"/>
        <w:gridCol w:w="1440"/>
        <w:gridCol w:w="1440"/>
        <w:gridCol w:w="1464"/>
      </w:tblGrid>
      <w:tr w:rsidR="00460CAF" w:rsidRPr="00680FD3" w:rsidTr="00EC1E2F">
        <w:trPr>
          <w:gridBefore w:val="1"/>
          <w:wBefore w:w="29" w:type="dxa"/>
          <w:trHeight w:val="255"/>
          <w:jc w:val="center"/>
        </w:trPr>
        <w:tc>
          <w:tcPr>
            <w:tcW w:w="11544" w:type="dxa"/>
            <w:gridSpan w:val="8"/>
            <w:tcBorders>
              <w:top w:val="double" w:sz="4" w:space="0" w:color="auto"/>
              <w:left w:val="nil"/>
              <w:bottom w:val="single" w:sz="12" w:space="0" w:color="auto"/>
              <w:right w:val="nil"/>
            </w:tcBorders>
            <w:shd w:val="clear" w:color="auto" w:fill="auto"/>
            <w:noWrap/>
            <w:vAlign w:val="bottom"/>
          </w:tcPr>
          <w:p w:rsidR="00460CAF" w:rsidRPr="00680FD3" w:rsidRDefault="00460CAF" w:rsidP="0080093A">
            <w:pPr>
              <w:spacing w:line="240" w:lineRule="auto"/>
              <w:jc w:val="center"/>
              <w:rPr>
                <w:b/>
              </w:rPr>
            </w:pPr>
            <w:r w:rsidRPr="00680FD3">
              <w:rPr>
                <w:b/>
              </w:rPr>
              <w:lastRenderedPageBreak/>
              <w:t>Table 3</w:t>
            </w:r>
            <w:r>
              <w:rPr>
                <w:b/>
              </w:rPr>
              <w:t xml:space="preserve"> (</w:t>
            </w:r>
            <w:r>
              <w:rPr>
                <w:b/>
                <w:i/>
              </w:rPr>
              <w:t>Continued)</w:t>
            </w:r>
          </w:p>
          <w:p w:rsidR="00460CAF" w:rsidRPr="00680FD3" w:rsidRDefault="00460CAF" w:rsidP="0080093A">
            <w:pPr>
              <w:spacing w:line="240" w:lineRule="auto"/>
              <w:jc w:val="center"/>
              <w:rPr>
                <w:b/>
              </w:rPr>
            </w:pPr>
            <w:r w:rsidRPr="007128CB">
              <w:rPr>
                <w:b/>
                <w:i/>
              </w:rPr>
              <w:t>Correlations for Single and Multi-Segment Firms</w:t>
            </w:r>
          </w:p>
        </w:tc>
      </w:tr>
      <w:tr w:rsidR="00CE6964" w:rsidRPr="007128CB" w:rsidTr="00EC1E2F">
        <w:trPr>
          <w:trHeight w:val="255"/>
          <w:jc w:val="center"/>
        </w:trPr>
        <w:tc>
          <w:tcPr>
            <w:tcW w:w="11573" w:type="dxa"/>
            <w:gridSpan w:val="9"/>
            <w:tcBorders>
              <w:left w:val="nil"/>
              <w:right w:val="nil"/>
            </w:tcBorders>
            <w:shd w:val="clear" w:color="auto" w:fill="auto"/>
            <w:noWrap/>
            <w:vAlign w:val="bottom"/>
          </w:tcPr>
          <w:p w:rsidR="00CE6964" w:rsidRPr="007128CB" w:rsidRDefault="00CE6964" w:rsidP="00CE6964">
            <w:pPr>
              <w:spacing w:line="240" w:lineRule="auto"/>
              <w:rPr>
                <w:b/>
                <w:sz w:val="20"/>
                <w:szCs w:val="20"/>
              </w:rPr>
            </w:pPr>
            <w:r w:rsidRPr="007128CB">
              <w:rPr>
                <w:b/>
                <w:sz w:val="20"/>
                <w:szCs w:val="20"/>
              </w:rPr>
              <w:t>Panel B: Single Segment Firms</w:t>
            </w:r>
          </w:p>
        </w:tc>
      </w:tr>
      <w:tr w:rsidR="00EC1E2F" w:rsidRPr="00CE6964" w:rsidTr="00EC1E2F">
        <w:trPr>
          <w:trHeight w:val="255"/>
          <w:jc w:val="center"/>
        </w:trPr>
        <w:tc>
          <w:tcPr>
            <w:tcW w:w="1469" w:type="dxa"/>
            <w:gridSpan w:val="2"/>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p>
        </w:tc>
        <w:tc>
          <w:tcPr>
            <w:tcW w:w="1440" w:type="dxa"/>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r w:rsidRPr="00CE6964">
              <w:rPr>
                <w:b/>
                <w:i/>
                <w:sz w:val="20"/>
                <w:szCs w:val="20"/>
              </w:rPr>
              <w:t>ExVal</w:t>
            </w:r>
            <w:r w:rsidRPr="00CE6964">
              <w:rPr>
                <w:b/>
                <w:i/>
                <w:sz w:val="20"/>
                <w:szCs w:val="20"/>
                <w:vertAlign w:val="subscript"/>
              </w:rPr>
              <w:t>Rev</w:t>
            </w:r>
          </w:p>
        </w:tc>
        <w:tc>
          <w:tcPr>
            <w:tcW w:w="1440" w:type="dxa"/>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r w:rsidRPr="00CE6964">
              <w:rPr>
                <w:b/>
                <w:i/>
                <w:sz w:val="20"/>
                <w:szCs w:val="20"/>
              </w:rPr>
              <w:t>ExVal</w:t>
            </w:r>
            <w:r w:rsidRPr="00CE6964">
              <w:rPr>
                <w:b/>
                <w:i/>
                <w:sz w:val="20"/>
                <w:szCs w:val="20"/>
                <w:vertAlign w:val="subscript"/>
              </w:rPr>
              <w:t>AT</w:t>
            </w:r>
          </w:p>
        </w:tc>
        <w:tc>
          <w:tcPr>
            <w:tcW w:w="1440" w:type="dxa"/>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r w:rsidRPr="00CE6964">
              <w:rPr>
                <w:b/>
                <w:i/>
                <w:sz w:val="20"/>
                <w:szCs w:val="20"/>
              </w:rPr>
              <w:t>FFDIFF</w:t>
            </w:r>
          </w:p>
        </w:tc>
        <w:tc>
          <w:tcPr>
            <w:tcW w:w="1440" w:type="dxa"/>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r w:rsidRPr="00CE6964">
              <w:rPr>
                <w:b/>
                <w:i/>
                <w:sz w:val="20"/>
                <w:szCs w:val="20"/>
              </w:rPr>
              <w:t>PFDIFF</w:t>
            </w:r>
          </w:p>
        </w:tc>
        <w:tc>
          <w:tcPr>
            <w:tcW w:w="1440" w:type="dxa"/>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r w:rsidRPr="00CE6964">
              <w:rPr>
                <w:b/>
                <w:i/>
                <w:sz w:val="20"/>
                <w:szCs w:val="20"/>
              </w:rPr>
              <w:t>NumTNICPrs</w:t>
            </w:r>
          </w:p>
        </w:tc>
        <w:tc>
          <w:tcPr>
            <w:tcW w:w="1440" w:type="dxa"/>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r w:rsidRPr="00CE6964">
              <w:rPr>
                <w:b/>
                <w:i/>
                <w:sz w:val="20"/>
                <w:szCs w:val="20"/>
              </w:rPr>
              <w:t>HHI</w:t>
            </w:r>
          </w:p>
        </w:tc>
        <w:tc>
          <w:tcPr>
            <w:tcW w:w="1464" w:type="dxa"/>
            <w:tcBorders>
              <w:top w:val="nil"/>
              <w:left w:val="nil"/>
              <w:bottom w:val="single" w:sz="4" w:space="0" w:color="auto"/>
              <w:right w:val="nil"/>
            </w:tcBorders>
            <w:shd w:val="clear" w:color="auto" w:fill="auto"/>
            <w:noWrap/>
            <w:vAlign w:val="bottom"/>
            <w:hideMark/>
          </w:tcPr>
          <w:p w:rsidR="00CE6964" w:rsidRPr="00CE6964" w:rsidRDefault="00CE6964" w:rsidP="00CE6964">
            <w:pPr>
              <w:spacing w:line="240" w:lineRule="auto"/>
              <w:jc w:val="center"/>
              <w:rPr>
                <w:b/>
                <w:i/>
                <w:sz w:val="20"/>
                <w:szCs w:val="20"/>
              </w:rPr>
            </w:pPr>
            <w:r w:rsidRPr="00CE6964">
              <w:rPr>
                <w:b/>
                <w:i/>
                <w:sz w:val="20"/>
                <w:szCs w:val="20"/>
              </w:rPr>
              <w:t>Size</w:t>
            </w:r>
          </w:p>
        </w:tc>
      </w:tr>
      <w:tr w:rsidR="00EC1E2F" w:rsidRPr="00CE6964" w:rsidTr="00EC1E2F">
        <w:trPr>
          <w:trHeight w:val="255"/>
          <w:jc w:val="center"/>
        </w:trPr>
        <w:tc>
          <w:tcPr>
            <w:tcW w:w="1469" w:type="dxa"/>
            <w:gridSpan w:val="2"/>
            <w:tcBorders>
              <w:top w:val="single" w:sz="4" w:space="0" w:color="auto"/>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ExVal</w:t>
            </w:r>
            <w:r w:rsidRPr="00CE6964">
              <w:rPr>
                <w:b/>
                <w:i/>
                <w:sz w:val="20"/>
                <w:szCs w:val="20"/>
                <w:vertAlign w:val="subscript"/>
              </w:rPr>
              <w:t>Rev</w:t>
            </w:r>
          </w:p>
        </w:tc>
        <w:tc>
          <w:tcPr>
            <w:tcW w:w="1440" w:type="dxa"/>
            <w:tcBorders>
              <w:top w:val="single" w:sz="4" w:space="0" w:color="auto"/>
              <w:left w:val="nil"/>
              <w:bottom w:val="nil"/>
              <w:right w:val="nil"/>
            </w:tcBorders>
            <w:shd w:val="clear" w:color="auto" w:fill="auto"/>
            <w:noWrap/>
            <w:vAlign w:val="bottom"/>
            <w:hideMark/>
          </w:tcPr>
          <w:p w:rsidR="00CE6964" w:rsidRPr="00CE6964" w:rsidRDefault="00CE6964" w:rsidP="00CE6964">
            <w:pPr>
              <w:tabs>
                <w:tab w:val="decimal" w:pos="113"/>
              </w:tabs>
              <w:spacing w:line="240" w:lineRule="auto"/>
              <w:jc w:val="center"/>
              <w:rPr>
                <w:sz w:val="20"/>
                <w:szCs w:val="20"/>
              </w:rPr>
            </w:pPr>
            <w:r w:rsidRPr="00CE6964">
              <w:rPr>
                <w:sz w:val="20"/>
                <w:szCs w:val="20"/>
              </w:rPr>
              <w:t>1</w:t>
            </w:r>
          </w:p>
        </w:tc>
        <w:tc>
          <w:tcPr>
            <w:tcW w:w="1440" w:type="dxa"/>
            <w:tcBorders>
              <w:top w:val="single" w:sz="4" w:space="0" w:color="auto"/>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0.707***</w:t>
            </w:r>
          </w:p>
        </w:tc>
        <w:tc>
          <w:tcPr>
            <w:tcW w:w="1440" w:type="dxa"/>
            <w:tcBorders>
              <w:top w:val="single" w:sz="4" w:space="0" w:color="auto"/>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0.103***</w:t>
            </w:r>
          </w:p>
        </w:tc>
        <w:tc>
          <w:tcPr>
            <w:tcW w:w="1440" w:type="dxa"/>
            <w:tcBorders>
              <w:top w:val="single" w:sz="4" w:space="0" w:color="auto"/>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0.052***</w:t>
            </w:r>
          </w:p>
        </w:tc>
        <w:tc>
          <w:tcPr>
            <w:tcW w:w="1440" w:type="dxa"/>
            <w:tcBorders>
              <w:top w:val="single" w:sz="4" w:space="0" w:color="auto"/>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0.039***</w:t>
            </w:r>
          </w:p>
        </w:tc>
        <w:tc>
          <w:tcPr>
            <w:tcW w:w="1440" w:type="dxa"/>
            <w:tcBorders>
              <w:top w:val="single" w:sz="4" w:space="0" w:color="auto"/>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-0.039***</w:t>
            </w:r>
          </w:p>
        </w:tc>
        <w:tc>
          <w:tcPr>
            <w:tcW w:w="1464" w:type="dxa"/>
            <w:tcBorders>
              <w:top w:val="single" w:sz="4" w:space="0" w:color="auto"/>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0.226***</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ExVal</w:t>
            </w:r>
            <w:r w:rsidRPr="00CE6964">
              <w:rPr>
                <w:b/>
                <w:i/>
                <w:sz w:val="20"/>
                <w:szCs w:val="20"/>
                <w:vertAlign w:val="subscript"/>
              </w:rPr>
              <w:t>AT</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0.703***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113"/>
              </w:tabs>
              <w:spacing w:line="240" w:lineRule="auto"/>
              <w:jc w:val="center"/>
              <w:rPr>
                <w:sz w:val="20"/>
                <w:szCs w:val="20"/>
              </w:rPr>
            </w:pPr>
            <w:r w:rsidRPr="00CE6964">
              <w:rPr>
                <w:sz w:val="20"/>
                <w:szCs w:val="20"/>
              </w:rPr>
              <w:t>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0.066***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0.047***</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0.026**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-0.036***</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0.161***</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FFDIFF</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0.112***</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0.083***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113"/>
              </w:tabs>
              <w:spacing w:line="240" w:lineRule="auto"/>
              <w:jc w:val="center"/>
              <w:rPr>
                <w:sz w:val="20"/>
                <w:szCs w:val="20"/>
              </w:rPr>
            </w:pPr>
            <w:r w:rsidRPr="00CE6964">
              <w:rPr>
                <w:sz w:val="20"/>
                <w:szCs w:val="20"/>
              </w:rPr>
              <w:t>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0.385***</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-0.223***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0.265***</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-0.110***</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PFDIFF</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0.045***</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0.052***</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0.31***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113"/>
              </w:tabs>
              <w:spacing w:line="240" w:lineRule="auto"/>
              <w:jc w:val="center"/>
              <w:rPr>
                <w:sz w:val="20"/>
                <w:szCs w:val="20"/>
              </w:rPr>
            </w:pPr>
            <w:r w:rsidRPr="00CE6964">
              <w:rPr>
                <w:sz w:val="20"/>
                <w:szCs w:val="20"/>
              </w:rPr>
              <w:t>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-0.263***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0.224***</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-0.048***</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NumTNICPrs</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0.014</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0.000</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-0.277***</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-0.285***</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113"/>
              </w:tabs>
              <w:spacing w:line="240" w:lineRule="auto"/>
              <w:jc w:val="center"/>
              <w:rPr>
                <w:sz w:val="20"/>
                <w:szCs w:val="20"/>
              </w:rPr>
            </w:pPr>
            <w:r w:rsidRPr="00CE6964">
              <w:rPr>
                <w:sz w:val="20"/>
                <w:szCs w:val="20"/>
              </w:rPr>
              <w:t>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-0.502***</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0.081***</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HHI</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-0.027**</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-0.024*</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0.214***</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0.238***</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-0.852***</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113"/>
              </w:tabs>
              <w:spacing w:line="240" w:lineRule="auto"/>
              <w:jc w:val="center"/>
              <w:rPr>
                <w:sz w:val="20"/>
                <w:szCs w:val="20"/>
              </w:rPr>
            </w:pPr>
            <w:r w:rsidRPr="00CE6964">
              <w:rPr>
                <w:sz w:val="20"/>
                <w:szCs w:val="20"/>
              </w:rPr>
              <w:t>1</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-0.255***</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Size</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0.232***</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0.166***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-0.109***</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-0.085***</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0.143***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-0.279***</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113"/>
              </w:tabs>
              <w:spacing w:line="240" w:lineRule="auto"/>
              <w:jc w:val="center"/>
              <w:rPr>
                <w:sz w:val="20"/>
                <w:szCs w:val="20"/>
              </w:rPr>
            </w:pPr>
            <w:r w:rsidRPr="00CE6964">
              <w:rPr>
                <w:sz w:val="20"/>
                <w:szCs w:val="20"/>
              </w:rPr>
              <w:t>1</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Profit</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0.201***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0.363***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0.036***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0.024*</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-0.076***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-0.010</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0.183***</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Invest</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0.046***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0.131***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-0.04***</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-0.108***</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0.064***</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-0.184***</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0.149***</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Leverage</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-0.027**</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-0.063***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-0.146***</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0.044***</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0.195***</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SalesGrow</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0.161***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0.219***</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-0.04***</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-0.025*</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0.122***</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-0.073***</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0.095***</w:t>
            </w:r>
          </w:p>
        </w:tc>
      </w:tr>
      <w:tr w:rsidR="00EC1E2F" w:rsidRPr="00CE6964" w:rsidTr="00EC1E2F">
        <w:trPr>
          <w:trHeight w:val="255"/>
          <w:jc w:val="center"/>
        </w:trPr>
        <w:tc>
          <w:tcPr>
            <w:tcW w:w="1469" w:type="dxa"/>
            <w:gridSpan w:val="2"/>
            <w:tcBorders>
              <w:top w:val="nil"/>
              <w:left w:val="nil"/>
              <w:bottom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StdROE</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-0.131***</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-0.079***</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-0.093***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-0.078***</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0.143***</w:t>
            </w:r>
          </w:p>
        </w:tc>
        <w:tc>
          <w:tcPr>
            <w:tcW w:w="1440"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0.005</w:t>
            </w:r>
          </w:p>
        </w:tc>
        <w:tc>
          <w:tcPr>
            <w:tcW w:w="1464" w:type="dxa"/>
            <w:tcBorders>
              <w:top w:val="nil"/>
              <w:left w:val="nil"/>
              <w:bottom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-0.262***</w:t>
            </w:r>
          </w:p>
        </w:tc>
      </w:tr>
      <w:tr w:rsidR="00EC1E2F" w:rsidRPr="00CE6964" w:rsidTr="00EC1E2F">
        <w:trPr>
          <w:trHeight w:val="255"/>
          <w:jc w:val="center"/>
        </w:trPr>
        <w:tc>
          <w:tcPr>
            <w:tcW w:w="1469" w:type="dxa"/>
            <w:gridSpan w:val="2"/>
            <w:tcBorders>
              <w:top w:val="nil"/>
              <w:left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MAR</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0.136***</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0.231***</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-0.011</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-0.010</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-0.007</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0.020*</w:t>
            </w:r>
          </w:p>
        </w:tc>
        <w:tc>
          <w:tcPr>
            <w:tcW w:w="1464"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-0.065***</w:t>
            </w:r>
          </w:p>
        </w:tc>
      </w:tr>
      <w:tr w:rsidR="00EC1E2F" w:rsidRPr="00CE6964" w:rsidTr="00EC1E2F">
        <w:trPr>
          <w:trHeight w:val="255"/>
          <w:jc w:val="center"/>
        </w:trPr>
        <w:tc>
          <w:tcPr>
            <w:tcW w:w="1469" w:type="dxa"/>
            <w:gridSpan w:val="2"/>
            <w:tcBorders>
              <w:top w:val="nil"/>
              <w:left w:val="nil"/>
              <w:right w:val="nil"/>
            </w:tcBorders>
            <w:shd w:val="clear" w:color="auto" w:fill="auto"/>
            <w:noWrap/>
            <w:vAlign w:val="bottom"/>
            <w:hideMark/>
          </w:tcPr>
          <w:p w:rsidR="00CE6964" w:rsidRPr="00CE6964" w:rsidRDefault="00CE6964" w:rsidP="00CE6964">
            <w:pPr>
              <w:spacing w:line="240" w:lineRule="auto"/>
              <w:rPr>
                <w:b/>
                <w:i/>
                <w:sz w:val="20"/>
                <w:szCs w:val="20"/>
              </w:rPr>
            </w:pPr>
            <w:r w:rsidRPr="00CE6964">
              <w:rPr>
                <w:b/>
                <w:i/>
                <w:sz w:val="20"/>
                <w:szCs w:val="20"/>
              </w:rPr>
              <w:t>Corr5yr</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-0.072***</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-0.064***</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-0.011</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-0.015</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0.001</w:t>
            </w:r>
          </w:p>
        </w:tc>
        <w:tc>
          <w:tcPr>
            <w:tcW w:w="1440"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-0.006</w:t>
            </w:r>
          </w:p>
        </w:tc>
        <w:tc>
          <w:tcPr>
            <w:tcW w:w="1464" w:type="dxa"/>
            <w:tcBorders>
              <w:top w:val="nil"/>
              <w:left w:val="nil"/>
              <w:right w:val="nil"/>
            </w:tcBorders>
            <w:shd w:val="clear" w:color="auto" w:fill="auto"/>
            <w:noWrap/>
            <w:vAlign w:val="bottom"/>
            <w:hideMark/>
          </w:tcPr>
          <w:p w:rsidR="00CE6964" w:rsidRPr="00CE6964" w:rsidRDefault="00CE6964" w:rsidP="00EC1E2F">
            <w:pPr>
              <w:tabs>
                <w:tab w:val="decimal" w:pos="432"/>
              </w:tabs>
              <w:spacing w:line="240" w:lineRule="auto"/>
              <w:rPr>
                <w:sz w:val="20"/>
                <w:szCs w:val="20"/>
              </w:rPr>
            </w:pPr>
            <w:r w:rsidRPr="00CE6964">
              <w:rPr>
                <w:sz w:val="20"/>
                <w:szCs w:val="20"/>
              </w:rPr>
              <w:t>-0.106***</w:t>
            </w:r>
          </w:p>
        </w:tc>
      </w:tr>
      <w:tr w:rsidR="00EC1E2F" w:rsidRPr="00CE6964" w:rsidTr="00EC1E2F">
        <w:trPr>
          <w:trHeight w:val="255"/>
          <w:jc w:val="center"/>
        </w:trPr>
        <w:tc>
          <w:tcPr>
            <w:tcW w:w="1469" w:type="dxa"/>
            <w:gridSpan w:val="2"/>
            <w:tcBorders>
              <w:left w:val="nil"/>
              <w:bottom w:val="double" w:sz="4" w:space="0" w:color="auto"/>
              <w:right w:val="nil"/>
            </w:tcBorders>
            <w:shd w:val="clear" w:color="auto" w:fill="auto"/>
            <w:noWrap/>
            <w:vAlign w:val="bottom"/>
          </w:tcPr>
          <w:p w:rsidR="00CE6964" w:rsidRPr="00CE6964" w:rsidRDefault="00CE6964" w:rsidP="00CE6964">
            <w:pPr>
              <w:spacing w:line="240" w:lineRule="auto"/>
              <w:rPr>
                <w:b/>
                <w:i/>
                <w:sz w:val="20"/>
                <w:szCs w:val="20"/>
              </w:rPr>
            </w:pPr>
            <w:r w:rsidRPr="00CE6964">
              <w:rPr>
                <w:b/>
                <w:i/>
                <w:sz w:val="20"/>
                <w:szCs w:val="20"/>
              </w:rPr>
              <w:t>Surprise</w:t>
            </w:r>
          </w:p>
        </w:tc>
        <w:tc>
          <w:tcPr>
            <w:tcW w:w="1440" w:type="dxa"/>
            <w:tcBorders>
              <w:left w:val="nil"/>
              <w:bottom w:val="double" w:sz="4" w:space="0" w:color="auto"/>
              <w:right w:val="nil"/>
            </w:tcBorders>
            <w:shd w:val="clear" w:color="auto" w:fill="auto"/>
            <w:noWrap/>
            <w:vAlign w:val="bottom"/>
          </w:tcPr>
          <w:p w:rsidR="00CE6964" w:rsidRPr="00CE6964" w:rsidRDefault="00CE6964" w:rsidP="00EC1E2F">
            <w:pPr>
              <w:tabs>
                <w:tab w:val="decimal" w:pos="432"/>
              </w:tabs>
              <w:spacing w:line="240" w:lineRule="auto"/>
              <w:rPr>
                <w:sz w:val="20"/>
                <w:szCs w:val="20"/>
              </w:rPr>
            </w:pPr>
            <w:r w:rsidRPr="00CE6964">
              <w:rPr>
                <w:sz w:val="20"/>
                <w:szCs w:val="20"/>
              </w:rPr>
              <w:t>-0.168***</w:t>
            </w:r>
          </w:p>
        </w:tc>
        <w:tc>
          <w:tcPr>
            <w:tcW w:w="1440" w:type="dxa"/>
            <w:tcBorders>
              <w:left w:val="nil"/>
              <w:bottom w:val="double" w:sz="4" w:space="0" w:color="auto"/>
              <w:right w:val="nil"/>
            </w:tcBorders>
            <w:shd w:val="clear" w:color="auto" w:fill="auto"/>
            <w:noWrap/>
            <w:vAlign w:val="bottom"/>
          </w:tcPr>
          <w:p w:rsidR="00CE6964" w:rsidRPr="00CE6964" w:rsidRDefault="00CE6964" w:rsidP="00EC1E2F">
            <w:pPr>
              <w:tabs>
                <w:tab w:val="decimal" w:pos="432"/>
              </w:tabs>
              <w:spacing w:line="240" w:lineRule="auto"/>
              <w:rPr>
                <w:sz w:val="20"/>
                <w:szCs w:val="20"/>
              </w:rPr>
            </w:pPr>
            <w:r w:rsidRPr="00CE6964">
              <w:rPr>
                <w:sz w:val="20"/>
                <w:szCs w:val="20"/>
              </w:rPr>
              <w:t>-0.204***</w:t>
            </w:r>
          </w:p>
        </w:tc>
        <w:tc>
          <w:tcPr>
            <w:tcW w:w="1440" w:type="dxa"/>
            <w:tcBorders>
              <w:left w:val="nil"/>
              <w:bottom w:val="double" w:sz="4" w:space="0" w:color="auto"/>
              <w:right w:val="nil"/>
            </w:tcBorders>
            <w:shd w:val="clear" w:color="auto" w:fill="auto"/>
            <w:noWrap/>
            <w:vAlign w:val="bottom"/>
          </w:tcPr>
          <w:p w:rsidR="00CE6964" w:rsidRPr="00CE6964" w:rsidRDefault="00CE6964" w:rsidP="00EC1E2F">
            <w:pPr>
              <w:tabs>
                <w:tab w:val="decimal" w:pos="432"/>
              </w:tabs>
              <w:spacing w:line="240" w:lineRule="auto"/>
              <w:rPr>
                <w:sz w:val="20"/>
                <w:szCs w:val="20"/>
              </w:rPr>
            </w:pPr>
            <w:r w:rsidRPr="00CE6964">
              <w:rPr>
                <w:sz w:val="20"/>
                <w:szCs w:val="20"/>
              </w:rPr>
              <w:t>-0.044***</w:t>
            </w:r>
          </w:p>
        </w:tc>
        <w:tc>
          <w:tcPr>
            <w:tcW w:w="1440" w:type="dxa"/>
            <w:tcBorders>
              <w:left w:val="nil"/>
              <w:bottom w:val="double" w:sz="4" w:space="0" w:color="auto"/>
              <w:right w:val="nil"/>
            </w:tcBorders>
            <w:shd w:val="clear" w:color="auto" w:fill="auto"/>
            <w:noWrap/>
            <w:vAlign w:val="bottom"/>
          </w:tcPr>
          <w:p w:rsidR="00CE6964" w:rsidRPr="00CE6964" w:rsidRDefault="00CE6964" w:rsidP="00EC1E2F">
            <w:pPr>
              <w:tabs>
                <w:tab w:val="decimal" w:pos="432"/>
              </w:tabs>
              <w:spacing w:line="240" w:lineRule="auto"/>
              <w:rPr>
                <w:sz w:val="20"/>
                <w:szCs w:val="20"/>
              </w:rPr>
            </w:pPr>
            <w:r w:rsidRPr="00CE6964">
              <w:rPr>
                <w:sz w:val="20"/>
                <w:szCs w:val="20"/>
              </w:rPr>
              <w:t>-0.039***</w:t>
            </w:r>
          </w:p>
        </w:tc>
        <w:tc>
          <w:tcPr>
            <w:tcW w:w="1440" w:type="dxa"/>
            <w:tcBorders>
              <w:left w:val="nil"/>
              <w:bottom w:val="double" w:sz="4" w:space="0" w:color="auto"/>
              <w:right w:val="nil"/>
            </w:tcBorders>
            <w:shd w:val="clear" w:color="auto" w:fill="auto"/>
            <w:noWrap/>
            <w:vAlign w:val="bottom"/>
          </w:tcPr>
          <w:p w:rsidR="00CE6964" w:rsidRPr="00CE6964" w:rsidRDefault="00CE6964" w:rsidP="00EC1E2F">
            <w:pPr>
              <w:tabs>
                <w:tab w:val="decimal" w:pos="432"/>
              </w:tabs>
              <w:spacing w:line="240" w:lineRule="auto"/>
              <w:rPr>
                <w:sz w:val="20"/>
                <w:szCs w:val="20"/>
              </w:rPr>
            </w:pPr>
            <w:r w:rsidRPr="00CE6964">
              <w:rPr>
                <w:sz w:val="20"/>
                <w:szCs w:val="20"/>
              </w:rPr>
              <w:t>0.058***</w:t>
            </w:r>
          </w:p>
        </w:tc>
        <w:tc>
          <w:tcPr>
            <w:tcW w:w="1440" w:type="dxa"/>
            <w:tcBorders>
              <w:left w:val="nil"/>
              <w:bottom w:val="double" w:sz="4" w:space="0" w:color="auto"/>
              <w:right w:val="nil"/>
            </w:tcBorders>
            <w:shd w:val="clear" w:color="auto" w:fill="auto"/>
            <w:noWrap/>
            <w:vAlign w:val="bottom"/>
          </w:tcPr>
          <w:p w:rsidR="00CE6964" w:rsidRPr="00CE6964" w:rsidRDefault="00CE6964" w:rsidP="00EC1E2F">
            <w:pPr>
              <w:tabs>
                <w:tab w:val="decimal" w:pos="432"/>
              </w:tabs>
              <w:spacing w:line="240" w:lineRule="auto"/>
              <w:rPr>
                <w:sz w:val="20"/>
                <w:szCs w:val="20"/>
              </w:rPr>
            </w:pPr>
            <w:r w:rsidRPr="00CE6964">
              <w:rPr>
                <w:sz w:val="20"/>
                <w:szCs w:val="20"/>
              </w:rPr>
              <w:t>0.003</w:t>
            </w:r>
          </w:p>
        </w:tc>
        <w:tc>
          <w:tcPr>
            <w:tcW w:w="1464" w:type="dxa"/>
            <w:tcBorders>
              <w:left w:val="nil"/>
              <w:bottom w:val="double" w:sz="4" w:space="0" w:color="auto"/>
              <w:right w:val="nil"/>
            </w:tcBorders>
            <w:shd w:val="clear" w:color="auto" w:fill="auto"/>
            <w:noWrap/>
            <w:vAlign w:val="bottom"/>
          </w:tcPr>
          <w:p w:rsidR="00CE6964" w:rsidRPr="00CE6964" w:rsidRDefault="00CE6964" w:rsidP="00EC1E2F">
            <w:pPr>
              <w:tabs>
                <w:tab w:val="decimal" w:pos="432"/>
              </w:tabs>
              <w:spacing w:line="240" w:lineRule="auto"/>
              <w:rPr>
                <w:sz w:val="20"/>
                <w:szCs w:val="20"/>
              </w:rPr>
            </w:pPr>
            <w:r w:rsidRPr="00CE6964">
              <w:rPr>
                <w:sz w:val="20"/>
                <w:szCs w:val="20"/>
              </w:rPr>
              <w:t>-0.169***</w:t>
            </w:r>
          </w:p>
        </w:tc>
      </w:tr>
    </w:tbl>
    <w:p w:rsidR="00DF6FC0" w:rsidRDefault="00DF6FC0">
      <w:pPr>
        <w:spacing w:line="240" w:lineRule="auto"/>
      </w:pPr>
    </w:p>
    <w:p w:rsidR="00382CEC" w:rsidRDefault="00DF6FC0">
      <w:pPr>
        <w:spacing w:line="240" w:lineRule="auto"/>
      </w:pPr>
      <w:r>
        <w:br w:type="page"/>
      </w:r>
    </w:p>
    <w:tbl>
      <w:tblPr>
        <w:tblW w:w="12960" w:type="dxa"/>
        <w:jc w:val="center"/>
        <w:tblLayout w:type="fixed"/>
        <w:tblLook w:val="04A0" w:firstRow="1" w:lastRow="0" w:firstColumn="1" w:lastColumn="0" w:noHBand="0" w:noVBand="1"/>
      </w:tblPr>
      <w:tblGrid>
        <w:gridCol w:w="1440"/>
        <w:gridCol w:w="1440"/>
        <w:gridCol w:w="1440"/>
        <w:gridCol w:w="1440"/>
        <w:gridCol w:w="1440"/>
        <w:gridCol w:w="886"/>
        <w:gridCol w:w="554"/>
        <w:gridCol w:w="1440"/>
        <w:gridCol w:w="1440"/>
        <w:gridCol w:w="72"/>
        <w:gridCol w:w="1368"/>
      </w:tblGrid>
      <w:tr w:rsidR="00DF6FC0" w:rsidRPr="007128CB" w:rsidTr="00930F77">
        <w:trPr>
          <w:gridAfter w:val="5"/>
          <w:wAfter w:w="4874" w:type="dxa"/>
          <w:trHeight w:val="255"/>
          <w:jc w:val="center"/>
        </w:trPr>
        <w:tc>
          <w:tcPr>
            <w:tcW w:w="8086" w:type="dxa"/>
            <w:gridSpan w:val="6"/>
            <w:tcBorders>
              <w:left w:val="nil"/>
              <w:right w:val="nil"/>
            </w:tcBorders>
            <w:shd w:val="clear" w:color="auto" w:fill="auto"/>
            <w:noWrap/>
            <w:vAlign w:val="bottom"/>
          </w:tcPr>
          <w:p w:rsidR="00DF6FC0" w:rsidRPr="007128CB" w:rsidRDefault="00DF6FC0" w:rsidP="00CE6964">
            <w:pPr>
              <w:spacing w:line="240" w:lineRule="auto"/>
              <w:rPr>
                <w:i/>
                <w:sz w:val="20"/>
                <w:szCs w:val="20"/>
              </w:rPr>
            </w:pPr>
            <w:r w:rsidRPr="00CE6964">
              <w:rPr>
                <w:sz w:val="20"/>
                <w:szCs w:val="20"/>
              </w:rPr>
              <w:lastRenderedPageBreak/>
              <w:t>Table 3</w:t>
            </w:r>
            <w:r>
              <w:rPr>
                <w:sz w:val="20"/>
                <w:szCs w:val="20"/>
              </w:rPr>
              <w:t xml:space="preserve"> Panel B</w:t>
            </w:r>
            <w:r w:rsidRPr="007128CB">
              <w:rPr>
                <w:i/>
                <w:sz w:val="20"/>
                <w:szCs w:val="20"/>
              </w:rPr>
              <w:t xml:space="preserve"> (Continued)</w:t>
            </w:r>
          </w:p>
        </w:tc>
      </w:tr>
      <w:tr w:rsidR="00DF6FC0" w:rsidRPr="00377458" w:rsidTr="00930F77">
        <w:trPr>
          <w:trHeight w:val="255"/>
          <w:jc w:val="center"/>
        </w:trPr>
        <w:tc>
          <w:tcPr>
            <w:tcW w:w="1440" w:type="dxa"/>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p>
        </w:tc>
        <w:tc>
          <w:tcPr>
            <w:tcW w:w="1440" w:type="dxa"/>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r w:rsidRPr="00DF6FC0">
              <w:rPr>
                <w:b/>
                <w:i/>
                <w:sz w:val="20"/>
                <w:szCs w:val="20"/>
              </w:rPr>
              <w:t>Profit</w:t>
            </w:r>
          </w:p>
        </w:tc>
        <w:tc>
          <w:tcPr>
            <w:tcW w:w="1440" w:type="dxa"/>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r w:rsidRPr="00DF6FC0">
              <w:rPr>
                <w:b/>
                <w:i/>
                <w:sz w:val="20"/>
                <w:szCs w:val="20"/>
              </w:rPr>
              <w:t>Invest</w:t>
            </w:r>
          </w:p>
        </w:tc>
        <w:tc>
          <w:tcPr>
            <w:tcW w:w="1440" w:type="dxa"/>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r w:rsidRPr="00DF6FC0">
              <w:rPr>
                <w:b/>
                <w:i/>
                <w:sz w:val="20"/>
                <w:szCs w:val="20"/>
              </w:rPr>
              <w:t>Leverage</w:t>
            </w:r>
          </w:p>
        </w:tc>
        <w:tc>
          <w:tcPr>
            <w:tcW w:w="1440" w:type="dxa"/>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r w:rsidRPr="00DF6FC0">
              <w:rPr>
                <w:b/>
                <w:i/>
                <w:sz w:val="20"/>
                <w:szCs w:val="20"/>
              </w:rPr>
              <w:t>SalesGrow</w:t>
            </w:r>
          </w:p>
        </w:tc>
        <w:tc>
          <w:tcPr>
            <w:tcW w:w="1440" w:type="dxa"/>
            <w:gridSpan w:val="2"/>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r w:rsidRPr="00DF6FC0">
              <w:rPr>
                <w:b/>
                <w:i/>
                <w:sz w:val="20"/>
                <w:szCs w:val="20"/>
              </w:rPr>
              <w:t>StdROE</w:t>
            </w:r>
          </w:p>
        </w:tc>
        <w:tc>
          <w:tcPr>
            <w:tcW w:w="1440" w:type="dxa"/>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r w:rsidRPr="00DF6FC0">
              <w:rPr>
                <w:b/>
                <w:i/>
                <w:sz w:val="20"/>
                <w:szCs w:val="20"/>
              </w:rPr>
              <w:t>MAR</w:t>
            </w:r>
          </w:p>
        </w:tc>
        <w:tc>
          <w:tcPr>
            <w:tcW w:w="1440" w:type="dxa"/>
            <w:tcBorders>
              <w:top w:val="nil"/>
              <w:left w:val="nil"/>
              <w:bottom w:val="single" w:sz="4" w:space="0" w:color="auto"/>
              <w:right w:val="nil"/>
            </w:tcBorders>
            <w:shd w:val="clear" w:color="auto" w:fill="auto"/>
            <w:noWrap/>
            <w:vAlign w:val="bottom"/>
            <w:hideMark/>
          </w:tcPr>
          <w:p w:rsidR="00DF6FC0" w:rsidRPr="00DF6FC0" w:rsidRDefault="00DF6FC0" w:rsidP="00CE6964">
            <w:pPr>
              <w:spacing w:line="240" w:lineRule="auto"/>
              <w:jc w:val="center"/>
              <w:rPr>
                <w:b/>
                <w:i/>
                <w:sz w:val="20"/>
                <w:szCs w:val="20"/>
              </w:rPr>
            </w:pPr>
            <w:r w:rsidRPr="00DF6FC0">
              <w:rPr>
                <w:b/>
                <w:i/>
                <w:sz w:val="20"/>
                <w:szCs w:val="20"/>
              </w:rPr>
              <w:t>Corr5yr</w:t>
            </w:r>
          </w:p>
        </w:tc>
        <w:tc>
          <w:tcPr>
            <w:tcW w:w="1440" w:type="dxa"/>
            <w:gridSpan w:val="2"/>
            <w:tcBorders>
              <w:top w:val="nil"/>
              <w:left w:val="nil"/>
              <w:bottom w:val="single" w:sz="4" w:space="0" w:color="auto"/>
              <w:right w:val="nil"/>
            </w:tcBorders>
            <w:vAlign w:val="bottom"/>
          </w:tcPr>
          <w:p w:rsidR="00DF6FC0" w:rsidRPr="00DF6FC0" w:rsidRDefault="00DF6FC0" w:rsidP="00CE6964">
            <w:pPr>
              <w:spacing w:line="240" w:lineRule="auto"/>
              <w:jc w:val="center"/>
              <w:rPr>
                <w:b/>
                <w:i/>
                <w:sz w:val="20"/>
                <w:szCs w:val="20"/>
              </w:rPr>
            </w:pPr>
            <w:r w:rsidRPr="00DF6FC0">
              <w:rPr>
                <w:b/>
                <w:i/>
                <w:sz w:val="20"/>
                <w:szCs w:val="20"/>
              </w:rPr>
              <w:t>Surprise</w:t>
            </w:r>
          </w:p>
        </w:tc>
      </w:tr>
      <w:tr w:rsidR="00DF6FC0" w:rsidRPr="00377458" w:rsidTr="00930F77">
        <w:trPr>
          <w:trHeight w:val="255"/>
          <w:jc w:val="center"/>
        </w:trPr>
        <w:tc>
          <w:tcPr>
            <w:tcW w:w="1440" w:type="dxa"/>
            <w:tcBorders>
              <w:top w:val="single" w:sz="4" w:space="0" w:color="auto"/>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ExVal</w:t>
            </w:r>
            <w:r w:rsidRPr="00DF6FC0">
              <w:rPr>
                <w:b/>
                <w:i/>
                <w:sz w:val="20"/>
                <w:szCs w:val="20"/>
                <w:vertAlign w:val="subscript"/>
              </w:rPr>
              <w:t>Rev</w:t>
            </w:r>
          </w:p>
        </w:tc>
        <w:tc>
          <w:tcPr>
            <w:tcW w:w="1440" w:type="dxa"/>
            <w:tcBorders>
              <w:top w:val="single" w:sz="4" w:space="0" w:color="auto"/>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0.12</w:t>
            </w:r>
            <w:r w:rsidR="00EC1E2F">
              <w:rPr>
                <w:sz w:val="20"/>
                <w:szCs w:val="20"/>
              </w:rPr>
              <w:t>0</w:t>
            </w:r>
            <w:r w:rsidRPr="00DF6FC0">
              <w:rPr>
                <w:sz w:val="20"/>
                <w:szCs w:val="20"/>
              </w:rPr>
              <w:t>***</w:t>
            </w:r>
          </w:p>
        </w:tc>
        <w:tc>
          <w:tcPr>
            <w:tcW w:w="1440" w:type="dxa"/>
            <w:tcBorders>
              <w:top w:val="single" w:sz="4" w:space="0" w:color="auto"/>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0.042***</w:t>
            </w:r>
          </w:p>
        </w:tc>
        <w:tc>
          <w:tcPr>
            <w:tcW w:w="1440" w:type="dxa"/>
            <w:tcBorders>
              <w:top w:val="single" w:sz="4" w:space="0" w:color="auto"/>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0.001</w:t>
            </w:r>
          </w:p>
        </w:tc>
        <w:tc>
          <w:tcPr>
            <w:tcW w:w="1440" w:type="dxa"/>
            <w:tcBorders>
              <w:top w:val="single" w:sz="4" w:space="0" w:color="auto"/>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0.099***</w:t>
            </w:r>
          </w:p>
        </w:tc>
        <w:tc>
          <w:tcPr>
            <w:tcW w:w="1440" w:type="dxa"/>
            <w:gridSpan w:val="2"/>
            <w:tcBorders>
              <w:top w:val="single" w:sz="4" w:space="0" w:color="auto"/>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-0.021</w:t>
            </w:r>
          </w:p>
        </w:tc>
        <w:tc>
          <w:tcPr>
            <w:tcW w:w="1440" w:type="dxa"/>
            <w:tcBorders>
              <w:top w:val="single" w:sz="4" w:space="0" w:color="auto"/>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0.120***</w:t>
            </w:r>
          </w:p>
        </w:tc>
        <w:tc>
          <w:tcPr>
            <w:tcW w:w="1440" w:type="dxa"/>
            <w:tcBorders>
              <w:top w:val="single" w:sz="4" w:space="0" w:color="auto"/>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-0.076***</w:t>
            </w:r>
          </w:p>
        </w:tc>
        <w:tc>
          <w:tcPr>
            <w:tcW w:w="1440" w:type="dxa"/>
            <w:gridSpan w:val="2"/>
            <w:tcBorders>
              <w:top w:val="single" w:sz="4" w:space="0" w:color="auto"/>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-0.09***</w:t>
            </w:r>
          </w:p>
        </w:tc>
      </w:tr>
      <w:tr w:rsidR="00DF6FC0" w:rsidRPr="00377458"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ExVal</w:t>
            </w:r>
            <w:r w:rsidRPr="00DF6FC0">
              <w:rPr>
                <w:b/>
                <w:i/>
                <w:sz w:val="20"/>
                <w:szCs w:val="20"/>
                <w:vertAlign w:val="subscript"/>
              </w:rPr>
              <w:t>AT</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0.211***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0.112***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-0.025*</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0.166***</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0.022*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0.219***</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-0.069***</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-0.108***</w:t>
            </w:r>
          </w:p>
        </w:tc>
      </w:tr>
      <w:tr w:rsidR="00DF6FC0" w:rsidRPr="00377458"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FFDIFF</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0.034***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-0.086***</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-0.016</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-0.027**</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-0.041***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-0.013</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-0.028**</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PFDIFF</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0.044***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-0.073***</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0.042***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-0.026**</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-0.053***</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-0.015</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-0.024*</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NumTNICPrs</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-0.160***</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0.062***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-0.086***</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0.098***</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0.109***</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-0.004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-0.002</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0.038***</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HHI</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0.016</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-0.129***</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0.015</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-0.053***</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-0.019</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0.024*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0.007</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-0.001</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Size</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0.202***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0.104***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0.163***</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0.073***</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-0.078***</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-0.090***</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-0.108***</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-0.069***</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Profit</w:t>
            </w:r>
          </w:p>
        </w:tc>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jc w:val="center"/>
              <w:rPr>
                <w:sz w:val="20"/>
                <w:szCs w:val="20"/>
              </w:rPr>
            </w:pPr>
            <w:r w:rsidRPr="00DF6FC0">
              <w:rPr>
                <w:sz w:val="20"/>
                <w:szCs w:val="20"/>
              </w:rPr>
              <w:t>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0.057***</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-0.214***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0.253***</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-0.142***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0.192***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-0.079***</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-0.026**</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Invest</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0.166***</w:t>
            </w:r>
          </w:p>
        </w:tc>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jc w:val="center"/>
              <w:rPr>
                <w:sz w:val="20"/>
                <w:szCs w:val="20"/>
              </w:rPr>
            </w:pPr>
            <w:r w:rsidRPr="00DF6FC0">
              <w:rPr>
                <w:sz w:val="20"/>
                <w:szCs w:val="20"/>
              </w:rPr>
              <w:t>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0.133***</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0.093***</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-0.034***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-0.053***</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0.014</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-0.029**</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Leverage</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-0.256***</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0.136***</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spacing w:line="240" w:lineRule="auto"/>
              <w:jc w:val="center"/>
              <w:rPr>
                <w:sz w:val="20"/>
                <w:szCs w:val="20"/>
              </w:rPr>
            </w:pPr>
            <w:r w:rsidRPr="00DF6FC0">
              <w:rPr>
                <w:sz w:val="20"/>
                <w:szCs w:val="20"/>
              </w:rPr>
              <w:t>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-0.019</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0.199***</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-0.061***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0.043***</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0.045***</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SalesGrow</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0.293***</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0.102***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-0.028**</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spacing w:line="240" w:lineRule="auto"/>
              <w:jc w:val="center"/>
              <w:rPr>
                <w:sz w:val="20"/>
                <w:szCs w:val="20"/>
              </w:rPr>
            </w:pPr>
            <w:r w:rsidRPr="00DF6FC0">
              <w:rPr>
                <w:sz w:val="20"/>
                <w:szCs w:val="20"/>
              </w:rPr>
              <w:t>1</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0.002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0.122***</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-0.035***</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-0.073***</w:t>
            </w:r>
          </w:p>
        </w:tc>
      </w:tr>
      <w:tr w:rsidR="00DF6FC0" w:rsidRPr="0042121E" w:rsidTr="00930F77">
        <w:trPr>
          <w:trHeight w:val="255"/>
          <w:jc w:val="center"/>
        </w:trPr>
        <w:tc>
          <w:tcPr>
            <w:tcW w:w="1440" w:type="dxa"/>
            <w:tcBorders>
              <w:top w:val="nil"/>
              <w:left w:val="nil"/>
              <w:bottom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StdROE</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-0.273***</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-0.146***</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0.124***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-0.030***</w:t>
            </w:r>
          </w:p>
        </w:tc>
        <w:tc>
          <w:tcPr>
            <w:tcW w:w="1440" w:type="dxa"/>
            <w:gridSpan w:val="2"/>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jc w:val="center"/>
              <w:rPr>
                <w:sz w:val="20"/>
                <w:szCs w:val="20"/>
              </w:rPr>
            </w:pPr>
            <w:r w:rsidRPr="00DF6FC0">
              <w:rPr>
                <w:sz w:val="20"/>
                <w:szCs w:val="20"/>
              </w:rPr>
              <w:t>1</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0.034***</w:t>
            </w:r>
          </w:p>
        </w:tc>
        <w:tc>
          <w:tcPr>
            <w:tcW w:w="1440" w:type="dxa"/>
            <w:tcBorders>
              <w:top w:val="nil"/>
              <w:left w:val="nil"/>
              <w:bottom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0.045***</w:t>
            </w:r>
          </w:p>
        </w:tc>
        <w:tc>
          <w:tcPr>
            <w:tcW w:w="1440" w:type="dxa"/>
            <w:gridSpan w:val="2"/>
            <w:tcBorders>
              <w:top w:val="nil"/>
              <w:left w:val="nil"/>
              <w:bottom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0.098***</w:t>
            </w:r>
          </w:p>
        </w:tc>
      </w:tr>
      <w:tr w:rsidR="00DF6FC0" w:rsidRPr="00377458" w:rsidTr="00930F77">
        <w:trPr>
          <w:trHeight w:val="255"/>
          <w:jc w:val="center"/>
        </w:trPr>
        <w:tc>
          <w:tcPr>
            <w:tcW w:w="1440" w:type="dxa"/>
            <w:tcBorders>
              <w:top w:val="nil"/>
              <w:left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MAR</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0.198***</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-0.064***</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-0.058***</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0.184***</w:t>
            </w:r>
          </w:p>
        </w:tc>
        <w:tc>
          <w:tcPr>
            <w:tcW w:w="1440" w:type="dxa"/>
            <w:gridSpan w:val="2"/>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0.066***</w:t>
            </w:r>
          </w:p>
        </w:tc>
        <w:tc>
          <w:tcPr>
            <w:tcW w:w="1440" w:type="dxa"/>
            <w:tcBorders>
              <w:top w:val="nil"/>
              <w:left w:val="nil"/>
              <w:right w:val="nil"/>
            </w:tcBorders>
            <w:shd w:val="clear" w:color="auto" w:fill="auto"/>
            <w:noWrap/>
            <w:vAlign w:val="bottom"/>
            <w:hideMark/>
          </w:tcPr>
          <w:p w:rsidR="00DF6FC0" w:rsidRPr="00DF6FC0" w:rsidRDefault="00DF6FC0" w:rsidP="00EC1E2F">
            <w:pPr>
              <w:spacing w:line="240" w:lineRule="auto"/>
              <w:jc w:val="center"/>
              <w:rPr>
                <w:sz w:val="20"/>
                <w:szCs w:val="20"/>
              </w:rPr>
            </w:pPr>
            <w:r w:rsidRPr="00DF6FC0">
              <w:rPr>
                <w:sz w:val="20"/>
                <w:szCs w:val="20"/>
              </w:rPr>
              <w:t>1</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0.018</w:t>
            </w:r>
          </w:p>
        </w:tc>
        <w:tc>
          <w:tcPr>
            <w:tcW w:w="1440" w:type="dxa"/>
            <w:gridSpan w:val="2"/>
            <w:tcBorders>
              <w:top w:val="nil"/>
              <w:left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0.029**</w:t>
            </w:r>
          </w:p>
        </w:tc>
      </w:tr>
      <w:tr w:rsidR="00DF6FC0" w:rsidRPr="00377458" w:rsidTr="00930F77">
        <w:trPr>
          <w:trHeight w:val="255"/>
          <w:jc w:val="center"/>
        </w:trPr>
        <w:tc>
          <w:tcPr>
            <w:tcW w:w="1440" w:type="dxa"/>
            <w:tcBorders>
              <w:top w:val="nil"/>
              <w:left w:val="nil"/>
              <w:right w:val="nil"/>
            </w:tcBorders>
            <w:shd w:val="clear" w:color="auto" w:fill="auto"/>
            <w:noWrap/>
            <w:vAlign w:val="bottom"/>
            <w:hideMark/>
          </w:tcPr>
          <w:p w:rsidR="00DF6FC0" w:rsidRPr="00DF6FC0" w:rsidRDefault="00DF6FC0" w:rsidP="00CE6964">
            <w:pPr>
              <w:spacing w:line="240" w:lineRule="auto"/>
              <w:rPr>
                <w:b/>
                <w:i/>
                <w:sz w:val="20"/>
                <w:szCs w:val="20"/>
              </w:rPr>
            </w:pPr>
            <w:r w:rsidRPr="00DF6FC0">
              <w:rPr>
                <w:b/>
                <w:i/>
                <w:sz w:val="20"/>
                <w:szCs w:val="20"/>
              </w:rPr>
              <w:t>Corr5yr</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-0.095***</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0.001</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0.041***</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-0.037***</w:t>
            </w:r>
          </w:p>
        </w:tc>
        <w:tc>
          <w:tcPr>
            <w:tcW w:w="1440" w:type="dxa"/>
            <w:gridSpan w:val="2"/>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0.107***</w:t>
            </w:r>
          </w:p>
        </w:tc>
        <w:tc>
          <w:tcPr>
            <w:tcW w:w="1440" w:type="dxa"/>
            <w:tcBorders>
              <w:top w:val="nil"/>
              <w:left w:val="nil"/>
              <w:right w:val="nil"/>
            </w:tcBorders>
            <w:shd w:val="clear" w:color="auto" w:fill="auto"/>
            <w:noWrap/>
            <w:vAlign w:val="bottom"/>
            <w:hideMark/>
          </w:tcPr>
          <w:p w:rsidR="00DF6FC0" w:rsidRPr="00DF6FC0" w:rsidRDefault="00DF6FC0" w:rsidP="00EC1E2F">
            <w:pPr>
              <w:tabs>
                <w:tab w:val="decimal" w:pos="432"/>
              </w:tabs>
              <w:spacing w:line="240" w:lineRule="auto"/>
              <w:rPr>
                <w:sz w:val="20"/>
                <w:szCs w:val="20"/>
              </w:rPr>
            </w:pPr>
            <w:r w:rsidRPr="00DF6FC0">
              <w:rPr>
                <w:sz w:val="20"/>
                <w:szCs w:val="20"/>
              </w:rPr>
              <w:t>0.009</w:t>
            </w:r>
          </w:p>
        </w:tc>
        <w:tc>
          <w:tcPr>
            <w:tcW w:w="1440" w:type="dxa"/>
            <w:tcBorders>
              <w:top w:val="nil"/>
              <w:left w:val="nil"/>
              <w:right w:val="nil"/>
            </w:tcBorders>
            <w:shd w:val="clear" w:color="auto" w:fill="auto"/>
            <w:noWrap/>
            <w:vAlign w:val="bottom"/>
            <w:hideMark/>
          </w:tcPr>
          <w:p w:rsidR="00DF6FC0" w:rsidRPr="00DF6FC0" w:rsidRDefault="00DF6FC0" w:rsidP="00EC1E2F">
            <w:pPr>
              <w:spacing w:line="240" w:lineRule="auto"/>
              <w:jc w:val="center"/>
              <w:rPr>
                <w:sz w:val="20"/>
                <w:szCs w:val="20"/>
              </w:rPr>
            </w:pPr>
            <w:r w:rsidRPr="00DF6FC0">
              <w:rPr>
                <w:sz w:val="20"/>
                <w:szCs w:val="20"/>
              </w:rPr>
              <w:t>1</w:t>
            </w:r>
          </w:p>
        </w:tc>
        <w:tc>
          <w:tcPr>
            <w:tcW w:w="1440" w:type="dxa"/>
            <w:gridSpan w:val="2"/>
            <w:tcBorders>
              <w:top w:val="nil"/>
              <w:left w:val="nil"/>
              <w:right w:val="nil"/>
            </w:tcBorders>
            <w:vAlign w:val="bottom"/>
          </w:tcPr>
          <w:p w:rsidR="00DF6FC0" w:rsidRPr="00DF6FC0" w:rsidRDefault="00DF6FC0" w:rsidP="00EC1E2F">
            <w:pPr>
              <w:tabs>
                <w:tab w:val="decimal" w:pos="432"/>
              </w:tabs>
              <w:spacing w:line="240" w:lineRule="auto"/>
              <w:rPr>
                <w:sz w:val="20"/>
                <w:szCs w:val="20"/>
              </w:rPr>
            </w:pPr>
            <w:r w:rsidRPr="00DF6FC0">
              <w:rPr>
                <w:sz w:val="20"/>
                <w:szCs w:val="20"/>
              </w:rPr>
              <w:t>0.076***</w:t>
            </w:r>
          </w:p>
        </w:tc>
      </w:tr>
      <w:tr w:rsidR="00DF6FC0" w:rsidRPr="00377458" w:rsidTr="00930F77">
        <w:trPr>
          <w:trHeight w:val="255"/>
          <w:jc w:val="center"/>
        </w:trPr>
        <w:tc>
          <w:tcPr>
            <w:tcW w:w="1440" w:type="dxa"/>
            <w:tcBorders>
              <w:left w:val="nil"/>
              <w:bottom w:val="double" w:sz="4" w:space="0" w:color="auto"/>
              <w:right w:val="nil"/>
            </w:tcBorders>
            <w:shd w:val="clear" w:color="auto" w:fill="auto"/>
            <w:noWrap/>
            <w:vAlign w:val="bottom"/>
          </w:tcPr>
          <w:p w:rsidR="00DF6FC0" w:rsidRPr="00DF6FC0" w:rsidRDefault="00DF6FC0" w:rsidP="00CE6964">
            <w:pPr>
              <w:spacing w:line="240" w:lineRule="auto"/>
              <w:rPr>
                <w:b/>
                <w:i/>
                <w:sz w:val="20"/>
                <w:szCs w:val="20"/>
              </w:rPr>
            </w:pPr>
            <w:r w:rsidRPr="00DF6FC0">
              <w:rPr>
                <w:b/>
                <w:i/>
                <w:sz w:val="20"/>
                <w:szCs w:val="20"/>
              </w:rPr>
              <w:t>Surprise</w:t>
            </w:r>
          </w:p>
        </w:tc>
        <w:tc>
          <w:tcPr>
            <w:tcW w:w="1440" w:type="dxa"/>
            <w:tcBorders>
              <w:left w:val="nil"/>
              <w:bottom w:val="double" w:sz="4" w:space="0" w:color="auto"/>
              <w:right w:val="nil"/>
            </w:tcBorders>
            <w:shd w:val="clear" w:color="auto" w:fill="auto"/>
            <w:noWrap/>
            <w:vAlign w:val="bottom"/>
          </w:tcPr>
          <w:p w:rsidR="00DF6FC0" w:rsidRPr="00DF6FC0" w:rsidRDefault="00DF6FC0" w:rsidP="00EC1E2F">
            <w:pPr>
              <w:tabs>
                <w:tab w:val="decimal" w:pos="432"/>
              </w:tabs>
              <w:spacing w:line="240" w:lineRule="auto"/>
              <w:rPr>
                <w:sz w:val="20"/>
                <w:szCs w:val="20"/>
              </w:rPr>
            </w:pPr>
            <w:r w:rsidRPr="00DF6FC0">
              <w:rPr>
                <w:sz w:val="20"/>
                <w:szCs w:val="20"/>
              </w:rPr>
              <w:t>-0.401***</w:t>
            </w:r>
          </w:p>
        </w:tc>
        <w:tc>
          <w:tcPr>
            <w:tcW w:w="1440" w:type="dxa"/>
            <w:tcBorders>
              <w:left w:val="nil"/>
              <w:bottom w:val="double" w:sz="4" w:space="0" w:color="auto"/>
              <w:right w:val="nil"/>
            </w:tcBorders>
            <w:shd w:val="clear" w:color="auto" w:fill="auto"/>
            <w:noWrap/>
            <w:vAlign w:val="bottom"/>
          </w:tcPr>
          <w:p w:rsidR="00DF6FC0" w:rsidRPr="00DF6FC0" w:rsidRDefault="00DF6FC0" w:rsidP="00EC1E2F">
            <w:pPr>
              <w:tabs>
                <w:tab w:val="decimal" w:pos="432"/>
              </w:tabs>
              <w:spacing w:line="240" w:lineRule="auto"/>
              <w:rPr>
                <w:sz w:val="20"/>
                <w:szCs w:val="20"/>
              </w:rPr>
            </w:pPr>
            <w:r w:rsidRPr="00DF6FC0">
              <w:rPr>
                <w:sz w:val="20"/>
                <w:szCs w:val="20"/>
              </w:rPr>
              <w:t>-0.105***</w:t>
            </w:r>
          </w:p>
        </w:tc>
        <w:tc>
          <w:tcPr>
            <w:tcW w:w="1440" w:type="dxa"/>
            <w:tcBorders>
              <w:left w:val="nil"/>
              <w:bottom w:val="double" w:sz="4" w:space="0" w:color="auto"/>
              <w:right w:val="nil"/>
            </w:tcBorders>
            <w:shd w:val="clear" w:color="auto" w:fill="auto"/>
            <w:noWrap/>
            <w:vAlign w:val="bottom"/>
          </w:tcPr>
          <w:p w:rsidR="00DF6FC0" w:rsidRPr="00DF6FC0" w:rsidRDefault="00DF6FC0" w:rsidP="00EC1E2F">
            <w:pPr>
              <w:tabs>
                <w:tab w:val="decimal" w:pos="432"/>
              </w:tabs>
              <w:spacing w:line="240" w:lineRule="auto"/>
              <w:rPr>
                <w:sz w:val="20"/>
                <w:szCs w:val="20"/>
              </w:rPr>
            </w:pPr>
            <w:r w:rsidRPr="00DF6FC0">
              <w:rPr>
                <w:sz w:val="20"/>
                <w:szCs w:val="20"/>
              </w:rPr>
              <w:t>0.063***</w:t>
            </w:r>
          </w:p>
        </w:tc>
        <w:tc>
          <w:tcPr>
            <w:tcW w:w="1440" w:type="dxa"/>
            <w:tcBorders>
              <w:left w:val="nil"/>
              <w:bottom w:val="double" w:sz="4" w:space="0" w:color="auto"/>
              <w:right w:val="nil"/>
            </w:tcBorders>
            <w:shd w:val="clear" w:color="auto" w:fill="auto"/>
            <w:noWrap/>
            <w:vAlign w:val="bottom"/>
          </w:tcPr>
          <w:p w:rsidR="00DF6FC0" w:rsidRPr="00DF6FC0" w:rsidRDefault="00DF6FC0" w:rsidP="00EC1E2F">
            <w:pPr>
              <w:tabs>
                <w:tab w:val="decimal" w:pos="432"/>
              </w:tabs>
              <w:spacing w:line="240" w:lineRule="auto"/>
              <w:rPr>
                <w:sz w:val="20"/>
                <w:szCs w:val="20"/>
              </w:rPr>
            </w:pPr>
            <w:r w:rsidRPr="00DF6FC0">
              <w:rPr>
                <w:sz w:val="20"/>
                <w:szCs w:val="20"/>
              </w:rPr>
              <w:t>-0.139***</w:t>
            </w:r>
          </w:p>
        </w:tc>
        <w:tc>
          <w:tcPr>
            <w:tcW w:w="1440" w:type="dxa"/>
            <w:gridSpan w:val="2"/>
            <w:tcBorders>
              <w:left w:val="nil"/>
              <w:bottom w:val="double" w:sz="4" w:space="0" w:color="auto"/>
              <w:right w:val="nil"/>
            </w:tcBorders>
            <w:shd w:val="clear" w:color="auto" w:fill="auto"/>
            <w:noWrap/>
            <w:vAlign w:val="bottom"/>
          </w:tcPr>
          <w:p w:rsidR="00DF6FC0" w:rsidRPr="00DF6FC0" w:rsidRDefault="00DF6FC0" w:rsidP="00EC1E2F">
            <w:pPr>
              <w:tabs>
                <w:tab w:val="decimal" w:pos="432"/>
              </w:tabs>
              <w:spacing w:line="240" w:lineRule="auto"/>
              <w:rPr>
                <w:sz w:val="20"/>
                <w:szCs w:val="20"/>
              </w:rPr>
            </w:pPr>
            <w:r w:rsidRPr="00DF6FC0">
              <w:rPr>
                <w:sz w:val="20"/>
                <w:szCs w:val="20"/>
              </w:rPr>
              <w:t>0.312***</w:t>
            </w:r>
          </w:p>
        </w:tc>
        <w:tc>
          <w:tcPr>
            <w:tcW w:w="1440" w:type="dxa"/>
            <w:tcBorders>
              <w:left w:val="nil"/>
              <w:bottom w:val="double" w:sz="4" w:space="0" w:color="auto"/>
              <w:right w:val="nil"/>
            </w:tcBorders>
            <w:shd w:val="clear" w:color="auto" w:fill="auto"/>
            <w:noWrap/>
            <w:vAlign w:val="bottom"/>
          </w:tcPr>
          <w:p w:rsidR="00DF6FC0" w:rsidRPr="00DF6FC0" w:rsidRDefault="00DF6FC0" w:rsidP="00EC1E2F">
            <w:pPr>
              <w:tabs>
                <w:tab w:val="decimal" w:pos="432"/>
              </w:tabs>
              <w:spacing w:line="240" w:lineRule="auto"/>
              <w:rPr>
                <w:sz w:val="20"/>
                <w:szCs w:val="20"/>
              </w:rPr>
            </w:pPr>
            <w:r w:rsidRPr="00DF6FC0">
              <w:rPr>
                <w:sz w:val="20"/>
                <w:szCs w:val="20"/>
              </w:rPr>
              <w:t>0.01</w:t>
            </w:r>
            <w:r w:rsidR="00EC1E2F">
              <w:rPr>
                <w:sz w:val="20"/>
                <w:szCs w:val="20"/>
              </w:rPr>
              <w:t>0</w:t>
            </w:r>
          </w:p>
        </w:tc>
        <w:tc>
          <w:tcPr>
            <w:tcW w:w="1440" w:type="dxa"/>
            <w:tcBorders>
              <w:left w:val="nil"/>
              <w:bottom w:val="double" w:sz="4" w:space="0" w:color="auto"/>
              <w:right w:val="nil"/>
            </w:tcBorders>
            <w:shd w:val="clear" w:color="auto" w:fill="auto"/>
            <w:noWrap/>
            <w:vAlign w:val="bottom"/>
          </w:tcPr>
          <w:p w:rsidR="00DF6FC0" w:rsidRPr="00DF6FC0" w:rsidRDefault="00DF6FC0" w:rsidP="00EC1E2F">
            <w:pPr>
              <w:tabs>
                <w:tab w:val="decimal" w:pos="432"/>
              </w:tabs>
              <w:spacing w:line="240" w:lineRule="auto"/>
              <w:rPr>
                <w:sz w:val="20"/>
                <w:szCs w:val="20"/>
              </w:rPr>
            </w:pPr>
            <w:r w:rsidRPr="00DF6FC0">
              <w:rPr>
                <w:sz w:val="20"/>
                <w:szCs w:val="20"/>
              </w:rPr>
              <w:t>0.154***</w:t>
            </w:r>
          </w:p>
        </w:tc>
        <w:tc>
          <w:tcPr>
            <w:tcW w:w="1440" w:type="dxa"/>
            <w:gridSpan w:val="2"/>
            <w:tcBorders>
              <w:left w:val="nil"/>
              <w:bottom w:val="double" w:sz="4" w:space="0" w:color="auto"/>
              <w:right w:val="nil"/>
            </w:tcBorders>
            <w:vAlign w:val="bottom"/>
          </w:tcPr>
          <w:p w:rsidR="00DF6FC0" w:rsidRPr="00DF6FC0" w:rsidRDefault="00DF6FC0" w:rsidP="00EC1E2F">
            <w:pPr>
              <w:spacing w:line="240" w:lineRule="auto"/>
              <w:jc w:val="center"/>
              <w:rPr>
                <w:sz w:val="20"/>
                <w:szCs w:val="20"/>
              </w:rPr>
            </w:pPr>
            <w:r w:rsidRPr="00DF6FC0">
              <w:rPr>
                <w:sz w:val="20"/>
                <w:szCs w:val="20"/>
              </w:rPr>
              <w:t>1</w:t>
            </w:r>
          </w:p>
        </w:tc>
      </w:tr>
      <w:tr w:rsidR="00CE6964" w:rsidRPr="00DF6FC0" w:rsidTr="00930F77">
        <w:trPr>
          <w:gridAfter w:val="1"/>
          <w:wAfter w:w="1368" w:type="dxa"/>
          <w:trHeight w:val="255"/>
          <w:jc w:val="center"/>
        </w:trPr>
        <w:tc>
          <w:tcPr>
            <w:tcW w:w="11592" w:type="dxa"/>
            <w:gridSpan w:val="10"/>
            <w:tcBorders>
              <w:top w:val="double" w:sz="4" w:space="0" w:color="auto"/>
              <w:left w:val="nil"/>
              <w:right w:val="nil"/>
            </w:tcBorders>
            <w:shd w:val="clear" w:color="auto" w:fill="auto"/>
            <w:noWrap/>
            <w:vAlign w:val="bottom"/>
            <w:hideMark/>
          </w:tcPr>
          <w:p w:rsidR="00CE6964" w:rsidRPr="00ED464C" w:rsidRDefault="00CE6964" w:rsidP="00CE6964">
            <w:pPr>
              <w:spacing w:line="240" w:lineRule="auto"/>
              <w:rPr>
                <w:sz w:val="20"/>
                <w:szCs w:val="20"/>
              </w:rPr>
            </w:pPr>
            <w:r w:rsidRPr="00ED464C">
              <w:rPr>
                <w:sz w:val="20"/>
                <w:szCs w:val="20"/>
              </w:rPr>
              <w:t>This table provides Pearson correlations above the diagonal and Spearman cor</w:t>
            </w:r>
            <w:r w:rsidR="00ED464C">
              <w:rPr>
                <w:sz w:val="20"/>
                <w:szCs w:val="20"/>
              </w:rPr>
              <w:t>relations below the diagonal.  All v</w:t>
            </w:r>
            <w:r w:rsidRPr="00ED464C">
              <w:rPr>
                <w:sz w:val="20"/>
                <w:szCs w:val="20"/>
              </w:rPr>
              <w:t>ariables are defined in appendix B.</w:t>
            </w:r>
          </w:p>
          <w:p w:rsidR="00CE6964" w:rsidRDefault="00CE6964" w:rsidP="00CE6964">
            <w:pPr>
              <w:spacing w:line="240" w:lineRule="auto"/>
              <w:rPr>
                <w:sz w:val="20"/>
                <w:szCs w:val="20"/>
              </w:rPr>
            </w:pPr>
            <w:r w:rsidRPr="00ED464C">
              <w:rPr>
                <w:sz w:val="20"/>
                <w:szCs w:val="20"/>
              </w:rPr>
              <w:t>Significance: *** p-value &lt; 0.01, ** p-value &lt; 0.05, and * p-value &lt; 0.1.</w:t>
            </w:r>
          </w:p>
          <w:p w:rsidR="000E4F8D" w:rsidRPr="00ED464C" w:rsidRDefault="000E4F8D" w:rsidP="00CE6964">
            <w:pPr>
              <w:spacing w:line="240" w:lineRule="auto"/>
              <w:rPr>
                <w:sz w:val="20"/>
                <w:szCs w:val="20"/>
              </w:rPr>
            </w:pPr>
          </w:p>
          <w:p w:rsidR="00CE6964" w:rsidRPr="00ED464C" w:rsidRDefault="00CE6964" w:rsidP="00CE6964">
            <w:pPr>
              <w:spacing w:line="240" w:lineRule="auto"/>
              <w:jc w:val="center"/>
              <w:rPr>
                <w:sz w:val="20"/>
                <w:szCs w:val="20"/>
              </w:rPr>
            </w:pPr>
          </w:p>
        </w:tc>
      </w:tr>
    </w:tbl>
    <w:p w:rsidR="00CE6964" w:rsidRDefault="00CE6964">
      <w:pPr>
        <w:spacing w:line="240" w:lineRule="auto"/>
        <w:sectPr w:rsidR="00CE6964" w:rsidSect="0004469D">
          <w:headerReference w:type="default" r:id="rId20"/>
          <w:footerReference w:type="default" r:id="rId21"/>
          <w:pgSz w:w="15840" w:h="12240" w:orient="landscape" w:code="1"/>
          <w:pgMar w:top="2304" w:right="1440" w:bottom="1440" w:left="1440" w:header="720" w:footer="720" w:gutter="0"/>
          <w:cols w:space="720"/>
          <w:docGrid w:linePitch="360"/>
        </w:sectPr>
      </w:pPr>
    </w:p>
    <w:p w:rsidR="000E4F8D" w:rsidRDefault="000E4F8D" w:rsidP="006D69D3">
      <w:pPr>
        <w:spacing w:line="240" w:lineRule="auto"/>
        <w:jc w:val="center"/>
        <w:rPr>
          <w:b/>
        </w:rPr>
        <w:sectPr w:rsidR="000E4F8D" w:rsidSect="0094522D">
          <w:headerReference w:type="default" r:id="rId22"/>
          <w:footerReference w:type="default" r:id="rId23"/>
          <w:type w:val="continuous"/>
          <w:pgSz w:w="15840" w:h="12240" w:orient="landscape" w:code="1"/>
          <w:pgMar w:top="2304" w:right="1440" w:bottom="1440" w:left="1440" w:header="720" w:footer="720" w:gutter="0"/>
          <w:cols w:space="720"/>
          <w:docGrid w:linePitch="360"/>
        </w:sectPr>
      </w:pPr>
    </w:p>
    <w:tbl>
      <w:tblPr>
        <w:tblW w:w="12836" w:type="dxa"/>
        <w:jc w:val="center"/>
        <w:tblInd w:w="93" w:type="dxa"/>
        <w:tblLook w:val="04A0" w:firstRow="1" w:lastRow="0" w:firstColumn="1" w:lastColumn="0" w:noHBand="0" w:noVBand="1"/>
      </w:tblPr>
      <w:tblGrid>
        <w:gridCol w:w="1267"/>
        <w:gridCol w:w="899"/>
        <w:gridCol w:w="989"/>
        <w:gridCol w:w="899"/>
        <w:gridCol w:w="35"/>
        <w:gridCol w:w="954"/>
        <w:gridCol w:w="899"/>
        <w:gridCol w:w="969"/>
        <w:gridCol w:w="20"/>
        <w:gridCol w:w="24"/>
        <w:gridCol w:w="202"/>
        <w:gridCol w:w="14"/>
        <w:gridCol w:w="30"/>
        <w:gridCol w:w="870"/>
        <w:gridCol w:w="989"/>
        <w:gridCol w:w="899"/>
        <w:gridCol w:w="20"/>
        <w:gridCol w:w="969"/>
        <w:gridCol w:w="899"/>
        <w:gridCol w:w="989"/>
      </w:tblGrid>
      <w:tr w:rsidR="00D74087" w:rsidRPr="00680FD3" w:rsidTr="00376333">
        <w:trPr>
          <w:trHeight w:val="300"/>
          <w:jc w:val="center"/>
        </w:trPr>
        <w:tc>
          <w:tcPr>
            <w:tcW w:w="12836" w:type="dxa"/>
            <w:gridSpan w:val="20"/>
            <w:tcBorders>
              <w:top w:val="double" w:sz="4" w:space="0" w:color="auto"/>
              <w:left w:val="nil"/>
              <w:bottom w:val="single" w:sz="12" w:space="0" w:color="auto"/>
              <w:right w:val="nil"/>
            </w:tcBorders>
            <w:shd w:val="clear" w:color="auto" w:fill="auto"/>
            <w:vAlign w:val="center"/>
            <w:hideMark/>
          </w:tcPr>
          <w:p w:rsidR="004C6CEF" w:rsidRPr="007128CB" w:rsidRDefault="004C6CEF" w:rsidP="006D69D3">
            <w:pPr>
              <w:spacing w:line="240" w:lineRule="auto"/>
              <w:jc w:val="center"/>
              <w:rPr>
                <w:b/>
                <w:i/>
              </w:rPr>
            </w:pPr>
            <w:r w:rsidRPr="007128CB">
              <w:rPr>
                <w:b/>
              </w:rPr>
              <w:lastRenderedPageBreak/>
              <w:t>Table 4</w:t>
            </w:r>
          </w:p>
          <w:p w:rsidR="004C6CEF" w:rsidRPr="007128CB" w:rsidRDefault="004C6CEF" w:rsidP="006D69D3">
            <w:pPr>
              <w:spacing w:line="240" w:lineRule="auto"/>
              <w:jc w:val="center"/>
              <w:rPr>
                <w:b/>
                <w:bCs/>
              </w:rPr>
            </w:pPr>
            <w:r w:rsidRPr="007128CB">
              <w:rPr>
                <w:b/>
                <w:i/>
              </w:rPr>
              <w:t>Regressions of ExVal on Segment Reporting Differentiation &amp; Controls</w:t>
            </w:r>
          </w:p>
        </w:tc>
      </w:tr>
      <w:tr w:rsidR="00D74087" w:rsidRPr="007128CB" w:rsidTr="00376333">
        <w:trPr>
          <w:trHeight w:val="315"/>
          <w:jc w:val="center"/>
        </w:trPr>
        <w:tc>
          <w:tcPr>
            <w:tcW w:w="12836" w:type="dxa"/>
            <w:gridSpan w:val="20"/>
            <w:tcBorders>
              <w:top w:val="single" w:sz="12" w:space="0" w:color="auto"/>
              <w:left w:val="nil"/>
              <w:bottom w:val="single" w:sz="8" w:space="0" w:color="000000"/>
              <w:right w:val="nil"/>
            </w:tcBorders>
            <w:shd w:val="clear" w:color="auto" w:fill="auto"/>
            <w:vAlign w:val="center"/>
          </w:tcPr>
          <w:p w:rsidR="004C6CEF" w:rsidRPr="007128CB" w:rsidRDefault="004C6CEF" w:rsidP="006D69D3">
            <w:pPr>
              <w:spacing w:line="240" w:lineRule="auto"/>
            </w:pPr>
            <w:r w:rsidRPr="007128CB">
              <w:rPr>
                <w:b/>
              </w:rPr>
              <w:t>Panel A: Multi-Segment Firms</w:t>
            </w:r>
          </w:p>
        </w:tc>
      </w:tr>
      <w:tr w:rsidR="00D74087" w:rsidRPr="004C5EDD" w:rsidTr="00376333">
        <w:trPr>
          <w:trHeight w:val="315"/>
          <w:jc w:val="center"/>
        </w:trPr>
        <w:tc>
          <w:tcPr>
            <w:tcW w:w="1267" w:type="dxa"/>
            <w:tcBorders>
              <w:top w:val="nil"/>
              <w:left w:val="nil"/>
              <w:right w:val="nil"/>
            </w:tcBorders>
            <w:shd w:val="clear" w:color="auto" w:fill="auto"/>
            <w:vAlign w:val="center"/>
            <w:hideMark/>
          </w:tcPr>
          <w:p w:rsidR="004C6CEF" w:rsidRPr="004C5EDD" w:rsidRDefault="004C6CEF" w:rsidP="006D69D3">
            <w:pPr>
              <w:spacing w:line="240" w:lineRule="auto"/>
              <w:rPr>
                <w:b/>
                <w:bCs/>
                <w:i/>
                <w:iCs/>
              </w:rPr>
            </w:pPr>
            <w:r w:rsidRPr="004C5EDD">
              <w:rPr>
                <w:b/>
                <w:bCs/>
                <w:i/>
                <w:iCs/>
              </w:rPr>
              <w:t> </w:t>
            </w:r>
          </w:p>
        </w:tc>
        <w:tc>
          <w:tcPr>
            <w:tcW w:w="5688" w:type="dxa"/>
            <w:gridSpan w:val="9"/>
            <w:tcBorders>
              <w:top w:val="nil"/>
              <w:left w:val="nil"/>
              <w:right w:val="nil"/>
            </w:tcBorders>
            <w:shd w:val="clear" w:color="auto" w:fill="auto"/>
            <w:noWrap/>
            <w:vAlign w:val="center"/>
            <w:hideMark/>
          </w:tcPr>
          <w:p w:rsidR="004C6CEF" w:rsidRPr="004C5EDD" w:rsidRDefault="004C6CEF" w:rsidP="006D69D3">
            <w:pPr>
              <w:spacing w:line="240" w:lineRule="auto"/>
              <w:jc w:val="center"/>
              <w:rPr>
                <w:b/>
              </w:rPr>
            </w:pPr>
            <w:r>
              <w:rPr>
                <w:b/>
              </w:rPr>
              <w:t>All Firm-Years</w:t>
            </w:r>
          </w:p>
        </w:tc>
        <w:tc>
          <w:tcPr>
            <w:tcW w:w="246" w:type="dxa"/>
            <w:gridSpan w:val="3"/>
            <w:tcBorders>
              <w:top w:val="nil"/>
              <w:left w:val="nil"/>
              <w:right w:val="nil"/>
            </w:tcBorders>
            <w:shd w:val="clear" w:color="auto" w:fill="auto"/>
            <w:noWrap/>
            <w:vAlign w:val="bottom"/>
            <w:hideMark/>
          </w:tcPr>
          <w:p w:rsidR="004C6CEF" w:rsidRPr="004C5EDD" w:rsidRDefault="004C6CEF" w:rsidP="006D69D3">
            <w:pPr>
              <w:spacing w:line="240" w:lineRule="auto"/>
              <w:jc w:val="center"/>
              <w:rPr>
                <w:rFonts w:ascii="Calibri" w:hAnsi="Calibri"/>
                <w:b/>
                <w:color w:val="000000"/>
              </w:rPr>
            </w:pPr>
          </w:p>
        </w:tc>
        <w:tc>
          <w:tcPr>
            <w:tcW w:w="5635" w:type="dxa"/>
            <w:gridSpan w:val="7"/>
            <w:tcBorders>
              <w:top w:val="nil"/>
              <w:left w:val="nil"/>
              <w:right w:val="nil"/>
            </w:tcBorders>
            <w:shd w:val="clear" w:color="auto" w:fill="auto"/>
            <w:noWrap/>
            <w:vAlign w:val="center"/>
            <w:hideMark/>
          </w:tcPr>
          <w:p w:rsidR="004C6CEF" w:rsidRPr="004C5EDD" w:rsidRDefault="004C6CEF" w:rsidP="006D69D3">
            <w:pPr>
              <w:spacing w:line="240" w:lineRule="auto"/>
              <w:jc w:val="center"/>
              <w:rPr>
                <w:b/>
              </w:rPr>
            </w:pPr>
            <w:r w:rsidRPr="004C5EDD">
              <w:rPr>
                <w:b/>
              </w:rPr>
              <w:t xml:space="preserve">Post </w:t>
            </w:r>
            <w:r>
              <w:rPr>
                <w:b/>
              </w:rPr>
              <w:t>ASC 280</w:t>
            </w:r>
          </w:p>
        </w:tc>
      </w:tr>
      <w:tr w:rsidR="004C6CEF" w:rsidRPr="00680FD3" w:rsidTr="00376333">
        <w:trPr>
          <w:trHeight w:val="300"/>
          <w:jc w:val="center"/>
        </w:trPr>
        <w:tc>
          <w:tcPr>
            <w:tcW w:w="1267" w:type="dxa"/>
            <w:tcBorders>
              <w:left w:val="nil"/>
              <w:bottom w:val="nil"/>
              <w:right w:val="nil"/>
            </w:tcBorders>
            <w:shd w:val="clear" w:color="auto" w:fill="auto"/>
            <w:vAlign w:val="center"/>
          </w:tcPr>
          <w:p w:rsidR="004C6CEF" w:rsidRPr="007128CB" w:rsidRDefault="004C6CEF" w:rsidP="006D69D3">
            <w:pPr>
              <w:spacing w:line="240" w:lineRule="auto"/>
              <w:rPr>
                <w:b/>
                <w:bCs/>
                <w:i/>
                <w:iCs/>
              </w:rPr>
            </w:pPr>
          </w:p>
        </w:tc>
        <w:tc>
          <w:tcPr>
            <w:tcW w:w="2822" w:type="dxa"/>
            <w:gridSpan w:val="4"/>
            <w:tcBorders>
              <w:top w:val="nil"/>
              <w:left w:val="nil"/>
              <w:bottom w:val="single" w:sz="4" w:space="0" w:color="auto"/>
              <w:right w:val="nil"/>
            </w:tcBorders>
            <w:shd w:val="clear" w:color="auto" w:fill="auto"/>
            <w:noWrap/>
            <w:vAlign w:val="center"/>
          </w:tcPr>
          <w:p w:rsidR="004C6CEF" w:rsidRPr="007128CB" w:rsidRDefault="004C6CEF" w:rsidP="006D69D3">
            <w:pPr>
              <w:spacing w:line="240" w:lineRule="auto"/>
              <w:jc w:val="center"/>
              <w:rPr>
                <w:b/>
                <w:i/>
              </w:rPr>
            </w:pPr>
            <w:r w:rsidRPr="007128CB">
              <w:rPr>
                <w:b/>
                <w:i/>
              </w:rPr>
              <w:t>ExVal</w:t>
            </w:r>
            <w:r w:rsidRPr="007128CB">
              <w:rPr>
                <w:b/>
                <w:i/>
                <w:vertAlign w:val="subscript"/>
              </w:rPr>
              <w:t>Rev</w:t>
            </w:r>
          </w:p>
        </w:tc>
        <w:tc>
          <w:tcPr>
            <w:tcW w:w="2822" w:type="dxa"/>
            <w:gridSpan w:val="3"/>
            <w:tcBorders>
              <w:top w:val="nil"/>
              <w:left w:val="nil"/>
              <w:bottom w:val="single" w:sz="4" w:space="0" w:color="auto"/>
              <w:right w:val="nil"/>
            </w:tcBorders>
            <w:shd w:val="clear" w:color="auto" w:fill="auto"/>
            <w:noWrap/>
            <w:vAlign w:val="center"/>
          </w:tcPr>
          <w:p w:rsidR="004C6CEF" w:rsidRPr="007128CB" w:rsidRDefault="004C6CEF" w:rsidP="006D69D3">
            <w:pPr>
              <w:spacing w:line="240" w:lineRule="auto"/>
              <w:jc w:val="center"/>
              <w:rPr>
                <w:b/>
                <w:i/>
              </w:rPr>
            </w:pPr>
            <w:r w:rsidRPr="007128CB">
              <w:rPr>
                <w:b/>
                <w:i/>
              </w:rPr>
              <w:t>ExVal</w:t>
            </w:r>
            <w:r w:rsidRPr="007128CB">
              <w:rPr>
                <w:b/>
                <w:i/>
                <w:vertAlign w:val="subscript"/>
              </w:rPr>
              <w:t>AT</w:t>
            </w:r>
          </w:p>
        </w:tc>
        <w:tc>
          <w:tcPr>
            <w:tcW w:w="246" w:type="dxa"/>
            <w:gridSpan w:val="3"/>
            <w:tcBorders>
              <w:top w:val="nil"/>
              <w:left w:val="nil"/>
              <w:right w:val="nil"/>
            </w:tcBorders>
            <w:shd w:val="clear" w:color="auto" w:fill="auto"/>
            <w:noWrap/>
            <w:vAlign w:val="bottom"/>
          </w:tcPr>
          <w:p w:rsidR="004C6CEF" w:rsidRPr="007128CB" w:rsidRDefault="004C6CEF" w:rsidP="006D69D3">
            <w:pPr>
              <w:spacing w:line="240" w:lineRule="auto"/>
              <w:jc w:val="center"/>
              <w:rPr>
                <w:rFonts w:ascii="Calibri" w:hAnsi="Calibri"/>
                <w:b/>
                <w:i/>
                <w:color w:val="000000"/>
              </w:rPr>
            </w:pPr>
          </w:p>
        </w:tc>
        <w:tc>
          <w:tcPr>
            <w:tcW w:w="2822" w:type="dxa"/>
            <w:gridSpan w:val="6"/>
            <w:tcBorders>
              <w:top w:val="nil"/>
              <w:left w:val="nil"/>
              <w:bottom w:val="single" w:sz="4" w:space="0" w:color="auto"/>
              <w:right w:val="nil"/>
            </w:tcBorders>
            <w:shd w:val="clear" w:color="auto" w:fill="auto"/>
            <w:noWrap/>
            <w:vAlign w:val="center"/>
          </w:tcPr>
          <w:p w:rsidR="004C6CEF" w:rsidRPr="007128CB" w:rsidRDefault="004C6CEF" w:rsidP="006D69D3">
            <w:pPr>
              <w:spacing w:line="240" w:lineRule="auto"/>
              <w:jc w:val="center"/>
              <w:rPr>
                <w:b/>
                <w:i/>
              </w:rPr>
            </w:pPr>
            <w:r w:rsidRPr="007128CB">
              <w:rPr>
                <w:b/>
                <w:i/>
              </w:rPr>
              <w:t>ExVal</w:t>
            </w:r>
            <w:r w:rsidRPr="007128CB">
              <w:rPr>
                <w:b/>
                <w:i/>
                <w:vertAlign w:val="subscript"/>
              </w:rPr>
              <w:t>Rev</w:t>
            </w:r>
          </w:p>
        </w:tc>
        <w:tc>
          <w:tcPr>
            <w:tcW w:w="2857" w:type="dxa"/>
            <w:gridSpan w:val="3"/>
            <w:tcBorders>
              <w:top w:val="nil"/>
              <w:left w:val="nil"/>
              <w:bottom w:val="single" w:sz="4" w:space="0" w:color="auto"/>
              <w:right w:val="nil"/>
            </w:tcBorders>
            <w:shd w:val="clear" w:color="auto" w:fill="auto"/>
            <w:noWrap/>
            <w:vAlign w:val="center"/>
          </w:tcPr>
          <w:p w:rsidR="004C6CEF" w:rsidRPr="007128CB" w:rsidRDefault="004C6CEF" w:rsidP="006D69D3">
            <w:pPr>
              <w:spacing w:line="240" w:lineRule="auto"/>
              <w:jc w:val="center"/>
              <w:rPr>
                <w:b/>
                <w:i/>
              </w:rPr>
            </w:pPr>
            <w:r w:rsidRPr="007128CB">
              <w:rPr>
                <w:b/>
                <w:i/>
              </w:rPr>
              <w:t>ExVal</w:t>
            </w:r>
            <w:r w:rsidRPr="007128CB">
              <w:rPr>
                <w:b/>
                <w:i/>
                <w:vertAlign w:val="subscript"/>
              </w:rPr>
              <w:t>AT</w:t>
            </w:r>
          </w:p>
        </w:tc>
      </w:tr>
      <w:tr w:rsidR="004C6CEF" w:rsidRPr="007128CB" w:rsidTr="00376333">
        <w:trPr>
          <w:trHeight w:val="300"/>
          <w:jc w:val="center"/>
        </w:trPr>
        <w:tc>
          <w:tcPr>
            <w:tcW w:w="1267" w:type="dxa"/>
            <w:tcBorders>
              <w:top w:val="nil"/>
              <w:left w:val="nil"/>
              <w:bottom w:val="single" w:sz="4" w:space="0" w:color="000000"/>
              <w:right w:val="nil"/>
            </w:tcBorders>
            <w:shd w:val="clear" w:color="auto" w:fill="auto"/>
            <w:vAlign w:val="center"/>
            <w:hideMark/>
          </w:tcPr>
          <w:p w:rsidR="004C6CEF" w:rsidRPr="007128CB" w:rsidRDefault="004C6CEF" w:rsidP="006D69D3">
            <w:pPr>
              <w:spacing w:line="240" w:lineRule="auto"/>
              <w:jc w:val="center"/>
              <w:rPr>
                <w:b/>
                <w:bCs/>
                <w:i/>
                <w:iCs/>
                <w:sz w:val="18"/>
                <w:szCs w:val="18"/>
              </w:rPr>
            </w:pPr>
          </w:p>
        </w:tc>
        <w:tc>
          <w:tcPr>
            <w:tcW w:w="89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(1)</w:t>
            </w:r>
          </w:p>
        </w:tc>
        <w:tc>
          <w:tcPr>
            <w:tcW w:w="98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(2)</w:t>
            </w:r>
          </w:p>
        </w:tc>
        <w:tc>
          <w:tcPr>
            <w:tcW w:w="89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(3)</w:t>
            </w:r>
          </w:p>
        </w:tc>
        <w:tc>
          <w:tcPr>
            <w:tcW w:w="989" w:type="dxa"/>
            <w:gridSpan w:val="2"/>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(4)</w:t>
            </w:r>
          </w:p>
        </w:tc>
        <w:tc>
          <w:tcPr>
            <w:tcW w:w="89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(5)</w:t>
            </w:r>
          </w:p>
        </w:tc>
        <w:tc>
          <w:tcPr>
            <w:tcW w:w="989" w:type="dxa"/>
            <w:gridSpan w:val="2"/>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(6)</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jc w:val="center"/>
              <w:rPr>
                <w:sz w:val="18"/>
                <w:szCs w:val="18"/>
              </w:rPr>
            </w:pPr>
          </w:p>
        </w:tc>
        <w:tc>
          <w:tcPr>
            <w:tcW w:w="900" w:type="dxa"/>
            <w:gridSpan w:val="2"/>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(7)</w:t>
            </w:r>
          </w:p>
        </w:tc>
        <w:tc>
          <w:tcPr>
            <w:tcW w:w="98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(8)</w:t>
            </w:r>
          </w:p>
        </w:tc>
        <w:tc>
          <w:tcPr>
            <w:tcW w:w="89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(9)</w:t>
            </w:r>
          </w:p>
        </w:tc>
        <w:tc>
          <w:tcPr>
            <w:tcW w:w="989" w:type="dxa"/>
            <w:gridSpan w:val="2"/>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(10)</w:t>
            </w:r>
          </w:p>
        </w:tc>
        <w:tc>
          <w:tcPr>
            <w:tcW w:w="89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(11)</w:t>
            </w:r>
          </w:p>
        </w:tc>
        <w:tc>
          <w:tcPr>
            <w:tcW w:w="989" w:type="dxa"/>
            <w:tcBorders>
              <w:top w:val="nil"/>
              <w:left w:val="nil"/>
              <w:bottom w:val="single" w:sz="4" w:space="0" w:color="000000"/>
              <w:right w:val="nil"/>
            </w:tcBorders>
            <w:shd w:val="clear" w:color="auto" w:fill="auto"/>
            <w:noWrap/>
            <w:vAlign w:val="center"/>
            <w:hideMark/>
          </w:tcPr>
          <w:p w:rsidR="004C6CEF" w:rsidRPr="007128CB" w:rsidRDefault="004C6CEF" w:rsidP="006D69D3">
            <w:pPr>
              <w:spacing w:line="240" w:lineRule="auto"/>
              <w:jc w:val="center"/>
              <w:rPr>
                <w:sz w:val="18"/>
                <w:szCs w:val="18"/>
              </w:rPr>
            </w:pPr>
            <w:r w:rsidRPr="007128CB">
              <w:rPr>
                <w:sz w:val="18"/>
                <w:szCs w:val="18"/>
              </w:rPr>
              <w:t>(12)</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spacing w:line="240" w:lineRule="auto"/>
              <w:rPr>
                <w:sz w:val="18"/>
                <w:szCs w:val="18"/>
              </w:rPr>
            </w:pP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spacing w:line="240" w:lineRule="auto"/>
              <w:rPr>
                <w:sz w:val="18"/>
                <w:szCs w:val="18"/>
              </w:rPr>
            </w:pP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spacing w:line="240" w:lineRule="auto"/>
              <w:rPr>
                <w:sz w:val="18"/>
                <w:szCs w:val="18"/>
              </w:rPr>
            </w:pP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FFDIFF</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0.11***</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0.092**</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0.070*</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b/>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0.15***</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0.12***</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0.095***</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0.075**</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(4.19)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(3.32)</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(2.569)</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(1.940)</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b/>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(4.39)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(3.56)</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(2.597)</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(2.027)</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PFDIFF</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0.200***</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0.15**</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0.14**</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0.106*</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b/>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0.197***</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0.14**</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0.13**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0.098*</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(3.126)</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(2.24)</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(2.56)</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(1.927)</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b/>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(3.017)</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(2.10)</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(2.41)</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b/>
                <w:sz w:val="18"/>
                <w:szCs w:val="18"/>
              </w:rPr>
            </w:pPr>
            <w:r w:rsidRPr="007128CB">
              <w:rPr>
                <w:b/>
                <w:sz w:val="18"/>
                <w:szCs w:val="18"/>
              </w:rPr>
              <w:t>(1.751)</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NumSeg</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-0.041***</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-0.05***</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-0.026**</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-0.027**</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-0.040***</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-0.05***</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-0.026**</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-0.027**</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(-3.69)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(-3.231)</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(-3.76)</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(-2.068)</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(-1.82)</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(-2.122)</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(-3.57)</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(-3.105)</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(-3.65)</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(-2.048)</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(-1.78)</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(-2.098)</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Related</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0.033***</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0.023*</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0.025**</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0.034***</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0.024*</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0.026**</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(3.19)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(2.712)</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(3.34)</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(1.845)</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(1.59)</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(1.982)</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(3.22)</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(2.707)</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(3.37)</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(1.916)</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(1.62)</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(2.044)</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NumTNICPrs</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0.000</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-0.001**</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-0.001**</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0.000</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-0.001**</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-0.001**</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(0.325)</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(0.35)</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(-2.435)</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(-2.29)</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(-2.282)</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(0.328)</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(0.35)</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(-2.368)</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(-2.23)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(-2.230)</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HHI</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0.213***</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0.19***</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0.013</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0.011</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0.216***</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0.19***</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0.010</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0.008</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(3.44)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(3.757)</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(3.35)</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(0.220)</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(0.51)</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(0.192)</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(3.40)</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(3.779)</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(3.31)</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(0.165)</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(0.145)</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Size</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0.06***</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0.063***</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0.06***</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0.038***</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0.038***</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0.06***</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0.061***</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0.06***</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0.036***</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0.036***</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(7.64)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(7.482)</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(7.66)</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(3.925)</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(3.86)</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(3.920)</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(7.37)</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(7.207)</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(7.39)</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(3.670)</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(3.60)</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(3.664)</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PM</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0.427***</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0.42***</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0.480***</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0.48***</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0.472***</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0.44***</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0.432***</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0.43***</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0.492***</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0.49***</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0.485***</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(4.88)</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(4.822)</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(4.76)</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(4.098)</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(4.10)</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(4.049)</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(4.90)</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(4.850)</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(4.77)</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(4.123)</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(4.13)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(4.079)</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r w:rsidRPr="007128CB">
              <w:rPr>
                <w:b/>
                <w:bCs/>
                <w:i/>
                <w:iCs/>
                <w:sz w:val="18"/>
                <w:szCs w:val="18"/>
              </w:rPr>
              <w:t>Invest</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0.30</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0.299</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0.32</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0.999***</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1.00***</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1.017***</w:t>
            </w:r>
          </w:p>
        </w:tc>
        <w:tc>
          <w:tcPr>
            <w:tcW w:w="240" w:type="dxa"/>
            <w:gridSpan w:val="3"/>
            <w:tcBorders>
              <w:top w:val="nil"/>
              <w:left w:val="nil"/>
              <w:bottom w:val="nil"/>
              <w:right w:val="nil"/>
            </w:tcBorders>
            <w:shd w:val="clear" w:color="auto" w:fill="auto"/>
            <w:noWrap/>
            <w:vAlign w:val="bottom"/>
            <w:hideMark/>
          </w:tcPr>
          <w:p w:rsidR="004C6CEF" w:rsidRPr="007128CB" w:rsidRDefault="004C6CEF"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0.28</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0.280</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0.30</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0.976***</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0.98***</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0.993***</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(1.23)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(1.252)</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(1.34)</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(4.258)</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(4.30)</w:t>
            </w:r>
          </w:p>
        </w:tc>
        <w:tc>
          <w:tcPr>
            <w:tcW w:w="989"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(4.348)</w:t>
            </w:r>
          </w:p>
        </w:tc>
        <w:tc>
          <w:tcPr>
            <w:tcW w:w="240" w:type="dxa"/>
            <w:gridSpan w:val="3"/>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(1.13)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(1.147)</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(1.23)</w:t>
            </w:r>
          </w:p>
        </w:tc>
        <w:tc>
          <w:tcPr>
            <w:tcW w:w="989" w:type="dxa"/>
            <w:gridSpan w:val="2"/>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(3.986)</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(4.01)</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(4.065)</w:t>
            </w:r>
          </w:p>
        </w:tc>
      </w:tr>
    </w:tbl>
    <w:p w:rsidR="000E4F8D" w:rsidRDefault="000E4F8D">
      <w:r>
        <w:br w:type="page"/>
      </w:r>
    </w:p>
    <w:tbl>
      <w:tblPr>
        <w:tblW w:w="12836" w:type="dxa"/>
        <w:jc w:val="center"/>
        <w:tblInd w:w="93" w:type="dxa"/>
        <w:tblLook w:val="04A0" w:firstRow="1" w:lastRow="0" w:firstColumn="1" w:lastColumn="0" w:noHBand="0" w:noVBand="1"/>
      </w:tblPr>
      <w:tblGrid>
        <w:gridCol w:w="1267"/>
        <w:gridCol w:w="899"/>
        <w:gridCol w:w="989"/>
        <w:gridCol w:w="899"/>
        <w:gridCol w:w="989"/>
        <w:gridCol w:w="899"/>
        <w:gridCol w:w="989"/>
        <w:gridCol w:w="240"/>
        <w:gridCol w:w="900"/>
        <w:gridCol w:w="989"/>
        <w:gridCol w:w="899"/>
        <w:gridCol w:w="989"/>
        <w:gridCol w:w="899"/>
        <w:gridCol w:w="989"/>
      </w:tblGrid>
      <w:tr w:rsidR="00FB4BD8" w:rsidRPr="007128CB" w:rsidTr="00AC282C">
        <w:trPr>
          <w:trHeight w:val="300"/>
          <w:jc w:val="center"/>
        </w:trPr>
        <w:tc>
          <w:tcPr>
            <w:tcW w:w="3155" w:type="dxa"/>
            <w:gridSpan w:val="3"/>
            <w:tcBorders>
              <w:top w:val="nil"/>
              <w:left w:val="nil"/>
              <w:bottom w:val="nil"/>
              <w:right w:val="nil"/>
            </w:tcBorders>
            <w:shd w:val="clear" w:color="auto" w:fill="auto"/>
            <w:vAlign w:val="center"/>
          </w:tcPr>
          <w:p w:rsidR="00FB4BD8" w:rsidRPr="00BB4BDB" w:rsidRDefault="00FB4BD8" w:rsidP="0080093A">
            <w:pPr>
              <w:tabs>
                <w:tab w:val="decimal" w:pos="187"/>
              </w:tabs>
              <w:spacing w:line="240" w:lineRule="auto"/>
              <w:rPr>
                <w:sz w:val="18"/>
                <w:szCs w:val="18"/>
              </w:rPr>
            </w:pPr>
            <w:r w:rsidRPr="00BB4BDB">
              <w:rPr>
                <w:sz w:val="18"/>
                <w:szCs w:val="18"/>
              </w:rPr>
              <w:lastRenderedPageBreak/>
              <w:t>Table 4</w:t>
            </w:r>
            <w:r>
              <w:rPr>
                <w:sz w:val="18"/>
                <w:szCs w:val="18"/>
              </w:rPr>
              <w:t xml:space="preserve"> Panel A (</w:t>
            </w:r>
            <w:r>
              <w:rPr>
                <w:i/>
                <w:sz w:val="18"/>
                <w:szCs w:val="18"/>
              </w:rPr>
              <w:t>Continued</w:t>
            </w:r>
            <w:r>
              <w:rPr>
                <w:sz w:val="18"/>
                <w:szCs w:val="18"/>
              </w:rPr>
              <w:t>)</w:t>
            </w:r>
          </w:p>
        </w:tc>
        <w:tc>
          <w:tcPr>
            <w:tcW w:w="899" w:type="dxa"/>
            <w:tcBorders>
              <w:top w:val="nil"/>
              <w:left w:val="nil"/>
              <w:bottom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899"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240" w:type="dxa"/>
            <w:tcBorders>
              <w:top w:val="nil"/>
              <w:left w:val="nil"/>
              <w:bottom w:val="nil"/>
              <w:right w:val="nil"/>
            </w:tcBorders>
            <w:shd w:val="clear" w:color="auto" w:fill="auto"/>
            <w:noWrap/>
            <w:vAlign w:val="bottom"/>
          </w:tcPr>
          <w:p w:rsidR="00FB4BD8" w:rsidRPr="007128CB" w:rsidRDefault="00FB4BD8" w:rsidP="0080093A">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899" w:type="dxa"/>
            <w:tcBorders>
              <w:top w:val="nil"/>
              <w:left w:val="nil"/>
              <w:bottom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899"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FB4BD8" w:rsidRPr="007128CB" w:rsidRDefault="00FB4BD8" w:rsidP="0080093A">
            <w:pPr>
              <w:tabs>
                <w:tab w:val="decimal" w:pos="187"/>
              </w:tabs>
              <w:spacing w:line="240" w:lineRule="auto"/>
              <w:rPr>
                <w:sz w:val="18"/>
                <w:szCs w:val="18"/>
              </w:rPr>
            </w:pPr>
          </w:p>
        </w:tc>
      </w:tr>
      <w:tr w:rsidR="004B535C" w:rsidRPr="007128CB" w:rsidTr="00654C89">
        <w:trPr>
          <w:trHeight w:val="300"/>
          <w:jc w:val="center"/>
        </w:trPr>
        <w:tc>
          <w:tcPr>
            <w:tcW w:w="1267" w:type="dxa"/>
            <w:tcBorders>
              <w:top w:val="nil"/>
              <w:left w:val="nil"/>
              <w:bottom w:val="nil"/>
              <w:right w:val="nil"/>
            </w:tcBorders>
            <w:shd w:val="clear" w:color="auto" w:fill="auto"/>
            <w:vAlign w:val="center"/>
            <w:hideMark/>
          </w:tcPr>
          <w:p w:rsidR="004B535C" w:rsidRPr="007128CB" w:rsidRDefault="004B535C" w:rsidP="00654C89">
            <w:pPr>
              <w:spacing w:line="240" w:lineRule="auto"/>
              <w:rPr>
                <w:b/>
                <w:bCs/>
                <w:i/>
                <w:iCs/>
                <w:sz w:val="18"/>
                <w:szCs w:val="18"/>
              </w:rPr>
            </w:pPr>
            <w:r w:rsidRPr="007128CB">
              <w:rPr>
                <w:b/>
                <w:bCs/>
                <w:i/>
                <w:iCs/>
                <w:sz w:val="18"/>
                <w:szCs w:val="18"/>
              </w:rPr>
              <w:t>Leverage</w:t>
            </w:r>
          </w:p>
        </w:tc>
        <w:tc>
          <w:tcPr>
            <w:tcW w:w="899"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0.16***</w:t>
            </w:r>
          </w:p>
        </w:tc>
        <w:tc>
          <w:tcPr>
            <w:tcW w:w="989"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0.155***</w:t>
            </w:r>
          </w:p>
        </w:tc>
        <w:tc>
          <w:tcPr>
            <w:tcW w:w="899" w:type="dxa"/>
            <w:tcBorders>
              <w:top w:val="nil"/>
              <w:left w:val="nil"/>
              <w:bottom w:val="nil"/>
              <w:right w:val="single" w:sz="4" w:space="0" w:color="auto"/>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0.15***</w:t>
            </w:r>
          </w:p>
        </w:tc>
        <w:tc>
          <w:tcPr>
            <w:tcW w:w="989" w:type="dxa"/>
            <w:tcBorders>
              <w:top w:val="nil"/>
              <w:left w:val="single" w:sz="4" w:space="0" w:color="auto"/>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-0.093</w:t>
            </w:r>
          </w:p>
        </w:tc>
        <w:tc>
          <w:tcPr>
            <w:tcW w:w="899"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-0.10</w:t>
            </w:r>
          </w:p>
        </w:tc>
        <w:tc>
          <w:tcPr>
            <w:tcW w:w="989"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-0.100</w:t>
            </w:r>
          </w:p>
        </w:tc>
        <w:tc>
          <w:tcPr>
            <w:tcW w:w="240" w:type="dxa"/>
            <w:tcBorders>
              <w:top w:val="nil"/>
              <w:left w:val="nil"/>
              <w:bottom w:val="nil"/>
              <w:right w:val="nil"/>
            </w:tcBorders>
            <w:shd w:val="clear" w:color="auto" w:fill="auto"/>
            <w:noWrap/>
            <w:vAlign w:val="bottom"/>
            <w:hideMark/>
          </w:tcPr>
          <w:p w:rsidR="004B535C" w:rsidRPr="007128CB" w:rsidRDefault="004B535C" w:rsidP="00654C89">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0.16***</w:t>
            </w:r>
          </w:p>
        </w:tc>
        <w:tc>
          <w:tcPr>
            <w:tcW w:w="989"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0.160***</w:t>
            </w:r>
          </w:p>
        </w:tc>
        <w:tc>
          <w:tcPr>
            <w:tcW w:w="899" w:type="dxa"/>
            <w:tcBorders>
              <w:top w:val="nil"/>
              <w:left w:val="nil"/>
              <w:bottom w:val="nil"/>
              <w:right w:val="single" w:sz="4" w:space="0" w:color="auto"/>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0.15***</w:t>
            </w:r>
          </w:p>
        </w:tc>
        <w:tc>
          <w:tcPr>
            <w:tcW w:w="989" w:type="dxa"/>
            <w:tcBorders>
              <w:top w:val="nil"/>
              <w:left w:val="single" w:sz="4" w:space="0" w:color="auto"/>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-0.090</w:t>
            </w:r>
          </w:p>
        </w:tc>
        <w:tc>
          <w:tcPr>
            <w:tcW w:w="899"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-0.09</w:t>
            </w:r>
          </w:p>
        </w:tc>
        <w:tc>
          <w:tcPr>
            <w:tcW w:w="989" w:type="dxa"/>
            <w:tcBorders>
              <w:top w:val="nil"/>
              <w:left w:val="nil"/>
              <w:bottom w:val="nil"/>
              <w:right w:val="nil"/>
            </w:tcBorders>
            <w:shd w:val="clear" w:color="auto" w:fill="auto"/>
            <w:noWrap/>
            <w:vAlign w:val="center"/>
            <w:hideMark/>
          </w:tcPr>
          <w:p w:rsidR="004B535C" w:rsidRPr="007128CB" w:rsidRDefault="004B535C" w:rsidP="00654C89">
            <w:pPr>
              <w:tabs>
                <w:tab w:val="decimal" w:pos="187"/>
              </w:tabs>
              <w:spacing w:line="240" w:lineRule="auto"/>
              <w:rPr>
                <w:sz w:val="18"/>
                <w:szCs w:val="18"/>
              </w:rPr>
            </w:pPr>
            <w:r w:rsidRPr="007128CB">
              <w:rPr>
                <w:sz w:val="18"/>
                <w:szCs w:val="18"/>
              </w:rPr>
              <w:t>-0.096</w:t>
            </w:r>
          </w:p>
        </w:tc>
      </w:tr>
      <w:tr w:rsidR="004C6CEF" w:rsidRPr="007128CB" w:rsidTr="00376333">
        <w:trPr>
          <w:trHeight w:val="300"/>
          <w:jc w:val="center"/>
        </w:trPr>
        <w:tc>
          <w:tcPr>
            <w:tcW w:w="1267" w:type="dxa"/>
            <w:tcBorders>
              <w:top w:val="nil"/>
              <w:left w:val="nil"/>
              <w:bottom w:val="nil"/>
              <w:right w:val="nil"/>
            </w:tcBorders>
            <w:shd w:val="clear" w:color="auto" w:fill="auto"/>
            <w:vAlign w:val="center"/>
            <w:hideMark/>
          </w:tcPr>
          <w:p w:rsidR="004C6CEF" w:rsidRPr="007128CB" w:rsidRDefault="004C6CEF"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(2.82)</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(2.780)</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(2.64)</w:t>
            </w:r>
          </w:p>
        </w:tc>
        <w:tc>
          <w:tcPr>
            <w:tcW w:w="989" w:type="dxa"/>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(-1.407)</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(-1.48)</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(-1.535)</w:t>
            </w:r>
          </w:p>
        </w:tc>
        <w:tc>
          <w:tcPr>
            <w:tcW w:w="240" w:type="dxa"/>
            <w:tcBorders>
              <w:top w:val="nil"/>
              <w:left w:val="nil"/>
              <w:bottom w:val="nil"/>
              <w:right w:val="nil"/>
            </w:tcBorders>
            <w:shd w:val="clear" w:color="auto" w:fill="auto"/>
            <w:vAlign w:val="bottom"/>
            <w:hideMark/>
          </w:tcPr>
          <w:p w:rsidR="004C6CEF" w:rsidRPr="007128CB" w:rsidRDefault="004C6CEF" w:rsidP="006D69D3">
            <w:pPr>
              <w:spacing w:line="240" w:lineRule="auto"/>
              <w:rPr>
                <w:sz w:val="18"/>
                <w:szCs w:val="18"/>
              </w:rPr>
            </w:pPr>
          </w:p>
        </w:tc>
        <w:tc>
          <w:tcPr>
            <w:tcW w:w="900"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(2.83)</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(2.815)</w:t>
            </w:r>
          </w:p>
        </w:tc>
        <w:tc>
          <w:tcPr>
            <w:tcW w:w="899" w:type="dxa"/>
            <w:tcBorders>
              <w:top w:val="nil"/>
              <w:left w:val="nil"/>
              <w:bottom w:val="nil"/>
              <w:right w:val="single" w:sz="4" w:space="0" w:color="auto"/>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(2.66)</w:t>
            </w:r>
          </w:p>
        </w:tc>
        <w:tc>
          <w:tcPr>
            <w:tcW w:w="989" w:type="dxa"/>
            <w:tcBorders>
              <w:top w:val="nil"/>
              <w:left w:val="single" w:sz="4" w:space="0" w:color="auto"/>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(-1.324)</w:t>
            </w:r>
          </w:p>
        </w:tc>
        <w:tc>
          <w:tcPr>
            <w:tcW w:w="89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(-1.38)</w:t>
            </w:r>
          </w:p>
        </w:tc>
        <w:tc>
          <w:tcPr>
            <w:tcW w:w="989" w:type="dxa"/>
            <w:tcBorders>
              <w:top w:val="nil"/>
              <w:left w:val="nil"/>
              <w:bottom w:val="nil"/>
              <w:right w:val="nil"/>
            </w:tcBorders>
            <w:shd w:val="clear" w:color="auto" w:fill="auto"/>
            <w:noWrap/>
            <w:vAlign w:val="center"/>
            <w:hideMark/>
          </w:tcPr>
          <w:p w:rsidR="004C6CEF" w:rsidRPr="007128CB" w:rsidRDefault="004C6CEF" w:rsidP="006D69D3">
            <w:pPr>
              <w:tabs>
                <w:tab w:val="decimal" w:pos="187"/>
              </w:tabs>
              <w:spacing w:line="240" w:lineRule="auto"/>
              <w:rPr>
                <w:sz w:val="18"/>
                <w:szCs w:val="18"/>
              </w:rPr>
            </w:pPr>
            <w:r w:rsidRPr="007128CB">
              <w:rPr>
                <w:sz w:val="18"/>
                <w:szCs w:val="18"/>
              </w:rPr>
              <w:t>(-1.439)</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r w:rsidRPr="007128CB">
              <w:rPr>
                <w:b/>
                <w:bCs/>
                <w:i/>
                <w:iCs/>
                <w:sz w:val="18"/>
                <w:szCs w:val="18"/>
              </w:rPr>
              <w:t>SalesGrow</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0.020</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0.02</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-0.011</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-0.010</w:t>
            </w:r>
          </w:p>
        </w:tc>
        <w:tc>
          <w:tcPr>
            <w:tcW w:w="240"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0.019</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0.02</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-0.015</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-0.013</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(0.58)</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(0.594)</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(0.63)</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(-0.517)</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(-0.50)</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(-0.449)</w:t>
            </w:r>
          </w:p>
        </w:tc>
        <w:tc>
          <w:tcPr>
            <w:tcW w:w="240" w:type="dxa"/>
            <w:tcBorders>
              <w:top w:val="nil"/>
              <w:left w:val="nil"/>
              <w:bottom w:val="nil"/>
              <w:right w:val="nil"/>
            </w:tcBorders>
            <w:shd w:val="clear" w:color="auto" w:fill="auto"/>
            <w:vAlign w:val="bottom"/>
            <w:hideMark/>
          </w:tcPr>
          <w:p w:rsidR="00AD69F3" w:rsidRPr="007128CB" w:rsidRDefault="00AD69F3" w:rsidP="006D69D3">
            <w:pPr>
              <w:spacing w:line="240" w:lineRule="auto"/>
              <w:rPr>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(0.52)</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(0.543)</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(0.58)</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(-0.694)</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(-0.67)</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(-0.621)</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r w:rsidRPr="007128CB">
              <w:rPr>
                <w:b/>
                <w:bCs/>
                <w:i/>
                <w:iCs/>
                <w:sz w:val="18"/>
                <w:szCs w:val="18"/>
              </w:rPr>
              <w:t>StdROE</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-0.003</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-0.00</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0.017*</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0.017**</w:t>
            </w:r>
          </w:p>
        </w:tc>
        <w:tc>
          <w:tcPr>
            <w:tcW w:w="240"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-0.003</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-0.00</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0.018*</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0.018**</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(-0.51)</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(-0.408)</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(-0.38)</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(1.890)</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(1.95)</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(1.962)</w:t>
            </w:r>
          </w:p>
        </w:tc>
        <w:tc>
          <w:tcPr>
            <w:tcW w:w="240" w:type="dxa"/>
            <w:tcBorders>
              <w:top w:val="nil"/>
              <w:left w:val="nil"/>
              <w:bottom w:val="nil"/>
              <w:right w:val="nil"/>
            </w:tcBorders>
            <w:shd w:val="clear" w:color="auto" w:fill="auto"/>
            <w:vAlign w:val="bottom"/>
            <w:hideMark/>
          </w:tcPr>
          <w:p w:rsidR="00AD69F3" w:rsidRPr="007128CB" w:rsidRDefault="00AD69F3" w:rsidP="006D69D3">
            <w:pPr>
              <w:spacing w:line="240" w:lineRule="auto"/>
              <w:rPr>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(-0.54)</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(-0.441)</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(-0.42)</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(1.922)</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(1.98)</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(1.987)</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r w:rsidRPr="007128CB">
              <w:rPr>
                <w:b/>
                <w:bCs/>
                <w:i/>
                <w:iCs/>
                <w:sz w:val="18"/>
                <w:szCs w:val="18"/>
              </w:rPr>
              <w:t>MAR</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0.14***</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0.139***</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0.14***</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0.206***</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0.21***</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0.207***</w:t>
            </w:r>
          </w:p>
        </w:tc>
        <w:tc>
          <w:tcPr>
            <w:tcW w:w="240"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0.14***</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0.140***</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0.14***</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0.204***</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0.20***</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0.205***</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(6.25)</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(6.339)</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(6.41)</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(9.060)</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(9.12)</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(9.150)</w:t>
            </w:r>
          </w:p>
        </w:tc>
        <w:tc>
          <w:tcPr>
            <w:tcW w:w="240" w:type="dxa"/>
            <w:tcBorders>
              <w:top w:val="nil"/>
              <w:left w:val="nil"/>
              <w:bottom w:val="nil"/>
              <w:right w:val="nil"/>
            </w:tcBorders>
            <w:shd w:val="clear" w:color="auto" w:fill="auto"/>
            <w:vAlign w:val="bottom"/>
            <w:hideMark/>
          </w:tcPr>
          <w:p w:rsidR="00AD69F3" w:rsidRPr="007128CB" w:rsidRDefault="00AD69F3" w:rsidP="006D69D3">
            <w:pPr>
              <w:spacing w:line="240" w:lineRule="auto"/>
              <w:rPr>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spacing w:line="240" w:lineRule="auto"/>
              <w:rPr>
                <w:sz w:val="18"/>
                <w:szCs w:val="18"/>
              </w:rPr>
            </w:pPr>
            <w:r w:rsidRPr="007128CB">
              <w:rPr>
                <w:sz w:val="18"/>
                <w:szCs w:val="18"/>
              </w:rPr>
              <w:t>(6.17)</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(6.236)</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(6.33)</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(8.815)</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(8.88)</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(8.897)</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r w:rsidRPr="007128CB">
              <w:rPr>
                <w:b/>
                <w:bCs/>
                <w:i/>
                <w:iCs/>
                <w:sz w:val="18"/>
                <w:szCs w:val="18"/>
              </w:rPr>
              <w:t>Corr5yr</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-0.048***</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-0.052***</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-0.052***</w:t>
            </w:r>
          </w:p>
        </w:tc>
        <w:tc>
          <w:tcPr>
            <w:tcW w:w="240"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-0.051***</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-0.053***</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-0.053***</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(-3.08)</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(-3.159)</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(-3.10)</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(-3.181)</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(-3.26)</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(-3.193)</w:t>
            </w:r>
          </w:p>
        </w:tc>
        <w:tc>
          <w:tcPr>
            <w:tcW w:w="240" w:type="dxa"/>
            <w:tcBorders>
              <w:top w:val="nil"/>
              <w:left w:val="nil"/>
              <w:bottom w:val="nil"/>
              <w:right w:val="nil"/>
            </w:tcBorders>
            <w:shd w:val="clear" w:color="auto" w:fill="auto"/>
            <w:vAlign w:val="bottom"/>
            <w:hideMark/>
          </w:tcPr>
          <w:p w:rsidR="00AD69F3" w:rsidRPr="007128CB" w:rsidRDefault="00AD69F3" w:rsidP="006D69D3">
            <w:pPr>
              <w:spacing w:line="240" w:lineRule="auto"/>
              <w:rPr>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spacing w:line="240" w:lineRule="auto"/>
              <w:rPr>
                <w:sz w:val="18"/>
                <w:szCs w:val="18"/>
              </w:rPr>
            </w:pPr>
            <w:r w:rsidRPr="007128CB">
              <w:rPr>
                <w:sz w:val="18"/>
                <w:szCs w:val="18"/>
              </w:rPr>
              <w:t>(-3.19)</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(-3.315)</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(-3.24)</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(-3.114)</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(-3.21)</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(-3.131)</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tcPr>
          <w:p w:rsidR="00AD69F3" w:rsidRPr="007128CB" w:rsidRDefault="00AD69F3" w:rsidP="006D69D3">
            <w:pPr>
              <w:spacing w:line="240" w:lineRule="auto"/>
              <w:rPr>
                <w:b/>
                <w:bCs/>
                <w:i/>
                <w:iCs/>
                <w:sz w:val="18"/>
                <w:szCs w:val="18"/>
              </w:rPr>
            </w:pPr>
            <w:r w:rsidRPr="007128CB">
              <w:rPr>
                <w:b/>
                <w:bCs/>
                <w:i/>
                <w:iCs/>
                <w:sz w:val="18"/>
                <w:szCs w:val="18"/>
              </w:rPr>
              <w:t>Surprise</w:t>
            </w:r>
          </w:p>
        </w:tc>
        <w:tc>
          <w:tcPr>
            <w:tcW w:w="89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-0.007***</w:t>
            </w:r>
          </w:p>
        </w:tc>
        <w:tc>
          <w:tcPr>
            <w:tcW w:w="899" w:type="dxa"/>
            <w:tcBorders>
              <w:top w:val="nil"/>
              <w:left w:val="nil"/>
              <w:bottom w:val="nil"/>
              <w:right w:val="single" w:sz="4" w:space="0" w:color="auto"/>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w:t>
            </w:r>
          </w:p>
        </w:tc>
        <w:tc>
          <w:tcPr>
            <w:tcW w:w="989" w:type="dxa"/>
            <w:tcBorders>
              <w:top w:val="nil"/>
              <w:left w:val="single" w:sz="4" w:space="0" w:color="auto"/>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-0.010***</w:t>
            </w:r>
          </w:p>
        </w:tc>
        <w:tc>
          <w:tcPr>
            <w:tcW w:w="89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-0.010***</w:t>
            </w:r>
          </w:p>
        </w:tc>
        <w:tc>
          <w:tcPr>
            <w:tcW w:w="240" w:type="dxa"/>
            <w:tcBorders>
              <w:top w:val="nil"/>
              <w:left w:val="nil"/>
              <w:bottom w:val="nil"/>
              <w:right w:val="nil"/>
            </w:tcBorders>
            <w:shd w:val="clear" w:color="auto" w:fill="auto"/>
            <w:vAlign w:val="bottom"/>
          </w:tcPr>
          <w:p w:rsidR="00AD69F3" w:rsidRPr="007128CB" w:rsidRDefault="00AD69F3" w:rsidP="006D69D3">
            <w:pPr>
              <w:spacing w:line="240" w:lineRule="auto"/>
              <w:rPr>
                <w:sz w:val="18"/>
                <w:szCs w:val="18"/>
              </w:rPr>
            </w:pPr>
          </w:p>
        </w:tc>
        <w:tc>
          <w:tcPr>
            <w:tcW w:w="900" w:type="dxa"/>
            <w:tcBorders>
              <w:top w:val="nil"/>
              <w:left w:val="nil"/>
              <w:bottom w:val="nil"/>
              <w:right w:val="nil"/>
            </w:tcBorders>
            <w:shd w:val="clear" w:color="auto" w:fill="auto"/>
            <w:noWrap/>
            <w:vAlign w:val="center"/>
          </w:tcPr>
          <w:p w:rsidR="00AD69F3" w:rsidRPr="007128CB" w:rsidRDefault="00AD69F3" w:rsidP="006D69D3">
            <w:pPr>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-0.007***</w:t>
            </w:r>
          </w:p>
        </w:tc>
        <w:tc>
          <w:tcPr>
            <w:tcW w:w="899" w:type="dxa"/>
            <w:tcBorders>
              <w:top w:val="nil"/>
              <w:left w:val="nil"/>
              <w:bottom w:val="nil"/>
              <w:right w:val="single" w:sz="4" w:space="0" w:color="auto"/>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w:t>
            </w:r>
          </w:p>
        </w:tc>
        <w:tc>
          <w:tcPr>
            <w:tcW w:w="989" w:type="dxa"/>
            <w:tcBorders>
              <w:top w:val="nil"/>
              <w:left w:val="single" w:sz="4" w:space="0" w:color="auto"/>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-0.011***</w:t>
            </w:r>
          </w:p>
        </w:tc>
        <w:tc>
          <w:tcPr>
            <w:tcW w:w="89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-0.011***</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tcPr>
          <w:p w:rsidR="00AD69F3" w:rsidRPr="007128CB" w:rsidRDefault="00AD69F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(-3.93)</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(-4.154)</w:t>
            </w:r>
          </w:p>
        </w:tc>
        <w:tc>
          <w:tcPr>
            <w:tcW w:w="899" w:type="dxa"/>
            <w:tcBorders>
              <w:top w:val="nil"/>
              <w:left w:val="nil"/>
              <w:bottom w:val="nil"/>
              <w:right w:val="single" w:sz="4" w:space="0" w:color="auto"/>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(-3.95)</w:t>
            </w:r>
          </w:p>
        </w:tc>
        <w:tc>
          <w:tcPr>
            <w:tcW w:w="989" w:type="dxa"/>
            <w:tcBorders>
              <w:top w:val="nil"/>
              <w:left w:val="single" w:sz="4" w:space="0" w:color="auto"/>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(-8.216)</w:t>
            </w:r>
          </w:p>
        </w:tc>
        <w:tc>
          <w:tcPr>
            <w:tcW w:w="89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(-8.58)</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(-8.288)</w:t>
            </w:r>
          </w:p>
        </w:tc>
        <w:tc>
          <w:tcPr>
            <w:tcW w:w="240" w:type="dxa"/>
            <w:tcBorders>
              <w:top w:val="nil"/>
              <w:left w:val="nil"/>
              <w:bottom w:val="nil"/>
              <w:right w:val="nil"/>
            </w:tcBorders>
            <w:shd w:val="clear" w:color="auto" w:fill="auto"/>
            <w:vAlign w:val="bottom"/>
          </w:tcPr>
          <w:p w:rsidR="00AD69F3" w:rsidRPr="007128CB" w:rsidRDefault="00AD69F3" w:rsidP="006D69D3">
            <w:pPr>
              <w:spacing w:line="240" w:lineRule="auto"/>
              <w:rPr>
                <w:sz w:val="18"/>
                <w:szCs w:val="18"/>
              </w:rPr>
            </w:pPr>
          </w:p>
        </w:tc>
        <w:tc>
          <w:tcPr>
            <w:tcW w:w="900" w:type="dxa"/>
            <w:tcBorders>
              <w:top w:val="nil"/>
              <w:left w:val="nil"/>
              <w:bottom w:val="nil"/>
              <w:right w:val="nil"/>
            </w:tcBorders>
            <w:shd w:val="clear" w:color="auto" w:fill="auto"/>
            <w:noWrap/>
            <w:vAlign w:val="center"/>
          </w:tcPr>
          <w:p w:rsidR="00AD69F3" w:rsidRPr="007128CB" w:rsidRDefault="00AD69F3" w:rsidP="006D69D3">
            <w:pPr>
              <w:spacing w:line="240" w:lineRule="auto"/>
              <w:rPr>
                <w:sz w:val="18"/>
                <w:szCs w:val="18"/>
              </w:rPr>
            </w:pPr>
            <w:r w:rsidRPr="007128CB">
              <w:rPr>
                <w:sz w:val="18"/>
                <w:szCs w:val="18"/>
              </w:rPr>
              <w:t>(-3.76)</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(-3.981)</w:t>
            </w:r>
          </w:p>
        </w:tc>
        <w:tc>
          <w:tcPr>
            <w:tcW w:w="899" w:type="dxa"/>
            <w:tcBorders>
              <w:top w:val="nil"/>
              <w:left w:val="nil"/>
              <w:bottom w:val="nil"/>
              <w:right w:val="single" w:sz="4" w:space="0" w:color="auto"/>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(-3.77)</w:t>
            </w:r>
          </w:p>
        </w:tc>
        <w:tc>
          <w:tcPr>
            <w:tcW w:w="989" w:type="dxa"/>
            <w:tcBorders>
              <w:top w:val="nil"/>
              <w:left w:val="single" w:sz="4" w:space="0" w:color="auto"/>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(-7.989)</w:t>
            </w:r>
          </w:p>
        </w:tc>
        <w:tc>
          <w:tcPr>
            <w:tcW w:w="89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(-8.32)</w:t>
            </w:r>
          </w:p>
        </w:tc>
        <w:tc>
          <w:tcPr>
            <w:tcW w:w="989" w:type="dxa"/>
            <w:tcBorders>
              <w:top w:val="nil"/>
              <w:left w:val="nil"/>
              <w:bottom w:val="nil"/>
              <w:right w:val="nil"/>
            </w:tcBorders>
            <w:shd w:val="clear" w:color="auto" w:fill="auto"/>
            <w:noWrap/>
            <w:vAlign w:val="center"/>
          </w:tcPr>
          <w:p w:rsidR="00AD69F3" w:rsidRPr="007128CB" w:rsidRDefault="00AD69F3" w:rsidP="006D69D3">
            <w:pPr>
              <w:tabs>
                <w:tab w:val="decimal" w:pos="187"/>
              </w:tabs>
              <w:spacing w:line="240" w:lineRule="auto"/>
              <w:rPr>
                <w:sz w:val="18"/>
                <w:szCs w:val="18"/>
              </w:rPr>
            </w:pPr>
            <w:r w:rsidRPr="007128CB">
              <w:rPr>
                <w:sz w:val="18"/>
                <w:szCs w:val="18"/>
              </w:rPr>
              <w:t>(-8.037)</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i/>
                <w:iCs/>
                <w:sz w:val="18"/>
                <w:szCs w:val="18"/>
              </w:rPr>
            </w:pPr>
            <w:r w:rsidRPr="007128CB">
              <w:rPr>
                <w:b/>
                <w:bCs/>
                <w:i/>
                <w:iCs/>
                <w:sz w:val="18"/>
                <w:szCs w:val="18"/>
              </w:rPr>
              <w:t>Constant</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-0.83***</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-0.835***</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-0.85***</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-0.526***</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-0.53***</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-0.541***</w:t>
            </w:r>
          </w:p>
        </w:tc>
        <w:tc>
          <w:tcPr>
            <w:tcW w:w="240"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center"/>
            <w:hideMark/>
          </w:tcPr>
          <w:p w:rsidR="00AD69F3" w:rsidRPr="007128CB" w:rsidRDefault="00AD69F3" w:rsidP="006D69D3">
            <w:pPr>
              <w:spacing w:line="240" w:lineRule="auto"/>
              <w:rPr>
                <w:sz w:val="18"/>
                <w:szCs w:val="18"/>
              </w:rPr>
            </w:pPr>
            <w:r w:rsidRPr="007128CB">
              <w:rPr>
                <w:sz w:val="18"/>
                <w:szCs w:val="18"/>
              </w:rPr>
              <w:t>-0.83***</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-0.831***</w:t>
            </w:r>
          </w:p>
        </w:tc>
        <w:tc>
          <w:tcPr>
            <w:tcW w:w="899" w:type="dxa"/>
            <w:tcBorders>
              <w:top w:val="nil"/>
              <w:left w:val="nil"/>
              <w:bottom w:val="nil"/>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-0.85***</w:t>
            </w:r>
          </w:p>
        </w:tc>
        <w:tc>
          <w:tcPr>
            <w:tcW w:w="989" w:type="dxa"/>
            <w:tcBorders>
              <w:top w:val="nil"/>
              <w:left w:val="single" w:sz="4" w:space="0" w:color="auto"/>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-0.514***</w:t>
            </w:r>
          </w:p>
        </w:tc>
        <w:tc>
          <w:tcPr>
            <w:tcW w:w="89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-0.52***</w:t>
            </w:r>
          </w:p>
        </w:tc>
        <w:tc>
          <w:tcPr>
            <w:tcW w:w="989" w:type="dxa"/>
            <w:tcBorders>
              <w:top w:val="nil"/>
              <w:left w:val="nil"/>
              <w:bottom w:val="nil"/>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-0.528***</w:t>
            </w:r>
          </w:p>
        </w:tc>
      </w:tr>
      <w:tr w:rsidR="00AD69F3" w:rsidRPr="007128CB" w:rsidTr="00376333">
        <w:trPr>
          <w:trHeight w:val="300"/>
          <w:jc w:val="center"/>
        </w:trPr>
        <w:tc>
          <w:tcPr>
            <w:tcW w:w="1267" w:type="dxa"/>
            <w:tcBorders>
              <w:top w:val="nil"/>
              <w:left w:val="nil"/>
              <w:bottom w:val="single" w:sz="4" w:space="0" w:color="000000"/>
              <w:right w:val="nil"/>
            </w:tcBorders>
            <w:shd w:val="clear" w:color="auto" w:fill="auto"/>
            <w:vAlign w:val="center"/>
            <w:hideMark/>
          </w:tcPr>
          <w:p w:rsidR="00AD69F3" w:rsidRPr="007128CB" w:rsidRDefault="00AD69F3" w:rsidP="006D69D3">
            <w:pPr>
              <w:spacing w:line="240" w:lineRule="auto"/>
              <w:rPr>
                <w:b/>
                <w:bCs/>
                <w:i/>
                <w:iCs/>
                <w:sz w:val="18"/>
                <w:szCs w:val="18"/>
              </w:rPr>
            </w:pPr>
            <w:r w:rsidRPr="007128CB">
              <w:rPr>
                <w:b/>
                <w:bCs/>
                <w:i/>
                <w:iCs/>
                <w:sz w:val="18"/>
                <w:szCs w:val="18"/>
              </w:rPr>
              <w:t> </w:t>
            </w:r>
          </w:p>
        </w:tc>
        <w:tc>
          <w:tcPr>
            <w:tcW w:w="899" w:type="dxa"/>
            <w:tcBorders>
              <w:top w:val="nil"/>
              <w:left w:val="nil"/>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(-13.67)</w:t>
            </w:r>
          </w:p>
        </w:tc>
        <w:tc>
          <w:tcPr>
            <w:tcW w:w="989" w:type="dxa"/>
            <w:tcBorders>
              <w:top w:val="nil"/>
              <w:left w:val="nil"/>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(-13.746)</w:t>
            </w:r>
          </w:p>
        </w:tc>
        <w:tc>
          <w:tcPr>
            <w:tcW w:w="899" w:type="dxa"/>
            <w:tcBorders>
              <w:top w:val="nil"/>
              <w:left w:val="nil"/>
              <w:bottom w:val="single" w:sz="4" w:space="0" w:color="000000"/>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(-13.91)</w:t>
            </w:r>
          </w:p>
        </w:tc>
        <w:tc>
          <w:tcPr>
            <w:tcW w:w="989" w:type="dxa"/>
            <w:tcBorders>
              <w:top w:val="nil"/>
              <w:left w:val="single" w:sz="4" w:space="0" w:color="auto"/>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(-7.153)</w:t>
            </w:r>
          </w:p>
        </w:tc>
        <w:tc>
          <w:tcPr>
            <w:tcW w:w="899" w:type="dxa"/>
            <w:tcBorders>
              <w:top w:val="nil"/>
              <w:left w:val="nil"/>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(-7.26)</w:t>
            </w:r>
          </w:p>
        </w:tc>
        <w:tc>
          <w:tcPr>
            <w:tcW w:w="989" w:type="dxa"/>
            <w:tcBorders>
              <w:top w:val="nil"/>
              <w:left w:val="nil"/>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(-7.267)</w:t>
            </w:r>
          </w:p>
        </w:tc>
        <w:tc>
          <w:tcPr>
            <w:tcW w:w="240" w:type="dxa"/>
            <w:tcBorders>
              <w:top w:val="nil"/>
              <w:left w:val="nil"/>
              <w:bottom w:val="nil"/>
              <w:right w:val="nil"/>
            </w:tcBorders>
            <w:shd w:val="clear" w:color="auto" w:fill="auto"/>
            <w:vAlign w:val="bottom"/>
            <w:hideMark/>
          </w:tcPr>
          <w:p w:rsidR="00AD69F3" w:rsidRPr="007128CB" w:rsidRDefault="00AD69F3" w:rsidP="006D69D3">
            <w:pPr>
              <w:spacing w:line="240" w:lineRule="auto"/>
              <w:rPr>
                <w:sz w:val="18"/>
                <w:szCs w:val="18"/>
              </w:rPr>
            </w:pPr>
          </w:p>
        </w:tc>
        <w:tc>
          <w:tcPr>
            <w:tcW w:w="900" w:type="dxa"/>
            <w:tcBorders>
              <w:top w:val="nil"/>
              <w:left w:val="nil"/>
              <w:bottom w:val="single" w:sz="4" w:space="0" w:color="000000"/>
              <w:right w:val="nil"/>
            </w:tcBorders>
            <w:shd w:val="clear" w:color="auto" w:fill="auto"/>
            <w:noWrap/>
            <w:vAlign w:val="center"/>
            <w:hideMark/>
          </w:tcPr>
          <w:p w:rsidR="00AD69F3" w:rsidRPr="007128CB" w:rsidRDefault="00AD69F3" w:rsidP="006D69D3">
            <w:pPr>
              <w:spacing w:line="240" w:lineRule="auto"/>
              <w:rPr>
                <w:sz w:val="18"/>
                <w:szCs w:val="18"/>
              </w:rPr>
            </w:pPr>
            <w:r w:rsidRPr="007128CB">
              <w:rPr>
                <w:sz w:val="18"/>
                <w:szCs w:val="18"/>
              </w:rPr>
              <w:t>(-13.30)</w:t>
            </w:r>
          </w:p>
        </w:tc>
        <w:tc>
          <w:tcPr>
            <w:tcW w:w="989" w:type="dxa"/>
            <w:tcBorders>
              <w:top w:val="nil"/>
              <w:left w:val="nil"/>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(-13.293)</w:t>
            </w:r>
          </w:p>
        </w:tc>
        <w:tc>
          <w:tcPr>
            <w:tcW w:w="899" w:type="dxa"/>
            <w:tcBorders>
              <w:top w:val="nil"/>
              <w:left w:val="nil"/>
              <w:bottom w:val="single" w:sz="4" w:space="0" w:color="000000"/>
              <w:right w:val="single" w:sz="4" w:space="0" w:color="auto"/>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(-13.51)</w:t>
            </w:r>
          </w:p>
        </w:tc>
        <w:tc>
          <w:tcPr>
            <w:tcW w:w="989" w:type="dxa"/>
            <w:tcBorders>
              <w:top w:val="nil"/>
              <w:left w:val="single" w:sz="4" w:space="0" w:color="auto"/>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(-6.777)</w:t>
            </w:r>
          </w:p>
        </w:tc>
        <w:tc>
          <w:tcPr>
            <w:tcW w:w="899" w:type="dxa"/>
            <w:tcBorders>
              <w:top w:val="nil"/>
              <w:left w:val="nil"/>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(-6.87)</w:t>
            </w:r>
          </w:p>
        </w:tc>
        <w:tc>
          <w:tcPr>
            <w:tcW w:w="989" w:type="dxa"/>
            <w:tcBorders>
              <w:top w:val="nil"/>
              <w:left w:val="nil"/>
              <w:bottom w:val="single" w:sz="4" w:space="0" w:color="000000"/>
              <w:right w:val="nil"/>
            </w:tcBorders>
            <w:shd w:val="clear" w:color="auto" w:fill="auto"/>
            <w:noWrap/>
            <w:vAlign w:val="center"/>
            <w:hideMark/>
          </w:tcPr>
          <w:p w:rsidR="00AD69F3" w:rsidRPr="007128CB" w:rsidRDefault="00AD69F3" w:rsidP="006D69D3">
            <w:pPr>
              <w:tabs>
                <w:tab w:val="decimal" w:pos="187"/>
              </w:tabs>
              <w:spacing w:line="240" w:lineRule="auto"/>
              <w:rPr>
                <w:sz w:val="18"/>
                <w:szCs w:val="18"/>
              </w:rPr>
            </w:pPr>
            <w:r w:rsidRPr="007128CB">
              <w:rPr>
                <w:sz w:val="18"/>
                <w:szCs w:val="18"/>
              </w:rPr>
              <w:t>(-6.886)</w:t>
            </w:r>
          </w:p>
        </w:tc>
      </w:tr>
      <w:tr w:rsidR="00AD69F3" w:rsidRPr="007128CB" w:rsidTr="00376333">
        <w:trPr>
          <w:trHeight w:val="300"/>
          <w:jc w:val="center"/>
        </w:trPr>
        <w:tc>
          <w:tcPr>
            <w:tcW w:w="1267" w:type="dxa"/>
            <w:tcBorders>
              <w:top w:val="nil"/>
              <w:left w:val="nil"/>
              <w:bottom w:val="nil"/>
              <w:right w:val="nil"/>
            </w:tcBorders>
            <w:shd w:val="clear" w:color="auto" w:fill="auto"/>
            <w:vAlign w:val="center"/>
            <w:hideMark/>
          </w:tcPr>
          <w:p w:rsidR="00AD69F3" w:rsidRPr="007128CB" w:rsidRDefault="00AD69F3" w:rsidP="006D69D3">
            <w:pPr>
              <w:spacing w:line="240" w:lineRule="auto"/>
              <w:rPr>
                <w:b/>
                <w:bCs/>
                <w:sz w:val="18"/>
                <w:szCs w:val="18"/>
              </w:rPr>
            </w:pPr>
          </w:p>
        </w:tc>
        <w:tc>
          <w:tcPr>
            <w:tcW w:w="89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240"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r>
      <w:tr w:rsidR="00AD69F3" w:rsidRPr="007128CB" w:rsidTr="00376333">
        <w:trPr>
          <w:trHeight w:val="300"/>
          <w:jc w:val="center"/>
        </w:trPr>
        <w:tc>
          <w:tcPr>
            <w:tcW w:w="1267" w:type="dxa"/>
            <w:tcBorders>
              <w:top w:val="nil"/>
              <w:left w:val="nil"/>
              <w:right w:val="nil"/>
            </w:tcBorders>
            <w:shd w:val="clear" w:color="auto" w:fill="auto"/>
            <w:vAlign w:val="center"/>
            <w:hideMark/>
          </w:tcPr>
          <w:p w:rsidR="00AD69F3" w:rsidRPr="007128CB" w:rsidRDefault="00AD69F3" w:rsidP="006D69D3">
            <w:pPr>
              <w:spacing w:line="240" w:lineRule="auto"/>
              <w:rPr>
                <w:b/>
                <w:bCs/>
                <w:i/>
                <w:iCs/>
                <w:sz w:val="18"/>
                <w:szCs w:val="18"/>
              </w:rPr>
            </w:pPr>
            <w:r>
              <w:rPr>
                <w:b/>
                <w:bCs/>
                <w:i/>
                <w:iCs/>
                <w:sz w:val="18"/>
                <w:szCs w:val="18"/>
              </w:rPr>
              <w:t>No.</w:t>
            </w:r>
            <w:r w:rsidRPr="007128CB">
              <w:rPr>
                <w:b/>
                <w:bCs/>
                <w:i/>
                <w:iCs/>
                <w:sz w:val="18"/>
                <w:szCs w:val="18"/>
              </w:rPr>
              <w:t xml:space="preserve"> </w:t>
            </w:r>
            <w:r>
              <w:rPr>
                <w:b/>
                <w:bCs/>
                <w:i/>
                <w:iCs/>
                <w:sz w:val="18"/>
                <w:szCs w:val="18"/>
              </w:rPr>
              <w:t>Obs.</w:t>
            </w:r>
          </w:p>
        </w:tc>
        <w:tc>
          <w:tcPr>
            <w:tcW w:w="89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11,959</w:t>
            </w:r>
          </w:p>
        </w:tc>
        <w:tc>
          <w:tcPr>
            <w:tcW w:w="98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11,959</w:t>
            </w:r>
          </w:p>
        </w:tc>
        <w:tc>
          <w:tcPr>
            <w:tcW w:w="89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11,959</w:t>
            </w:r>
          </w:p>
        </w:tc>
        <w:tc>
          <w:tcPr>
            <w:tcW w:w="98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10,111</w:t>
            </w:r>
          </w:p>
        </w:tc>
        <w:tc>
          <w:tcPr>
            <w:tcW w:w="89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10,111</w:t>
            </w:r>
          </w:p>
        </w:tc>
        <w:tc>
          <w:tcPr>
            <w:tcW w:w="98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10,111</w:t>
            </w:r>
          </w:p>
        </w:tc>
        <w:tc>
          <w:tcPr>
            <w:tcW w:w="240" w:type="dxa"/>
            <w:tcBorders>
              <w:top w:val="nil"/>
              <w:left w:val="nil"/>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11,491</w:t>
            </w:r>
          </w:p>
        </w:tc>
        <w:tc>
          <w:tcPr>
            <w:tcW w:w="98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11,491</w:t>
            </w:r>
          </w:p>
        </w:tc>
        <w:tc>
          <w:tcPr>
            <w:tcW w:w="89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11,491</w:t>
            </w:r>
          </w:p>
        </w:tc>
        <w:tc>
          <w:tcPr>
            <w:tcW w:w="98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9,705</w:t>
            </w:r>
          </w:p>
        </w:tc>
        <w:tc>
          <w:tcPr>
            <w:tcW w:w="89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9,705</w:t>
            </w:r>
          </w:p>
        </w:tc>
        <w:tc>
          <w:tcPr>
            <w:tcW w:w="989" w:type="dxa"/>
            <w:tcBorders>
              <w:top w:val="nil"/>
              <w:left w:val="nil"/>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9,705</w:t>
            </w:r>
          </w:p>
        </w:tc>
      </w:tr>
      <w:tr w:rsidR="00AD69F3" w:rsidRPr="007128CB" w:rsidTr="00376333">
        <w:trPr>
          <w:trHeight w:val="315"/>
          <w:jc w:val="center"/>
        </w:trPr>
        <w:tc>
          <w:tcPr>
            <w:tcW w:w="1267" w:type="dxa"/>
            <w:tcBorders>
              <w:top w:val="nil"/>
              <w:left w:val="nil"/>
              <w:bottom w:val="double" w:sz="6" w:space="0" w:color="auto"/>
              <w:right w:val="nil"/>
            </w:tcBorders>
            <w:shd w:val="clear" w:color="auto" w:fill="auto"/>
            <w:vAlign w:val="center"/>
            <w:hideMark/>
          </w:tcPr>
          <w:p w:rsidR="00AD69F3" w:rsidRPr="004C6CEF" w:rsidRDefault="00AD69F3" w:rsidP="006D69D3">
            <w:pPr>
              <w:spacing w:line="240" w:lineRule="auto"/>
              <w:rPr>
                <w:b/>
                <w:bCs/>
                <w:i/>
                <w:iCs/>
                <w:sz w:val="18"/>
                <w:szCs w:val="18"/>
                <w:vertAlign w:val="superscript"/>
              </w:rPr>
            </w:pPr>
            <w:r>
              <w:rPr>
                <w:b/>
                <w:bCs/>
                <w:i/>
                <w:iCs/>
                <w:sz w:val="18"/>
                <w:szCs w:val="18"/>
              </w:rPr>
              <w:t>Adj. R</w:t>
            </w:r>
            <w:r>
              <w:rPr>
                <w:b/>
                <w:bCs/>
                <w:i/>
                <w:iCs/>
                <w:sz w:val="18"/>
                <w:szCs w:val="18"/>
                <w:vertAlign w:val="superscript"/>
              </w:rPr>
              <w:t>2</w:t>
            </w:r>
          </w:p>
        </w:tc>
        <w:tc>
          <w:tcPr>
            <w:tcW w:w="89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6.81%</w:t>
            </w:r>
          </w:p>
        </w:tc>
        <w:tc>
          <w:tcPr>
            <w:tcW w:w="98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6.74%</w:t>
            </w:r>
          </w:p>
        </w:tc>
        <w:tc>
          <w:tcPr>
            <w:tcW w:w="89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6.95%</w:t>
            </w:r>
          </w:p>
        </w:tc>
        <w:tc>
          <w:tcPr>
            <w:tcW w:w="98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9.02%</w:t>
            </w:r>
          </w:p>
        </w:tc>
        <w:tc>
          <w:tcPr>
            <w:tcW w:w="89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9.02%</w:t>
            </w:r>
          </w:p>
        </w:tc>
        <w:tc>
          <w:tcPr>
            <w:tcW w:w="98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9.12%</w:t>
            </w:r>
          </w:p>
        </w:tc>
        <w:tc>
          <w:tcPr>
            <w:tcW w:w="240" w:type="dxa"/>
            <w:tcBorders>
              <w:top w:val="nil"/>
              <w:left w:val="nil"/>
              <w:bottom w:val="double" w:sz="6" w:space="0" w:color="auto"/>
              <w:right w:val="nil"/>
            </w:tcBorders>
            <w:shd w:val="clear" w:color="auto" w:fill="auto"/>
            <w:noWrap/>
            <w:vAlign w:val="bottom"/>
            <w:hideMark/>
          </w:tcPr>
          <w:p w:rsidR="00AD69F3" w:rsidRPr="007128CB" w:rsidRDefault="00AD69F3" w:rsidP="006D69D3">
            <w:pPr>
              <w:spacing w:line="240" w:lineRule="auto"/>
              <w:rPr>
                <w:rFonts w:ascii="Calibri" w:hAnsi="Calibri"/>
                <w:color w:val="000000"/>
                <w:sz w:val="18"/>
                <w:szCs w:val="18"/>
              </w:rPr>
            </w:pPr>
          </w:p>
        </w:tc>
        <w:tc>
          <w:tcPr>
            <w:tcW w:w="900"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6.78%</w:t>
            </w:r>
          </w:p>
        </w:tc>
        <w:tc>
          <w:tcPr>
            <w:tcW w:w="98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6.67%</w:t>
            </w:r>
          </w:p>
        </w:tc>
        <w:tc>
          <w:tcPr>
            <w:tcW w:w="89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6.91%</w:t>
            </w:r>
          </w:p>
        </w:tc>
        <w:tc>
          <w:tcPr>
            <w:tcW w:w="98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8.82%</w:t>
            </w:r>
          </w:p>
        </w:tc>
        <w:tc>
          <w:tcPr>
            <w:tcW w:w="89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8.79%</w:t>
            </w:r>
          </w:p>
        </w:tc>
        <w:tc>
          <w:tcPr>
            <w:tcW w:w="989" w:type="dxa"/>
            <w:tcBorders>
              <w:top w:val="nil"/>
              <w:left w:val="nil"/>
              <w:bottom w:val="double" w:sz="6" w:space="0" w:color="auto"/>
              <w:right w:val="nil"/>
            </w:tcBorders>
            <w:shd w:val="clear" w:color="auto" w:fill="auto"/>
            <w:noWrap/>
            <w:vAlign w:val="center"/>
            <w:hideMark/>
          </w:tcPr>
          <w:p w:rsidR="00AD69F3" w:rsidRPr="007128CB" w:rsidRDefault="00AD69F3" w:rsidP="006D69D3">
            <w:pPr>
              <w:spacing w:line="240" w:lineRule="auto"/>
              <w:jc w:val="center"/>
              <w:rPr>
                <w:sz w:val="18"/>
                <w:szCs w:val="18"/>
              </w:rPr>
            </w:pPr>
            <w:r w:rsidRPr="007128CB">
              <w:rPr>
                <w:sz w:val="18"/>
                <w:szCs w:val="18"/>
              </w:rPr>
              <w:t>8.90%</w:t>
            </w:r>
          </w:p>
        </w:tc>
      </w:tr>
    </w:tbl>
    <w:p w:rsidR="00B009B2" w:rsidRDefault="00B009B2" w:rsidP="00AA0B13"/>
    <w:p w:rsidR="00E14328" w:rsidRDefault="00E14328">
      <w:pPr>
        <w:spacing w:line="240" w:lineRule="auto"/>
      </w:pPr>
      <w:r>
        <w:br w:type="page"/>
      </w:r>
    </w:p>
    <w:tbl>
      <w:tblPr>
        <w:tblW w:w="12836" w:type="dxa"/>
        <w:jc w:val="center"/>
        <w:tblInd w:w="93" w:type="dxa"/>
        <w:tblLook w:val="04A0" w:firstRow="1" w:lastRow="0" w:firstColumn="1" w:lastColumn="0" w:noHBand="0" w:noVBand="1"/>
      </w:tblPr>
      <w:tblGrid>
        <w:gridCol w:w="1267"/>
        <w:gridCol w:w="899"/>
        <w:gridCol w:w="989"/>
        <w:gridCol w:w="899"/>
        <w:gridCol w:w="35"/>
        <w:gridCol w:w="954"/>
        <w:gridCol w:w="899"/>
        <w:gridCol w:w="969"/>
        <w:gridCol w:w="20"/>
        <w:gridCol w:w="24"/>
        <w:gridCol w:w="202"/>
        <w:gridCol w:w="14"/>
        <w:gridCol w:w="30"/>
        <w:gridCol w:w="870"/>
        <w:gridCol w:w="989"/>
        <w:gridCol w:w="899"/>
        <w:gridCol w:w="20"/>
        <w:gridCol w:w="969"/>
        <w:gridCol w:w="899"/>
        <w:gridCol w:w="989"/>
      </w:tblGrid>
      <w:tr w:rsidR="00376333" w:rsidRPr="00680FD3" w:rsidTr="00376333">
        <w:trPr>
          <w:trHeight w:val="300"/>
          <w:jc w:val="center"/>
        </w:trPr>
        <w:tc>
          <w:tcPr>
            <w:tcW w:w="12836" w:type="dxa"/>
            <w:gridSpan w:val="20"/>
            <w:tcBorders>
              <w:top w:val="double" w:sz="4" w:space="0" w:color="auto"/>
              <w:left w:val="nil"/>
              <w:bottom w:val="single" w:sz="12" w:space="0" w:color="auto"/>
              <w:right w:val="nil"/>
            </w:tcBorders>
            <w:shd w:val="clear" w:color="auto" w:fill="auto"/>
            <w:vAlign w:val="center"/>
            <w:hideMark/>
          </w:tcPr>
          <w:p w:rsidR="00376333" w:rsidRPr="007128CB" w:rsidRDefault="00376333" w:rsidP="00376333">
            <w:pPr>
              <w:spacing w:line="240" w:lineRule="auto"/>
              <w:jc w:val="center"/>
              <w:rPr>
                <w:b/>
                <w:i/>
              </w:rPr>
            </w:pPr>
            <w:r w:rsidRPr="007128CB">
              <w:rPr>
                <w:b/>
              </w:rPr>
              <w:lastRenderedPageBreak/>
              <w:t>Table 4 (</w:t>
            </w:r>
            <w:r w:rsidRPr="007128CB">
              <w:rPr>
                <w:b/>
                <w:i/>
              </w:rPr>
              <w:t>Continued)</w:t>
            </w:r>
          </w:p>
          <w:p w:rsidR="00376333" w:rsidRPr="007128CB" w:rsidRDefault="00376333" w:rsidP="00376333">
            <w:pPr>
              <w:spacing w:line="240" w:lineRule="auto"/>
              <w:jc w:val="center"/>
              <w:rPr>
                <w:b/>
                <w:bCs/>
              </w:rPr>
            </w:pPr>
            <w:r w:rsidRPr="007128CB">
              <w:rPr>
                <w:b/>
                <w:i/>
              </w:rPr>
              <w:t>Regressions of ExVal on Segment Reporting Differentiation &amp; Controls</w:t>
            </w:r>
          </w:p>
        </w:tc>
      </w:tr>
      <w:tr w:rsidR="00376333" w:rsidRPr="007128CB" w:rsidTr="00376333">
        <w:trPr>
          <w:trHeight w:val="315"/>
          <w:jc w:val="center"/>
        </w:trPr>
        <w:tc>
          <w:tcPr>
            <w:tcW w:w="12836" w:type="dxa"/>
            <w:gridSpan w:val="20"/>
            <w:tcBorders>
              <w:top w:val="single" w:sz="12" w:space="0" w:color="auto"/>
              <w:left w:val="nil"/>
              <w:bottom w:val="single" w:sz="8" w:space="0" w:color="000000"/>
              <w:right w:val="nil"/>
            </w:tcBorders>
            <w:shd w:val="clear" w:color="auto" w:fill="auto"/>
            <w:vAlign w:val="center"/>
          </w:tcPr>
          <w:p w:rsidR="00376333" w:rsidRPr="007128CB" w:rsidRDefault="00376333" w:rsidP="006D69D3">
            <w:pPr>
              <w:spacing w:line="240" w:lineRule="auto"/>
            </w:pPr>
            <w:r w:rsidRPr="007128CB">
              <w:rPr>
                <w:b/>
              </w:rPr>
              <w:t>Panel B: Single Segment Firms</w:t>
            </w:r>
          </w:p>
        </w:tc>
      </w:tr>
      <w:tr w:rsidR="00376333" w:rsidRPr="004C5EDD" w:rsidTr="00376333">
        <w:trPr>
          <w:trHeight w:val="315"/>
          <w:jc w:val="center"/>
        </w:trPr>
        <w:tc>
          <w:tcPr>
            <w:tcW w:w="1267" w:type="dxa"/>
            <w:tcBorders>
              <w:top w:val="nil"/>
              <w:left w:val="nil"/>
              <w:right w:val="nil"/>
            </w:tcBorders>
            <w:shd w:val="clear" w:color="auto" w:fill="auto"/>
            <w:vAlign w:val="center"/>
            <w:hideMark/>
          </w:tcPr>
          <w:p w:rsidR="00376333" w:rsidRPr="004C5EDD" w:rsidRDefault="00376333" w:rsidP="006D69D3">
            <w:pPr>
              <w:spacing w:line="240" w:lineRule="auto"/>
              <w:rPr>
                <w:b/>
                <w:bCs/>
                <w:i/>
                <w:iCs/>
              </w:rPr>
            </w:pPr>
            <w:r w:rsidRPr="004C5EDD">
              <w:rPr>
                <w:b/>
                <w:bCs/>
                <w:i/>
                <w:iCs/>
              </w:rPr>
              <w:t> </w:t>
            </w:r>
          </w:p>
        </w:tc>
        <w:tc>
          <w:tcPr>
            <w:tcW w:w="5688" w:type="dxa"/>
            <w:gridSpan w:val="9"/>
            <w:tcBorders>
              <w:top w:val="nil"/>
              <w:left w:val="nil"/>
              <w:right w:val="nil"/>
            </w:tcBorders>
            <w:shd w:val="clear" w:color="auto" w:fill="auto"/>
            <w:noWrap/>
            <w:vAlign w:val="center"/>
            <w:hideMark/>
          </w:tcPr>
          <w:p w:rsidR="00376333" w:rsidRPr="004C5EDD" w:rsidRDefault="00376333" w:rsidP="006D69D3">
            <w:pPr>
              <w:spacing w:line="240" w:lineRule="auto"/>
              <w:jc w:val="center"/>
              <w:rPr>
                <w:b/>
              </w:rPr>
            </w:pPr>
            <w:r>
              <w:rPr>
                <w:b/>
              </w:rPr>
              <w:t>All Firm-Years</w:t>
            </w:r>
          </w:p>
        </w:tc>
        <w:tc>
          <w:tcPr>
            <w:tcW w:w="246" w:type="dxa"/>
            <w:gridSpan w:val="3"/>
            <w:tcBorders>
              <w:top w:val="nil"/>
              <w:left w:val="nil"/>
              <w:right w:val="nil"/>
            </w:tcBorders>
            <w:shd w:val="clear" w:color="auto" w:fill="auto"/>
            <w:noWrap/>
            <w:vAlign w:val="bottom"/>
            <w:hideMark/>
          </w:tcPr>
          <w:p w:rsidR="00376333" w:rsidRPr="004C5EDD" w:rsidRDefault="00376333" w:rsidP="006D69D3">
            <w:pPr>
              <w:spacing w:line="240" w:lineRule="auto"/>
              <w:jc w:val="center"/>
              <w:rPr>
                <w:rFonts w:ascii="Calibri" w:hAnsi="Calibri"/>
                <w:b/>
                <w:color w:val="000000"/>
              </w:rPr>
            </w:pPr>
          </w:p>
        </w:tc>
        <w:tc>
          <w:tcPr>
            <w:tcW w:w="5635" w:type="dxa"/>
            <w:gridSpan w:val="7"/>
            <w:tcBorders>
              <w:top w:val="nil"/>
              <w:left w:val="nil"/>
              <w:right w:val="nil"/>
            </w:tcBorders>
            <w:shd w:val="clear" w:color="auto" w:fill="auto"/>
            <w:noWrap/>
            <w:vAlign w:val="center"/>
            <w:hideMark/>
          </w:tcPr>
          <w:p w:rsidR="00376333" w:rsidRPr="004C5EDD" w:rsidRDefault="00376333" w:rsidP="006D69D3">
            <w:pPr>
              <w:spacing w:line="240" w:lineRule="auto"/>
              <w:jc w:val="center"/>
              <w:rPr>
                <w:b/>
              </w:rPr>
            </w:pPr>
            <w:r w:rsidRPr="004C5EDD">
              <w:rPr>
                <w:b/>
              </w:rPr>
              <w:t xml:space="preserve">Post </w:t>
            </w:r>
            <w:r>
              <w:rPr>
                <w:b/>
              </w:rPr>
              <w:t>ASC 280</w:t>
            </w:r>
          </w:p>
        </w:tc>
      </w:tr>
      <w:tr w:rsidR="00376333" w:rsidRPr="00680FD3" w:rsidTr="00376333">
        <w:trPr>
          <w:trHeight w:val="300"/>
          <w:jc w:val="center"/>
        </w:trPr>
        <w:tc>
          <w:tcPr>
            <w:tcW w:w="1267" w:type="dxa"/>
            <w:tcBorders>
              <w:left w:val="nil"/>
              <w:bottom w:val="nil"/>
              <w:right w:val="nil"/>
            </w:tcBorders>
            <w:shd w:val="clear" w:color="auto" w:fill="auto"/>
            <w:vAlign w:val="center"/>
          </w:tcPr>
          <w:p w:rsidR="00376333" w:rsidRPr="007128CB" w:rsidRDefault="00376333" w:rsidP="006D69D3">
            <w:pPr>
              <w:spacing w:line="240" w:lineRule="auto"/>
              <w:rPr>
                <w:b/>
                <w:bCs/>
                <w:i/>
                <w:iCs/>
              </w:rPr>
            </w:pPr>
          </w:p>
        </w:tc>
        <w:tc>
          <w:tcPr>
            <w:tcW w:w="2822" w:type="dxa"/>
            <w:gridSpan w:val="4"/>
            <w:tcBorders>
              <w:top w:val="nil"/>
              <w:left w:val="nil"/>
              <w:bottom w:val="single" w:sz="4" w:space="0" w:color="auto"/>
              <w:right w:val="nil"/>
            </w:tcBorders>
            <w:shd w:val="clear" w:color="auto" w:fill="auto"/>
            <w:noWrap/>
            <w:vAlign w:val="center"/>
          </w:tcPr>
          <w:p w:rsidR="00376333" w:rsidRPr="007128CB" w:rsidRDefault="00376333" w:rsidP="006D69D3">
            <w:pPr>
              <w:spacing w:line="240" w:lineRule="auto"/>
              <w:jc w:val="center"/>
              <w:rPr>
                <w:b/>
                <w:i/>
              </w:rPr>
            </w:pPr>
            <w:r w:rsidRPr="007128CB">
              <w:rPr>
                <w:b/>
                <w:i/>
              </w:rPr>
              <w:t>ExVal</w:t>
            </w:r>
            <w:r w:rsidRPr="007128CB">
              <w:rPr>
                <w:b/>
                <w:i/>
                <w:vertAlign w:val="subscript"/>
              </w:rPr>
              <w:t>Rev</w:t>
            </w:r>
          </w:p>
        </w:tc>
        <w:tc>
          <w:tcPr>
            <w:tcW w:w="2822" w:type="dxa"/>
            <w:gridSpan w:val="3"/>
            <w:tcBorders>
              <w:top w:val="nil"/>
              <w:left w:val="nil"/>
              <w:bottom w:val="single" w:sz="4" w:space="0" w:color="auto"/>
              <w:right w:val="nil"/>
            </w:tcBorders>
            <w:shd w:val="clear" w:color="auto" w:fill="auto"/>
            <w:noWrap/>
            <w:vAlign w:val="center"/>
          </w:tcPr>
          <w:p w:rsidR="00376333" w:rsidRPr="007128CB" w:rsidRDefault="00376333" w:rsidP="006D69D3">
            <w:pPr>
              <w:spacing w:line="240" w:lineRule="auto"/>
              <w:jc w:val="center"/>
              <w:rPr>
                <w:b/>
                <w:i/>
              </w:rPr>
            </w:pPr>
            <w:r w:rsidRPr="007128CB">
              <w:rPr>
                <w:b/>
                <w:i/>
              </w:rPr>
              <w:t>ExVal</w:t>
            </w:r>
            <w:r w:rsidRPr="007128CB">
              <w:rPr>
                <w:b/>
                <w:i/>
                <w:vertAlign w:val="subscript"/>
              </w:rPr>
              <w:t>AT</w:t>
            </w:r>
          </w:p>
        </w:tc>
        <w:tc>
          <w:tcPr>
            <w:tcW w:w="246" w:type="dxa"/>
            <w:gridSpan w:val="3"/>
            <w:tcBorders>
              <w:top w:val="nil"/>
              <w:left w:val="nil"/>
              <w:right w:val="nil"/>
            </w:tcBorders>
            <w:shd w:val="clear" w:color="auto" w:fill="auto"/>
            <w:noWrap/>
            <w:vAlign w:val="bottom"/>
          </w:tcPr>
          <w:p w:rsidR="00376333" w:rsidRPr="007128CB" w:rsidRDefault="00376333" w:rsidP="006D69D3">
            <w:pPr>
              <w:spacing w:line="240" w:lineRule="auto"/>
              <w:jc w:val="center"/>
              <w:rPr>
                <w:rFonts w:ascii="Calibri" w:hAnsi="Calibri"/>
                <w:b/>
                <w:i/>
                <w:color w:val="000000"/>
              </w:rPr>
            </w:pPr>
          </w:p>
        </w:tc>
        <w:tc>
          <w:tcPr>
            <w:tcW w:w="2822" w:type="dxa"/>
            <w:gridSpan w:val="6"/>
            <w:tcBorders>
              <w:top w:val="nil"/>
              <w:left w:val="nil"/>
              <w:bottom w:val="single" w:sz="4" w:space="0" w:color="auto"/>
              <w:right w:val="nil"/>
            </w:tcBorders>
            <w:shd w:val="clear" w:color="auto" w:fill="auto"/>
            <w:noWrap/>
            <w:vAlign w:val="center"/>
          </w:tcPr>
          <w:p w:rsidR="00376333" w:rsidRPr="007128CB" w:rsidRDefault="00376333" w:rsidP="006D69D3">
            <w:pPr>
              <w:spacing w:line="240" w:lineRule="auto"/>
              <w:jc w:val="center"/>
              <w:rPr>
                <w:b/>
                <w:i/>
              </w:rPr>
            </w:pPr>
            <w:r w:rsidRPr="007128CB">
              <w:rPr>
                <w:b/>
                <w:i/>
              </w:rPr>
              <w:t>ExVal</w:t>
            </w:r>
            <w:r w:rsidRPr="007128CB">
              <w:rPr>
                <w:b/>
                <w:i/>
                <w:vertAlign w:val="subscript"/>
              </w:rPr>
              <w:t>Rev</w:t>
            </w:r>
          </w:p>
        </w:tc>
        <w:tc>
          <w:tcPr>
            <w:tcW w:w="2857" w:type="dxa"/>
            <w:gridSpan w:val="3"/>
            <w:tcBorders>
              <w:top w:val="nil"/>
              <w:left w:val="nil"/>
              <w:bottom w:val="single" w:sz="4" w:space="0" w:color="auto"/>
              <w:right w:val="nil"/>
            </w:tcBorders>
            <w:shd w:val="clear" w:color="auto" w:fill="auto"/>
            <w:noWrap/>
            <w:vAlign w:val="center"/>
          </w:tcPr>
          <w:p w:rsidR="00376333" w:rsidRPr="007128CB" w:rsidRDefault="00376333" w:rsidP="006D69D3">
            <w:pPr>
              <w:spacing w:line="240" w:lineRule="auto"/>
              <w:jc w:val="center"/>
              <w:rPr>
                <w:b/>
                <w:i/>
              </w:rPr>
            </w:pPr>
            <w:r w:rsidRPr="007128CB">
              <w:rPr>
                <w:b/>
                <w:i/>
              </w:rPr>
              <w:t>ExVal</w:t>
            </w:r>
            <w:r w:rsidRPr="007128CB">
              <w:rPr>
                <w:b/>
                <w:i/>
                <w:vertAlign w:val="subscript"/>
              </w:rPr>
              <w:t>AT</w:t>
            </w:r>
          </w:p>
        </w:tc>
      </w:tr>
      <w:tr w:rsidR="00376333" w:rsidRPr="007128CB" w:rsidTr="00376333">
        <w:trPr>
          <w:trHeight w:val="300"/>
          <w:jc w:val="center"/>
        </w:trPr>
        <w:tc>
          <w:tcPr>
            <w:tcW w:w="1267" w:type="dxa"/>
            <w:tcBorders>
              <w:top w:val="nil"/>
              <w:left w:val="nil"/>
              <w:bottom w:val="single" w:sz="4" w:space="0" w:color="000000"/>
              <w:right w:val="nil"/>
            </w:tcBorders>
            <w:shd w:val="clear" w:color="auto" w:fill="auto"/>
            <w:vAlign w:val="center"/>
            <w:hideMark/>
          </w:tcPr>
          <w:p w:rsidR="00376333" w:rsidRPr="007128CB" w:rsidRDefault="00376333" w:rsidP="006D69D3">
            <w:pPr>
              <w:spacing w:line="240" w:lineRule="auto"/>
              <w:jc w:val="center"/>
              <w:rPr>
                <w:b/>
                <w:bCs/>
                <w:i/>
                <w:iCs/>
                <w:sz w:val="18"/>
                <w:szCs w:val="18"/>
              </w:rPr>
            </w:pP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(1)</w:t>
            </w:r>
          </w:p>
        </w:tc>
        <w:tc>
          <w:tcPr>
            <w:tcW w:w="98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(2)</w:t>
            </w: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(3)</w:t>
            </w:r>
          </w:p>
        </w:tc>
        <w:tc>
          <w:tcPr>
            <w:tcW w:w="989" w:type="dxa"/>
            <w:gridSpan w:val="2"/>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(4)</w:t>
            </w: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(5)</w:t>
            </w:r>
          </w:p>
        </w:tc>
        <w:tc>
          <w:tcPr>
            <w:tcW w:w="989" w:type="dxa"/>
            <w:gridSpan w:val="2"/>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(6)</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jc w:val="center"/>
              <w:rPr>
                <w:sz w:val="18"/>
                <w:szCs w:val="18"/>
              </w:rPr>
            </w:pPr>
          </w:p>
        </w:tc>
        <w:tc>
          <w:tcPr>
            <w:tcW w:w="900" w:type="dxa"/>
            <w:gridSpan w:val="2"/>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(7)</w:t>
            </w:r>
          </w:p>
        </w:tc>
        <w:tc>
          <w:tcPr>
            <w:tcW w:w="98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(8)</w:t>
            </w: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(9)</w:t>
            </w:r>
          </w:p>
        </w:tc>
        <w:tc>
          <w:tcPr>
            <w:tcW w:w="989" w:type="dxa"/>
            <w:gridSpan w:val="2"/>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(10)</w:t>
            </w: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(11)</w:t>
            </w:r>
          </w:p>
        </w:tc>
        <w:tc>
          <w:tcPr>
            <w:tcW w:w="989" w:type="dxa"/>
            <w:tcBorders>
              <w:top w:val="nil"/>
              <w:left w:val="nil"/>
              <w:bottom w:val="single" w:sz="4" w:space="0" w:color="000000"/>
              <w:right w:val="nil"/>
            </w:tcBorders>
            <w:shd w:val="clear" w:color="auto" w:fill="auto"/>
            <w:noWrap/>
            <w:vAlign w:val="center"/>
            <w:hideMark/>
          </w:tcPr>
          <w:p w:rsidR="00376333" w:rsidRPr="007128CB" w:rsidRDefault="00376333" w:rsidP="006D69D3">
            <w:pPr>
              <w:spacing w:line="240" w:lineRule="auto"/>
              <w:jc w:val="center"/>
              <w:rPr>
                <w:sz w:val="18"/>
                <w:szCs w:val="18"/>
              </w:rPr>
            </w:pPr>
            <w:r w:rsidRPr="007128CB">
              <w:rPr>
                <w:sz w:val="18"/>
                <w:szCs w:val="18"/>
              </w:rPr>
              <w:t>(12)</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spacing w:line="240" w:lineRule="auto"/>
              <w:rPr>
                <w:sz w:val="18"/>
                <w:szCs w:val="18"/>
              </w:rPr>
            </w:pP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spacing w:line="240" w:lineRule="auto"/>
              <w:rPr>
                <w:sz w:val="18"/>
                <w:szCs w:val="18"/>
              </w:rPr>
            </w:pP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spacing w:line="240" w:lineRule="auto"/>
              <w:rPr>
                <w:sz w:val="18"/>
                <w:szCs w:val="18"/>
              </w:rPr>
            </w:pP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FFDIFF</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0.162***</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0.139***</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b/>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0.27***</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0.25***</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0.165***</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0.142***</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(11.62)</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(9.97)</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(7.819)</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(6.648)</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b/>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(11.93)</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(10.70)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(7.499)</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(6.309)</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PFDIFF</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0.252***</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0.10**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0.21***</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0.123***</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b/>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0.251***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0.09**</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0.21***</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0.121***</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(5.951)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(2.26)</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(5.35)</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(3.118)</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b/>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(6.166)</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(2.29)</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(5.58)</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b/>
                <w:sz w:val="18"/>
                <w:szCs w:val="18"/>
              </w:rPr>
            </w:pPr>
            <w:r w:rsidRPr="007128CB">
              <w:rPr>
                <w:b/>
                <w:sz w:val="18"/>
                <w:szCs w:val="18"/>
              </w:rPr>
              <w:t>(3.195)</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NumTNICPrs</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0.000***</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0.000**</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0.000**</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0.000**</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(2.80)</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(2.595)</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(2.98)</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(1.966)</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(2.08)</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(2.312)</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(2.76)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(2.541)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(2.90)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(2.122)</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(2.24)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(2.463)</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HHI</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0.097**</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0.016</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0.010</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0.110**</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0.013</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0.007</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(2.161)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(0.458)</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(1.22)</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(0.294)</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(1.35)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(2.404)</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(1.21)</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(0.330)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(0.175)</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Size</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0.08***</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0.078***</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0.08***</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0.044***</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0.044***</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0.08***</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0.076***</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0.08***</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0.043***</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0.043***</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(10.98)</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(10.529)</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(10.90)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(5.755)</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(5.60)</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(5.700)</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(10.49)</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(10.191)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(10.44)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(5.320)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(5.19)</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(5.262)</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PM</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0.12**</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0.125**</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0.12**</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0.325***</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0.33***</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0.323***</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0.13**</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0.131**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0.13**</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0.336***</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0.34***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0.334***</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(2.14)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(2.284)</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(2.11)</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(8.579)</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(8.63)</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(8.487)</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(2.16)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(2.286)</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(2.14)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(8.798)</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(8.84)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(8.725)</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Invest</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0.27*</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0.238</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0.28*</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0.783***</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0.77***</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0.794***</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0.22</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0.190</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0.23</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0.747***</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0.73***</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0.758***</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(1.65)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(1.453)</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(1.70)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(5.780)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(5.75)</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(5.879)</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(1.33)</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(1.137)</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(1.38)</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(5.507)</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(5.52)</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(5.635)</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Leverage</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-0.035</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-0.03</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-0.054</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-0.06</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-0.058</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-0.03</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-0.044</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-0.056</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-0.060</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(-0.65)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(-0.986)</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(-0.77)</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(-1.271)</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(-1.50)</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(-1.391)</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(-1.191)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(-0.95)</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(-1.246)</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(-1.46)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(-1.344)</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SalesGrow</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0.10***</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0.099***</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0.150***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0.15***</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0.150***</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0.09***</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0.087***</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0.09***</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0.138***</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0.138***</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(3.32)</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(3.369)</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(3.32)</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(7.397)</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(7.56)</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(7.434)</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(2.96)</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(3.010)</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(2.97)</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(6.467)</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(6.55)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(6.484)</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StdROE</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0.004</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0.023***</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0.02***</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0.023***</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0.005</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0.024***</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0.02***</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0.024***</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(0.88)</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(0.853)</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(0.97)</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(5.060)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(5.08)</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(5.156)</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(1.09)</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(1.048)</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(1.17)</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(4.897)</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(4.91)</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(4.983)</w:t>
            </w:r>
          </w:p>
        </w:tc>
      </w:tr>
      <w:tr w:rsidR="00376333" w:rsidRPr="007128CB" w:rsidTr="00AC282C">
        <w:trPr>
          <w:trHeight w:val="300"/>
          <w:jc w:val="center"/>
        </w:trPr>
        <w:tc>
          <w:tcPr>
            <w:tcW w:w="3155" w:type="dxa"/>
            <w:gridSpan w:val="3"/>
            <w:tcBorders>
              <w:top w:val="nil"/>
              <w:left w:val="nil"/>
              <w:bottom w:val="nil"/>
              <w:right w:val="nil"/>
            </w:tcBorders>
            <w:shd w:val="clear" w:color="auto" w:fill="auto"/>
            <w:vAlign w:val="center"/>
          </w:tcPr>
          <w:p w:rsidR="00376333" w:rsidRPr="00BB4BDB" w:rsidRDefault="00376333" w:rsidP="006D69D3">
            <w:pPr>
              <w:tabs>
                <w:tab w:val="decimal" w:pos="187"/>
              </w:tabs>
              <w:spacing w:line="240" w:lineRule="auto"/>
              <w:rPr>
                <w:sz w:val="18"/>
                <w:szCs w:val="18"/>
              </w:rPr>
            </w:pPr>
          </w:p>
        </w:tc>
        <w:tc>
          <w:tcPr>
            <w:tcW w:w="899" w:type="dxa"/>
            <w:tcBorders>
              <w:top w:val="nil"/>
              <w:left w:val="nil"/>
              <w:bottom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240" w:type="dxa"/>
            <w:gridSpan w:val="3"/>
            <w:tcBorders>
              <w:top w:val="nil"/>
              <w:left w:val="nil"/>
              <w:bottom w:val="nil"/>
              <w:right w:val="nil"/>
            </w:tcBorders>
            <w:shd w:val="clear" w:color="auto" w:fill="auto"/>
            <w:noWrap/>
            <w:vAlign w:val="bottom"/>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899" w:type="dxa"/>
            <w:tcBorders>
              <w:top w:val="nil"/>
              <w:left w:val="nil"/>
              <w:bottom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r>
      <w:tr w:rsidR="00376333" w:rsidRPr="007128CB" w:rsidTr="00AC282C">
        <w:trPr>
          <w:trHeight w:val="300"/>
          <w:jc w:val="center"/>
        </w:trPr>
        <w:tc>
          <w:tcPr>
            <w:tcW w:w="3155" w:type="dxa"/>
            <w:gridSpan w:val="3"/>
            <w:tcBorders>
              <w:top w:val="nil"/>
              <w:left w:val="nil"/>
              <w:bottom w:val="nil"/>
              <w:right w:val="nil"/>
            </w:tcBorders>
            <w:shd w:val="clear" w:color="auto" w:fill="auto"/>
            <w:vAlign w:val="center"/>
          </w:tcPr>
          <w:p w:rsidR="00376333" w:rsidRPr="00BB4BDB" w:rsidRDefault="00376333" w:rsidP="006D69D3">
            <w:pPr>
              <w:tabs>
                <w:tab w:val="decimal" w:pos="187"/>
              </w:tabs>
              <w:spacing w:line="240" w:lineRule="auto"/>
              <w:rPr>
                <w:sz w:val="18"/>
                <w:szCs w:val="18"/>
              </w:rPr>
            </w:pPr>
            <w:r w:rsidRPr="00BB4BDB">
              <w:rPr>
                <w:sz w:val="18"/>
                <w:szCs w:val="18"/>
              </w:rPr>
              <w:lastRenderedPageBreak/>
              <w:t>Table 4</w:t>
            </w:r>
            <w:r>
              <w:rPr>
                <w:sz w:val="18"/>
                <w:szCs w:val="18"/>
              </w:rPr>
              <w:t xml:space="preserve"> Panel B (</w:t>
            </w:r>
            <w:r>
              <w:rPr>
                <w:i/>
                <w:sz w:val="18"/>
                <w:szCs w:val="18"/>
              </w:rPr>
              <w:t>Continued</w:t>
            </w:r>
            <w:r>
              <w:rPr>
                <w:sz w:val="18"/>
                <w:szCs w:val="18"/>
              </w:rPr>
              <w:t>)</w:t>
            </w:r>
          </w:p>
        </w:tc>
        <w:tc>
          <w:tcPr>
            <w:tcW w:w="899" w:type="dxa"/>
            <w:tcBorders>
              <w:top w:val="nil"/>
              <w:left w:val="nil"/>
              <w:bottom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240" w:type="dxa"/>
            <w:gridSpan w:val="3"/>
            <w:tcBorders>
              <w:top w:val="nil"/>
              <w:left w:val="nil"/>
              <w:bottom w:val="nil"/>
              <w:right w:val="nil"/>
            </w:tcBorders>
            <w:shd w:val="clear" w:color="auto" w:fill="auto"/>
            <w:noWrap/>
            <w:vAlign w:val="bottom"/>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899" w:type="dxa"/>
            <w:tcBorders>
              <w:top w:val="nil"/>
              <w:left w:val="nil"/>
              <w:bottom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MAR</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0.136***</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0.186***</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0.18***</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0.187***</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0.134***</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0.184***</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0.18***</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0.185***</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(6.88)</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(6.581)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(6.93)</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(12.745)</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(12.37)</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(12.897)</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(6.14)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(5.895)</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(6.18)</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(11.380)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(11.07)</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(11.509)</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Corr5yr</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-0.051***</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-0.05***</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-0.042***</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-0.042***</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-0.043***</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-0.035**</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-0.035**</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(-3.24)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(-3.355)</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(-3.23)</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(-2.901)</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(-2.97)</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(-2.874)</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(-3.05)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(-3.186)</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(-3.03)</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(-2.540)</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(-2.63)</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(-2.513)</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tcPr>
          <w:p w:rsidR="00376333" w:rsidRPr="007128CB" w:rsidRDefault="00376333" w:rsidP="006D69D3">
            <w:pPr>
              <w:spacing w:line="240" w:lineRule="auto"/>
              <w:rPr>
                <w:b/>
                <w:bCs/>
                <w:i/>
                <w:iCs/>
                <w:sz w:val="18"/>
                <w:szCs w:val="18"/>
              </w:rPr>
            </w:pPr>
            <w:r w:rsidRPr="007128CB">
              <w:rPr>
                <w:b/>
                <w:bCs/>
                <w:i/>
                <w:iCs/>
                <w:sz w:val="18"/>
                <w:szCs w:val="18"/>
              </w:rPr>
              <w:t>Surprise</w:t>
            </w: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-0.009***</w:t>
            </w:r>
          </w:p>
        </w:tc>
        <w:tc>
          <w:tcPr>
            <w:tcW w:w="899" w:type="dxa"/>
            <w:tcBorders>
              <w:top w:val="nil"/>
              <w:left w:val="nil"/>
              <w:bottom w:val="nil"/>
              <w:right w:val="single" w:sz="4" w:space="0" w:color="auto"/>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gridSpan w:val="2"/>
            <w:tcBorders>
              <w:top w:val="nil"/>
              <w:left w:val="single" w:sz="4" w:space="0" w:color="auto"/>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-0.011***</w:t>
            </w: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-0.011***</w:t>
            </w:r>
          </w:p>
        </w:tc>
        <w:tc>
          <w:tcPr>
            <w:tcW w:w="240" w:type="dxa"/>
            <w:gridSpan w:val="3"/>
            <w:tcBorders>
              <w:top w:val="nil"/>
              <w:left w:val="nil"/>
              <w:bottom w:val="nil"/>
              <w:right w:val="nil"/>
            </w:tcBorders>
            <w:shd w:val="clear" w:color="auto" w:fill="auto"/>
            <w:vAlign w:val="bottom"/>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-0.009***</w:t>
            </w:r>
          </w:p>
        </w:tc>
        <w:tc>
          <w:tcPr>
            <w:tcW w:w="899" w:type="dxa"/>
            <w:tcBorders>
              <w:top w:val="nil"/>
              <w:left w:val="nil"/>
              <w:bottom w:val="nil"/>
              <w:right w:val="single" w:sz="4" w:space="0" w:color="auto"/>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gridSpan w:val="2"/>
            <w:tcBorders>
              <w:top w:val="nil"/>
              <w:left w:val="single" w:sz="4" w:space="0" w:color="auto"/>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-0.010***</w:t>
            </w: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w:t>
            </w: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-0.010***</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tcPr>
          <w:p w:rsidR="00376333" w:rsidRPr="007128CB" w:rsidRDefault="00376333" w:rsidP="006D69D3">
            <w:pPr>
              <w:spacing w:line="240" w:lineRule="auto"/>
              <w:rPr>
                <w:b/>
                <w:bCs/>
                <w:i/>
                <w:iCs/>
                <w:sz w:val="18"/>
                <w:szCs w:val="18"/>
              </w:rPr>
            </w:pP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(-11.10)</w:t>
            </w: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(-11.626)</w:t>
            </w:r>
          </w:p>
        </w:tc>
        <w:tc>
          <w:tcPr>
            <w:tcW w:w="899" w:type="dxa"/>
            <w:tcBorders>
              <w:top w:val="nil"/>
              <w:left w:val="nil"/>
              <w:bottom w:val="nil"/>
              <w:right w:val="single" w:sz="4" w:space="0" w:color="auto"/>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(-11.04)</w:t>
            </w:r>
          </w:p>
        </w:tc>
        <w:tc>
          <w:tcPr>
            <w:tcW w:w="989" w:type="dxa"/>
            <w:gridSpan w:val="2"/>
            <w:tcBorders>
              <w:top w:val="nil"/>
              <w:left w:val="single" w:sz="4" w:space="0" w:color="auto"/>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(-12.417)</w:t>
            </w: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(-12.75)</w:t>
            </w:r>
          </w:p>
        </w:tc>
        <w:tc>
          <w:tcPr>
            <w:tcW w:w="989"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(-12.413)</w:t>
            </w:r>
          </w:p>
        </w:tc>
        <w:tc>
          <w:tcPr>
            <w:tcW w:w="240" w:type="dxa"/>
            <w:gridSpan w:val="3"/>
            <w:tcBorders>
              <w:top w:val="nil"/>
              <w:left w:val="nil"/>
              <w:bottom w:val="nil"/>
              <w:right w:val="nil"/>
            </w:tcBorders>
            <w:shd w:val="clear" w:color="auto" w:fill="auto"/>
            <w:vAlign w:val="bottom"/>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(-10.10)</w:t>
            </w: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(-10.674)</w:t>
            </w:r>
          </w:p>
        </w:tc>
        <w:tc>
          <w:tcPr>
            <w:tcW w:w="899" w:type="dxa"/>
            <w:tcBorders>
              <w:top w:val="nil"/>
              <w:left w:val="nil"/>
              <w:bottom w:val="nil"/>
              <w:right w:val="single" w:sz="4" w:space="0" w:color="auto"/>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(-10.08)</w:t>
            </w:r>
          </w:p>
        </w:tc>
        <w:tc>
          <w:tcPr>
            <w:tcW w:w="989" w:type="dxa"/>
            <w:gridSpan w:val="2"/>
            <w:tcBorders>
              <w:top w:val="nil"/>
              <w:left w:val="single" w:sz="4" w:space="0" w:color="auto"/>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(-10.996)</w:t>
            </w:r>
          </w:p>
        </w:tc>
        <w:tc>
          <w:tcPr>
            <w:tcW w:w="89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(-11.42)</w:t>
            </w:r>
          </w:p>
        </w:tc>
        <w:tc>
          <w:tcPr>
            <w:tcW w:w="989" w:type="dxa"/>
            <w:tcBorders>
              <w:top w:val="nil"/>
              <w:left w:val="nil"/>
              <w:bottom w:val="nil"/>
              <w:right w:val="nil"/>
            </w:tcBorders>
            <w:shd w:val="clear" w:color="auto" w:fill="auto"/>
            <w:noWrap/>
            <w:vAlign w:val="center"/>
          </w:tcPr>
          <w:p w:rsidR="00376333" w:rsidRPr="007128CB" w:rsidRDefault="00376333" w:rsidP="006D69D3">
            <w:pPr>
              <w:tabs>
                <w:tab w:val="decimal" w:pos="187"/>
              </w:tabs>
              <w:spacing w:line="240" w:lineRule="auto"/>
              <w:rPr>
                <w:sz w:val="18"/>
                <w:szCs w:val="18"/>
              </w:rPr>
            </w:pPr>
            <w:r w:rsidRPr="007128CB">
              <w:rPr>
                <w:sz w:val="18"/>
                <w:szCs w:val="18"/>
              </w:rPr>
              <w:t>(-11.065)</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Constant</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-0.85***</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-0.822***</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-0.87***</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-0.663***</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-0.65***</w:t>
            </w:r>
          </w:p>
        </w:tc>
        <w:tc>
          <w:tcPr>
            <w:tcW w:w="989"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-0.677***</w:t>
            </w: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-0.808***</w:t>
            </w:r>
          </w:p>
        </w:tc>
        <w:tc>
          <w:tcPr>
            <w:tcW w:w="899" w:type="dxa"/>
            <w:tcBorders>
              <w:top w:val="nil"/>
              <w:left w:val="nil"/>
              <w:bottom w:val="nil"/>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-0.85***</w:t>
            </w:r>
          </w:p>
        </w:tc>
        <w:tc>
          <w:tcPr>
            <w:tcW w:w="989" w:type="dxa"/>
            <w:gridSpan w:val="2"/>
            <w:tcBorders>
              <w:top w:val="nil"/>
              <w:left w:val="single" w:sz="4" w:space="0" w:color="auto"/>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-0.653***</w:t>
            </w:r>
          </w:p>
        </w:tc>
        <w:tc>
          <w:tcPr>
            <w:tcW w:w="89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-0.64***</w:t>
            </w:r>
          </w:p>
        </w:tc>
        <w:tc>
          <w:tcPr>
            <w:tcW w:w="989" w:type="dxa"/>
            <w:tcBorders>
              <w:top w:val="nil"/>
              <w:left w:val="nil"/>
              <w:bottom w:val="nil"/>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-0.666***</w:t>
            </w:r>
          </w:p>
        </w:tc>
      </w:tr>
      <w:tr w:rsidR="00376333" w:rsidRPr="007128CB" w:rsidTr="00376333">
        <w:trPr>
          <w:trHeight w:val="300"/>
          <w:jc w:val="center"/>
        </w:trPr>
        <w:tc>
          <w:tcPr>
            <w:tcW w:w="1267" w:type="dxa"/>
            <w:tcBorders>
              <w:top w:val="nil"/>
              <w:left w:val="nil"/>
              <w:bottom w:val="single" w:sz="4" w:space="0" w:color="000000"/>
              <w:right w:val="nil"/>
            </w:tcBorders>
            <w:shd w:val="clear" w:color="auto" w:fill="auto"/>
            <w:vAlign w:val="center"/>
            <w:hideMark/>
          </w:tcPr>
          <w:p w:rsidR="00376333" w:rsidRPr="007128CB" w:rsidRDefault="00376333" w:rsidP="006D69D3">
            <w:pPr>
              <w:spacing w:line="240" w:lineRule="auto"/>
              <w:rPr>
                <w:b/>
                <w:bCs/>
                <w:i/>
                <w:iCs/>
                <w:sz w:val="18"/>
                <w:szCs w:val="18"/>
              </w:rPr>
            </w:pPr>
            <w:r w:rsidRPr="007128CB">
              <w:rPr>
                <w:b/>
                <w:bCs/>
                <w:i/>
                <w:iCs/>
                <w:sz w:val="18"/>
                <w:szCs w:val="18"/>
              </w:rPr>
              <w:t> </w:t>
            </w: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(-15.79)</w:t>
            </w:r>
          </w:p>
        </w:tc>
        <w:tc>
          <w:tcPr>
            <w:tcW w:w="989" w:type="dxa"/>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(-14.966)</w:t>
            </w:r>
          </w:p>
        </w:tc>
        <w:tc>
          <w:tcPr>
            <w:tcW w:w="899" w:type="dxa"/>
            <w:tcBorders>
              <w:top w:val="nil"/>
              <w:left w:val="nil"/>
              <w:bottom w:val="single" w:sz="4" w:space="0" w:color="000000"/>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(-15.68)</w:t>
            </w:r>
          </w:p>
        </w:tc>
        <w:tc>
          <w:tcPr>
            <w:tcW w:w="989" w:type="dxa"/>
            <w:gridSpan w:val="2"/>
            <w:tcBorders>
              <w:top w:val="nil"/>
              <w:left w:val="single" w:sz="4" w:space="0" w:color="auto"/>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(-12.637)</w:t>
            </w: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(-12.74)</w:t>
            </w:r>
          </w:p>
        </w:tc>
        <w:tc>
          <w:tcPr>
            <w:tcW w:w="989" w:type="dxa"/>
            <w:gridSpan w:val="2"/>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(-12.752)</w:t>
            </w:r>
          </w:p>
        </w:tc>
        <w:tc>
          <w:tcPr>
            <w:tcW w:w="240" w:type="dxa"/>
            <w:gridSpan w:val="3"/>
            <w:tcBorders>
              <w:top w:val="nil"/>
              <w:left w:val="nil"/>
              <w:bottom w:val="nil"/>
              <w:right w:val="nil"/>
            </w:tcBorders>
            <w:shd w:val="clear" w:color="auto" w:fill="auto"/>
            <w:vAlign w:val="bottom"/>
            <w:hideMark/>
          </w:tcPr>
          <w:p w:rsidR="00376333" w:rsidRPr="007128CB" w:rsidRDefault="00376333" w:rsidP="006D69D3">
            <w:pPr>
              <w:spacing w:line="240" w:lineRule="auto"/>
              <w:rPr>
                <w:sz w:val="18"/>
                <w:szCs w:val="18"/>
              </w:rPr>
            </w:pPr>
          </w:p>
        </w:tc>
        <w:tc>
          <w:tcPr>
            <w:tcW w:w="900" w:type="dxa"/>
            <w:gridSpan w:val="2"/>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(-14.81)</w:t>
            </w:r>
          </w:p>
        </w:tc>
        <w:tc>
          <w:tcPr>
            <w:tcW w:w="989" w:type="dxa"/>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(-14.386)</w:t>
            </w:r>
          </w:p>
        </w:tc>
        <w:tc>
          <w:tcPr>
            <w:tcW w:w="899" w:type="dxa"/>
            <w:tcBorders>
              <w:top w:val="nil"/>
              <w:left w:val="nil"/>
              <w:bottom w:val="single" w:sz="4" w:space="0" w:color="000000"/>
              <w:right w:val="single" w:sz="4" w:space="0" w:color="auto"/>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(-14.91)</w:t>
            </w:r>
          </w:p>
        </w:tc>
        <w:tc>
          <w:tcPr>
            <w:tcW w:w="989" w:type="dxa"/>
            <w:gridSpan w:val="2"/>
            <w:tcBorders>
              <w:top w:val="nil"/>
              <w:left w:val="single" w:sz="4" w:space="0" w:color="auto"/>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(-11.916)</w:t>
            </w:r>
          </w:p>
        </w:tc>
        <w:tc>
          <w:tcPr>
            <w:tcW w:w="899" w:type="dxa"/>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(-12.23)</w:t>
            </w:r>
          </w:p>
        </w:tc>
        <w:tc>
          <w:tcPr>
            <w:tcW w:w="989" w:type="dxa"/>
            <w:tcBorders>
              <w:top w:val="nil"/>
              <w:left w:val="nil"/>
              <w:bottom w:val="single" w:sz="4" w:space="0" w:color="000000"/>
              <w:right w:val="nil"/>
            </w:tcBorders>
            <w:shd w:val="clear" w:color="auto" w:fill="auto"/>
            <w:noWrap/>
            <w:vAlign w:val="center"/>
            <w:hideMark/>
          </w:tcPr>
          <w:p w:rsidR="00376333" w:rsidRPr="007128CB" w:rsidRDefault="00376333" w:rsidP="006D69D3">
            <w:pPr>
              <w:tabs>
                <w:tab w:val="decimal" w:pos="187"/>
              </w:tabs>
              <w:spacing w:line="240" w:lineRule="auto"/>
              <w:rPr>
                <w:sz w:val="18"/>
                <w:szCs w:val="18"/>
              </w:rPr>
            </w:pPr>
            <w:r w:rsidRPr="007128CB">
              <w:rPr>
                <w:sz w:val="18"/>
                <w:szCs w:val="18"/>
              </w:rPr>
              <w:t>(-12.152)</w:t>
            </w:r>
          </w:p>
        </w:tc>
      </w:tr>
      <w:tr w:rsidR="00376333" w:rsidRPr="007128CB" w:rsidTr="00376333">
        <w:trPr>
          <w:trHeight w:val="300"/>
          <w:jc w:val="center"/>
        </w:trPr>
        <w:tc>
          <w:tcPr>
            <w:tcW w:w="1267" w:type="dxa"/>
            <w:tcBorders>
              <w:top w:val="nil"/>
              <w:left w:val="nil"/>
              <w:bottom w:val="nil"/>
              <w:right w:val="nil"/>
            </w:tcBorders>
            <w:shd w:val="clear" w:color="auto" w:fill="auto"/>
            <w:vAlign w:val="center"/>
            <w:hideMark/>
          </w:tcPr>
          <w:p w:rsidR="00376333" w:rsidRPr="007128CB" w:rsidRDefault="00376333" w:rsidP="006D69D3">
            <w:pPr>
              <w:spacing w:line="240" w:lineRule="auto"/>
              <w:rPr>
                <w:b/>
                <w:bCs/>
                <w:sz w:val="18"/>
                <w:szCs w:val="18"/>
              </w:rPr>
            </w:pPr>
          </w:p>
        </w:tc>
        <w:tc>
          <w:tcPr>
            <w:tcW w:w="89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89" w:type="dxa"/>
            <w:gridSpan w:val="2"/>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89" w:type="dxa"/>
            <w:gridSpan w:val="2"/>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240" w:type="dxa"/>
            <w:gridSpan w:val="3"/>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00" w:type="dxa"/>
            <w:gridSpan w:val="2"/>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89" w:type="dxa"/>
            <w:gridSpan w:val="2"/>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89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c>
          <w:tcPr>
            <w:tcW w:w="989" w:type="dxa"/>
            <w:tcBorders>
              <w:top w:val="nil"/>
              <w:left w:val="nil"/>
              <w:bottom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8"/>
                <w:szCs w:val="18"/>
              </w:rPr>
            </w:pPr>
          </w:p>
        </w:tc>
      </w:tr>
      <w:tr w:rsidR="00376333" w:rsidRPr="007128CB" w:rsidTr="00376333">
        <w:trPr>
          <w:trHeight w:val="300"/>
          <w:jc w:val="center"/>
        </w:trPr>
        <w:tc>
          <w:tcPr>
            <w:tcW w:w="1267" w:type="dxa"/>
            <w:tcBorders>
              <w:top w:val="nil"/>
              <w:left w:val="nil"/>
              <w:right w:val="nil"/>
            </w:tcBorders>
            <w:shd w:val="clear" w:color="auto" w:fill="auto"/>
            <w:vAlign w:val="center"/>
            <w:hideMark/>
          </w:tcPr>
          <w:p w:rsidR="00376333" w:rsidRPr="007128CB" w:rsidRDefault="00376333" w:rsidP="006D69D3">
            <w:pPr>
              <w:spacing w:line="240" w:lineRule="auto"/>
              <w:rPr>
                <w:b/>
                <w:bCs/>
                <w:i/>
                <w:iCs/>
                <w:sz w:val="18"/>
                <w:szCs w:val="18"/>
              </w:rPr>
            </w:pPr>
            <w:r>
              <w:rPr>
                <w:b/>
                <w:bCs/>
                <w:i/>
                <w:iCs/>
                <w:sz w:val="18"/>
                <w:szCs w:val="18"/>
              </w:rPr>
              <w:t>No.</w:t>
            </w:r>
            <w:r w:rsidRPr="007128CB">
              <w:rPr>
                <w:b/>
                <w:bCs/>
                <w:i/>
                <w:iCs/>
                <w:sz w:val="18"/>
                <w:szCs w:val="18"/>
              </w:rPr>
              <w:t xml:space="preserve"> </w:t>
            </w:r>
            <w:r>
              <w:rPr>
                <w:b/>
                <w:bCs/>
                <w:i/>
                <w:iCs/>
                <w:sz w:val="18"/>
                <w:szCs w:val="18"/>
              </w:rPr>
              <w:t>Obs.</w:t>
            </w:r>
          </w:p>
        </w:tc>
        <w:tc>
          <w:tcPr>
            <w:tcW w:w="89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15,432</w:t>
            </w:r>
          </w:p>
        </w:tc>
        <w:tc>
          <w:tcPr>
            <w:tcW w:w="98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15,432</w:t>
            </w:r>
          </w:p>
        </w:tc>
        <w:tc>
          <w:tcPr>
            <w:tcW w:w="89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15,432</w:t>
            </w:r>
          </w:p>
        </w:tc>
        <w:tc>
          <w:tcPr>
            <w:tcW w:w="989" w:type="dxa"/>
            <w:gridSpan w:val="2"/>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16,488</w:t>
            </w:r>
          </w:p>
        </w:tc>
        <w:tc>
          <w:tcPr>
            <w:tcW w:w="89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16,488</w:t>
            </w:r>
          </w:p>
        </w:tc>
        <w:tc>
          <w:tcPr>
            <w:tcW w:w="989" w:type="dxa"/>
            <w:gridSpan w:val="2"/>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16,488</w:t>
            </w:r>
          </w:p>
        </w:tc>
        <w:tc>
          <w:tcPr>
            <w:tcW w:w="240" w:type="dxa"/>
            <w:gridSpan w:val="3"/>
            <w:tcBorders>
              <w:top w:val="nil"/>
              <w:left w:val="nil"/>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9"/>
                <w:szCs w:val="19"/>
              </w:rPr>
            </w:pPr>
          </w:p>
        </w:tc>
        <w:tc>
          <w:tcPr>
            <w:tcW w:w="900" w:type="dxa"/>
            <w:gridSpan w:val="2"/>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14,027</w:t>
            </w:r>
          </w:p>
        </w:tc>
        <w:tc>
          <w:tcPr>
            <w:tcW w:w="98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14,027</w:t>
            </w:r>
          </w:p>
        </w:tc>
        <w:tc>
          <w:tcPr>
            <w:tcW w:w="89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14,027</w:t>
            </w:r>
          </w:p>
        </w:tc>
        <w:tc>
          <w:tcPr>
            <w:tcW w:w="989" w:type="dxa"/>
            <w:gridSpan w:val="2"/>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15,019</w:t>
            </w:r>
          </w:p>
        </w:tc>
        <w:tc>
          <w:tcPr>
            <w:tcW w:w="89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15,019</w:t>
            </w:r>
          </w:p>
        </w:tc>
        <w:tc>
          <w:tcPr>
            <w:tcW w:w="989" w:type="dxa"/>
            <w:tcBorders>
              <w:top w:val="nil"/>
              <w:left w:val="nil"/>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15,019</w:t>
            </w:r>
          </w:p>
        </w:tc>
      </w:tr>
      <w:tr w:rsidR="00376333" w:rsidRPr="007128CB" w:rsidTr="003973D5">
        <w:trPr>
          <w:trHeight w:val="315"/>
          <w:jc w:val="center"/>
        </w:trPr>
        <w:tc>
          <w:tcPr>
            <w:tcW w:w="1267" w:type="dxa"/>
            <w:tcBorders>
              <w:top w:val="nil"/>
              <w:left w:val="nil"/>
              <w:bottom w:val="double" w:sz="4" w:space="0" w:color="auto"/>
              <w:right w:val="nil"/>
            </w:tcBorders>
            <w:shd w:val="clear" w:color="auto" w:fill="auto"/>
            <w:vAlign w:val="center"/>
            <w:hideMark/>
          </w:tcPr>
          <w:p w:rsidR="00376333" w:rsidRPr="004C6CEF" w:rsidRDefault="00376333" w:rsidP="006D69D3">
            <w:pPr>
              <w:spacing w:line="240" w:lineRule="auto"/>
              <w:rPr>
                <w:b/>
                <w:bCs/>
                <w:i/>
                <w:iCs/>
                <w:sz w:val="18"/>
                <w:szCs w:val="18"/>
                <w:vertAlign w:val="superscript"/>
              </w:rPr>
            </w:pPr>
            <w:r>
              <w:rPr>
                <w:b/>
                <w:bCs/>
                <w:i/>
                <w:iCs/>
                <w:sz w:val="18"/>
                <w:szCs w:val="18"/>
              </w:rPr>
              <w:t>Adj. R</w:t>
            </w:r>
            <w:r>
              <w:rPr>
                <w:b/>
                <w:bCs/>
                <w:i/>
                <w:iCs/>
                <w:sz w:val="18"/>
                <w:szCs w:val="18"/>
                <w:vertAlign w:val="superscript"/>
              </w:rPr>
              <w:t>2</w:t>
            </w:r>
          </w:p>
        </w:tc>
        <w:tc>
          <w:tcPr>
            <w:tcW w:w="89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10.60%</w:t>
            </w:r>
          </w:p>
        </w:tc>
        <w:tc>
          <w:tcPr>
            <w:tcW w:w="98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9.23%</w:t>
            </w:r>
          </w:p>
        </w:tc>
        <w:tc>
          <w:tcPr>
            <w:tcW w:w="89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10.67%</w:t>
            </w:r>
          </w:p>
        </w:tc>
        <w:tc>
          <w:tcPr>
            <w:tcW w:w="989" w:type="dxa"/>
            <w:gridSpan w:val="2"/>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14.13%</w:t>
            </w:r>
          </w:p>
        </w:tc>
        <w:tc>
          <w:tcPr>
            <w:tcW w:w="89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13.68%</w:t>
            </w:r>
          </w:p>
        </w:tc>
        <w:tc>
          <w:tcPr>
            <w:tcW w:w="989" w:type="dxa"/>
            <w:gridSpan w:val="2"/>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14.27%</w:t>
            </w:r>
          </w:p>
        </w:tc>
        <w:tc>
          <w:tcPr>
            <w:tcW w:w="240" w:type="dxa"/>
            <w:gridSpan w:val="3"/>
            <w:tcBorders>
              <w:top w:val="nil"/>
              <w:left w:val="nil"/>
              <w:bottom w:val="double" w:sz="4" w:space="0" w:color="auto"/>
              <w:right w:val="nil"/>
            </w:tcBorders>
            <w:shd w:val="clear" w:color="auto" w:fill="auto"/>
            <w:noWrap/>
            <w:vAlign w:val="bottom"/>
            <w:hideMark/>
          </w:tcPr>
          <w:p w:rsidR="00376333" w:rsidRPr="007128CB" w:rsidRDefault="00376333" w:rsidP="006D69D3">
            <w:pPr>
              <w:spacing w:line="240" w:lineRule="auto"/>
              <w:rPr>
                <w:rFonts w:ascii="Calibri" w:hAnsi="Calibri"/>
                <w:color w:val="000000"/>
                <w:sz w:val="19"/>
                <w:szCs w:val="19"/>
              </w:rPr>
            </w:pPr>
          </w:p>
        </w:tc>
        <w:tc>
          <w:tcPr>
            <w:tcW w:w="900" w:type="dxa"/>
            <w:gridSpan w:val="2"/>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10.24%</w:t>
            </w:r>
          </w:p>
        </w:tc>
        <w:tc>
          <w:tcPr>
            <w:tcW w:w="98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8.76%</w:t>
            </w:r>
          </w:p>
        </w:tc>
        <w:tc>
          <w:tcPr>
            <w:tcW w:w="89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10.30%</w:t>
            </w:r>
          </w:p>
        </w:tc>
        <w:tc>
          <w:tcPr>
            <w:tcW w:w="989" w:type="dxa"/>
            <w:gridSpan w:val="2"/>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13.73%</w:t>
            </w:r>
          </w:p>
        </w:tc>
        <w:tc>
          <w:tcPr>
            <w:tcW w:w="89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13.26%</w:t>
            </w:r>
          </w:p>
        </w:tc>
        <w:tc>
          <w:tcPr>
            <w:tcW w:w="989" w:type="dxa"/>
            <w:tcBorders>
              <w:top w:val="nil"/>
              <w:left w:val="nil"/>
              <w:bottom w:val="double" w:sz="4" w:space="0" w:color="auto"/>
              <w:right w:val="nil"/>
            </w:tcBorders>
            <w:shd w:val="clear" w:color="auto" w:fill="auto"/>
            <w:noWrap/>
            <w:vAlign w:val="center"/>
            <w:hideMark/>
          </w:tcPr>
          <w:p w:rsidR="00376333" w:rsidRPr="007128CB" w:rsidRDefault="00376333" w:rsidP="006D69D3">
            <w:pPr>
              <w:spacing w:line="240" w:lineRule="auto"/>
              <w:jc w:val="center"/>
              <w:rPr>
                <w:sz w:val="19"/>
                <w:szCs w:val="19"/>
              </w:rPr>
            </w:pPr>
            <w:r w:rsidRPr="007128CB">
              <w:rPr>
                <w:sz w:val="19"/>
                <w:szCs w:val="19"/>
              </w:rPr>
              <w:t>13.86%</w:t>
            </w:r>
          </w:p>
        </w:tc>
      </w:tr>
      <w:tr w:rsidR="00B53A60" w:rsidRPr="007128CB" w:rsidTr="003973D5">
        <w:trPr>
          <w:trHeight w:val="315"/>
          <w:jc w:val="center"/>
        </w:trPr>
        <w:tc>
          <w:tcPr>
            <w:tcW w:w="12836" w:type="dxa"/>
            <w:gridSpan w:val="20"/>
            <w:tcBorders>
              <w:top w:val="double" w:sz="4" w:space="0" w:color="auto"/>
              <w:left w:val="nil"/>
              <w:bottom w:val="nil"/>
              <w:right w:val="nil"/>
            </w:tcBorders>
            <w:shd w:val="clear" w:color="auto" w:fill="auto"/>
            <w:vAlign w:val="center"/>
          </w:tcPr>
          <w:p w:rsidR="00B53A60" w:rsidRPr="007128CB" w:rsidRDefault="00B53A60" w:rsidP="00B53A60">
            <w:pPr>
              <w:spacing w:line="240" w:lineRule="auto"/>
              <w:rPr>
                <w:sz w:val="20"/>
                <w:szCs w:val="20"/>
              </w:rPr>
            </w:pPr>
            <w:r w:rsidRPr="007128CB">
              <w:rPr>
                <w:sz w:val="20"/>
                <w:szCs w:val="20"/>
              </w:rPr>
              <w:t>This table presents the estimation of equation (6)</w:t>
            </w:r>
            <w:r w:rsidR="003973D5">
              <w:rPr>
                <w:sz w:val="20"/>
                <w:szCs w:val="20"/>
              </w:rPr>
              <w:t>.</w:t>
            </w:r>
            <w:r w:rsidRPr="007128CB">
              <w:rPr>
                <w:sz w:val="20"/>
                <w:szCs w:val="20"/>
              </w:rPr>
              <w:t xml:space="preserve"> </w:t>
            </w:r>
            <w:r w:rsidR="003973D5">
              <w:rPr>
                <w:sz w:val="20"/>
                <w:szCs w:val="20"/>
              </w:rPr>
              <w:t xml:space="preserve"> </w:t>
            </w:r>
            <w:r w:rsidRPr="007128CB">
              <w:rPr>
                <w:sz w:val="20"/>
                <w:szCs w:val="20"/>
              </w:rPr>
              <w:t>Variables are defined in appendix B.  Panel A presents estimations for multi-segment firms.  Panel B presents estimations for single segment firms.  Equation (6) is estimated first with all firm years, regressions 1-6, then with firm years post ASC 280 to hold constant the reporting regime, regressions 7-12.  Coefficients are presented on top and t-statistics below in parentheses.  All regressions are estimated using two-way clustering by firm and year.</w:t>
            </w:r>
          </w:p>
          <w:p w:rsidR="00B53A60" w:rsidRPr="007128CB" w:rsidRDefault="00B53A60" w:rsidP="00B53A60">
            <w:pPr>
              <w:spacing w:line="240" w:lineRule="auto"/>
              <w:rPr>
                <w:sz w:val="19"/>
                <w:szCs w:val="19"/>
              </w:rPr>
            </w:pPr>
            <w:r w:rsidRPr="007128CB">
              <w:rPr>
                <w:sz w:val="20"/>
                <w:szCs w:val="20"/>
              </w:rPr>
              <w:t>Significance: *** p-value &lt; 0.01, ** p-value &lt; 0.05, and * p-value &lt;0.1</w:t>
            </w:r>
          </w:p>
        </w:tc>
      </w:tr>
    </w:tbl>
    <w:p w:rsidR="002B3E20" w:rsidRDefault="002B3E20" w:rsidP="00AA0B13"/>
    <w:p w:rsidR="002B3E20" w:rsidRDefault="002B3E20">
      <w:pPr>
        <w:spacing w:line="240" w:lineRule="auto"/>
      </w:pPr>
      <w:r>
        <w:br w:type="page"/>
      </w:r>
    </w:p>
    <w:tbl>
      <w:tblPr>
        <w:tblW w:w="13112" w:type="dxa"/>
        <w:jc w:val="center"/>
        <w:tblInd w:w="93" w:type="dxa"/>
        <w:tblLook w:val="04A0" w:firstRow="1" w:lastRow="0" w:firstColumn="1" w:lastColumn="0" w:noHBand="0" w:noVBand="1"/>
      </w:tblPr>
      <w:tblGrid>
        <w:gridCol w:w="1307"/>
        <w:gridCol w:w="166"/>
        <w:gridCol w:w="753"/>
        <w:gridCol w:w="1009"/>
        <w:gridCol w:w="919"/>
        <w:gridCol w:w="98"/>
        <w:gridCol w:w="911"/>
        <w:gridCol w:w="919"/>
        <w:gridCol w:w="949"/>
        <w:gridCol w:w="60"/>
        <w:gridCol w:w="176"/>
        <w:gridCol w:w="60"/>
        <w:gridCol w:w="919"/>
        <w:gridCol w:w="1009"/>
        <w:gridCol w:w="892"/>
        <w:gridCol w:w="27"/>
        <w:gridCol w:w="1010"/>
        <w:gridCol w:w="919"/>
        <w:gridCol w:w="1009"/>
      </w:tblGrid>
      <w:tr w:rsidR="002B3E20" w:rsidRPr="007128CB" w:rsidTr="006D69D3">
        <w:trPr>
          <w:trHeight w:val="300"/>
          <w:jc w:val="center"/>
        </w:trPr>
        <w:tc>
          <w:tcPr>
            <w:tcW w:w="13112" w:type="dxa"/>
            <w:gridSpan w:val="19"/>
            <w:tcBorders>
              <w:top w:val="double" w:sz="4" w:space="0" w:color="auto"/>
              <w:left w:val="nil"/>
              <w:bottom w:val="single" w:sz="12" w:space="0" w:color="auto"/>
              <w:right w:val="nil"/>
            </w:tcBorders>
            <w:shd w:val="clear" w:color="auto" w:fill="auto"/>
            <w:vAlign w:val="center"/>
            <w:hideMark/>
          </w:tcPr>
          <w:p w:rsidR="002B3E20" w:rsidRPr="007128CB" w:rsidRDefault="002B3E20" w:rsidP="006D69D3">
            <w:pPr>
              <w:spacing w:line="240" w:lineRule="auto"/>
              <w:jc w:val="center"/>
              <w:rPr>
                <w:b/>
                <w:i/>
              </w:rPr>
            </w:pPr>
            <w:r w:rsidRPr="007128CB">
              <w:rPr>
                <w:b/>
              </w:rPr>
              <w:lastRenderedPageBreak/>
              <w:t>Table 5</w:t>
            </w:r>
          </w:p>
          <w:p w:rsidR="002B3E20" w:rsidRPr="007128CB" w:rsidRDefault="002B3E20" w:rsidP="006D69D3">
            <w:pPr>
              <w:spacing w:line="240" w:lineRule="auto"/>
              <w:jc w:val="center"/>
              <w:rPr>
                <w:b/>
                <w:bCs/>
              </w:rPr>
            </w:pPr>
            <w:r w:rsidRPr="007128CB">
              <w:rPr>
                <w:b/>
                <w:i/>
              </w:rPr>
              <w:t>Regressions of ExVal on Segment Reporting Differentiation &amp; Controls for Firms with and without a Change in Segments</w:t>
            </w:r>
          </w:p>
        </w:tc>
      </w:tr>
      <w:tr w:rsidR="002B3E20" w:rsidRPr="007128CB" w:rsidTr="006D69D3">
        <w:trPr>
          <w:trHeight w:val="315"/>
          <w:jc w:val="center"/>
        </w:trPr>
        <w:tc>
          <w:tcPr>
            <w:tcW w:w="13112" w:type="dxa"/>
            <w:gridSpan w:val="19"/>
            <w:tcBorders>
              <w:top w:val="nil"/>
              <w:left w:val="nil"/>
              <w:bottom w:val="single" w:sz="4" w:space="0" w:color="auto"/>
              <w:right w:val="nil"/>
            </w:tcBorders>
            <w:shd w:val="clear" w:color="auto" w:fill="auto"/>
            <w:vAlign w:val="center"/>
          </w:tcPr>
          <w:p w:rsidR="002B3E20" w:rsidRPr="007128CB" w:rsidRDefault="002B3E20" w:rsidP="006D69D3">
            <w:pPr>
              <w:spacing w:line="240" w:lineRule="auto"/>
              <w:rPr>
                <w:b/>
              </w:rPr>
            </w:pPr>
            <w:r w:rsidRPr="007128CB">
              <w:rPr>
                <w:b/>
              </w:rPr>
              <w:t>Panel A: No Change in Segment Reporting</w:t>
            </w:r>
          </w:p>
        </w:tc>
      </w:tr>
      <w:tr w:rsidR="002B3E20" w:rsidRPr="004C5EDD" w:rsidTr="006D69D3">
        <w:trPr>
          <w:trHeight w:val="315"/>
          <w:jc w:val="center"/>
        </w:trPr>
        <w:tc>
          <w:tcPr>
            <w:tcW w:w="1473" w:type="dxa"/>
            <w:gridSpan w:val="2"/>
            <w:tcBorders>
              <w:top w:val="single" w:sz="4" w:space="0" w:color="auto"/>
              <w:left w:val="nil"/>
              <w:right w:val="nil"/>
            </w:tcBorders>
            <w:shd w:val="clear" w:color="auto" w:fill="auto"/>
            <w:vAlign w:val="center"/>
            <w:hideMark/>
          </w:tcPr>
          <w:p w:rsidR="002B3E20" w:rsidRPr="004C5EDD" w:rsidRDefault="002B3E20" w:rsidP="006D69D3">
            <w:pPr>
              <w:spacing w:line="240" w:lineRule="auto"/>
              <w:rPr>
                <w:b/>
                <w:bCs/>
                <w:i/>
                <w:iCs/>
              </w:rPr>
            </w:pPr>
            <w:r w:rsidRPr="004C5EDD">
              <w:rPr>
                <w:b/>
                <w:bCs/>
                <w:i/>
                <w:iCs/>
              </w:rPr>
              <w:t> </w:t>
            </w:r>
          </w:p>
        </w:tc>
        <w:tc>
          <w:tcPr>
            <w:tcW w:w="5618" w:type="dxa"/>
            <w:gridSpan w:val="8"/>
            <w:tcBorders>
              <w:top w:val="single" w:sz="4" w:space="0" w:color="auto"/>
              <w:left w:val="nil"/>
              <w:right w:val="nil"/>
            </w:tcBorders>
            <w:shd w:val="clear" w:color="auto" w:fill="auto"/>
            <w:noWrap/>
            <w:vAlign w:val="center"/>
            <w:hideMark/>
          </w:tcPr>
          <w:p w:rsidR="002B3E20" w:rsidRPr="004C5EDD" w:rsidRDefault="002B3E20" w:rsidP="006D69D3">
            <w:pPr>
              <w:spacing w:line="240" w:lineRule="auto"/>
              <w:jc w:val="center"/>
              <w:rPr>
                <w:b/>
              </w:rPr>
            </w:pPr>
            <w:r>
              <w:rPr>
                <w:b/>
              </w:rPr>
              <w:t>Single Segment Firms</w:t>
            </w:r>
          </w:p>
        </w:tc>
        <w:tc>
          <w:tcPr>
            <w:tcW w:w="236" w:type="dxa"/>
            <w:gridSpan w:val="2"/>
            <w:tcBorders>
              <w:top w:val="single" w:sz="4" w:space="0" w:color="auto"/>
              <w:left w:val="nil"/>
              <w:right w:val="nil"/>
            </w:tcBorders>
            <w:shd w:val="clear" w:color="auto" w:fill="auto"/>
            <w:noWrap/>
            <w:vAlign w:val="bottom"/>
            <w:hideMark/>
          </w:tcPr>
          <w:p w:rsidR="002B3E20" w:rsidRPr="004C5EDD" w:rsidRDefault="002B3E20" w:rsidP="006D69D3">
            <w:pPr>
              <w:spacing w:line="240" w:lineRule="auto"/>
              <w:jc w:val="center"/>
              <w:rPr>
                <w:rFonts w:ascii="Calibri" w:hAnsi="Calibri"/>
                <w:b/>
                <w:color w:val="000000"/>
              </w:rPr>
            </w:pPr>
          </w:p>
        </w:tc>
        <w:tc>
          <w:tcPr>
            <w:tcW w:w="5785" w:type="dxa"/>
            <w:gridSpan w:val="7"/>
            <w:tcBorders>
              <w:top w:val="single" w:sz="4" w:space="0" w:color="auto"/>
              <w:left w:val="nil"/>
              <w:right w:val="nil"/>
            </w:tcBorders>
            <w:shd w:val="clear" w:color="auto" w:fill="auto"/>
            <w:noWrap/>
            <w:vAlign w:val="center"/>
            <w:hideMark/>
          </w:tcPr>
          <w:p w:rsidR="002B3E20" w:rsidRPr="004C5EDD" w:rsidRDefault="002B3E20" w:rsidP="006D69D3">
            <w:pPr>
              <w:spacing w:line="240" w:lineRule="auto"/>
              <w:jc w:val="center"/>
              <w:rPr>
                <w:b/>
              </w:rPr>
            </w:pPr>
            <w:r>
              <w:rPr>
                <w:b/>
              </w:rPr>
              <w:t>Multi-Segment Firms</w:t>
            </w:r>
          </w:p>
        </w:tc>
      </w:tr>
      <w:tr w:rsidR="002B3E20" w:rsidRPr="007128CB" w:rsidTr="006D69D3">
        <w:trPr>
          <w:trHeight w:val="300"/>
          <w:jc w:val="center"/>
        </w:trPr>
        <w:tc>
          <w:tcPr>
            <w:tcW w:w="1473" w:type="dxa"/>
            <w:gridSpan w:val="2"/>
            <w:tcBorders>
              <w:left w:val="nil"/>
              <w:bottom w:val="nil"/>
              <w:right w:val="nil"/>
            </w:tcBorders>
            <w:shd w:val="clear" w:color="auto" w:fill="auto"/>
            <w:vAlign w:val="center"/>
          </w:tcPr>
          <w:p w:rsidR="002B3E20" w:rsidRPr="007128CB" w:rsidRDefault="002B3E20" w:rsidP="006D69D3">
            <w:pPr>
              <w:spacing w:line="240" w:lineRule="auto"/>
              <w:rPr>
                <w:b/>
                <w:bCs/>
                <w:i/>
                <w:iCs/>
              </w:rPr>
            </w:pPr>
          </w:p>
        </w:tc>
        <w:tc>
          <w:tcPr>
            <w:tcW w:w="2779" w:type="dxa"/>
            <w:gridSpan w:val="4"/>
            <w:tcBorders>
              <w:top w:val="nil"/>
              <w:left w:val="nil"/>
              <w:bottom w:val="single" w:sz="4" w:space="0" w:color="auto"/>
              <w:right w:val="nil"/>
            </w:tcBorders>
            <w:shd w:val="clear" w:color="auto" w:fill="auto"/>
            <w:noWrap/>
            <w:vAlign w:val="center"/>
          </w:tcPr>
          <w:p w:rsidR="002B3E20" w:rsidRPr="007128CB" w:rsidRDefault="002B3E20" w:rsidP="006D69D3">
            <w:pPr>
              <w:spacing w:line="240" w:lineRule="auto"/>
              <w:jc w:val="center"/>
              <w:rPr>
                <w:b/>
                <w:i/>
              </w:rPr>
            </w:pPr>
            <w:r w:rsidRPr="007128CB">
              <w:rPr>
                <w:b/>
                <w:i/>
              </w:rPr>
              <w:t>ExVal</w:t>
            </w:r>
            <w:r w:rsidRPr="007128CB">
              <w:rPr>
                <w:b/>
                <w:i/>
                <w:vertAlign w:val="subscript"/>
              </w:rPr>
              <w:t>Rev</w:t>
            </w:r>
          </w:p>
        </w:tc>
        <w:tc>
          <w:tcPr>
            <w:tcW w:w="2779" w:type="dxa"/>
            <w:gridSpan w:val="3"/>
            <w:tcBorders>
              <w:top w:val="nil"/>
              <w:left w:val="nil"/>
              <w:bottom w:val="single" w:sz="4" w:space="0" w:color="auto"/>
              <w:right w:val="nil"/>
            </w:tcBorders>
            <w:shd w:val="clear" w:color="auto" w:fill="auto"/>
            <w:noWrap/>
            <w:vAlign w:val="center"/>
          </w:tcPr>
          <w:p w:rsidR="002B3E20" w:rsidRPr="007128CB" w:rsidRDefault="002B3E20" w:rsidP="006D69D3">
            <w:pPr>
              <w:spacing w:line="240" w:lineRule="auto"/>
              <w:jc w:val="center"/>
              <w:rPr>
                <w:b/>
                <w:i/>
              </w:rPr>
            </w:pPr>
            <w:r w:rsidRPr="007128CB">
              <w:rPr>
                <w:b/>
                <w:i/>
              </w:rPr>
              <w:t>ExVal</w:t>
            </w:r>
            <w:r w:rsidRPr="007128CB">
              <w:rPr>
                <w:b/>
                <w:i/>
                <w:vertAlign w:val="subscript"/>
              </w:rPr>
              <w:t>AT</w:t>
            </w:r>
          </w:p>
        </w:tc>
        <w:tc>
          <w:tcPr>
            <w:tcW w:w="236" w:type="dxa"/>
            <w:gridSpan w:val="2"/>
            <w:tcBorders>
              <w:top w:val="nil"/>
              <w:left w:val="nil"/>
              <w:right w:val="nil"/>
            </w:tcBorders>
            <w:shd w:val="clear" w:color="auto" w:fill="auto"/>
            <w:noWrap/>
            <w:vAlign w:val="bottom"/>
          </w:tcPr>
          <w:p w:rsidR="002B3E20" w:rsidRPr="007128CB" w:rsidRDefault="002B3E20" w:rsidP="006D69D3">
            <w:pPr>
              <w:spacing w:line="240" w:lineRule="auto"/>
              <w:jc w:val="center"/>
              <w:rPr>
                <w:rFonts w:ascii="Calibri" w:hAnsi="Calibri"/>
                <w:b/>
                <w:i/>
                <w:color w:val="000000"/>
              </w:rPr>
            </w:pPr>
          </w:p>
        </w:tc>
        <w:tc>
          <w:tcPr>
            <w:tcW w:w="2880" w:type="dxa"/>
            <w:gridSpan w:val="4"/>
            <w:tcBorders>
              <w:top w:val="nil"/>
              <w:left w:val="nil"/>
              <w:bottom w:val="single" w:sz="4" w:space="0" w:color="auto"/>
              <w:right w:val="nil"/>
            </w:tcBorders>
            <w:shd w:val="clear" w:color="auto" w:fill="auto"/>
            <w:noWrap/>
            <w:vAlign w:val="center"/>
          </w:tcPr>
          <w:p w:rsidR="002B3E20" w:rsidRPr="007128CB" w:rsidRDefault="002B3E20" w:rsidP="006D69D3">
            <w:pPr>
              <w:spacing w:line="240" w:lineRule="auto"/>
              <w:jc w:val="center"/>
              <w:rPr>
                <w:b/>
                <w:i/>
              </w:rPr>
            </w:pPr>
            <w:r w:rsidRPr="007128CB">
              <w:rPr>
                <w:b/>
                <w:i/>
              </w:rPr>
              <w:t>ExVal</w:t>
            </w:r>
            <w:r w:rsidRPr="007128CB">
              <w:rPr>
                <w:b/>
                <w:i/>
                <w:vertAlign w:val="subscript"/>
              </w:rPr>
              <w:t>Rev</w:t>
            </w:r>
          </w:p>
        </w:tc>
        <w:tc>
          <w:tcPr>
            <w:tcW w:w="2965" w:type="dxa"/>
            <w:gridSpan w:val="4"/>
            <w:tcBorders>
              <w:top w:val="nil"/>
              <w:left w:val="nil"/>
              <w:bottom w:val="single" w:sz="4" w:space="0" w:color="auto"/>
              <w:right w:val="nil"/>
            </w:tcBorders>
            <w:shd w:val="clear" w:color="auto" w:fill="auto"/>
            <w:noWrap/>
            <w:vAlign w:val="center"/>
          </w:tcPr>
          <w:p w:rsidR="002B3E20" w:rsidRPr="007128CB" w:rsidRDefault="002B3E20" w:rsidP="006D69D3">
            <w:pPr>
              <w:spacing w:line="240" w:lineRule="auto"/>
              <w:jc w:val="center"/>
              <w:rPr>
                <w:b/>
                <w:i/>
              </w:rPr>
            </w:pPr>
            <w:r w:rsidRPr="007128CB">
              <w:rPr>
                <w:b/>
                <w:i/>
              </w:rPr>
              <w:t>ExVal</w:t>
            </w:r>
            <w:r w:rsidRPr="007128CB">
              <w:rPr>
                <w:b/>
                <w:i/>
                <w:vertAlign w:val="subscript"/>
              </w:rPr>
              <w:t>AT</w:t>
            </w:r>
          </w:p>
        </w:tc>
      </w:tr>
      <w:tr w:rsidR="002B3E20" w:rsidRPr="007128CB" w:rsidTr="006D69D3">
        <w:trPr>
          <w:trHeight w:val="300"/>
          <w:jc w:val="center"/>
        </w:trPr>
        <w:tc>
          <w:tcPr>
            <w:tcW w:w="1307" w:type="dxa"/>
            <w:tcBorders>
              <w:top w:val="nil"/>
              <w:left w:val="nil"/>
              <w:bottom w:val="single" w:sz="4" w:space="0" w:color="000000"/>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 </w:t>
            </w:r>
          </w:p>
        </w:tc>
        <w:tc>
          <w:tcPr>
            <w:tcW w:w="919" w:type="dxa"/>
            <w:gridSpan w:val="2"/>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(1)</w:t>
            </w:r>
          </w:p>
        </w:tc>
        <w:tc>
          <w:tcPr>
            <w:tcW w:w="1009" w:type="dxa"/>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(2)</w:t>
            </w:r>
          </w:p>
        </w:tc>
        <w:tc>
          <w:tcPr>
            <w:tcW w:w="919" w:type="dxa"/>
            <w:tcBorders>
              <w:top w:val="nil"/>
              <w:left w:val="nil"/>
              <w:bottom w:val="single" w:sz="4" w:space="0" w:color="000000"/>
              <w:right w:val="single" w:sz="4" w:space="0" w:color="auto"/>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(3)</w:t>
            </w:r>
          </w:p>
        </w:tc>
        <w:tc>
          <w:tcPr>
            <w:tcW w:w="1009" w:type="dxa"/>
            <w:gridSpan w:val="2"/>
            <w:tcBorders>
              <w:top w:val="nil"/>
              <w:left w:val="single" w:sz="4" w:space="0" w:color="auto"/>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(4)</w:t>
            </w:r>
          </w:p>
        </w:tc>
        <w:tc>
          <w:tcPr>
            <w:tcW w:w="919" w:type="dxa"/>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(5)</w:t>
            </w:r>
          </w:p>
        </w:tc>
        <w:tc>
          <w:tcPr>
            <w:tcW w:w="1009" w:type="dxa"/>
            <w:gridSpan w:val="2"/>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(6)</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spacing w:line="240" w:lineRule="auto"/>
              <w:jc w:val="center"/>
              <w:rPr>
                <w:sz w:val="18"/>
                <w:szCs w:val="18"/>
              </w:rPr>
            </w:pPr>
          </w:p>
        </w:tc>
        <w:tc>
          <w:tcPr>
            <w:tcW w:w="919" w:type="dxa"/>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(7)</w:t>
            </w:r>
          </w:p>
        </w:tc>
        <w:tc>
          <w:tcPr>
            <w:tcW w:w="1009" w:type="dxa"/>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(8)</w:t>
            </w:r>
          </w:p>
        </w:tc>
        <w:tc>
          <w:tcPr>
            <w:tcW w:w="919" w:type="dxa"/>
            <w:gridSpan w:val="2"/>
            <w:tcBorders>
              <w:top w:val="nil"/>
              <w:left w:val="nil"/>
              <w:bottom w:val="single" w:sz="4" w:space="0" w:color="000000"/>
              <w:right w:val="single" w:sz="4" w:space="0" w:color="auto"/>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(9)</w:t>
            </w:r>
          </w:p>
        </w:tc>
        <w:tc>
          <w:tcPr>
            <w:tcW w:w="1010" w:type="dxa"/>
            <w:tcBorders>
              <w:top w:val="nil"/>
              <w:left w:val="single" w:sz="4" w:space="0" w:color="auto"/>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(10)</w:t>
            </w:r>
          </w:p>
        </w:tc>
        <w:tc>
          <w:tcPr>
            <w:tcW w:w="919" w:type="dxa"/>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(11)</w:t>
            </w:r>
          </w:p>
        </w:tc>
        <w:tc>
          <w:tcPr>
            <w:tcW w:w="1009" w:type="dxa"/>
            <w:tcBorders>
              <w:top w:val="nil"/>
              <w:left w:val="nil"/>
              <w:bottom w:val="single" w:sz="4" w:space="0" w:color="000000"/>
              <w:right w:val="nil"/>
            </w:tcBorders>
            <w:shd w:val="clear" w:color="auto" w:fill="auto"/>
            <w:noWrap/>
            <w:vAlign w:val="center"/>
            <w:hideMark/>
          </w:tcPr>
          <w:p w:rsidR="002B3E20" w:rsidRPr="007128CB" w:rsidRDefault="002B3E20" w:rsidP="006D69D3">
            <w:pPr>
              <w:spacing w:line="240" w:lineRule="auto"/>
              <w:jc w:val="center"/>
              <w:rPr>
                <w:sz w:val="18"/>
                <w:szCs w:val="18"/>
              </w:rPr>
            </w:pPr>
            <w:r w:rsidRPr="007128CB">
              <w:rPr>
                <w:sz w:val="18"/>
                <w:szCs w:val="18"/>
              </w:rPr>
              <w:t>(12)</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spacing w:line="240" w:lineRule="auto"/>
              <w:rPr>
                <w:sz w:val="18"/>
                <w:szCs w:val="18"/>
              </w:rPr>
            </w:pP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spacing w:line="240" w:lineRule="auto"/>
              <w:rPr>
                <w:rFonts w:ascii="Calibri" w:hAnsi="Calibri"/>
                <w:color w:val="000000"/>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spacing w:line="240" w:lineRule="auto"/>
              <w:rPr>
                <w:sz w:val="18"/>
                <w:szCs w:val="18"/>
              </w:rPr>
            </w:pP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spacing w:line="240" w:lineRule="auto"/>
              <w:rPr>
                <w:sz w:val="18"/>
                <w:szCs w:val="18"/>
              </w:rPr>
            </w:pP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Post</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-0.006</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-0.01</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-0.027</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-0.05</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-0.046</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195"/>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-0.04</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0.035</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-0.029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-0.001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(-0.135)</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195"/>
              </w:tabs>
              <w:spacing w:line="240" w:lineRule="auto"/>
              <w:rPr>
                <w:sz w:val="18"/>
                <w:szCs w:val="18"/>
              </w:rPr>
            </w:pPr>
            <w:r w:rsidRPr="007128CB">
              <w:rPr>
                <w:sz w:val="18"/>
                <w:szCs w:val="18"/>
              </w:rPr>
              <w:t>(-0.14)</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(-0.565)</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(-0.82)</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(-0.809)</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(-0.76)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(0.831)</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(-0.458)</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(-0.023)</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FFDIFF</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0.25***</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0.189***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0.197***</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-0.14</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0.036</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-0.020</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(4.75)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(3.53)</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(5.809)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(4.456)</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(-1.53)</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(0.438)</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(-0.279)</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Post*FFDIFF</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0.00</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0.045*</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0.001</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0.07</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0.15</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0.007</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0.045</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(0.51)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(0.01)</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(1.694)</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(0.028)</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(0.71)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(1.18)</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(0.055)</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(0.318)</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PFDIFF</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0.175*</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-0.034</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0.224</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0.29**</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0.296***</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(1.691)</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(0.20)</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(0.73)</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(-0.259)</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(1.561)</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(2.10)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(2.50)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(2.822)</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Post*PFDIFF</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0.102</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0.10</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0.20</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0.199</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-0.272***</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-0.35**</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-0.19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-0.213</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(1.047)</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(0.72)</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(1.64)</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(1.423)</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(-3.192)</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(-2.46)</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(-1.51)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b/>
                <w:sz w:val="18"/>
                <w:szCs w:val="18"/>
              </w:rPr>
            </w:pPr>
            <w:r w:rsidRPr="007128CB">
              <w:rPr>
                <w:b/>
                <w:sz w:val="18"/>
                <w:szCs w:val="18"/>
              </w:rPr>
              <w:t>(-1.350)</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NumSeg</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-0.050*</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-0.04</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-0.04</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-0.039</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(-1.57)</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(-1.750)</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(-1.49)</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(-1.216)</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(-1.27)</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(-1.201)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Related</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0.002</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0.018</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(0.049)</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(0.461)</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(0.53)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(0.551)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NumTNICPrs</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0.000</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-0.000</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-0.000</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0.001</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-0.001*</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(1.341)</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(1.51)</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(-0.393)</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(-0.43)</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(-0.303)</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(1.293)</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(1.27)</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(-1.691)</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(-1.51)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(-1.531)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HHI</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0.029</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-0.062</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-0.059</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0.238</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0.25</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-0.074</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-0.088</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(0.308)</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(-0.25)</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(-0.919)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(-0.28)</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(-0.892)</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(1.44)</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(1.400)</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(1.42)</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(-0.498)</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(-0.63)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(-0.617)</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Size</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0.091***</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0.077***</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0.077***</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0.076***</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0.069***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0.07***</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0.070***</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(7.90)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(7.602)</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(7.91)</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(7.511)</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(7.14)</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(7.412)</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(4.22)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(4.134)</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(4.22)</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(4.681)</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(4.70)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(4.670)</w:t>
            </w:r>
          </w:p>
        </w:tc>
      </w:tr>
      <w:tr w:rsidR="002B3E20" w:rsidRPr="007128CB" w:rsidTr="00AC282C">
        <w:trPr>
          <w:trHeight w:val="300"/>
          <w:jc w:val="center"/>
        </w:trPr>
        <w:tc>
          <w:tcPr>
            <w:tcW w:w="1307" w:type="dxa"/>
            <w:tcBorders>
              <w:top w:val="nil"/>
              <w:left w:val="nil"/>
              <w:bottom w:val="nil"/>
              <w:right w:val="nil"/>
            </w:tcBorders>
            <w:shd w:val="clear" w:color="auto" w:fill="auto"/>
            <w:vAlign w:val="center"/>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noWrap/>
            <w:vAlign w:val="bottom"/>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919" w:type="dxa"/>
            <w:gridSpan w:val="2"/>
            <w:tcBorders>
              <w:top w:val="nil"/>
              <w:left w:val="nil"/>
              <w:bottom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10"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r>
      <w:tr w:rsidR="002B3E20" w:rsidRPr="007128CB" w:rsidTr="00AC282C">
        <w:trPr>
          <w:trHeight w:val="300"/>
          <w:jc w:val="center"/>
        </w:trPr>
        <w:tc>
          <w:tcPr>
            <w:tcW w:w="3235" w:type="dxa"/>
            <w:gridSpan w:val="4"/>
            <w:tcBorders>
              <w:top w:val="nil"/>
              <w:left w:val="nil"/>
              <w:bottom w:val="nil"/>
              <w:right w:val="nil"/>
            </w:tcBorders>
            <w:shd w:val="clear" w:color="auto" w:fill="auto"/>
            <w:vAlign w:val="center"/>
          </w:tcPr>
          <w:p w:rsidR="002B3E20" w:rsidRPr="007128CB" w:rsidRDefault="002B3E20" w:rsidP="006D69D3">
            <w:pPr>
              <w:tabs>
                <w:tab w:val="decimal" w:pos="207"/>
              </w:tabs>
              <w:spacing w:line="240" w:lineRule="auto"/>
              <w:rPr>
                <w:sz w:val="18"/>
                <w:szCs w:val="18"/>
              </w:rPr>
            </w:pPr>
            <w:r>
              <w:rPr>
                <w:sz w:val="18"/>
                <w:szCs w:val="18"/>
              </w:rPr>
              <w:lastRenderedPageBreak/>
              <w:t>Table 5 Panel A (</w:t>
            </w:r>
            <w:r>
              <w:rPr>
                <w:i/>
                <w:sz w:val="18"/>
                <w:szCs w:val="18"/>
              </w:rPr>
              <w:t>Continued</w:t>
            </w:r>
            <w:r>
              <w:rPr>
                <w:sz w:val="18"/>
                <w:szCs w:val="18"/>
              </w:rPr>
              <w:t>)</w:t>
            </w:r>
          </w:p>
        </w:tc>
        <w:tc>
          <w:tcPr>
            <w:tcW w:w="919" w:type="dxa"/>
            <w:tcBorders>
              <w:top w:val="nil"/>
              <w:left w:val="nil"/>
              <w:bottom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noWrap/>
            <w:vAlign w:val="bottom"/>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919" w:type="dxa"/>
            <w:gridSpan w:val="2"/>
            <w:tcBorders>
              <w:top w:val="nil"/>
              <w:left w:val="nil"/>
              <w:bottom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10"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2B3E20" w:rsidRPr="007128CB" w:rsidRDefault="002B3E20" w:rsidP="006D69D3">
            <w:pPr>
              <w:tabs>
                <w:tab w:val="decimal" w:pos="207"/>
              </w:tabs>
              <w:spacing w:line="240" w:lineRule="auto"/>
              <w:rPr>
                <w:sz w:val="18"/>
                <w:szCs w:val="18"/>
              </w:rPr>
            </w:pP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PM</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0.194*</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0.338***</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0.34***</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0.334***</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0.479</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0.47</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1.222**</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1.196**</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(1.82)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(1.731)</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(1.79)</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(3.502)</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(3.35)</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(3.410)</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(1.027)</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(1.01)</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(2.410)</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(2.28)</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(2.273)</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Invest</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0.866***</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0.94***</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1.343***</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1.29***</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1.353***</w:t>
            </w:r>
          </w:p>
        </w:tc>
        <w:tc>
          <w:tcPr>
            <w:tcW w:w="236" w:type="dxa"/>
            <w:gridSpan w:val="2"/>
            <w:tcBorders>
              <w:top w:val="nil"/>
              <w:left w:val="nil"/>
              <w:bottom w:val="nil"/>
              <w:right w:val="nil"/>
            </w:tcBorders>
            <w:shd w:val="clear" w:color="auto" w:fill="auto"/>
            <w:noWrap/>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1.83***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1.834***</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1.84***</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1.902***</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1.90***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1.908***</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(5.48)</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(4.869)</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(5.37)</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(8.756)</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(8.08)</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(8.312)</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(4.37)</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(4.423)</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(4.47)</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(5.020)</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(4.99)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(5.080)</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Leverage</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-0.030</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-0.078</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-0.083</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0.001</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-0.021</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-0.04</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-0.044</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(-0.429)</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(-0.30)</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(-1.252)</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(-1.47)</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(-1.374)</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(0.006)</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(-0.107)</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(-0.207)</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SalesGrow</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0.147**</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0.15***</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0.149***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0.14***</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0.147***</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-0.089</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-0.035</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(2.64)</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(2.562)</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(2.59)</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(3.963)</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(3.96)</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(3.977)</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(-1.37)</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(-1.390)</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(-1.56)</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(-0.594)</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(-0.75)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(-0.752)</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StdROE</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0.006</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0.030**</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0.031**</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0.002</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0.029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0.030</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(0.438)</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(0.45)</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(2.096)</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(2.22)</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(2.173)</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(0.115)</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(0.13)</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(0.980)</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(1.05)</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(1.048)</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MAR</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0.126***</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0.13***</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0.196***</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0.197***</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0.120***</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0.12***</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0.177***</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0.18***</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0.178***</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(7.03)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(6.366)</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(7.08)</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(12.919)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(11.50)</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(13.117)</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(4.63)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(4.367)</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(4.71)</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(8.876)</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(8.50)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(8.587)</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Corr5yr</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-0.115***</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-0.11***</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-0.088***</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-0.090*</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-0.09*</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-0.032</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-0.031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(-4.76)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(-4.849)</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(-4.73)</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(-4.749)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(-4.90)</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(-4.764)</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(-1.82)</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(-1.802)</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(-1.82)</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(-0.992)</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(-0.99)</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(-0.981)</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Surprise</w:t>
            </w: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-0.009***</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-0.009***</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-0.006***</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-0.009***</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-0.009***</w:t>
            </w:r>
          </w:p>
        </w:tc>
      </w:tr>
      <w:tr w:rsidR="002B3E20" w:rsidRPr="007128CB" w:rsidTr="006D69D3">
        <w:trPr>
          <w:trHeight w:val="300"/>
          <w:jc w:val="center"/>
        </w:trPr>
        <w:tc>
          <w:tcPr>
            <w:tcW w:w="1307" w:type="dxa"/>
            <w:tcBorders>
              <w:top w:val="nil"/>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(-4.96)</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(-5.381)</w:t>
            </w:r>
          </w:p>
        </w:tc>
        <w:tc>
          <w:tcPr>
            <w:tcW w:w="919" w:type="dxa"/>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(-4.94)</w:t>
            </w:r>
          </w:p>
        </w:tc>
        <w:tc>
          <w:tcPr>
            <w:tcW w:w="1009" w:type="dxa"/>
            <w:gridSpan w:val="2"/>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(-8.767)</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(-10.40)</w:t>
            </w:r>
          </w:p>
        </w:tc>
        <w:tc>
          <w:tcPr>
            <w:tcW w:w="1009" w:type="dxa"/>
            <w:gridSpan w:val="2"/>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(-9.201)</w:t>
            </w:r>
          </w:p>
        </w:tc>
        <w:tc>
          <w:tcPr>
            <w:tcW w:w="236" w:type="dxa"/>
            <w:gridSpan w:val="2"/>
            <w:tcBorders>
              <w:top w:val="nil"/>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(-3.00)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(-2.905)</w:t>
            </w:r>
          </w:p>
        </w:tc>
        <w:tc>
          <w:tcPr>
            <w:tcW w:w="919" w:type="dxa"/>
            <w:gridSpan w:val="2"/>
            <w:tcBorders>
              <w:top w:val="nil"/>
              <w:left w:val="nil"/>
              <w:bottom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(-3.06)</w:t>
            </w:r>
          </w:p>
        </w:tc>
        <w:tc>
          <w:tcPr>
            <w:tcW w:w="1010" w:type="dxa"/>
            <w:tcBorders>
              <w:top w:val="nil"/>
              <w:left w:val="single" w:sz="4" w:space="0" w:color="auto"/>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(-3.397)</w:t>
            </w:r>
          </w:p>
        </w:tc>
        <w:tc>
          <w:tcPr>
            <w:tcW w:w="91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(-3.50)</w:t>
            </w:r>
          </w:p>
        </w:tc>
        <w:tc>
          <w:tcPr>
            <w:tcW w:w="1009" w:type="dxa"/>
            <w:tcBorders>
              <w:top w:val="nil"/>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(-3.371)</w:t>
            </w:r>
          </w:p>
        </w:tc>
      </w:tr>
      <w:tr w:rsidR="002B3E20" w:rsidRPr="007128CB" w:rsidTr="006D69D3">
        <w:trPr>
          <w:trHeight w:val="300"/>
          <w:jc w:val="center"/>
        </w:trPr>
        <w:tc>
          <w:tcPr>
            <w:tcW w:w="1307" w:type="dxa"/>
            <w:tcBorders>
              <w:top w:val="nil"/>
              <w:left w:val="nil"/>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Constant</w:t>
            </w:r>
          </w:p>
        </w:tc>
        <w:tc>
          <w:tcPr>
            <w:tcW w:w="919" w:type="dxa"/>
            <w:gridSpan w:val="2"/>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-0.93***</w:t>
            </w:r>
          </w:p>
        </w:tc>
        <w:tc>
          <w:tcPr>
            <w:tcW w:w="100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-0.891***</w:t>
            </w:r>
          </w:p>
        </w:tc>
        <w:tc>
          <w:tcPr>
            <w:tcW w:w="919" w:type="dxa"/>
            <w:tcBorders>
              <w:top w:val="nil"/>
              <w:left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-0.94***</w:t>
            </w:r>
          </w:p>
        </w:tc>
        <w:tc>
          <w:tcPr>
            <w:tcW w:w="1009" w:type="dxa"/>
            <w:gridSpan w:val="2"/>
            <w:tcBorders>
              <w:top w:val="nil"/>
              <w:left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-0.839***</w:t>
            </w:r>
          </w:p>
        </w:tc>
        <w:tc>
          <w:tcPr>
            <w:tcW w:w="91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-0.80***</w:t>
            </w:r>
          </w:p>
        </w:tc>
        <w:tc>
          <w:tcPr>
            <w:tcW w:w="1009" w:type="dxa"/>
            <w:gridSpan w:val="2"/>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-0.843***</w:t>
            </w:r>
          </w:p>
        </w:tc>
        <w:tc>
          <w:tcPr>
            <w:tcW w:w="236" w:type="dxa"/>
            <w:gridSpan w:val="2"/>
            <w:tcBorders>
              <w:top w:val="nil"/>
              <w:left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-0.93***</w:t>
            </w:r>
          </w:p>
        </w:tc>
        <w:tc>
          <w:tcPr>
            <w:tcW w:w="100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-0.981***</w:t>
            </w:r>
          </w:p>
        </w:tc>
        <w:tc>
          <w:tcPr>
            <w:tcW w:w="919" w:type="dxa"/>
            <w:gridSpan w:val="2"/>
            <w:tcBorders>
              <w:top w:val="nil"/>
              <w:left w:val="nil"/>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-0.97***</w:t>
            </w:r>
          </w:p>
        </w:tc>
        <w:tc>
          <w:tcPr>
            <w:tcW w:w="1010" w:type="dxa"/>
            <w:tcBorders>
              <w:top w:val="nil"/>
              <w:left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-0.725***</w:t>
            </w:r>
          </w:p>
        </w:tc>
        <w:tc>
          <w:tcPr>
            <w:tcW w:w="91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-0.77***</w:t>
            </w:r>
          </w:p>
        </w:tc>
        <w:tc>
          <w:tcPr>
            <w:tcW w:w="100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-0.763***</w:t>
            </w:r>
          </w:p>
        </w:tc>
      </w:tr>
      <w:tr w:rsidR="002B3E20" w:rsidRPr="007128CB" w:rsidTr="006D69D3">
        <w:trPr>
          <w:trHeight w:val="300"/>
          <w:jc w:val="center"/>
        </w:trPr>
        <w:tc>
          <w:tcPr>
            <w:tcW w:w="1307" w:type="dxa"/>
            <w:tcBorders>
              <w:top w:val="nil"/>
              <w:left w:val="nil"/>
              <w:bottom w:val="single" w:sz="4" w:space="0" w:color="auto"/>
              <w:right w:val="nil"/>
            </w:tcBorders>
            <w:shd w:val="clear" w:color="auto" w:fill="auto"/>
            <w:vAlign w:val="center"/>
            <w:hideMark/>
          </w:tcPr>
          <w:p w:rsidR="002B3E20" w:rsidRPr="007128CB" w:rsidRDefault="002B3E20" w:rsidP="006D69D3">
            <w:pPr>
              <w:spacing w:line="240" w:lineRule="auto"/>
              <w:rPr>
                <w:b/>
                <w:bCs/>
                <w:i/>
                <w:iCs/>
                <w:sz w:val="18"/>
                <w:szCs w:val="18"/>
              </w:rPr>
            </w:pPr>
            <w:r w:rsidRPr="007128CB">
              <w:rPr>
                <w:b/>
                <w:bCs/>
                <w:i/>
                <w:iCs/>
                <w:sz w:val="18"/>
                <w:szCs w:val="18"/>
              </w:rPr>
              <w:t> </w:t>
            </w:r>
          </w:p>
        </w:tc>
        <w:tc>
          <w:tcPr>
            <w:tcW w:w="919" w:type="dxa"/>
            <w:gridSpan w:val="2"/>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(-11.61)</w:t>
            </w:r>
          </w:p>
        </w:tc>
        <w:tc>
          <w:tcPr>
            <w:tcW w:w="1009" w:type="dxa"/>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(-10.846)</w:t>
            </w:r>
          </w:p>
        </w:tc>
        <w:tc>
          <w:tcPr>
            <w:tcW w:w="919" w:type="dxa"/>
            <w:tcBorders>
              <w:top w:val="nil"/>
              <w:left w:val="nil"/>
              <w:bottom w:val="single" w:sz="4" w:space="0" w:color="auto"/>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(-11.35)</w:t>
            </w:r>
          </w:p>
        </w:tc>
        <w:tc>
          <w:tcPr>
            <w:tcW w:w="1009" w:type="dxa"/>
            <w:gridSpan w:val="2"/>
            <w:tcBorders>
              <w:top w:val="nil"/>
              <w:left w:val="single" w:sz="4" w:space="0" w:color="auto"/>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(-12.223)</w:t>
            </w:r>
          </w:p>
        </w:tc>
        <w:tc>
          <w:tcPr>
            <w:tcW w:w="919" w:type="dxa"/>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(-10.03)</w:t>
            </w:r>
          </w:p>
        </w:tc>
        <w:tc>
          <w:tcPr>
            <w:tcW w:w="1009" w:type="dxa"/>
            <w:gridSpan w:val="2"/>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(-10.767)</w:t>
            </w:r>
          </w:p>
        </w:tc>
        <w:tc>
          <w:tcPr>
            <w:tcW w:w="236" w:type="dxa"/>
            <w:gridSpan w:val="2"/>
            <w:tcBorders>
              <w:top w:val="nil"/>
              <w:left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(-5.99)</w:t>
            </w:r>
          </w:p>
        </w:tc>
        <w:tc>
          <w:tcPr>
            <w:tcW w:w="1009" w:type="dxa"/>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(-6.549)</w:t>
            </w:r>
          </w:p>
        </w:tc>
        <w:tc>
          <w:tcPr>
            <w:tcW w:w="919" w:type="dxa"/>
            <w:gridSpan w:val="2"/>
            <w:tcBorders>
              <w:top w:val="nil"/>
              <w:left w:val="nil"/>
              <w:bottom w:val="single" w:sz="4" w:space="0" w:color="auto"/>
              <w:right w:val="single" w:sz="4" w:space="0" w:color="auto"/>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(-6.30)</w:t>
            </w:r>
          </w:p>
        </w:tc>
        <w:tc>
          <w:tcPr>
            <w:tcW w:w="1010" w:type="dxa"/>
            <w:tcBorders>
              <w:top w:val="nil"/>
              <w:left w:val="single" w:sz="4" w:space="0" w:color="auto"/>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(-5.602)</w:t>
            </w:r>
          </w:p>
        </w:tc>
        <w:tc>
          <w:tcPr>
            <w:tcW w:w="919" w:type="dxa"/>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(-5.85)</w:t>
            </w:r>
          </w:p>
        </w:tc>
        <w:tc>
          <w:tcPr>
            <w:tcW w:w="1009" w:type="dxa"/>
            <w:tcBorders>
              <w:top w:val="nil"/>
              <w:left w:val="nil"/>
              <w:bottom w:val="single" w:sz="4" w:space="0" w:color="auto"/>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r w:rsidRPr="007128CB">
              <w:rPr>
                <w:sz w:val="18"/>
                <w:szCs w:val="18"/>
              </w:rPr>
              <w:t>(-5.816)</w:t>
            </w:r>
          </w:p>
        </w:tc>
      </w:tr>
      <w:tr w:rsidR="002B3E20" w:rsidRPr="007128CB" w:rsidTr="006D69D3">
        <w:trPr>
          <w:trHeight w:val="300"/>
          <w:jc w:val="center"/>
        </w:trPr>
        <w:tc>
          <w:tcPr>
            <w:tcW w:w="1307" w:type="dxa"/>
            <w:tcBorders>
              <w:top w:val="single" w:sz="4" w:space="0" w:color="auto"/>
              <w:left w:val="nil"/>
              <w:bottom w:val="nil"/>
              <w:right w:val="nil"/>
            </w:tcBorders>
            <w:shd w:val="clear" w:color="auto" w:fill="auto"/>
            <w:vAlign w:val="center"/>
            <w:hideMark/>
          </w:tcPr>
          <w:p w:rsidR="002B3E20" w:rsidRPr="007128CB" w:rsidRDefault="002B3E20" w:rsidP="006D69D3">
            <w:pPr>
              <w:spacing w:line="240" w:lineRule="auto"/>
              <w:rPr>
                <w:b/>
                <w:bCs/>
                <w:i/>
                <w:iCs/>
                <w:sz w:val="18"/>
                <w:szCs w:val="18"/>
              </w:rPr>
            </w:pPr>
          </w:p>
        </w:tc>
        <w:tc>
          <w:tcPr>
            <w:tcW w:w="919" w:type="dxa"/>
            <w:gridSpan w:val="2"/>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single" w:sz="4" w:space="0" w:color="auto"/>
              <w:left w:val="nil"/>
              <w:bottom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gridSpan w:val="2"/>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236" w:type="dxa"/>
            <w:gridSpan w:val="2"/>
            <w:tcBorders>
              <w:left w:val="nil"/>
              <w:bottom w:val="nil"/>
              <w:right w:val="nil"/>
            </w:tcBorders>
            <w:shd w:val="clear" w:color="auto" w:fill="auto"/>
            <w:vAlign w:val="bottom"/>
            <w:hideMark/>
          </w:tcPr>
          <w:p w:rsidR="002B3E20" w:rsidRPr="007128CB" w:rsidRDefault="002B3E20" w:rsidP="006D69D3">
            <w:pPr>
              <w:tabs>
                <w:tab w:val="decimal" w:pos="207"/>
              </w:tabs>
              <w:spacing w:line="240" w:lineRule="auto"/>
              <w:rPr>
                <w:sz w:val="18"/>
                <w:szCs w:val="18"/>
              </w:rPr>
            </w:pPr>
          </w:p>
        </w:tc>
        <w:tc>
          <w:tcPr>
            <w:tcW w:w="919" w:type="dxa"/>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gridSpan w:val="2"/>
            <w:tcBorders>
              <w:top w:val="single" w:sz="4" w:space="0" w:color="auto"/>
              <w:left w:val="nil"/>
              <w:bottom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10" w:type="dxa"/>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919" w:type="dxa"/>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c>
          <w:tcPr>
            <w:tcW w:w="1009" w:type="dxa"/>
            <w:tcBorders>
              <w:top w:val="single" w:sz="4" w:space="0" w:color="auto"/>
              <w:left w:val="nil"/>
              <w:bottom w:val="nil"/>
              <w:right w:val="nil"/>
            </w:tcBorders>
            <w:shd w:val="clear" w:color="auto" w:fill="auto"/>
            <w:noWrap/>
            <w:vAlign w:val="center"/>
            <w:hideMark/>
          </w:tcPr>
          <w:p w:rsidR="002B3E20" w:rsidRPr="007128CB" w:rsidRDefault="002B3E20" w:rsidP="006D69D3">
            <w:pPr>
              <w:tabs>
                <w:tab w:val="decimal" w:pos="207"/>
              </w:tabs>
              <w:spacing w:line="240" w:lineRule="auto"/>
              <w:rPr>
                <w:sz w:val="18"/>
                <w:szCs w:val="18"/>
              </w:rPr>
            </w:pPr>
          </w:p>
        </w:tc>
      </w:tr>
      <w:tr w:rsidR="002B3E20" w:rsidRPr="007128CB" w:rsidTr="006D69D3">
        <w:trPr>
          <w:trHeight w:val="300"/>
          <w:jc w:val="center"/>
        </w:trPr>
        <w:tc>
          <w:tcPr>
            <w:tcW w:w="1307" w:type="dxa"/>
            <w:tcBorders>
              <w:top w:val="nil"/>
              <w:left w:val="nil"/>
              <w:right w:val="nil"/>
            </w:tcBorders>
            <w:shd w:val="clear" w:color="auto" w:fill="auto"/>
            <w:vAlign w:val="center"/>
            <w:hideMark/>
          </w:tcPr>
          <w:p w:rsidR="002B3E20" w:rsidRPr="007128CB" w:rsidRDefault="002B3E20" w:rsidP="006D69D3">
            <w:pPr>
              <w:spacing w:line="240" w:lineRule="auto"/>
              <w:rPr>
                <w:b/>
                <w:bCs/>
                <w:i/>
                <w:iCs/>
                <w:sz w:val="18"/>
                <w:szCs w:val="18"/>
              </w:rPr>
            </w:pPr>
            <w:r>
              <w:rPr>
                <w:b/>
                <w:bCs/>
                <w:i/>
                <w:iCs/>
                <w:sz w:val="18"/>
                <w:szCs w:val="18"/>
              </w:rPr>
              <w:t>No. Obs.</w:t>
            </w:r>
          </w:p>
        </w:tc>
        <w:tc>
          <w:tcPr>
            <w:tcW w:w="919" w:type="dxa"/>
            <w:gridSpan w:val="2"/>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3,390</w:t>
            </w:r>
          </w:p>
        </w:tc>
        <w:tc>
          <w:tcPr>
            <w:tcW w:w="100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3,390</w:t>
            </w:r>
          </w:p>
        </w:tc>
        <w:tc>
          <w:tcPr>
            <w:tcW w:w="919" w:type="dxa"/>
            <w:tcBorders>
              <w:top w:val="nil"/>
              <w:lef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3,390</w:t>
            </w:r>
          </w:p>
        </w:tc>
        <w:tc>
          <w:tcPr>
            <w:tcW w:w="1009" w:type="dxa"/>
            <w:gridSpan w:val="2"/>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3,588</w:t>
            </w:r>
          </w:p>
        </w:tc>
        <w:tc>
          <w:tcPr>
            <w:tcW w:w="91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3,588</w:t>
            </w:r>
          </w:p>
        </w:tc>
        <w:tc>
          <w:tcPr>
            <w:tcW w:w="1009" w:type="dxa"/>
            <w:gridSpan w:val="2"/>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3,588</w:t>
            </w:r>
          </w:p>
        </w:tc>
        <w:tc>
          <w:tcPr>
            <w:tcW w:w="236" w:type="dxa"/>
            <w:gridSpan w:val="2"/>
            <w:tcBorders>
              <w:top w:val="nil"/>
              <w:left w:val="nil"/>
              <w:right w:val="nil"/>
            </w:tcBorders>
            <w:shd w:val="clear" w:color="auto" w:fill="auto"/>
            <w:vAlign w:val="bottom"/>
            <w:hideMark/>
          </w:tcPr>
          <w:p w:rsidR="002B3E20" w:rsidRPr="007128CB" w:rsidRDefault="002B3E20" w:rsidP="006D69D3">
            <w:pPr>
              <w:tabs>
                <w:tab w:val="decimal" w:pos="207"/>
              </w:tabs>
              <w:spacing w:line="240" w:lineRule="auto"/>
              <w:jc w:val="center"/>
              <w:rPr>
                <w:sz w:val="18"/>
                <w:szCs w:val="18"/>
              </w:rPr>
            </w:pPr>
          </w:p>
        </w:tc>
        <w:tc>
          <w:tcPr>
            <w:tcW w:w="91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1,042</w:t>
            </w:r>
          </w:p>
        </w:tc>
        <w:tc>
          <w:tcPr>
            <w:tcW w:w="100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1,042</w:t>
            </w:r>
          </w:p>
        </w:tc>
        <w:tc>
          <w:tcPr>
            <w:tcW w:w="919" w:type="dxa"/>
            <w:gridSpan w:val="2"/>
            <w:tcBorders>
              <w:top w:val="nil"/>
              <w:lef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1,042</w:t>
            </w:r>
          </w:p>
        </w:tc>
        <w:tc>
          <w:tcPr>
            <w:tcW w:w="1010"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987</w:t>
            </w:r>
          </w:p>
        </w:tc>
        <w:tc>
          <w:tcPr>
            <w:tcW w:w="91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987</w:t>
            </w:r>
          </w:p>
        </w:tc>
        <w:tc>
          <w:tcPr>
            <w:tcW w:w="1009" w:type="dxa"/>
            <w:tcBorders>
              <w:top w:val="nil"/>
              <w:left w:val="nil"/>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987</w:t>
            </w:r>
          </w:p>
        </w:tc>
      </w:tr>
      <w:tr w:rsidR="002B3E20" w:rsidRPr="007128CB" w:rsidTr="006D69D3">
        <w:trPr>
          <w:trHeight w:val="300"/>
          <w:jc w:val="center"/>
        </w:trPr>
        <w:tc>
          <w:tcPr>
            <w:tcW w:w="1307" w:type="dxa"/>
            <w:tcBorders>
              <w:top w:val="nil"/>
              <w:left w:val="nil"/>
              <w:bottom w:val="double" w:sz="4" w:space="0" w:color="auto"/>
              <w:right w:val="nil"/>
            </w:tcBorders>
            <w:shd w:val="clear" w:color="auto" w:fill="auto"/>
            <w:vAlign w:val="center"/>
            <w:hideMark/>
          </w:tcPr>
          <w:p w:rsidR="002B3E20" w:rsidRPr="00070B0F" w:rsidRDefault="002B3E20" w:rsidP="006D69D3">
            <w:pPr>
              <w:spacing w:line="240" w:lineRule="auto"/>
              <w:rPr>
                <w:b/>
                <w:bCs/>
                <w:i/>
                <w:iCs/>
                <w:sz w:val="18"/>
                <w:szCs w:val="18"/>
                <w:vertAlign w:val="superscript"/>
              </w:rPr>
            </w:pPr>
            <w:r w:rsidRPr="007128CB">
              <w:rPr>
                <w:b/>
                <w:bCs/>
                <w:i/>
                <w:iCs/>
                <w:sz w:val="18"/>
                <w:szCs w:val="18"/>
              </w:rPr>
              <w:t>Adj. R</w:t>
            </w:r>
            <w:r>
              <w:rPr>
                <w:b/>
                <w:bCs/>
                <w:i/>
                <w:iCs/>
                <w:sz w:val="18"/>
                <w:szCs w:val="18"/>
                <w:vertAlign w:val="superscript"/>
              </w:rPr>
              <w:t>2</w:t>
            </w:r>
          </w:p>
        </w:tc>
        <w:tc>
          <w:tcPr>
            <w:tcW w:w="919" w:type="dxa"/>
            <w:gridSpan w:val="2"/>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15.11%</w:t>
            </w:r>
          </w:p>
        </w:tc>
        <w:tc>
          <w:tcPr>
            <w:tcW w:w="1009" w:type="dxa"/>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13.64%</w:t>
            </w:r>
          </w:p>
        </w:tc>
        <w:tc>
          <w:tcPr>
            <w:tcW w:w="919" w:type="dxa"/>
            <w:tcBorders>
              <w:top w:val="nil"/>
              <w:left w:val="nil"/>
              <w:bottom w:val="double" w:sz="4" w:space="0" w:color="auto"/>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15.13%</w:t>
            </w:r>
          </w:p>
        </w:tc>
        <w:tc>
          <w:tcPr>
            <w:tcW w:w="1009" w:type="dxa"/>
            <w:gridSpan w:val="2"/>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20.14%</w:t>
            </w:r>
          </w:p>
        </w:tc>
        <w:tc>
          <w:tcPr>
            <w:tcW w:w="919" w:type="dxa"/>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19.11%</w:t>
            </w:r>
          </w:p>
        </w:tc>
        <w:tc>
          <w:tcPr>
            <w:tcW w:w="1009" w:type="dxa"/>
            <w:gridSpan w:val="2"/>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20.24%</w:t>
            </w:r>
          </w:p>
        </w:tc>
        <w:tc>
          <w:tcPr>
            <w:tcW w:w="236" w:type="dxa"/>
            <w:gridSpan w:val="2"/>
            <w:tcBorders>
              <w:top w:val="nil"/>
              <w:left w:val="nil"/>
              <w:bottom w:val="double" w:sz="4" w:space="0" w:color="auto"/>
              <w:right w:val="nil"/>
            </w:tcBorders>
            <w:shd w:val="clear" w:color="auto" w:fill="auto"/>
            <w:vAlign w:val="bottom"/>
            <w:hideMark/>
          </w:tcPr>
          <w:p w:rsidR="002B3E20" w:rsidRPr="007128CB" w:rsidRDefault="002B3E20" w:rsidP="006D69D3">
            <w:pPr>
              <w:tabs>
                <w:tab w:val="decimal" w:pos="207"/>
              </w:tabs>
              <w:spacing w:line="240" w:lineRule="auto"/>
              <w:jc w:val="center"/>
              <w:rPr>
                <w:sz w:val="18"/>
                <w:szCs w:val="18"/>
              </w:rPr>
            </w:pPr>
          </w:p>
        </w:tc>
        <w:tc>
          <w:tcPr>
            <w:tcW w:w="919" w:type="dxa"/>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9.44%</w:t>
            </w:r>
          </w:p>
        </w:tc>
        <w:tc>
          <w:tcPr>
            <w:tcW w:w="1009" w:type="dxa"/>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9.62%</w:t>
            </w:r>
          </w:p>
        </w:tc>
        <w:tc>
          <w:tcPr>
            <w:tcW w:w="919" w:type="dxa"/>
            <w:gridSpan w:val="2"/>
            <w:tcBorders>
              <w:top w:val="nil"/>
              <w:left w:val="nil"/>
              <w:bottom w:val="double" w:sz="4" w:space="0" w:color="auto"/>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9.62%</w:t>
            </w:r>
          </w:p>
        </w:tc>
        <w:tc>
          <w:tcPr>
            <w:tcW w:w="1010" w:type="dxa"/>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18.56%</w:t>
            </w:r>
          </w:p>
        </w:tc>
        <w:tc>
          <w:tcPr>
            <w:tcW w:w="919" w:type="dxa"/>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19.04%</w:t>
            </w:r>
          </w:p>
        </w:tc>
        <w:tc>
          <w:tcPr>
            <w:tcW w:w="1009" w:type="dxa"/>
            <w:tcBorders>
              <w:top w:val="nil"/>
              <w:left w:val="nil"/>
              <w:bottom w:val="double" w:sz="4" w:space="0" w:color="auto"/>
              <w:right w:val="nil"/>
            </w:tcBorders>
            <w:shd w:val="clear" w:color="auto" w:fill="auto"/>
            <w:noWrap/>
            <w:vAlign w:val="center"/>
            <w:hideMark/>
          </w:tcPr>
          <w:p w:rsidR="002B3E20" w:rsidRPr="007128CB" w:rsidRDefault="002B3E20" w:rsidP="006D69D3">
            <w:pPr>
              <w:tabs>
                <w:tab w:val="decimal" w:pos="207"/>
              </w:tabs>
              <w:spacing w:line="240" w:lineRule="auto"/>
              <w:jc w:val="center"/>
              <w:rPr>
                <w:sz w:val="18"/>
                <w:szCs w:val="18"/>
              </w:rPr>
            </w:pPr>
            <w:r w:rsidRPr="007128CB">
              <w:rPr>
                <w:sz w:val="18"/>
                <w:szCs w:val="18"/>
              </w:rPr>
              <w:t>18.89%</w:t>
            </w:r>
          </w:p>
        </w:tc>
      </w:tr>
    </w:tbl>
    <w:p w:rsidR="00FE51AD" w:rsidRDefault="00FE51AD" w:rsidP="00AA0B13"/>
    <w:p w:rsidR="00FE51AD" w:rsidRDefault="00FE51AD">
      <w:pPr>
        <w:spacing w:line="240" w:lineRule="auto"/>
      </w:pPr>
      <w:r>
        <w:br w:type="page"/>
      </w:r>
    </w:p>
    <w:tbl>
      <w:tblPr>
        <w:tblW w:w="13112" w:type="dxa"/>
        <w:jc w:val="center"/>
        <w:tblInd w:w="93" w:type="dxa"/>
        <w:tblLook w:val="04A0" w:firstRow="1" w:lastRow="0" w:firstColumn="1" w:lastColumn="0" w:noHBand="0" w:noVBand="1"/>
      </w:tblPr>
      <w:tblGrid>
        <w:gridCol w:w="1307"/>
        <w:gridCol w:w="166"/>
        <w:gridCol w:w="753"/>
        <w:gridCol w:w="1009"/>
        <w:gridCol w:w="919"/>
        <w:gridCol w:w="98"/>
        <w:gridCol w:w="911"/>
        <w:gridCol w:w="919"/>
        <w:gridCol w:w="949"/>
        <w:gridCol w:w="60"/>
        <w:gridCol w:w="176"/>
        <w:gridCol w:w="60"/>
        <w:gridCol w:w="919"/>
        <w:gridCol w:w="1009"/>
        <w:gridCol w:w="892"/>
        <w:gridCol w:w="27"/>
        <w:gridCol w:w="1010"/>
        <w:gridCol w:w="919"/>
        <w:gridCol w:w="1009"/>
      </w:tblGrid>
      <w:tr w:rsidR="00FE51AD" w:rsidRPr="007128CB" w:rsidTr="006D69D3">
        <w:trPr>
          <w:trHeight w:val="300"/>
          <w:jc w:val="center"/>
        </w:trPr>
        <w:tc>
          <w:tcPr>
            <w:tcW w:w="13112" w:type="dxa"/>
            <w:gridSpan w:val="19"/>
            <w:tcBorders>
              <w:top w:val="double" w:sz="4" w:space="0" w:color="auto"/>
              <w:left w:val="nil"/>
              <w:bottom w:val="single" w:sz="12" w:space="0" w:color="auto"/>
              <w:right w:val="nil"/>
            </w:tcBorders>
            <w:shd w:val="clear" w:color="auto" w:fill="auto"/>
            <w:vAlign w:val="center"/>
            <w:hideMark/>
          </w:tcPr>
          <w:p w:rsidR="00FE51AD" w:rsidRPr="007128CB" w:rsidRDefault="00FE51AD" w:rsidP="00FE51AD">
            <w:pPr>
              <w:spacing w:line="240" w:lineRule="auto"/>
              <w:jc w:val="center"/>
              <w:rPr>
                <w:b/>
                <w:i/>
              </w:rPr>
            </w:pPr>
            <w:r w:rsidRPr="007128CB">
              <w:rPr>
                <w:b/>
              </w:rPr>
              <w:lastRenderedPageBreak/>
              <w:t>Table 5 (</w:t>
            </w:r>
            <w:r w:rsidRPr="007128CB">
              <w:rPr>
                <w:b/>
                <w:i/>
              </w:rPr>
              <w:t>Continued</w:t>
            </w:r>
            <w:r w:rsidRPr="007128CB">
              <w:rPr>
                <w:b/>
              </w:rPr>
              <w:t>)</w:t>
            </w:r>
          </w:p>
          <w:p w:rsidR="00FE51AD" w:rsidRPr="007128CB" w:rsidRDefault="00FE51AD" w:rsidP="00FE51AD">
            <w:pPr>
              <w:spacing w:line="240" w:lineRule="auto"/>
              <w:jc w:val="center"/>
              <w:rPr>
                <w:b/>
                <w:bCs/>
              </w:rPr>
            </w:pPr>
            <w:r w:rsidRPr="007128CB">
              <w:rPr>
                <w:b/>
                <w:i/>
              </w:rPr>
              <w:t>Regressions of ExVal on Segment Reporting Differentiation &amp; Controls for Firms with and without a Change in Segments</w:t>
            </w:r>
          </w:p>
        </w:tc>
      </w:tr>
      <w:tr w:rsidR="00FE51AD" w:rsidRPr="007128CB" w:rsidTr="006D69D3">
        <w:trPr>
          <w:trHeight w:val="315"/>
          <w:jc w:val="center"/>
        </w:trPr>
        <w:tc>
          <w:tcPr>
            <w:tcW w:w="13112" w:type="dxa"/>
            <w:gridSpan w:val="19"/>
            <w:tcBorders>
              <w:top w:val="nil"/>
              <w:left w:val="nil"/>
              <w:bottom w:val="single" w:sz="4" w:space="0" w:color="auto"/>
              <w:right w:val="nil"/>
            </w:tcBorders>
            <w:shd w:val="clear" w:color="auto" w:fill="auto"/>
            <w:vAlign w:val="center"/>
          </w:tcPr>
          <w:p w:rsidR="00FE51AD" w:rsidRPr="007128CB" w:rsidRDefault="00FE51AD" w:rsidP="006D69D3">
            <w:pPr>
              <w:spacing w:line="240" w:lineRule="auto"/>
              <w:rPr>
                <w:b/>
              </w:rPr>
            </w:pPr>
            <w:r w:rsidRPr="007128CB">
              <w:rPr>
                <w:b/>
              </w:rPr>
              <w:t>Panel B: Increases in Segment Reporting</w:t>
            </w:r>
          </w:p>
        </w:tc>
      </w:tr>
      <w:tr w:rsidR="00FE51AD" w:rsidRPr="004C5EDD" w:rsidTr="006D69D3">
        <w:trPr>
          <w:trHeight w:val="315"/>
          <w:jc w:val="center"/>
        </w:trPr>
        <w:tc>
          <w:tcPr>
            <w:tcW w:w="1473" w:type="dxa"/>
            <w:gridSpan w:val="2"/>
            <w:tcBorders>
              <w:top w:val="single" w:sz="4" w:space="0" w:color="auto"/>
              <w:left w:val="nil"/>
              <w:right w:val="nil"/>
            </w:tcBorders>
            <w:shd w:val="clear" w:color="auto" w:fill="auto"/>
            <w:vAlign w:val="center"/>
            <w:hideMark/>
          </w:tcPr>
          <w:p w:rsidR="00FE51AD" w:rsidRPr="004C5EDD" w:rsidRDefault="00FE51AD" w:rsidP="006D69D3">
            <w:pPr>
              <w:spacing w:line="240" w:lineRule="auto"/>
              <w:rPr>
                <w:b/>
                <w:bCs/>
                <w:i/>
                <w:iCs/>
              </w:rPr>
            </w:pPr>
            <w:r w:rsidRPr="004C5EDD">
              <w:rPr>
                <w:b/>
                <w:bCs/>
                <w:i/>
                <w:iCs/>
              </w:rPr>
              <w:t> </w:t>
            </w:r>
          </w:p>
        </w:tc>
        <w:tc>
          <w:tcPr>
            <w:tcW w:w="5618" w:type="dxa"/>
            <w:gridSpan w:val="8"/>
            <w:tcBorders>
              <w:top w:val="single" w:sz="4" w:space="0" w:color="auto"/>
              <w:left w:val="nil"/>
              <w:right w:val="nil"/>
            </w:tcBorders>
            <w:shd w:val="clear" w:color="auto" w:fill="auto"/>
            <w:noWrap/>
            <w:vAlign w:val="center"/>
            <w:hideMark/>
          </w:tcPr>
          <w:p w:rsidR="00FE51AD" w:rsidRPr="004C5EDD" w:rsidRDefault="00FE51AD" w:rsidP="006D69D3">
            <w:pPr>
              <w:spacing w:line="240" w:lineRule="auto"/>
              <w:jc w:val="center"/>
              <w:rPr>
                <w:b/>
              </w:rPr>
            </w:pPr>
            <w:r w:rsidRPr="007128CB">
              <w:rPr>
                <w:b/>
              </w:rPr>
              <w:t>Single Segment to Multi-Segment</w:t>
            </w:r>
          </w:p>
        </w:tc>
        <w:tc>
          <w:tcPr>
            <w:tcW w:w="236" w:type="dxa"/>
            <w:gridSpan w:val="2"/>
            <w:tcBorders>
              <w:top w:val="single" w:sz="4" w:space="0" w:color="auto"/>
              <w:left w:val="nil"/>
              <w:right w:val="nil"/>
            </w:tcBorders>
            <w:shd w:val="clear" w:color="auto" w:fill="auto"/>
            <w:noWrap/>
            <w:vAlign w:val="bottom"/>
            <w:hideMark/>
          </w:tcPr>
          <w:p w:rsidR="00FE51AD" w:rsidRPr="004C5EDD" w:rsidRDefault="00FE51AD" w:rsidP="006D69D3">
            <w:pPr>
              <w:spacing w:line="240" w:lineRule="auto"/>
              <w:jc w:val="center"/>
              <w:rPr>
                <w:rFonts w:ascii="Calibri" w:hAnsi="Calibri"/>
                <w:b/>
                <w:color w:val="000000"/>
              </w:rPr>
            </w:pPr>
          </w:p>
        </w:tc>
        <w:tc>
          <w:tcPr>
            <w:tcW w:w="5785" w:type="dxa"/>
            <w:gridSpan w:val="7"/>
            <w:tcBorders>
              <w:top w:val="single" w:sz="4" w:space="0" w:color="auto"/>
              <w:left w:val="nil"/>
              <w:right w:val="nil"/>
            </w:tcBorders>
            <w:shd w:val="clear" w:color="auto" w:fill="auto"/>
            <w:noWrap/>
            <w:vAlign w:val="center"/>
            <w:hideMark/>
          </w:tcPr>
          <w:p w:rsidR="00FE51AD" w:rsidRPr="004C5EDD" w:rsidRDefault="00FE51AD" w:rsidP="006D69D3">
            <w:pPr>
              <w:spacing w:line="240" w:lineRule="auto"/>
              <w:jc w:val="center"/>
              <w:rPr>
                <w:b/>
              </w:rPr>
            </w:pPr>
            <w:r w:rsidRPr="007128CB">
              <w:rPr>
                <w:b/>
              </w:rPr>
              <w:t>Multi-Segment to Multi-Segment</w:t>
            </w:r>
          </w:p>
        </w:tc>
      </w:tr>
      <w:tr w:rsidR="00FE51AD" w:rsidRPr="007128CB" w:rsidTr="006D69D3">
        <w:trPr>
          <w:trHeight w:val="300"/>
          <w:jc w:val="center"/>
        </w:trPr>
        <w:tc>
          <w:tcPr>
            <w:tcW w:w="1473" w:type="dxa"/>
            <w:gridSpan w:val="2"/>
            <w:tcBorders>
              <w:left w:val="nil"/>
              <w:bottom w:val="nil"/>
              <w:right w:val="nil"/>
            </w:tcBorders>
            <w:shd w:val="clear" w:color="auto" w:fill="auto"/>
            <w:vAlign w:val="center"/>
          </w:tcPr>
          <w:p w:rsidR="00FE51AD" w:rsidRPr="007128CB" w:rsidRDefault="00FE51AD" w:rsidP="006D69D3">
            <w:pPr>
              <w:spacing w:line="240" w:lineRule="auto"/>
              <w:rPr>
                <w:b/>
                <w:bCs/>
                <w:i/>
                <w:iCs/>
              </w:rPr>
            </w:pPr>
          </w:p>
        </w:tc>
        <w:tc>
          <w:tcPr>
            <w:tcW w:w="2779" w:type="dxa"/>
            <w:gridSpan w:val="4"/>
            <w:tcBorders>
              <w:top w:val="nil"/>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ExVal</w:t>
            </w:r>
            <w:r w:rsidRPr="007128CB">
              <w:rPr>
                <w:b/>
                <w:i/>
                <w:vertAlign w:val="subscript"/>
              </w:rPr>
              <w:t>Rev</w:t>
            </w:r>
          </w:p>
        </w:tc>
        <w:tc>
          <w:tcPr>
            <w:tcW w:w="2779" w:type="dxa"/>
            <w:gridSpan w:val="3"/>
            <w:tcBorders>
              <w:top w:val="nil"/>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ExVal</w:t>
            </w:r>
            <w:r w:rsidRPr="007128CB">
              <w:rPr>
                <w:b/>
                <w:i/>
                <w:vertAlign w:val="subscript"/>
              </w:rPr>
              <w:t>AT</w:t>
            </w:r>
          </w:p>
        </w:tc>
        <w:tc>
          <w:tcPr>
            <w:tcW w:w="236" w:type="dxa"/>
            <w:gridSpan w:val="2"/>
            <w:tcBorders>
              <w:top w:val="nil"/>
              <w:left w:val="nil"/>
              <w:right w:val="nil"/>
            </w:tcBorders>
            <w:shd w:val="clear" w:color="auto" w:fill="auto"/>
            <w:noWrap/>
            <w:vAlign w:val="bottom"/>
          </w:tcPr>
          <w:p w:rsidR="00FE51AD" w:rsidRPr="007128CB" w:rsidRDefault="00FE51AD" w:rsidP="006D69D3">
            <w:pPr>
              <w:spacing w:line="240" w:lineRule="auto"/>
              <w:jc w:val="center"/>
              <w:rPr>
                <w:rFonts w:ascii="Calibri" w:hAnsi="Calibri"/>
                <w:b/>
                <w:i/>
                <w:color w:val="000000"/>
              </w:rPr>
            </w:pPr>
          </w:p>
        </w:tc>
        <w:tc>
          <w:tcPr>
            <w:tcW w:w="2880" w:type="dxa"/>
            <w:gridSpan w:val="4"/>
            <w:tcBorders>
              <w:top w:val="nil"/>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ExVal</w:t>
            </w:r>
            <w:r w:rsidRPr="007128CB">
              <w:rPr>
                <w:b/>
                <w:i/>
                <w:vertAlign w:val="subscript"/>
              </w:rPr>
              <w:t>Rev</w:t>
            </w:r>
          </w:p>
        </w:tc>
        <w:tc>
          <w:tcPr>
            <w:tcW w:w="2965" w:type="dxa"/>
            <w:gridSpan w:val="4"/>
            <w:tcBorders>
              <w:top w:val="nil"/>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ExVal</w:t>
            </w:r>
            <w:r w:rsidRPr="007128CB">
              <w:rPr>
                <w:b/>
                <w:i/>
                <w:vertAlign w:val="subscript"/>
              </w:rPr>
              <w:t>AT</w:t>
            </w:r>
          </w:p>
        </w:tc>
      </w:tr>
      <w:tr w:rsidR="00FE51AD" w:rsidRPr="007128CB" w:rsidTr="006D69D3">
        <w:trPr>
          <w:trHeight w:val="300"/>
          <w:jc w:val="center"/>
        </w:trPr>
        <w:tc>
          <w:tcPr>
            <w:tcW w:w="1307" w:type="dxa"/>
            <w:tcBorders>
              <w:top w:val="nil"/>
              <w:left w:val="nil"/>
              <w:bottom w:val="single" w:sz="4" w:space="0" w:color="000000"/>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 </w:t>
            </w:r>
          </w:p>
        </w:tc>
        <w:tc>
          <w:tcPr>
            <w:tcW w:w="919" w:type="dxa"/>
            <w:gridSpan w:val="2"/>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(1)</w:t>
            </w:r>
          </w:p>
        </w:tc>
        <w:tc>
          <w:tcPr>
            <w:tcW w:w="1009" w:type="dxa"/>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(2)</w:t>
            </w:r>
          </w:p>
        </w:tc>
        <w:tc>
          <w:tcPr>
            <w:tcW w:w="919" w:type="dxa"/>
            <w:tcBorders>
              <w:top w:val="nil"/>
              <w:left w:val="nil"/>
              <w:bottom w:val="single" w:sz="4" w:space="0" w:color="000000"/>
              <w:right w:val="single" w:sz="4" w:space="0" w:color="auto"/>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(3)</w:t>
            </w:r>
          </w:p>
        </w:tc>
        <w:tc>
          <w:tcPr>
            <w:tcW w:w="1009" w:type="dxa"/>
            <w:gridSpan w:val="2"/>
            <w:tcBorders>
              <w:top w:val="nil"/>
              <w:left w:val="single" w:sz="4" w:space="0" w:color="auto"/>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(4)</w:t>
            </w:r>
          </w:p>
        </w:tc>
        <w:tc>
          <w:tcPr>
            <w:tcW w:w="919" w:type="dxa"/>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(5)</w:t>
            </w:r>
          </w:p>
        </w:tc>
        <w:tc>
          <w:tcPr>
            <w:tcW w:w="1009" w:type="dxa"/>
            <w:gridSpan w:val="2"/>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(6)</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spacing w:line="240" w:lineRule="auto"/>
              <w:jc w:val="center"/>
              <w:rPr>
                <w:sz w:val="18"/>
                <w:szCs w:val="18"/>
              </w:rPr>
            </w:pPr>
          </w:p>
        </w:tc>
        <w:tc>
          <w:tcPr>
            <w:tcW w:w="919" w:type="dxa"/>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(7)</w:t>
            </w:r>
          </w:p>
        </w:tc>
        <w:tc>
          <w:tcPr>
            <w:tcW w:w="1009" w:type="dxa"/>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(8)</w:t>
            </w:r>
          </w:p>
        </w:tc>
        <w:tc>
          <w:tcPr>
            <w:tcW w:w="919" w:type="dxa"/>
            <w:gridSpan w:val="2"/>
            <w:tcBorders>
              <w:top w:val="nil"/>
              <w:left w:val="nil"/>
              <w:bottom w:val="single" w:sz="4" w:space="0" w:color="000000"/>
              <w:right w:val="single" w:sz="4" w:space="0" w:color="auto"/>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(9)</w:t>
            </w:r>
          </w:p>
        </w:tc>
        <w:tc>
          <w:tcPr>
            <w:tcW w:w="1010" w:type="dxa"/>
            <w:tcBorders>
              <w:top w:val="nil"/>
              <w:left w:val="single" w:sz="4" w:space="0" w:color="auto"/>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(10)</w:t>
            </w:r>
          </w:p>
        </w:tc>
        <w:tc>
          <w:tcPr>
            <w:tcW w:w="919" w:type="dxa"/>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(11)</w:t>
            </w:r>
          </w:p>
        </w:tc>
        <w:tc>
          <w:tcPr>
            <w:tcW w:w="1009" w:type="dxa"/>
            <w:tcBorders>
              <w:top w:val="nil"/>
              <w:left w:val="nil"/>
              <w:bottom w:val="single" w:sz="4" w:space="0" w:color="000000"/>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(12)</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spacing w:line="240" w:lineRule="auto"/>
              <w:rPr>
                <w:sz w:val="18"/>
                <w:szCs w:val="18"/>
              </w:rPr>
            </w:pP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spacing w:line="240" w:lineRule="auto"/>
              <w:rPr>
                <w:sz w:val="18"/>
                <w:szCs w:val="18"/>
              </w:rPr>
            </w:pP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spacing w:line="240" w:lineRule="auto"/>
              <w:rPr>
                <w:sz w:val="18"/>
                <w:szCs w:val="18"/>
              </w:rPr>
            </w:pP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Post</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-0.017</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0.01</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0.035</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-0.02</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0.010</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195"/>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-0.015</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-0.04</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-0.009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-0.031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(-0.171)</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95"/>
              </w:tabs>
              <w:spacing w:line="240" w:lineRule="auto"/>
              <w:rPr>
                <w:sz w:val="18"/>
                <w:szCs w:val="18"/>
              </w:rPr>
            </w:pPr>
            <w:r w:rsidRPr="007128CB">
              <w:rPr>
                <w:sz w:val="18"/>
                <w:szCs w:val="18"/>
              </w:rPr>
              <w:t>(0.13)</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(0.556)</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(-0.28)</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(0.139)</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(-0.26)</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(-0.245)</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(-0.40)</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(-0.174)</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(-0.48)</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(-0.621)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FFDIFF</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0.21***</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0.196***</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0.192***</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0.11</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0.050</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(5.44)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(4.32)</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(4.702)</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(5.120)</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(0.93)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(0.79)</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(0.375)</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(0.508)</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Post*FFDIFF</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-0.20**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-0.19*</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-0.136**</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-0.193***</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0.12</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0.090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0.050</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(-2.53)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(-1.95)</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(-2.459)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(-2.759)</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(0.90)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(0.63)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(0.961)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(0.511)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PFDIFF</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0.425***</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0.31***</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0.16</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0.046</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0.034</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-0.078</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(4.209)</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(2.82)</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(1.24)</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(0.352)</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(0.220)</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(-0.284)</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Post*PFDIFF</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-0.218</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-0.11</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0.13</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0.246</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0.149**</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0.11</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0.21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0.203</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(-1.505)</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(-0.58)</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(0.62)</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(1.046)</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(2.404)</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(0.73)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(0.92)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b/>
                <w:sz w:val="18"/>
                <w:szCs w:val="18"/>
              </w:rPr>
            </w:pPr>
            <w:r w:rsidRPr="007128CB">
              <w:rPr>
                <w:b/>
                <w:sz w:val="18"/>
                <w:szCs w:val="18"/>
              </w:rPr>
              <w:t>(0.801)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NumSeg</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-0.039</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0.014</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0.009</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-0.114***</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-0.044**</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-0.045**</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(-0.744)</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(-0.77)</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(0.400)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(0.37)</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(0.271)</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(-4.69)</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(-4.930)</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(-4.73)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(-2.221)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(-2.26)</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(-2.297)</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Related</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0.014</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-0.045*</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-0.038*</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0.122***</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0.14***</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0.044*</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0.047*</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(0.26)</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(0.244)</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(0.31)</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(-1.835)</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(-1.78)</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(-1.700)</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(2.83)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(3.060)</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(2.90)</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(1.696)</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(1.65)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(1.822)</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NumTNICPrs</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-0.000</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-0.000</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-0.001**</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(-1.53)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(-1.388)</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(-1.26)</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(-0.797)</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(-0.87)</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(-0.727)</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(-2.38)</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(-2.535)</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(-2.37)</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(-1.127)</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(-1.05)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(-1.044)</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HHI</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-0.107</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-0.14</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-0.021</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0.181</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0.162</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0.161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(-0.931)</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(-1.27)</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(-0.125)</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(-0.140)</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(0.882)</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(0.84)</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(0.991)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(1.01)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(0.984)</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Size</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0.07***</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0.075***</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0.07***</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0.052***</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0.091***</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0.10***</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0.068***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0.07***</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0.068***</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(5.08)</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(5.056)</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(5.22)</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(3.769)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(3.85)</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(3.898)</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(5.82)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(5.538)</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(5.79)</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(3.450)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(3.35)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(3.420)</w:t>
            </w:r>
          </w:p>
        </w:tc>
      </w:tr>
      <w:tr w:rsidR="00FE51AD" w:rsidRPr="007128CB" w:rsidTr="00AC282C">
        <w:trPr>
          <w:trHeight w:val="300"/>
          <w:jc w:val="center"/>
        </w:trPr>
        <w:tc>
          <w:tcPr>
            <w:tcW w:w="1307" w:type="dxa"/>
            <w:tcBorders>
              <w:top w:val="nil"/>
              <w:left w:val="nil"/>
              <w:bottom w:val="nil"/>
              <w:right w:val="nil"/>
            </w:tcBorders>
            <w:shd w:val="clear" w:color="auto" w:fill="auto"/>
            <w:vAlign w:val="center"/>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noWrap/>
            <w:vAlign w:val="bottom"/>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919" w:type="dxa"/>
            <w:gridSpan w:val="2"/>
            <w:tcBorders>
              <w:top w:val="nil"/>
              <w:left w:val="nil"/>
              <w:bottom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10"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r>
      <w:tr w:rsidR="00FE51AD" w:rsidRPr="007128CB" w:rsidTr="00AC282C">
        <w:trPr>
          <w:trHeight w:val="300"/>
          <w:jc w:val="center"/>
        </w:trPr>
        <w:tc>
          <w:tcPr>
            <w:tcW w:w="3235" w:type="dxa"/>
            <w:gridSpan w:val="4"/>
            <w:tcBorders>
              <w:top w:val="nil"/>
              <w:left w:val="nil"/>
              <w:bottom w:val="nil"/>
              <w:right w:val="nil"/>
            </w:tcBorders>
            <w:shd w:val="clear" w:color="auto" w:fill="auto"/>
            <w:vAlign w:val="center"/>
          </w:tcPr>
          <w:p w:rsidR="00FE51AD" w:rsidRPr="007128CB" w:rsidRDefault="00FE51AD" w:rsidP="006D69D3">
            <w:pPr>
              <w:tabs>
                <w:tab w:val="decimal" w:pos="207"/>
              </w:tabs>
              <w:spacing w:line="240" w:lineRule="auto"/>
              <w:rPr>
                <w:sz w:val="18"/>
                <w:szCs w:val="18"/>
              </w:rPr>
            </w:pPr>
            <w:r>
              <w:rPr>
                <w:sz w:val="18"/>
                <w:szCs w:val="18"/>
              </w:rPr>
              <w:lastRenderedPageBreak/>
              <w:t>Table 5 Panel B (</w:t>
            </w:r>
            <w:r>
              <w:rPr>
                <w:i/>
                <w:sz w:val="18"/>
                <w:szCs w:val="18"/>
              </w:rPr>
              <w:t>Continued</w:t>
            </w:r>
            <w:r>
              <w:rPr>
                <w:sz w:val="18"/>
                <w:szCs w:val="18"/>
              </w:rPr>
              <w:t>)</w:t>
            </w:r>
          </w:p>
        </w:tc>
        <w:tc>
          <w:tcPr>
            <w:tcW w:w="919" w:type="dxa"/>
            <w:tcBorders>
              <w:top w:val="nil"/>
              <w:left w:val="nil"/>
              <w:bottom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gridSpan w:val="2"/>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236" w:type="dxa"/>
            <w:gridSpan w:val="2"/>
            <w:tcBorders>
              <w:top w:val="nil"/>
              <w:left w:val="nil"/>
              <w:bottom w:val="nil"/>
              <w:right w:val="nil"/>
            </w:tcBorders>
            <w:shd w:val="clear" w:color="auto" w:fill="auto"/>
            <w:noWrap/>
            <w:vAlign w:val="bottom"/>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919" w:type="dxa"/>
            <w:gridSpan w:val="2"/>
            <w:tcBorders>
              <w:top w:val="nil"/>
              <w:left w:val="nil"/>
              <w:bottom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10"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c>
          <w:tcPr>
            <w:tcW w:w="1009" w:type="dxa"/>
            <w:tcBorders>
              <w:top w:val="nil"/>
              <w:left w:val="nil"/>
              <w:bottom w:val="nil"/>
              <w:right w:val="nil"/>
            </w:tcBorders>
            <w:shd w:val="clear" w:color="auto" w:fill="auto"/>
            <w:noWrap/>
            <w:vAlign w:val="center"/>
          </w:tcPr>
          <w:p w:rsidR="00FE51AD" w:rsidRPr="007128CB" w:rsidRDefault="00FE51AD" w:rsidP="006D69D3">
            <w:pPr>
              <w:tabs>
                <w:tab w:val="decimal" w:pos="207"/>
              </w:tabs>
              <w:spacing w:line="240" w:lineRule="auto"/>
              <w:rPr>
                <w:sz w:val="18"/>
                <w:szCs w:val="18"/>
              </w:rPr>
            </w:pP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PM</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0.391*</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0.39*</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0.467*</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0.46*</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0.452*</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0.292</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0.22</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1.909***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1.94***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1.901***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(2.02)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(1.896)</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(1.88)</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(1.948)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(1.86)</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(1.855)</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(0.68)</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(0.929)</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(0.67)</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(3.191)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(3.20)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(3.145)</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Invest</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0.51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0.536</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0.55</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0.995***</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1.01***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1.016***</w:t>
            </w:r>
          </w:p>
        </w:tc>
        <w:tc>
          <w:tcPr>
            <w:tcW w:w="236" w:type="dxa"/>
            <w:gridSpan w:val="2"/>
            <w:tcBorders>
              <w:top w:val="nil"/>
              <w:left w:val="nil"/>
              <w:bottom w:val="nil"/>
              <w:right w:val="nil"/>
            </w:tcBorders>
            <w:shd w:val="clear" w:color="auto" w:fill="auto"/>
            <w:noWrap/>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0.16</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0.087</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0.16</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0.242</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0.229</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(1.292)</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(1.32)</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(3.382)</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(3.28)</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(3.339)</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(0.192)</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(0.362)</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(0.334)</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Leverage</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0.152</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0.15</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0.016</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0.007</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0.47**</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0.463**</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0.47**</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0.244</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0.236</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(1.095)</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(1.11)</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(0.099)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(0.06)</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(0.044)</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(2.30)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(2.307)</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(2.29)</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(1.417)</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(1.35)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(1.369)</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SalesGrow</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0.014</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0.181***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0.18***</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0.191***</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0.09</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0.081</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0.09</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-0.028</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(0.108)</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(0.20)</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(3.358)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(3.71)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(3.758)</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(0.76)</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(0.647)</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(0.76)</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(-0.328)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(-0.38)</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(-0.317)</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StdROE</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0.001</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0.010</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0.010</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-0.009</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(0.041)</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(0.13)</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(0.328)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(0.34)</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(0.415)</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(0.157)</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(0.14)</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(-0.170)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(-0.199)</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MAR</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0.150***</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0.15***</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0.198***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0.20***</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0.201***</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0.124**</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0.12**</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0.207***</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0.211***</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(4.78)</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(4.545)</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(4.73)</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(8.379)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(7.97)</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(8.107)</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(2.10)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(2.197)</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(2.18)</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(5.110)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(5.16)</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(5.160)</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Corr5yr</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-0.039</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-0.04</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-0.053*</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-0.052*</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-0.024</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-0.03</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-0.023</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-0.022</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(-1.19)</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(-1.017)</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(-0.99)</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(-1.918)</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(-1.95)</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(-1.878)</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(-0.603)</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(-0.72)</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(-0.522)</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(-0.42)</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(-0.467)</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Surprise</w:t>
            </w: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-0.007**</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-0.009***</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-0.008***</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-0.011</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-0.011</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-0.010</w:t>
            </w:r>
          </w:p>
        </w:tc>
      </w:tr>
      <w:tr w:rsidR="00FE51AD" w:rsidRPr="007128CB" w:rsidTr="006D69D3">
        <w:trPr>
          <w:trHeight w:val="300"/>
          <w:jc w:val="center"/>
        </w:trPr>
        <w:tc>
          <w:tcPr>
            <w:tcW w:w="1307"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(-2.61)</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(-2.407)</w:t>
            </w:r>
          </w:p>
        </w:tc>
        <w:tc>
          <w:tcPr>
            <w:tcW w:w="919"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(-2.60)</w:t>
            </w:r>
          </w:p>
        </w:tc>
        <w:tc>
          <w:tcPr>
            <w:tcW w:w="1009" w:type="dxa"/>
            <w:gridSpan w:val="2"/>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(-4.560)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(-4.31)</w:t>
            </w:r>
          </w:p>
        </w:tc>
        <w:tc>
          <w:tcPr>
            <w:tcW w:w="1009" w:type="dxa"/>
            <w:gridSpan w:val="2"/>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(-4.300)</w:t>
            </w:r>
          </w:p>
        </w:tc>
        <w:tc>
          <w:tcPr>
            <w:tcW w:w="236" w:type="dxa"/>
            <w:gridSpan w:val="2"/>
            <w:tcBorders>
              <w:top w:val="nil"/>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(-1.25)</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(-1.283)</w:t>
            </w:r>
          </w:p>
        </w:tc>
        <w:tc>
          <w:tcPr>
            <w:tcW w:w="919" w:type="dxa"/>
            <w:gridSpan w:val="2"/>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(-1.26)</w:t>
            </w:r>
          </w:p>
        </w:tc>
        <w:tc>
          <w:tcPr>
            <w:tcW w:w="1010"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(-1.410)</w:t>
            </w:r>
          </w:p>
        </w:tc>
        <w:tc>
          <w:tcPr>
            <w:tcW w:w="91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(-1.40)</w:t>
            </w:r>
          </w:p>
        </w:tc>
        <w:tc>
          <w:tcPr>
            <w:tcW w:w="1009" w:type="dxa"/>
            <w:tcBorders>
              <w:top w:val="nil"/>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(-1.377)</w:t>
            </w:r>
          </w:p>
        </w:tc>
      </w:tr>
      <w:tr w:rsidR="00FE51AD" w:rsidRPr="007128CB" w:rsidTr="006D69D3">
        <w:trPr>
          <w:trHeight w:val="300"/>
          <w:jc w:val="center"/>
        </w:trPr>
        <w:tc>
          <w:tcPr>
            <w:tcW w:w="1307" w:type="dxa"/>
            <w:tcBorders>
              <w:top w:val="nil"/>
              <w:left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Constant</w:t>
            </w:r>
          </w:p>
        </w:tc>
        <w:tc>
          <w:tcPr>
            <w:tcW w:w="919" w:type="dxa"/>
            <w:gridSpan w:val="2"/>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-0.80***</w:t>
            </w:r>
          </w:p>
        </w:tc>
        <w:tc>
          <w:tcPr>
            <w:tcW w:w="100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-0.836***</w:t>
            </w:r>
          </w:p>
        </w:tc>
        <w:tc>
          <w:tcPr>
            <w:tcW w:w="919" w:type="dxa"/>
            <w:tcBorders>
              <w:top w:val="nil"/>
              <w:left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-0.86***</w:t>
            </w:r>
          </w:p>
        </w:tc>
        <w:tc>
          <w:tcPr>
            <w:tcW w:w="1009" w:type="dxa"/>
            <w:gridSpan w:val="2"/>
            <w:tcBorders>
              <w:top w:val="nil"/>
              <w:left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-0.766***</w:t>
            </w:r>
          </w:p>
        </w:tc>
        <w:tc>
          <w:tcPr>
            <w:tcW w:w="91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-0.75***</w:t>
            </w:r>
          </w:p>
        </w:tc>
        <w:tc>
          <w:tcPr>
            <w:tcW w:w="1009" w:type="dxa"/>
            <w:gridSpan w:val="2"/>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-0.776***</w:t>
            </w:r>
          </w:p>
        </w:tc>
        <w:tc>
          <w:tcPr>
            <w:tcW w:w="236" w:type="dxa"/>
            <w:gridSpan w:val="2"/>
            <w:tcBorders>
              <w:top w:val="nil"/>
              <w:left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-0.81***</w:t>
            </w:r>
          </w:p>
        </w:tc>
        <w:tc>
          <w:tcPr>
            <w:tcW w:w="100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-0.779***</w:t>
            </w:r>
          </w:p>
        </w:tc>
        <w:tc>
          <w:tcPr>
            <w:tcW w:w="919" w:type="dxa"/>
            <w:gridSpan w:val="2"/>
            <w:tcBorders>
              <w:top w:val="nil"/>
              <w:left w:val="nil"/>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-0.82***</w:t>
            </w:r>
          </w:p>
        </w:tc>
        <w:tc>
          <w:tcPr>
            <w:tcW w:w="1010" w:type="dxa"/>
            <w:tcBorders>
              <w:top w:val="nil"/>
              <w:left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-0.820***</w:t>
            </w:r>
          </w:p>
        </w:tc>
        <w:tc>
          <w:tcPr>
            <w:tcW w:w="91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-0.79***</w:t>
            </w:r>
          </w:p>
        </w:tc>
        <w:tc>
          <w:tcPr>
            <w:tcW w:w="100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-0.815***</w:t>
            </w:r>
          </w:p>
        </w:tc>
      </w:tr>
      <w:tr w:rsidR="00FE51AD" w:rsidRPr="007128CB" w:rsidTr="006D69D3">
        <w:trPr>
          <w:trHeight w:val="300"/>
          <w:jc w:val="center"/>
        </w:trPr>
        <w:tc>
          <w:tcPr>
            <w:tcW w:w="1307" w:type="dxa"/>
            <w:tcBorders>
              <w:top w:val="nil"/>
              <w:left w:val="nil"/>
              <w:bottom w:val="single" w:sz="4" w:space="0" w:color="auto"/>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 </w:t>
            </w:r>
          </w:p>
        </w:tc>
        <w:tc>
          <w:tcPr>
            <w:tcW w:w="919" w:type="dxa"/>
            <w:gridSpan w:val="2"/>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(-7.80)</w:t>
            </w:r>
          </w:p>
        </w:tc>
        <w:tc>
          <w:tcPr>
            <w:tcW w:w="1009" w:type="dxa"/>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(-7.923)</w:t>
            </w:r>
          </w:p>
        </w:tc>
        <w:tc>
          <w:tcPr>
            <w:tcW w:w="919" w:type="dxa"/>
            <w:tcBorders>
              <w:top w:val="nil"/>
              <w:left w:val="nil"/>
              <w:bottom w:val="single" w:sz="4" w:space="0" w:color="auto"/>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(-8.15)</w:t>
            </w:r>
          </w:p>
        </w:tc>
        <w:tc>
          <w:tcPr>
            <w:tcW w:w="1009" w:type="dxa"/>
            <w:gridSpan w:val="2"/>
            <w:tcBorders>
              <w:top w:val="nil"/>
              <w:left w:val="single" w:sz="4" w:space="0" w:color="auto"/>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(-8.570)</w:t>
            </w:r>
          </w:p>
        </w:tc>
        <w:tc>
          <w:tcPr>
            <w:tcW w:w="919" w:type="dxa"/>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(-8.24)</w:t>
            </w:r>
          </w:p>
        </w:tc>
        <w:tc>
          <w:tcPr>
            <w:tcW w:w="1009" w:type="dxa"/>
            <w:gridSpan w:val="2"/>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(-8.492)</w:t>
            </w:r>
          </w:p>
        </w:tc>
        <w:tc>
          <w:tcPr>
            <w:tcW w:w="236" w:type="dxa"/>
            <w:gridSpan w:val="2"/>
            <w:tcBorders>
              <w:top w:val="nil"/>
              <w:left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(-4.36)</w:t>
            </w:r>
          </w:p>
        </w:tc>
        <w:tc>
          <w:tcPr>
            <w:tcW w:w="1009" w:type="dxa"/>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(-4.587)</w:t>
            </w:r>
          </w:p>
        </w:tc>
        <w:tc>
          <w:tcPr>
            <w:tcW w:w="919" w:type="dxa"/>
            <w:gridSpan w:val="2"/>
            <w:tcBorders>
              <w:top w:val="nil"/>
              <w:left w:val="nil"/>
              <w:bottom w:val="single" w:sz="4" w:space="0" w:color="auto"/>
              <w:right w:val="single" w:sz="4" w:space="0" w:color="auto"/>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(-4.47)</w:t>
            </w:r>
          </w:p>
        </w:tc>
        <w:tc>
          <w:tcPr>
            <w:tcW w:w="1010" w:type="dxa"/>
            <w:tcBorders>
              <w:top w:val="nil"/>
              <w:left w:val="single" w:sz="4" w:space="0" w:color="auto"/>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(-5.224)</w:t>
            </w:r>
          </w:p>
        </w:tc>
        <w:tc>
          <w:tcPr>
            <w:tcW w:w="919" w:type="dxa"/>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(-5.66)</w:t>
            </w:r>
          </w:p>
        </w:tc>
        <w:tc>
          <w:tcPr>
            <w:tcW w:w="1009" w:type="dxa"/>
            <w:tcBorders>
              <w:top w:val="nil"/>
              <w:left w:val="nil"/>
              <w:bottom w:val="single" w:sz="4" w:space="0" w:color="auto"/>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r w:rsidRPr="007128CB">
              <w:rPr>
                <w:sz w:val="18"/>
                <w:szCs w:val="18"/>
              </w:rPr>
              <w:t>(-5.336)</w:t>
            </w:r>
          </w:p>
        </w:tc>
      </w:tr>
      <w:tr w:rsidR="00FE51AD" w:rsidRPr="007128CB" w:rsidTr="006D69D3">
        <w:trPr>
          <w:trHeight w:val="300"/>
          <w:jc w:val="center"/>
        </w:trPr>
        <w:tc>
          <w:tcPr>
            <w:tcW w:w="1307" w:type="dxa"/>
            <w:tcBorders>
              <w:top w:val="single" w:sz="4" w:space="0" w:color="auto"/>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919" w:type="dxa"/>
            <w:gridSpan w:val="2"/>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single" w:sz="4" w:space="0" w:color="auto"/>
              <w:left w:val="nil"/>
              <w:bottom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gridSpan w:val="2"/>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gridSpan w:val="2"/>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236" w:type="dxa"/>
            <w:gridSpan w:val="2"/>
            <w:tcBorders>
              <w:left w:val="nil"/>
              <w:bottom w:val="nil"/>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gridSpan w:val="2"/>
            <w:tcBorders>
              <w:top w:val="single" w:sz="4" w:space="0" w:color="auto"/>
              <w:left w:val="nil"/>
              <w:bottom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10" w:type="dxa"/>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919" w:type="dxa"/>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c>
          <w:tcPr>
            <w:tcW w:w="1009" w:type="dxa"/>
            <w:tcBorders>
              <w:top w:val="single" w:sz="4" w:space="0" w:color="auto"/>
              <w:left w:val="nil"/>
              <w:bottom w:val="nil"/>
              <w:right w:val="nil"/>
            </w:tcBorders>
            <w:shd w:val="clear" w:color="auto" w:fill="auto"/>
            <w:noWrap/>
            <w:vAlign w:val="center"/>
            <w:hideMark/>
          </w:tcPr>
          <w:p w:rsidR="00FE51AD" w:rsidRPr="007128CB" w:rsidRDefault="00FE51AD" w:rsidP="006D69D3">
            <w:pPr>
              <w:tabs>
                <w:tab w:val="decimal" w:pos="207"/>
              </w:tabs>
              <w:spacing w:line="240" w:lineRule="auto"/>
              <w:rPr>
                <w:sz w:val="18"/>
                <w:szCs w:val="18"/>
              </w:rPr>
            </w:pPr>
          </w:p>
        </w:tc>
      </w:tr>
      <w:tr w:rsidR="00FE51AD" w:rsidRPr="007128CB" w:rsidTr="006D69D3">
        <w:trPr>
          <w:trHeight w:val="300"/>
          <w:jc w:val="center"/>
        </w:trPr>
        <w:tc>
          <w:tcPr>
            <w:tcW w:w="1307" w:type="dxa"/>
            <w:tcBorders>
              <w:top w:val="nil"/>
              <w:left w:val="nil"/>
              <w:right w:val="nil"/>
            </w:tcBorders>
            <w:shd w:val="clear" w:color="auto" w:fill="auto"/>
            <w:vAlign w:val="center"/>
            <w:hideMark/>
          </w:tcPr>
          <w:p w:rsidR="00FE51AD" w:rsidRPr="007128CB" w:rsidRDefault="00FE51AD" w:rsidP="006D69D3">
            <w:pPr>
              <w:spacing w:line="240" w:lineRule="auto"/>
              <w:rPr>
                <w:b/>
                <w:bCs/>
                <w:i/>
                <w:iCs/>
                <w:sz w:val="18"/>
                <w:szCs w:val="18"/>
              </w:rPr>
            </w:pPr>
            <w:r>
              <w:rPr>
                <w:b/>
                <w:bCs/>
                <w:i/>
                <w:iCs/>
                <w:sz w:val="18"/>
                <w:szCs w:val="18"/>
              </w:rPr>
              <w:t>No. Obs.</w:t>
            </w:r>
          </w:p>
        </w:tc>
        <w:tc>
          <w:tcPr>
            <w:tcW w:w="919" w:type="dxa"/>
            <w:gridSpan w:val="2"/>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1,631</w:t>
            </w:r>
          </w:p>
        </w:tc>
        <w:tc>
          <w:tcPr>
            <w:tcW w:w="100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1,631</w:t>
            </w:r>
          </w:p>
        </w:tc>
        <w:tc>
          <w:tcPr>
            <w:tcW w:w="919" w:type="dxa"/>
            <w:tcBorders>
              <w:top w:val="nil"/>
              <w:lef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1,631</w:t>
            </w:r>
          </w:p>
        </w:tc>
        <w:tc>
          <w:tcPr>
            <w:tcW w:w="1009" w:type="dxa"/>
            <w:gridSpan w:val="2"/>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1,531</w:t>
            </w:r>
          </w:p>
        </w:tc>
        <w:tc>
          <w:tcPr>
            <w:tcW w:w="91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1,531</w:t>
            </w:r>
          </w:p>
        </w:tc>
        <w:tc>
          <w:tcPr>
            <w:tcW w:w="1009" w:type="dxa"/>
            <w:gridSpan w:val="2"/>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1,531</w:t>
            </w:r>
          </w:p>
        </w:tc>
        <w:tc>
          <w:tcPr>
            <w:tcW w:w="236" w:type="dxa"/>
            <w:gridSpan w:val="2"/>
            <w:tcBorders>
              <w:top w:val="nil"/>
              <w:left w:val="nil"/>
              <w:right w:val="nil"/>
            </w:tcBorders>
            <w:shd w:val="clear" w:color="auto" w:fill="auto"/>
            <w:vAlign w:val="bottom"/>
            <w:hideMark/>
          </w:tcPr>
          <w:p w:rsidR="00FE51AD" w:rsidRPr="007128CB" w:rsidRDefault="00FE51AD" w:rsidP="006D69D3">
            <w:pPr>
              <w:tabs>
                <w:tab w:val="decimal" w:pos="207"/>
              </w:tabs>
              <w:spacing w:line="240" w:lineRule="auto"/>
              <w:jc w:val="center"/>
              <w:rPr>
                <w:sz w:val="18"/>
                <w:szCs w:val="18"/>
              </w:rPr>
            </w:pPr>
          </w:p>
        </w:tc>
        <w:tc>
          <w:tcPr>
            <w:tcW w:w="91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665</w:t>
            </w:r>
          </w:p>
        </w:tc>
        <w:tc>
          <w:tcPr>
            <w:tcW w:w="100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665</w:t>
            </w:r>
          </w:p>
        </w:tc>
        <w:tc>
          <w:tcPr>
            <w:tcW w:w="919" w:type="dxa"/>
            <w:gridSpan w:val="2"/>
            <w:tcBorders>
              <w:top w:val="nil"/>
              <w:lef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665</w:t>
            </w:r>
          </w:p>
        </w:tc>
        <w:tc>
          <w:tcPr>
            <w:tcW w:w="1010"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607</w:t>
            </w:r>
          </w:p>
        </w:tc>
        <w:tc>
          <w:tcPr>
            <w:tcW w:w="91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607</w:t>
            </w:r>
          </w:p>
        </w:tc>
        <w:tc>
          <w:tcPr>
            <w:tcW w:w="1009" w:type="dxa"/>
            <w:tcBorders>
              <w:top w:val="nil"/>
              <w:left w:val="nil"/>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607</w:t>
            </w:r>
          </w:p>
        </w:tc>
      </w:tr>
      <w:tr w:rsidR="00FE51AD" w:rsidRPr="007128CB" w:rsidTr="00FE51AD">
        <w:trPr>
          <w:trHeight w:val="300"/>
          <w:jc w:val="center"/>
        </w:trPr>
        <w:tc>
          <w:tcPr>
            <w:tcW w:w="1307" w:type="dxa"/>
            <w:tcBorders>
              <w:top w:val="nil"/>
              <w:left w:val="nil"/>
              <w:bottom w:val="double" w:sz="4" w:space="0" w:color="auto"/>
              <w:right w:val="nil"/>
            </w:tcBorders>
            <w:shd w:val="clear" w:color="auto" w:fill="auto"/>
            <w:vAlign w:val="center"/>
            <w:hideMark/>
          </w:tcPr>
          <w:p w:rsidR="00FE51AD" w:rsidRPr="00070B0F" w:rsidRDefault="00FE51AD" w:rsidP="006D69D3">
            <w:pPr>
              <w:spacing w:line="240" w:lineRule="auto"/>
              <w:rPr>
                <w:b/>
                <w:bCs/>
                <w:i/>
                <w:iCs/>
                <w:sz w:val="18"/>
                <w:szCs w:val="18"/>
                <w:vertAlign w:val="superscript"/>
              </w:rPr>
            </w:pPr>
            <w:r w:rsidRPr="007128CB">
              <w:rPr>
                <w:b/>
                <w:bCs/>
                <w:i/>
                <w:iCs/>
                <w:sz w:val="18"/>
                <w:szCs w:val="18"/>
              </w:rPr>
              <w:t>Adj. R</w:t>
            </w:r>
            <w:r>
              <w:rPr>
                <w:b/>
                <w:bCs/>
                <w:i/>
                <w:iCs/>
                <w:sz w:val="18"/>
                <w:szCs w:val="18"/>
                <w:vertAlign w:val="superscript"/>
              </w:rPr>
              <w:t>2</w:t>
            </w:r>
          </w:p>
        </w:tc>
        <w:tc>
          <w:tcPr>
            <w:tcW w:w="919" w:type="dxa"/>
            <w:gridSpan w:val="2"/>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8.65%</w:t>
            </w:r>
          </w:p>
        </w:tc>
        <w:tc>
          <w:tcPr>
            <w:tcW w:w="1009" w:type="dxa"/>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8.59%</w:t>
            </w:r>
          </w:p>
        </w:tc>
        <w:tc>
          <w:tcPr>
            <w:tcW w:w="919" w:type="dxa"/>
            <w:tcBorders>
              <w:top w:val="nil"/>
              <w:left w:val="nil"/>
              <w:bottom w:val="double" w:sz="4" w:space="0" w:color="auto"/>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9.04%</w:t>
            </w:r>
          </w:p>
        </w:tc>
        <w:tc>
          <w:tcPr>
            <w:tcW w:w="1009" w:type="dxa"/>
            <w:gridSpan w:val="2"/>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12.89%</w:t>
            </w:r>
          </w:p>
        </w:tc>
        <w:tc>
          <w:tcPr>
            <w:tcW w:w="919" w:type="dxa"/>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12.65%</w:t>
            </w:r>
          </w:p>
        </w:tc>
        <w:tc>
          <w:tcPr>
            <w:tcW w:w="1009" w:type="dxa"/>
            <w:gridSpan w:val="2"/>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13.20%</w:t>
            </w:r>
          </w:p>
        </w:tc>
        <w:tc>
          <w:tcPr>
            <w:tcW w:w="236" w:type="dxa"/>
            <w:gridSpan w:val="2"/>
            <w:tcBorders>
              <w:top w:val="nil"/>
              <w:left w:val="nil"/>
              <w:bottom w:val="double" w:sz="4" w:space="0" w:color="auto"/>
              <w:right w:val="nil"/>
            </w:tcBorders>
            <w:shd w:val="clear" w:color="auto" w:fill="auto"/>
            <w:vAlign w:val="bottom"/>
            <w:hideMark/>
          </w:tcPr>
          <w:p w:rsidR="00FE51AD" w:rsidRPr="007128CB" w:rsidRDefault="00FE51AD" w:rsidP="006D69D3">
            <w:pPr>
              <w:tabs>
                <w:tab w:val="decimal" w:pos="207"/>
              </w:tabs>
              <w:spacing w:line="240" w:lineRule="auto"/>
              <w:rPr>
                <w:sz w:val="18"/>
                <w:szCs w:val="18"/>
              </w:rPr>
            </w:pPr>
          </w:p>
        </w:tc>
        <w:tc>
          <w:tcPr>
            <w:tcW w:w="919" w:type="dxa"/>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15.00%</w:t>
            </w:r>
          </w:p>
        </w:tc>
        <w:tc>
          <w:tcPr>
            <w:tcW w:w="1009" w:type="dxa"/>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14.42%</w:t>
            </w:r>
          </w:p>
        </w:tc>
        <w:tc>
          <w:tcPr>
            <w:tcW w:w="919" w:type="dxa"/>
            <w:gridSpan w:val="2"/>
            <w:tcBorders>
              <w:top w:val="nil"/>
              <w:left w:val="nil"/>
              <w:bottom w:val="double" w:sz="4" w:space="0" w:color="auto"/>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14.77%</w:t>
            </w:r>
          </w:p>
        </w:tc>
        <w:tc>
          <w:tcPr>
            <w:tcW w:w="1010" w:type="dxa"/>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16.53%</w:t>
            </w:r>
          </w:p>
        </w:tc>
        <w:tc>
          <w:tcPr>
            <w:tcW w:w="919" w:type="dxa"/>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16.49%</w:t>
            </w:r>
          </w:p>
        </w:tc>
        <w:tc>
          <w:tcPr>
            <w:tcW w:w="1009" w:type="dxa"/>
            <w:tcBorders>
              <w:top w:val="nil"/>
              <w:left w:val="nil"/>
              <w:bottom w:val="double" w:sz="4" w:space="0" w:color="auto"/>
              <w:right w:val="nil"/>
            </w:tcBorders>
            <w:shd w:val="clear" w:color="auto" w:fill="auto"/>
            <w:noWrap/>
            <w:vAlign w:val="center"/>
            <w:hideMark/>
          </w:tcPr>
          <w:p w:rsidR="00FE51AD" w:rsidRPr="007128CB" w:rsidRDefault="00FE51AD" w:rsidP="006D69D3">
            <w:pPr>
              <w:tabs>
                <w:tab w:val="decimal" w:pos="207"/>
              </w:tabs>
              <w:spacing w:line="240" w:lineRule="auto"/>
              <w:jc w:val="center"/>
              <w:rPr>
                <w:sz w:val="18"/>
                <w:szCs w:val="18"/>
              </w:rPr>
            </w:pPr>
            <w:r w:rsidRPr="007128CB">
              <w:rPr>
                <w:sz w:val="18"/>
                <w:szCs w:val="18"/>
              </w:rPr>
              <w:t>16.37%</w:t>
            </w:r>
          </w:p>
        </w:tc>
      </w:tr>
      <w:tr w:rsidR="00FE51AD" w:rsidRPr="007128CB" w:rsidTr="00FE51AD">
        <w:trPr>
          <w:trHeight w:val="300"/>
          <w:jc w:val="center"/>
        </w:trPr>
        <w:tc>
          <w:tcPr>
            <w:tcW w:w="13112" w:type="dxa"/>
            <w:gridSpan w:val="19"/>
            <w:tcBorders>
              <w:top w:val="double" w:sz="4" w:space="0" w:color="auto"/>
              <w:left w:val="nil"/>
              <w:bottom w:val="nil"/>
              <w:right w:val="nil"/>
            </w:tcBorders>
            <w:shd w:val="clear" w:color="auto" w:fill="auto"/>
            <w:vAlign w:val="center"/>
          </w:tcPr>
          <w:p w:rsidR="00FE51AD" w:rsidRPr="007128CB" w:rsidRDefault="00FE51AD" w:rsidP="00FE51AD">
            <w:pPr>
              <w:spacing w:line="240" w:lineRule="auto"/>
              <w:rPr>
                <w:sz w:val="20"/>
                <w:szCs w:val="20"/>
              </w:rPr>
            </w:pPr>
            <w:r w:rsidRPr="007128CB">
              <w:rPr>
                <w:sz w:val="20"/>
                <w:szCs w:val="20"/>
              </w:rPr>
              <w:t>This table presents estimation of equation (7).  Panel A provides estimation for firms with no change in segment reporting before and after ASC 280 implementation</w:t>
            </w:r>
            <w:r w:rsidR="00670864">
              <w:rPr>
                <w:sz w:val="20"/>
                <w:szCs w:val="20"/>
              </w:rPr>
              <w:t>, holding constant firm segment reporting quality</w:t>
            </w:r>
            <w:r w:rsidRPr="007128CB">
              <w:rPr>
                <w:sz w:val="20"/>
                <w:szCs w:val="20"/>
              </w:rPr>
              <w:t>.  Regressions 1-6 in panel A provide estimation for single segment firms before and after ASC 280 implementation.  Regressions 7-12 in panel A provide estimation for multi-segment firms with no change in segment reporting before and after ASC 280 implementation.  Panel B provides estimation for firms with a change in segment reporting before and after ASC 280 implementation. Regressions 1-6 in panel B provide estimation</w:t>
            </w:r>
            <w:r w:rsidR="001F2618">
              <w:rPr>
                <w:sz w:val="20"/>
                <w:szCs w:val="20"/>
              </w:rPr>
              <w:t xml:space="preserve"> for firms changing from single </w:t>
            </w:r>
            <w:r w:rsidRPr="007128CB">
              <w:rPr>
                <w:sz w:val="20"/>
                <w:szCs w:val="20"/>
              </w:rPr>
              <w:t>segment to multi-segment reporting.  Regressions 7-12 in panel B provide estimation for firms reporting additional segments (multi-segment to more segments</w:t>
            </w:r>
            <w:r w:rsidR="002D734F">
              <w:rPr>
                <w:sz w:val="20"/>
                <w:szCs w:val="20"/>
              </w:rPr>
              <w:t xml:space="preserve"> than reported under SFAS No. 15</w:t>
            </w:r>
            <w:r w:rsidRPr="007128CB">
              <w:rPr>
                <w:sz w:val="20"/>
                <w:szCs w:val="20"/>
              </w:rPr>
              <w:t>).  Variables are defined in appendix B.  Coefficients are reported above, t-statistics below in parentheses.  All regressions are estimated using two-way clustering by firm and year.</w:t>
            </w:r>
          </w:p>
          <w:p w:rsidR="00FE51AD" w:rsidRPr="007128CB" w:rsidRDefault="00FE51AD" w:rsidP="00FE51AD">
            <w:pPr>
              <w:tabs>
                <w:tab w:val="decimal" w:pos="207"/>
              </w:tabs>
              <w:spacing w:line="240" w:lineRule="auto"/>
              <w:rPr>
                <w:sz w:val="18"/>
                <w:szCs w:val="18"/>
              </w:rPr>
            </w:pPr>
            <w:r w:rsidRPr="007128CB">
              <w:rPr>
                <w:sz w:val="20"/>
                <w:szCs w:val="20"/>
              </w:rPr>
              <w:t>Significance: *** p-value &lt; 0.01, ** p-value &lt; 0.05, and * p-value &lt;0.1</w:t>
            </w:r>
          </w:p>
        </w:tc>
      </w:tr>
    </w:tbl>
    <w:p w:rsidR="000A6F1C" w:rsidRPr="00FE51AD" w:rsidRDefault="000A6F1C" w:rsidP="00FE51AD">
      <w:pPr>
        <w:jc w:val="center"/>
        <w:rPr>
          <w:sz w:val="2"/>
          <w:szCs w:val="2"/>
        </w:rPr>
      </w:pPr>
    </w:p>
    <w:tbl>
      <w:tblPr>
        <w:tblW w:w="12600" w:type="dxa"/>
        <w:jc w:val="center"/>
        <w:tblLook w:val="04A0" w:firstRow="1" w:lastRow="0" w:firstColumn="1" w:lastColumn="0" w:noHBand="0" w:noVBand="1"/>
      </w:tblPr>
      <w:tblGrid>
        <w:gridCol w:w="1456"/>
        <w:gridCol w:w="1092"/>
        <w:gridCol w:w="1048"/>
        <w:gridCol w:w="222"/>
        <w:gridCol w:w="1092"/>
        <w:gridCol w:w="1048"/>
        <w:gridCol w:w="1092"/>
        <w:gridCol w:w="1048"/>
        <w:gridCol w:w="222"/>
        <w:gridCol w:w="1092"/>
        <w:gridCol w:w="1048"/>
        <w:gridCol w:w="1092"/>
        <w:gridCol w:w="1048"/>
      </w:tblGrid>
      <w:tr w:rsidR="00FE51AD" w:rsidRPr="007128CB" w:rsidTr="006D69D3">
        <w:trPr>
          <w:trHeight w:val="255"/>
          <w:jc w:val="center"/>
        </w:trPr>
        <w:tc>
          <w:tcPr>
            <w:tcW w:w="12600" w:type="dxa"/>
            <w:gridSpan w:val="13"/>
            <w:tcBorders>
              <w:top w:val="double" w:sz="4" w:space="0" w:color="auto"/>
              <w:left w:val="nil"/>
              <w:bottom w:val="single" w:sz="12" w:space="0" w:color="auto"/>
              <w:right w:val="nil"/>
            </w:tcBorders>
            <w:shd w:val="clear" w:color="auto" w:fill="auto"/>
            <w:vAlign w:val="center"/>
            <w:hideMark/>
          </w:tcPr>
          <w:p w:rsidR="00FE51AD" w:rsidRPr="007128CB" w:rsidRDefault="00FE51AD" w:rsidP="006D69D3">
            <w:pPr>
              <w:spacing w:line="240" w:lineRule="auto"/>
              <w:jc w:val="center"/>
              <w:rPr>
                <w:b/>
                <w:i/>
              </w:rPr>
            </w:pPr>
            <w:r w:rsidRPr="007128CB">
              <w:rPr>
                <w:b/>
              </w:rPr>
              <w:t>Table 6</w:t>
            </w:r>
          </w:p>
          <w:p w:rsidR="00FE51AD" w:rsidRPr="007128CB" w:rsidRDefault="00194FE8" w:rsidP="006D69D3">
            <w:pPr>
              <w:spacing w:line="240" w:lineRule="auto"/>
              <w:jc w:val="center"/>
              <w:rPr>
                <w:b/>
                <w:bCs/>
              </w:rPr>
            </w:pPr>
            <w:r>
              <w:rPr>
                <w:b/>
                <w:i/>
              </w:rPr>
              <w:t>Regressions for</w:t>
            </w:r>
            <w:r w:rsidR="00FE51AD" w:rsidRPr="007128CB">
              <w:rPr>
                <w:b/>
                <w:i/>
              </w:rPr>
              <w:t xml:space="preserve"> ExVal on Segment Reporting Differentiation for Robustness Tests with Controls</w:t>
            </w:r>
          </w:p>
        </w:tc>
      </w:tr>
      <w:tr w:rsidR="00FE51AD" w:rsidRPr="007128CB" w:rsidTr="006D69D3">
        <w:trPr>
          <w:trHeight w:val="315"/>
          <w:jc w:val="center"/>
        </w:trPr>
        <w:tc>
          <w:tcPr>
            <w:tcW w:w="1456" w:type="dxa"/>
            <w:tcBorders>
              <w:top w:val="single" w:sz="12" w:space="0" w:color="auto"/>
              <w:left w:val="nil"/>
              <w:right w:val="nil"/>
            </w:tcBorders>
            <w:shd w:val="clear" w:color="auto" w:fill="auto"/>
            <w:vAlign w:val="center"/>
            <w:hideMark/>
          </w:tcPr>
          <w:p w:rsidR="00FE51AD" w:rsidRPr="007128CB" w:rsidRDefault="00FE51AD" w:rsidP="006D69D3">
            <w:pPr>
              <w:spacing w:line="240" w:lineRule="auto"/>
              <w:rPr>
                <w:b/>
                <w:bCs/>
                <w:i/>
                <w:iCs/>
              </w:rPr>
            </w:pPr>
            <w:r w:rsidRPr="007128CB">
              <w:rPr>
                <w:b/>
                <w:bCs/>
                <w:i/>
                <w:iCs/>
              </w:rPr>
              <w:t> </w:t>
            </w:r>
          </w:p>
        </w:tc>
        <w:tc>
          <w:tcPr>
            <w:tcW w:w="2140" w:type="dxa"/>
            <w:gridSpan w:val="2"/>
            <w:tcBorders>
              <w:top w:val="single" w:sz="12" w:space="0" w:color="auto"/>
              <w:left w:val="nil"/>
              <w:right w:val="nil"/>
            </w:tcBorders>
            <w:shd w:val="clear" w:color="auto" w:fill="auto"/>
            <w:noWrap/>
            <w:vAlign w:val="center"/>
            <w:hideMark/>
          </w:tcPr>
          <w:p w:rsidR="00FE51AD" w:rsidRPr="007128CB" w:rsidRDefault="00FE51AD" w:rsidP="006D69D3">
            <w:pPr>
              <w:spacing w:line="240" w:lineRule="auto"/>
              <w:jc w:val="center"/>
              <w:rPr>
                <w:b/>
              </w:rPr>
            </w:pPr>
            <w:r w:rsidRPr="007128CB">
              <w:rPr>
                <w:b/>
              </w:rPr>
              <w:t>Line of Business Primary Type</w:t>
            </w:r>
          </w:p>
        </w:tc>
        <w:tc>
          <w:tcPr>
            <w:tcW w:w="222" w:type="dxa"/>
            <w:tcBorders>
              <w:top w:val="single" w:sz="12" w:space="0" w:color="auto"/>
              <w:left w:val="nil"/>
              <w:right w:val="nil"/>
            </w:tcBorders>
            <w:shd w:val="clear" w:color="auto" w:fill="auto"/>
            <w:vAlign w:val="bottom"/>
            <w:hideMark/>
          </w:tcPr>
          <w:p w:rsidR="00FE51AD" w:rsidRPr="007128CB" w:rsidRDefault="00FE51AD" w:rsidP="006D69D3">
            <w:pPr>
              <w:spacing w:line="240" w:lineRule="auto"/>
            </w:pPr>
          </w:p>
        </w:tc>
        <w:tc>
          <w:tcPr>
            <w:tcW w:w="4280" w:type="dxa"/>
            <w:gridSpan w:val="4"/>
            <w:tcBorders>
              <w:top w:val="single" w:sz="12" w:space="0" w:color="auto"/>
              <w:left w:val="nil"/>
              <w:right w:val="nil"/>
            </w:tcBorders>
            <w:shd w:val="clear" w:color="auto" w:fill="auto"/>
            <w:noWrap/>
            <w:vAlign w:val="center"/>
            <w:hideMark/>
          </w:tcPr>
          <w:p w:rsidR="00FE51AD" w:rsidRPr="007128CB" w:rsidRDefault="00FE51AD" w:rsidP="006D69D3">
            <w:pPr>
              <w:spacing w:line="240" w:lineRule="auto"/>
              <w:jc w:val="center"/>
              <w:rPr>
                <w:b/>
              </w:rPr>
            </w:pPr>
            <w:r w:rsidRPr="007128CB">
              <w:rPr>
                <w:b/>
              </w:rPr>
              <w:t>NAICS Codes</w:t>
            </w:r>
          </w:p>
        </w:tc>
        <w:tc>
          <w:tcPr>
            <w:tcW w:w="222" w:type="dxa"/>
            <w:tcBorders>
              <w:top w:val="single" w:sz="12" w:space="0" w:color="auto"/>
              <w:left w:val="nil"/>
              <w:right w:val="nil"/>
            </w:tcBorders>
            <w:shd w:val="clear" w:color="auto" w:fill="auto"/>
            <w:vAlign w:val="bottom"/>
            <w:hideMark/>
          </w:tcPr>
          <w:p w:rsidR="00FE51AD" w:rsidRPr="007128CB" w:rsidRDefault="00FE51AD" w:rsidP="006D69D3">
            <w:pPr>
              <w:spacing w:line="240" w:lineRule="auto"/>
            </w:pPr>
          </w:p>
        </w:tc>
        <w:tc>
          <w:tcPr>
            <w:tcW w:w="4280" w:type="dxa"/>
            <w:gridSpan w:val="4"/>
            <w:tcBorders>
              <w:top w:val="single" w:sz="12" w:space="0" w:color="auto"/>
              <w:left w:val="nil"/>
              <w:right w:val="nil"/>
            </w:tcBorders>
            <w:shd w:val="clear" w:color="auto" w:fill="auto"/>
            <w:noWrap/>
            <w:vAlign w:val="center"/>
            <w:hideMark/>
          </w:tcPr>
          <w:p w:rsidR="00FE51AD" w:rsidRPr="007128CB" w:rsidRDefault="00FE51AD" w:rsidP="006D69D3">
            <w:pPr>
              <w:spacing w:line="240" w:lineRule="auto"/>
              <w:jc w:val="center"/>
              <w:rPr>
                <w:b/>
              </w:rPr>
            </w:pPr>
            <w:r w:rsidRPr="007128CB">
              <w:rPr>
                <w:b/>
              </w:rPr>
              <w:t>Fama &amp; French 48 Industry Codes</w:t>
            </w:r>
          </w:p>
        </w:tc>
      </w:tr>
      <w:tr w:rsidR="00FE51AD" w:rsidRPr="007128CB" w:rsidTr="006D69D3">
        <w:trPr>
          <w:trHeight w:val="300"/>
          <w:jc w:val="center"/>
        </w:trPr>
        <w:tc>
          <w:tcPr>
            <w:tcW w:w="1456" w:type="dxa"/>
            <w:tcBorders>
              <w:left w:val="nil"/>
              <w:right w:val="nil"/>
            </w:tcBorders>
            <w:shd w:val="clear" w:color="auto" w:fill="auto"/>
            <w:vAlign w:val="center"/>
          </w:tcPr>
          <w:p w:rsidR="00FE51AD" w:rsidRPr="007128CB" w:rsidRDefault="00FE51AD" w:rsidP="006D69D3">
            <w:pPr>
              <w:spacing w:line="240" w:lineRule="auto"/>
              <w:rPr>
                <w:b/>
                <w:bCs/>
                <w:i/>
                <w:iCs/>
              </w:rPr>
            </w:pPr>
          </w:p>
        </w:tc>
        <w:tc>
          <w:tcPr>
            <w:tcW w:w="2140" w:type="dxa"/>
            <w:gridSpan w:val="2"/>
            <w:tcBorders>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Multi-Segment</w:t>
            </w:r>
          </w:p>
        </w:tc>
        <w:tc>
          <w:tcPr>
            <w:tcW w:w="222" w:type="dxa"/>
            <w:tcBorders>
              <w:left w:val="nil"/>
              <w:right w:val="nil"/>
            </w:tcBorders>
            <w:shd w:val="clear" w:color="auto" w:fill="auto"/>
            <w:vAlign w:val="bottom"/>
          </w:tcPr>
          <w:p w:rsidR="00FE51AD" w:rsidRPr="007128CB" w:rsidRDefault="00FE51AD" w:rsidP="006D69D3">
            <w:pPr>
              <w:spacing w:line="240" w:lineRule="auto"/>
              <w:rPr>
                <w:b/>
              </w:rPr>
            </w:pPr>
          </w:p>
        </w:tc>
        <w:tc>
          <w:tcPr>
            <w:tcW w:w="2140" w:type="dxa"/>
            <w:gridSpan w:val="2"/>
            <w:tcBorders>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Multi-Segment</w:t>
            </w:r>
          </w:p>
        </w:tc>
        <w:tc>
          <w:tcPr>
            <w:tcW w:w="2140" w:type="dxa"/>
            <w:gridSpan w:val="2"/>
            <w:tcBorders>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Single Segment</w:t>
            </w:r>
          </w:p>
        </w:tc>
        <w:tc>
          <w:tcPr>
            <w:tcW w:w="222" w:type="dxa"/>
            <w:tcBorders>
              <w:left w:val="nil"/>
              <w:bottom w:val="nil"/>
              <w:right w:val="nil"/>
            </w:tcBorders>
            <w:shd w:val="clear" w:color="auto" w:fill="auto"/>
            <w:vAlign w:val="bottom"/>
          </w:tcPr>
          <w:p w:rsidR="00FE51AD" w:rsidRPr="007128CB" w:rsidRDefault="00FE51AD" w:rsidP="006D69D3">
            <w:pPr>
              <w:spacing w:line="240" w:lineRule="auto"/>
              <w:jc w:val="center"/>
              <w:rPr>
                <w:b/>
              </w:rPr>
            </w:pPr>
          </w:p>
        </w:tc>
        <w:tc>
          <w:tcPr>
            <w:tcW w:w="2140" w:type="dxa"/>
            <w:gridSpan w:val="2"/>
            <w:tcBorders>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Multi-Segment</w:t>
            </w:r>
          </w:p>
        </w:tc>
        <w:tc>
          <w:tcPr>
            <w:tcW w:w="2140" w:type="dxa"/>
            <w:gridSpan w:val="2"/>
            <w:tcBorders>
              <w:left w:val="nil"/>
              <w:bottom w:val="single" w:sz="4" w:space="0" w:color="auto"/>
              <w:right w:val="nil"/>
            </w:tcBorders>
            <w:shd w:val="clear" w:color="auto" w:fill="auto"/>
            <w:noWrap/>
            <w:vAlign w:val="center"/>
          </w:tcPr>
          <w:p w:rsidR="00FE51AD" w:rsidRPr="007128CB" w:rsidRDefault="00FE51AD" w:rsidP="006D69D3">
            <w:pPr>
              <w:spacing w:line="240" w:lineRule="auto"/>
              <w:jc w:val="center"/>
              <w:rPr>
                <w:b/>
                <w:i/>
              </w:rPr>
            </w:pPr>
            <w:r w:rsidRPr="007128CB">
              <w:rPr>
                <w:b/>
                <w:i/>
              </w:rPr>
              <w:t>Single Segment</w:t>
            </w:r>
          </w:p>
        </w:tc>
      </w:tr>
      <w:tr w:rsidR="00FE51AD" w:rsidRPr="007128CB" w:rsidTr="006D69D3">
        <w:trPr>
          <w:trHeight w:val="300"/>
          <w:jc w:val="center"/>
        </w:trPr>
        <w:tc>
          <w:tcPr>
            <w:tcW w:w="1456" w:type="dxa"/>
            <w:tcBorders>
              <w:left w:val="nil"/>
              <w:right w:val="nil"/>
            </w:tcBorders>
            <w:shd w:val="clear" w:color="auto" w:fill="auto"/>
            <w:vAlign w:val="center"/>
            <w:hideMark/>
          </w:tcPr>
          <w:p w:rsidR="00FE51AD" w:rsidRPr="007128CB" w:rsidRDefault="00FE51AD" w:rsidP="006D69D3">
            <w:pPr>
              <w:spacing w:line="240" w:lineRule="auto"/>
              <w:rPr>
                <w:b/>
                <w:bCs/>
                <w:i/>
                <w:iCs/>
              </w:rPr>
            </w:pPr>
          </w:p>
        </w:tc>
        <w:tc>
          <w:tcPr>
            <w:tcW w:w="1092" w:type="dxa"/>
            <w:tcBorders>
              <w:left w:val="nil"/>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Rev</w:t>
            </w:r>
          </w:p>
        </w:tc>
        <w:tc>
          <w:tcPr>
            <w:tcW w:w="1048" w:type="dxa"/>
            <w:tcBorders>
              <w:left w:val="nil"/>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AT</w:t>
            </w:r>
          </w:p>
        </w:tc>
        <w:tc>
          <w:tcPr>
            <w:tcW w:w="222" w:type="dxa"/>
            <w:tcBorders>
              <w:left w:val="nil"/>
              <w:right w:val="nil"/>
            </w:tcBorders>
            <w:shd w:val="clear" w:color="auto" w:fill="auto"/>
            <w:vAlign w:val="bottom"/>
            <w:hideMark/>
          </w:tcPr>
          <w:p w:rsidR="00FE51AD" w:rsidRPr="007128CB" w:rsidRDefault="00FE51AD" w:rsidP="006D69D3">
            <w:pPr>
              <w:spacing w:line="240" w:lineRule="auto"/>
              <w:rPr>
                <w:b/>
              </w:rPr>
            </w:pPr>
          </w:p>
        </w:tc>
        <w:tc>
          <w:tcPr>
            <w:tcW w:w="1092" w:type="dxa"/>
            <w:tcBorders>
              <w:left w:val="nil"/>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Rev</w:t>
            </w:r>
          </w:p>
        </w:tc>
        <w:tc>
          <w:tcPr>
            <w:tcW w:w="1048" w:type="dxa"/>
            <w:tcBorders>
              <w:left w:val="nil"/>
              <w:bottom w:val="single" w:sz="4" w:space="0" w:color="auto"/>
              <w:right w:val="single" w:sz="4" w:space="0" w:color="auto"/>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AT</w:t>
            </w:r>
          </w:p>
        </w:tc>
        <w:tc>
          <w:tcPr>
            <w:tcW w:w="1092" w:type="dxa"/>
            <w:tcBorders>
              <w:left w:val="single" w:sz="4" w:space="0" w:color="auto"/>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Rev</w:t>
            </w:r>
          </w:p>
        </w:tc>
        <w:tc>
          <w:tcPr>
            <w:tcW w:w="1048" w:type="dxa"/>
            <w:tcBorders>
              <w:left w:val="nil"/>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AT</w:t>
            </w:r>
          </w:p>
        </w:tc>
        <w:tc>
          <w:tcPr>
            <w:tcW w:w="222" w:type="dxa"/>
            <w:tcBorders>
              <w:left w:val="nil"/>
              <w:bottom w:val="nil"/>
              <w:right w:val="nil"/>
            </w:tcBorders>
            <w:shd w:val="clear" w:color="auto" w:fill="auto"/>
            <w:vAlign w:val="bottom"/>
            <w:hideMark/>
          </w:tcPr>
          <w:p w:rsidR="00FE51AD" w:rsidRPr="007128CB" w:rsidRDefault="00FE51AD" w:rsidP="006D69D3">
            <w:pPr>
              <w:spacing w:line="240" w:lineRule="auto"/>
              <w:rPr>
                <w:b/>
              </w:rPr>
            </w:pPr>
          </w:p>
        </w:tc>
        <w:tc>
          <w:tcPr>
            <w:tcW w:w="1092" w:type="dxa"/>
            <w:tcBorders>
              <w:left w:val="nil"/>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Rev</w:t>
            </w:r>
          </w:p>
        </w:tc>
        <w:tc>
          <w:tcPr>
            <w:tcW w:w="1048" w:type="dxa"/>
            <w:tcBorders>
              <w:left w:val="nil"/>
              <w:bottom w:val="single" w:sz="4" w:space="0" w:color="auto"/>
              <w:right w:val="single" w:sz="4" w:space="0" w:color="auto"/>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AT</w:t>
            </w:r>
          </w:p>
        </w:tc>
        <w:tc>
          <w:tcPr>
            <w:tcW w:w="1092" w:type="dxa"/>
            <w:tcBorders>
              <w:left w:val="single" w:sz="4" w:space="0" w:color="auto"/>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Rev</w:t>
            </w:r>
          </w:p>
        </w:tc>
        <w:tc>
          <w:tcPr>
            <w:tcW w:w="1048" w:type="dxa"/>
            <w:tcBorders>
              <w:left w:val="nil"/>
              <w:bottom w:val="single" w:sz="4" w:space="0" w:color="auto"/>
              <w:right w:val="nil"/>
            </w:tcBorders>
            <w:shd w:val="clear" w:color="auto" w:fill="auto"/>
            <w:noWrap/>
            <w:vAlign w:val="center"/>
            <w:hideMark/>
          </w:tcPr>
          <w:p w:rsidR="00FE51AD" w:rsidRPr="007128CB" w:rsidRDefault="00FE51AD" w:rsidP="006D69D3">
            <w:pPr>
              <w:spacing w:line="240" w:lineRule="auto"/>
              <w:rPr>
                <w:b/>
              </w:rPr>
            </w:pPr>
            <w:r w:rsidRPr="007128CB">
              <w:rPr>
                <w:b/>
                <w:i/>
              </w:rPr>
              <w:t>ExVal</w:t>
            </w:r>
            <w:r w:rsidRPr="007128CB">
              <w:rPr>
                <w:b/>
                <w:i/>
                <w:vertAlign w:val="subscript"/>
              </w:rPr>
              <w:t>AT</w:t>
            </w:r>
          </w:p>
        </w:tc>
      </w:tr>
      <w:tr w:rsidR="00FE51AD" w:rsidRPr="007128CB" w:rsidTr="006D69D3">
        <w:trPr>
          <w:trHeight w:val="300"/>
          <w:jc w:val="center"/>
        </w:trPr>
        <w:tc>
          <w:tcPr>
            <w:tcW w:w="1456" w:type="dxa"/>
            <w:tcBorders>
              <w:left w:val="nil"/>
              <w:bottom w:val="nil"/>
              <w:right w:val="nil"/>
            </w:tcBorders>
            <w:shd w:val="clear" w:color="auto" w:fill="auto"/>
            <w:vAlign w:val="center"/>
            <w:hideMark/>
          </w:tcPr>
          <w:p w:rsidR="00FE51AD" w:rsidRPr="007128CB" w:rsidRDefault="00FE51AD" w:rsidP="006D69D3">
            <w:pPr>
              <w:spacing w:line="240" w:lineRule="auto"/>
              <w:jc w:val="center"/>
              <w:rPr>
                <w:b/>
                <w:bCs/>
                <w:i/>
                <w:iCs/>
                <w:sz w:val="18"/>
                <w:szCs w:val="18"/>
              </w:rPr>
            </w:pPr>
          </w:p>
        </w:tc>
        <w:tc>
          <w:tcPr>
            <w:tcW w:w="1092" w:type="dxa"/>
            <w:tcBorders>
              <w:top w:val="single" w:sz="4" w:space="0" w:color="auto"/>
              <w:left w:val="nil"/>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(1)</w:t>
            </w:r>
          </w:p>
        </w:tc>
        <w:tc>
          <w:tcPr>
            <w:tcW w:w="1048" w:type="dxa"/>
            <w:tcBorders>
              <w:top w:val="single" w:sz="4" w:space="0" w:color="auto"/>
              <w:left w:val="nil"/>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(2)</w:t>
            </w:r>
          </w:p>
        </w:tc>
        <w:tc>
          <w:tcPr>
            <w:tcW w:w="222" w:type="dxa"/>
            <w:tcBorders>
              <w:left w:val="nil"/>
              <w:bottom w:val="nil"/>
              <w:right w:val="nil"/>
            </w:tcBorders>
            <w:shd w:val="clear" w:color="auto" w:fill="auto"/>
            <w:noWrap/>
            <w:vAlign w:val="bottom"/>
            <w:hideMark/>
          </w:tcPr>
          <w:p w:rsidR="00FE51AD" w:rsidRPr="007128CB" w:rsidRDefault="00FE51AD" w:rsidP="006D69D3">
            <w:pPr>
              <w:spacing w:line="240" w:lineRule="auto"/>
              <w:jc w:val="center"/>
              <w:rPr>
                <w:rFonts w:ascii="Calibri" w:hAnsi="Calibri"/>
                <w:color w:val="000000"/>
                <w:sz w:val="18"/>
                <w:szCs w:val="18"/>
              </w:rPr>
            </w:pPr>
          </w:p>
        </w:tc>
        <w:tc>
          <w:tcPr>
            <w:tcW w:w="1092" w:type="dxa"/>
            <w:tcBorders>
              <w:top w:val="single" w:sz="4" w:space="0" w:color="auto"/>
              <w:left w:val="nil"/>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(3)</w:t>
            </w:r>
          </w:p>
        </w:tc>
        <w:tc>
          <w:tcPr>
            <w:tcW w:w="1048" w:type="dxa"/>
            <w:tcBorders>
              <w:top w:val="single" w:sz="4" w:space="0" w:color="auto"/>
              <w:left w:val="nil"/>
              <w:bottom w:val="nil"/>
              <w:right w:val="single" w:sz="4" w:space="0" w:color="auto"/>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(4)</w:t>
            </w:r>
          </w:p>
        </w:tc>
        <w:tc>
          <w:tcPr>
            <w:tcW w:w="1092" w:type="dxa"/>
            <w:tcBorders>
              <w:top w:val="single" w:sz="4" w:space="0" w:color="auto"/>
              <w:left w:val="single" w:sz="4" w:space="0" w:color="auto"/>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(5)</w:t>
            </w:r>
          </w:p>
        </w:tc>
        <w:tc>
          <w:tcPr>
            <w:tcW w:w="1048" w:type="dxa"/>
            <w:tcBorders>
              <w:top w:val="single" w:sz="4" w:space="0" w:color="auto"/>
              <w:left w:val="nil"/>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(6)</w:t>
            </w:r>
          </w:p>
        </w:tc>
        <w:tc>
          <w:tcPr>
            <w:tcW w:w="222" w:type="dxa"/>
            <w:tcBorders>
              <w:left w:val="nil"/>
              <w:bottom w:val="nil"/>
              <w:right w:val="nil"/>
            </w:tcBorders>
            <w:shd w:val="clear" w:color="auto" w:fill="auto"/>
            <w:noWrap/>
            <w:vAlign w:val="bottom"/>
            <w:hideMark/>
          </w:tcPr>
          <w:p w:rsidR="00FE51AD" w:rsidRPr="007128CB" w:rsidRDefault="00FE51AD" w:rsidP="006D69D3">
            <w:pPr>
              <w:spacing w:line="240" w:lineRule="auto"/>
              <w:jc w:val="center"/>
              <w:rPr>
                <w:rFonts w:ascii="Calibri" w:hAnsi="Calibri"/>
                <w:color w:val="000000"/>
                <w:sz w:val="18"/>
                <w:szCs w:val="18"/>
              </w:rPr>
            </w:pPr>
          </w:p>
        </w:tc>
        <w:tc>
          <w:tcPr>
            <w:tcW w:w="1092" w:type="dxa"/>
            <w:tcBorders>
              <w:top w:val="single" w:sz="4" w:space="0" w:color="auto"/>
              <w:left w:val="nil"/>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(7)</w:t>
            </w:r>
          </w:p>
        </w:tc>
        <w:tc>
          <w:tcPr>
            <w:tcW w:w="1048" w:type="dxa"/>
            <w:tcBorders>
              <w:top w:val="single" w:sz="4" w:space="0" w:color="auto"/>
              <w:left w:val="nil"/>
              <w:bottom w:val="nil"/>
              <w:right w:val="single" w:sz="4" w:space="0" w:color="auto"/>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(8)</w:t>
            </w:r>
          </w:p>
        </w:tc>
        <w:tc>
          <w:tcPr>
            <w:tcW w:w="1092" w:type="dxa"/>
            <w:tcBorders>
              <w:top w:val="single" w:sz="4" w:space="0" w:color="auto"/>
              <w:left w:val="single" w:sz="4" w:space="0" w:color="auto"/>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(9)</w:t>
            </w:r>
          </w:p>
        </w:tc>
        <w:tc>
          <w:tcPr>
            <w:tcW w:w="1048" w:type="dxa"/>
            <w:tcBorders>
              <w:top w:val="single" w:sz="4" w:space="0" w:color="auto"/>
              <w:left w:val="nil"/>
              <w:bottom w:val="nil"/>
              <w:right w:val="nil"/>
            </w:tcBorders>
            <w:shd w:val="clear" w:color="auto" w:fill="auto"/>
            <w:noWrap/>
            <w:vAlign w:val="center"/>
            <w:hideMark/>
          </w:tcPr>
          <w:p w:rsidR="00FE51AD" w:rsidRPr="007128CB" w:rsidRDefault="00FE51AD" w:rsidP="006D69D3">
            <w:pPr>
              <w:spacing w:line="240" w:lineRule="auto"/>
              <w:jc w:val="center"/>
              <w:rPr>
                <w:sz w:val="18"/>
                <w:szCs w:val="18"/>
              </w:rPr>
            </w:pPr>
            <w:r w:rsidRPr="007128CB">
              <w:rPr>
                <w:sz w:val="18"/>
                <w:szCs w:val="18"/>
              </w:rPr>
              <w:t>(10)</w:t>
            </w:r>
          </w:p>
        </w:tc>
      </w:tr>
      <w:tr w:rsidR="00FE51AD" w:rsidRPr="007128CB" w:rsidTr="006D69D3">
        <w:trPr>
          <w:trHeight w:val="300"/>
          <w:jc w:val="center"/>
        </w:trPr>
        <w:tc>
          <w:tcPr>
            <w:tcW w:w="1456" w:type="dxa"/>
            <w:tcBorders>
              <w:top w:val="single" w:sz="4" w:space="0" w:color="auto"/>
              <w:left w:val="nil"/>
              <w:bottom w:val="nil"/>
              <w:right w:val="nil"/>
            </w:tcBorders>
            <w:shd w:val="clear" w:color="auto" w:fill="auto"/>
            <w:vAlign w:val="center"/>
          </w:tcPr>
          <w:p w:rsidR="00FE51AD" w:rsidRPr="007128CB" w:rsidRDefault="00FE51AD" w:rsidP="006D69D3">
            <w:pPr>
              <w:spacing w:line="240" w:lineRule="auto"/>
              <w:rPr>
                <w:b/>
                <w:bCs/>
                <w:i/>
                <w:iCs/>
                <w:sz w:val="18"/>
                <w:szCs w:val="18"/>
              </w:rPr>
            </w:pPr>
          </w:p>
        </w:tc>
        <w:tc>
          <w:tcPr>
            <w:tcW w:w="1092" w:type="dxa"/>
            <w:tcBorders>
              <w:top w:val="single" w:sz="4" w:space="0" w:color="auto"/>
              <w:left w:val="nil"/>
              <w:bottom w:val="nil"/>
              <w:right w:val="nil"/>
            </w:tcBorders>
            <w:shd w:val="clear" w:color="auto" w:fill="auto"/>
            <w:noWrap/>
            <w:vAlign w:val="center"/>
          </w:tcPr>
          <w:p w:rsidR="00FE51AD" w:rsidRPr="007128CB" w:rsidRDefault="00FE51AD" w:rsidP="006D69D3">
            <w:pPr>
              <w:spacing w:line="240" w:lineRule="auto"/>
              <w:rPr>
                <w:sz w:val="18"/>
                <w:szCs w:val="18"/>
              </w:rPr>
            </w:pPr>
          </w:p>
        </w:tc>
        <w:tc>
          <w:tcPr>
            <w:tcW w:w="1048" w:type="dxa"/>
            <w:tcBorders>
              <w:top w:val="single" w:sz="4" w:space="0" w:color="auto"/>
              <w:left w:val="nil"/>
              <w:bottom w:val="nil"/>
              <w:right w:val="nil"/>
            </w:tcBorders>
            <w:shd w:val="clear" w:color="auto" w:fill="auto"/>
            <w:noWrap/>
            <w:vAlign w:val="center"/>
          </w:tcPr>
          <w:p w:rsidR="00FE51AD" w:rsidRPr="007128CB" w:rsidRDefault="00FE51AD" w:rsidP="006D69D3">
            <w:pPr>
              <w:spacing w:line="240" w:lineRule="auto"/>
              <w:rPr>
                <w:sz w:val="18"/>
                <w:szCs w:val="18"/>
              </w:rPr>
            </w:pPr>
          </w:p>
        </w:tc>
        <w:tc>
          <w:tcPr>
            <w:tcW w:w="222" w:type="dxa"/>
            <w:tcBorders>
              <w:left w:val="nil"/>
              <w:bottom w:val="nil"/>
              <w:right w:val="nil"/>
            </w:tcBorders>
            <w:shd w:val="clear" w:color="auto" w:fill="auto"/>
            <w:noWrap/>
            <w:vAlign w:val="bottom"/>
          </w:tcPr>
          <w:p w:rsidR="00FE51AD" w:rsidRPr="007128CB" w:rsidRDefault="00FE51AD" w:rsidP="006D69D3">
            <w:pPr>
              <w:spacing w:line="240" w:lineRule="auto"/>
              <w:rPr>
                <w:rFonts w:ascii="Calibri" w:hAnsi="Calibri"/>
                <w:color w:val="000000"/>
                <w:sz w:val="18"/>
                <w:szCs w:val="18"/>
              </w:rPr>
            </w:pPr>
          </w:p>
        </w:tc>
        <w:tc>
          <w:tcPr>
            <w:tcW w:w="1092" w:type="dxa"/>
            <w:tcBorders>
              <w:top w:val="single" w:sz="4" w:space="0" w:color="auto"/>
              <w:left w:val="nil"/>
              <w:bottom w:val="nil"/>
              <w:right w:val="nil"/>
            </w:tcBorders>
            <w:shd w:val="clear" w:color="auto" w:fill="auto"/>
            <w:noWrap/>
            <w:vAlign w:val="center"/>
          </w:tcPr>
          <w:p w:rsidR="00FE51AD" w:rsidRPr="007128CB" w:rsidRDefault="00FE51AD" w:rsidP="006D69D3">
            <w:pPr>
              <w:spacing w:line="240" w:lineRule="auto"/>
              <w:rPr>
                <w:sz w:val="18"/>
                <w:szCs w:val="18"/>
              </w:rPr>
            </w:pPr>
          </w:p>
        </w:tc>
        <w:tc>
          <w:tcPr>
            <w:tcW w:w="1048" w:type="dxa"/>
            <w:tcBorders>
              <w:top w:val="single" w:sz="4" w:space="0" w:color="auto"/>
              <w:left w:val="nil"/>
              <w:bottom w:val="nil"/>
              <w:right w:val="single" w:sz="4" w:space="0" w:color="auto"/>
            </w:tcBorders>
            <w:shd w:val="clear" w:color="auto" w:fill="auto"/>
            <w:noWrap/>
            <w:vAlign w:val="center"/>
          </w:tcPr>
          <w:p w:rsidR="00FE51AD" w:rsidRPr="007128CB" w:rsidRDefault="00FE51AD" w:rsidP="006D69D3">
            <w:pPr>
              <w:spacing w:line="240" w:lineRule="auto"/>
              <w:rPr>
                <w:sz w:val="18"/>
                <w:szCs w:val="18"/>
              </w:rPr>
            </w:pPr>
          </w:p>
        </w:tc>
        <w:tc>
          <w:tcPr>
            <w:tcW w:w="1092" w:type="dxa"/>
            <w:tcBorders>
              <w:top w:val="single" w:sz="4" w:space="0" w:color="auto"/>
              <w:left w:val="single" w:sz="4" w:space="0" w:color="auto"/>
              <w:bottom w:val="nil"/>
              <w:right w:val="nil"/>
            </w:tcBorders>
            <w:shd w:val="clear" w:color="auto" w:fill="auto"/>
            <w:noWrap/>
            <w:vAlign w:val="center"/>
          </w:tcPr>
          <w:p w:rsidR="00FE51AD" w:rsidRPr="007128CB" w:rsidRDefault="00FE51AD" w:rsidP="006D69D3">
            <w:pPr>
              <w:spacing w:line="240" w:lineRule="auto"/>
              <w:rPr>
                <w:sz w:val="18"/>
                <w:szCs w:val="18"/>
              </w:rPr>
            </w:pPr>
          </w:p>
        </w:tc>
        <w:tc>
          <w:tcPr>
            <w:tcW w:w="1048" w:type="dxa"/>
            <w:tcBorders>
              <w:top w:val="single" w:sz="4" w:space="0" w:color="auto"/>
              <w:left w:val="nil"/>
              <w:bottom w:val="nil"/>
              <w:right w:val="nil"/>
            </w:tcBorders>
            <w:shd w:val="clear" w:color="auto" w:fill="auto"/>
            <w:noWrap/>
            <w:vAlign w:val="center"/>
          </w:tcPr>
          <w:p w:rsidR="00FE51AD" w:rsidRPr="007128CB" w:rsidRDefault="00FE51AD" w:rsidP="006D69D3">
            <w:pPr>
              <w:spacing w:line="240" w:lineRule="auto"/>
              <w:rPr>
                <w:sz w:val="18"/>
                <w:szCs w:val="18"/>
              </w:rPr>
            </w:pPr>
          </w:p>
        </w:tc>
        <w:tc>
          <w:tcPr>
            <w:tcW w:w="222" w:type="dxa"/>
            <w:tcBorders>
              <w:left w:val="nil"/>
              <w:bottom w:val="nil"/>
              <w:right w:val="nil"/>
            </w:tcBorders>
            <w:shd w:val="clear" w:color="auto" w:fill="auto"/>
            <w:noWrap/>
            <w:vAlign w:val="bottom"/>
          </w:tcPr>
          <w:p w:rsidR="00FE51AD" w:rsidRPr="007128CB" w:rsidRDefault="00FE51AD" w:rsidP="006D69D3">
            <w:pPr>
              <w:spacing w:line="240" w:lineRule="auto"/>
              <w:rPr>
                <w:rFonts w:ascii="Calibri" w:hAnsi="Calibri"/>
                <w:color w:val="000000"/>
                <w:sz w:val="18"/>
                <w:szCs w:val="18"/>
              </w:rPr>
            </w:pPr>
          </w:p>
        </w:tc>
        <w:tc>
          <w:tcPr>
            <w:tcW w:w="1092" w:type="dxa"/>
            <w:tcBorders>
              <w:top w:val="single" w:sz="4" w:space="0" w:color="auto"/>
              <w:left w:val="nil"/>
              <w:bottom w:val="nil"/>
              <w:right w:val="nil"/>
            </w:tcBorders>
            <w:shd w:val="clear" w:color="auto" w:fill="auto"/>
            <w:noWrap/>
            <w:vAlign w:val="center"/>
          </w:tcPr>
          <w:p w:rsidR="00FE51AD" w:rsidRPr="007128CB" w:rsidRDefault="00FE51AD" w:rsidP="006D69D3">
            <w:pPr>
              <w:spacing w:line="240" w:lineRule="auto"/>
              <w:rPr>
                <w:sz w:val="18"/>
                <w:szCs w:val="18"/>
              </w:rPr>
            </w:pPr>
          </w:p>
        </w:tc>
        <w:tc>
          <w:tcPr>
            <w:tcW w:w="1048" w:type="dxa"/>
            <w:tcBorders>
              <w:top w:val="single" w:sz="4" w:space="0" w:color="auto"/>
              <w:left w:val="nil"/>
              <w:bottom w:val="nil"/>
              <w:right w:val="single" w:sz="4" w:space="0" w:color="auto"/>
            </w:tcBorders>
            <w:shd w:val="clear" w:color="auto" w:fill="auto"/>
            <w:noWrap/>
            <w:vAlign w:val="center"/>
          </w:tcPr>
          <w:p w:rsidR="00FE51AD" w:rsidRPr="007128CB" w:rsidRDefault="00FE51AD" w:rsidP="006D69D3">
            <w:pPr>
              <w:spacing w:line="240" w:lineRule="auto"/>
              <w:rPr>
                <w:sz w:val="18"/>
                <w:szCs w:val="18"/>
              </w:rPr>
            </w:pPr>
          </w:p>
        </w:tc>
        <w:tc>
          <w:tcPr>
            <w:tcW w:w="1092" w:type="dxa"/>
            <w:tcBorders>
              <w:top w:val="single" w:sz="4" w:space="0" w:color="auto"/>
              <w:left w:val="single" w:sz="4" w:space="0" w:color="auto"/>
              <w:bottom w:val="nil"/>
              <w:right w:val="nil"/>
            </w:tcBorders>
            <w:shd w:val="clear" w:color="auto" w:fill="auto"/>
            <w:noWrap/>
            <w:vAlign w:val="center"/>
          </w:tcPr>
          <w:p w:rsidR="00FE51AD" w:rsidRPr="007128CB" w:rsidRDefault="00FE51AD" w:rsidP="006D69D3">
            <w:pPr>
              <w:spacing w:line="240" w:lineRule="auto"/>
              <w:rPr>
                <w:sz w:val="18"/>
                <w:szCs w:val="18"/>
              </w:rPr>
            </w:pPr>
          </w:p>
        </w:tc>
        <w:tc>
          <w:tcPr>
            <w:tcW w:w="1048" w:type="dxa"/>
            <w:tcBorders>
              <w:top w:val="single" w:sz="4" w:space="0" w:color="auto"/>
              <w:left w:val="nil"/>
              <w:bottom w:val="nil"/>
              <w:right w:val="nil"/>
            </w:tcBorders>
            <w:shd w:val="clear" w:color="auto" w:fill="auto"/>
            <w:noWrap/>
            <w:vAlign w:val="center"/>
          </w:tcPr>
          <w:p w:rsidR="00FE51AD" w:rsidRPr="007128CB" w:rsidRDefault="00FE51AD" w:rsidP="006D69D3">
            <w:pPr>
              <w:spacing w:line="240" w:lineRule="auto"/>
              <w:rPr>
                <w:sz w:val="18"/>
                <w:szCs w:val="18"/>
              </w:rPr>
            </w:pP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FFDIFF</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0.10***</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0.037</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b/>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0.09***</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0.080**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0.23***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0.133***</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b/>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0.05</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-0.037</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0.074**</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(2.74)</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(0.890)</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b/>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(2.62)</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(2.230)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(9.39)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(6.015)</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b/>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(0.89)</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(-0.642)</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(3.19)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(2.255)</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PFDIFF</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0.148**</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b/>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0.14**</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0.116*</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0.07</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0.103**</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b/>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0.17*</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0.240***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0.19***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0.205***</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(2.53)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(2.451)</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b/>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(2.12)</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(1.957)</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(1.33)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(2.208)</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b/>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(1.93)</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(3.036)</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(3.20)</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b/>
                <w:sz w:val="18"/>
                <w:szCs w:val="18"/>
              </w:rPr>
            </w:pPr>
            <w:r w:rsidRPr="007128CB">
              <w:rPr>
                <w:b/>
                <w:sz w:val="18"/>
                <w:szCs w:val="18"/>
              </w:rPr>
              <w:t>(3.508)</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NumSeg</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-0.05***</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-0.022*</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-0.05***</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-0.028**</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-0.04***</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-0.021*</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(-3.87)</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(-1.850)</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(-3.50)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(-2.197)</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(-3.00)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(-1.663)</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Related</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0.05***</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0.019</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0.04***</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0.026**</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0.03**</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0.018</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(3.56)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(1.439)</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(3.10)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(2.100)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(2.50)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(1.420)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NumTNICPrs</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-0.000</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-0.001**</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0.000**</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-0.001**</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0.000*</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(0.27)</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(-1.210)</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(0.33)</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(-2.180)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(2.89)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(2.414)</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(0.08)</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(-2.267)</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(2.00)</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(1.646)</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HHI</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0.18***</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0.042</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0.20***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0.008</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0.07</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0.014</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0.19***</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0.029</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0.017</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(2.89)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(0.661)</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(3.45)</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(0.144)</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(1.43)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(0.346)</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(3.26)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(0.459)</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(1.33)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(0.438)</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Size</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0.039***</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0.037***</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0.08***</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0.043***</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0.036***</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0.08***</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0.042***</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(7.03)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(3.767)</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(7.32)</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(3.699)</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(10.46)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(5.265)</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(7.12)</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(3.599)</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(10.32)</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(5.270)</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PM</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0.443***</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0.43***</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0.486***</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0.12**</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0.334***</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0.44***</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0.489***</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0.340***</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(4.93)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(3.743)</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(4.76)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(4.105)</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(2.11)</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(8.710)</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(4.93)</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(4.169)</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(2.28)</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(8.881)</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Invest</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0.33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1.213***</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0.28</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0.991***</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0.22</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0.755***</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0.26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0.975***</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0.18</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0.727***</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(1.16)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(5.372)</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(1.13)</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(4.060)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(1.29)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(5.620)</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(1.06)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(4.060)</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(1.07)</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(5.469)</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Leverage</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0.16**</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-0.109</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-0.096</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-0.04</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-0.060</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0.16***</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-0.094</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-0.04</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-0.063</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(2.47)</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(-1.476)</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(2.77)</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(-1.424)</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(-1.01)</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(-1.355)</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(2.90)</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(-1.402)</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(-1.14)</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(-1.421)</w:t>
            </w:r>
          </w:p>
        </w:tc>
      </w:tr>
      <w:tr w:rsidR="00FE51AD" w:rsidRPr="007128CB" w:rsidTr="00AC282C">
        <w:trPr>
          <w:trHeight w:val="300"/>
          <w:jc w:val="center"/>
        </w:trPr>
        <w:tc>
          <w:tcPr>
            <w:tcW w:w="2548" w:type="dxa"/>
            <w:gridSpan w:val="2"/>
            <w:tcBorders>
              <w:top w:val="nil"/>
              <w:left w:val="nil"/>
              <w:bottom w:val="nil"/>
              <w:right w:val="nil"/>
            </w:tcBorders>
            <w:shd w:val="clear" w:color="auto" w:fill="auto"/>
            <w:vAlign w:val="center"/>
          </w:tcPr>
          <w:p w:rsidR="00FE51AD" w:rsidRPr="007128CB" w:rsidRDefault="00FE51AD" w:rsidP="006D69D3">
            <w:pPr>
              <w:tabs>
                <w:tab w:val="decimal" w:pos="137"/>
              </w:tabs>
              <w:spacing w:line="240" w:lineRule="auto"/>
              <w:rPr>
                <w:sz w:val="18"/>
                <w:szCs w:val="18"/>
              </w:rPr>
            </w:pPr>
            <w:r w:rsidRPr="00FE51AD">
              <w:rPr>
                <w:bCs/>
                <w:iCs/>
                <w:sz w:val="18"/>
                <w:szCs w:val="18"/>
              </w:rPr>
              <w:lastRenderedPageBreak/>
              <w:t>Table 6 (</w:t>
            </w:r>
            <w:r w:rsidRPr="007128CB">
              <w:rPr>
                <w:bCs/>
                <w:i/>
                <w:iCs/>
                <w:sz w:val="18"/>
                <w:szCs w:val="18"/>
              </w:rPr>
              <w:t>Continued</w:t>
            </w:r>
            <w:r w:rsidRPr="00FE51AD">
              <w:rPr>
                <w:bCs/>
                <w:iCs/>
                <w:sz w:val="18"/>
                <w:szCs w:val="18"/>
              </w:rPr>
              <w:t>)</w:t>
            </w:r>
          </w:p>
        </w:tc>
        <w:tc>
          <w:tcPr>
            <w:tcW w:w="1048" w:type="dxa"/>
            <w:tcBorders>
              <w:top w:val="nil"/>
              <w:left w:val="nil"/>
              <w:bottom w:val="nil"/>
              <w:right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222" w:type="dxa"/>
            <w:tcBorders>
              <w:top w:val="nil"/>
              <w:left w:val="nil"/>
              <w:bottom w:val="nil"/>
              <w:right w:val="nil"/>
            </w:tcBorders>
            <w:shd w:val="clear" w:color="auto" w:fill="auto"/>
            <w:noWrap/>
            <w:vAlign w:val="bottom"/>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1092" w:type="dxa"/>
            <w:tcBorders>
              <w:top w:val="nil"/>
              <w:left w:val="nil"/>
              <w:bottom w:val="nil"/>
              <w:right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222" w:type="dxa"/>
            <w:tcBorders>
              <w:top w:val="nil"/>
              <w:left w:val="nil"/>
              <w:bottom w:val="nil"/>
              <w:right w:val="nil"/>
            </w:tcBorders>
            <w:shd w:val="clear" w:color="auto" w:fill="auto"/>
            <w:noWrap/>
            <w:vAlign w:val="bottom"/>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1092" w:type="dxa"/>
            <w:tcBorders>
              <w:top w:val="nil"/>
              <w:left w:val="nil"/>
              <w:bottom w:val="nil"/>
              <w:right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c>
          <w:tcPr>
            <w:tcW w:w="1048" w:type="dxa"/>
            <w:tcBorders>
              <w:top w:val="nil"/>
              <w:left w:val="nil"/>
              <w:bottom w:val="nil"/>
              <w:right w:val="nil"/>
            </w:tcBorders>
            <w:shd w:val="clear" w:color="auto" w:fill="auto"/>
            <w:noWrap/>
            <w:vAlign w:val="center"/>
          </w:tcPr>
          <w:p w:rsidR="00FE51AD" w:rsidRPr="007128CB" w:rsidRDefault="00FE51AD" w:rsidP="006D69D3">
            <w:pPr>
              <w:tabs>
                <w:tab w:val="decimal" w:pos="137"/>
              </w:tabs>
              <w:spacing w:line="240" w:lineRule="auto"/>
              <w:rPr>
                <w:sz w:val="18"/>
                <w:szCs w:val="18"/>
              </w:rPr>
            </w:pP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r w:rsidRPr="007128CB">
              <w:rPr>
                <w:b/>
                <w:bCs/>
                <w:i/>
                <w:iCs/>
                <w:sz w:val="18"/>
                <w:szCs w:val="18"/>
              </w:rPr>
              <w:t>SalesGrow</w:t>
            </w: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-0.015</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0.02</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-0.013</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0.138***</w:t>
            </w:r>
          </w:p>
        </w:tc>
        <w:tc>
          <w:tcPr>
            <w:tcW w:w="222" w:type="dxa"/>
            <w:tcBorders>
              <w:top w:val="nil"/>
              <w:left w:val="nil"/>
              <w:bottom w:val="nil"/>
              <w:right w:val="nil"/>
            </w:tcBorders>
            <w:shd w:val="clear" w:color="auto" w:fill="auto"/>
            <w:noWrap/>
            <w:vAlign w:val="bottom"/>
            <w:hideMark/>
          </w:tcPr>
          <w:p w:rsidR="00FE51AD" w:rsidRPr="007128CB"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0.02</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-0.014</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0.09***</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0.138***</w:t>
            </w:r>
          </w:p>
        </w:tc>
      </w:tr>
      <w:tr w:rsidR="00FE51AD" w:rsidRPr="007128CB" w:rsidTr="006D69D3">
        <w:trPr>
          <w:trHeight w:val="300"/>
          <w:jc w:val="center"/>
        </w:trPr>
        <w:tc>
          <w:tcPr>
            <w:tcW w:w="1456" w:type="dxa"/>
            <w:tcBorders>
              <w:top w:val="nil"/>
              <w:left w:val="nil"/>
              <w:bottom w:val="nil"/>
              <w:right w:val="nil"/>
            </w:tcBorders>
            <w:shd w:val="clear" w:color="auto" w:fill="auto"/>
            <w:vAlign w:val="center"/>
            <w:hideMark/>
          </w:tcPr>
          <w:p w:rsidR="00FE51AD" w:rsidRPr="007128CB"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(0.37)</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(-0.707)</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(0.55)</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(-0.623)</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(2.93)</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(6.380)</w:t>
            </w:r>
          </w:p>
        </w:tc>
        <w:tc>
          <w:tcPr>
            <w:tcW w:w="222" w:type="dxa"/>
            <w:tcBorders>
              <w:top w:val="nil"/>
              <w:left w:val="nil"/>
              <w:bottom w:val="nil"/>
              <w:right w:val="nil"/>
            </w:tcBorders>
            <w:shd w:val="clear" w:color="auto" w:fill="auto"/>
            <w:vAlign w:val="bottom"/>
            <w:hideMark/>
          </w:tcPr>
          <w:p w:rsidR="00FE51AD" w:rsidRPr="007128CB"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(0.52)</w:t>
            </w:r>
          </w:p>
        </w:tc>
        <w:tc>
          <w:tcPr>
            <w:tcW w:w="1048" w:type="dxa"/>
            <w:tcBorders>
              <w:top w:val="nil"/>
              <w:left w:val="nil"/>
              <w:bottom w:val="nil"/>
              <w:right w:val="single" w:sz="4" w:space="0" w:color="auto"/>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(-0.668)</w:t>
            </w:r>
          </w:p>
        </w:tc>
        <w:tc>
          <w:tcPr>
            <w:tcW w:w="1092" w:type="dxa"/>
            <w:tcBorders>
              <w:top w:val="nil"/>
              <w:left w:val="single" w:sz="4" w:space="0" w:color="auto"/>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(3.04)</w:t>
            </w:r>
          </w:p>
        </w:tc>
        <w:tc>
          <w:tcPr>
            <w:tcW w:w="1048" w:type="dxa"/>
            <w:tcBorders>
              <w:top w:val="nil"/>
              <w:left w:val="nil"/>
              <w:bottom w:val="nil"/>
              <w:right w:val="nil"/>
            </w:tcBorders>
            <w:shd w:val="clear" w:color="auto" w:fill="auto"/>
            <w:noWrap/>
            <w:vAlign w:val="center"/>
            <w:hideMark/>
          </w:tcPr>
          <w:p w:rsidR="00FE51AD" w:rsidRPr="007128CB" w:rsidRDefault="00FE51AD" w:rsidP="006D69D3">
            <w:pPr>
              <w:tabs>
                <w:tab w:val="decimal" w:pos="137"/>
              </w:tabs>
              <w:spacing w:line="240" w:lineRule="auto"/>
              <w:rPr>
                <w:sz w:val="18"/>
                <w:szCs w:val="18"/>
              </w:rPr>
            </w:pPr>
            <w:r w:rsidRPr="007128CB">
              <w:rPr>
                <w:sz w:val="18"/>
                <w:szCs w:val="18"/>
              </w:rPr>
              <w:t>(6.735)</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FE51AD" w:rsidP="006D69D3">
            <w:pPr>
              <w:spacing w:line="240" w:lineRule="auto"/>
              <w:rPr>
                <w:b/>
                <w:bCs/>
                <w:i/>
                <w:iCs/>
                <w:sz w:val="18"/>
                <w:szCs w:val="18"/>
              </w:rPr>
            </w:pPr>
            <w:r w:rsidRPr="00DB2FEE">
              <w:rPr>
                <w:b/>
                <w:bCs/>
                <w:i/>
                <w:iCs/>
                <w:sz w:val="18"/>
                <w:szCs w:val="18"/>
              </w:rPr>
              <w:t>StdROE</w:t>
            </w: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-0.01</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0.014</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-0.00</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0.018**</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0.01</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0.024***</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-0.00</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0.018*</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0.00</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0.023***</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(-1.20)</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(1.335)</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(-0.49)</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(1.987)</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(1.20)</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(4.983)</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(-0.53)</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(1.947)</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(0.95)</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(4.792)</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FE51AD" w:rsidP="006D69D3">
            <w:pPr>
              <w:spacing w:line="240" w:lineRule="auto"/>
              <w:rPr>
                <w:b/>
                <w:bCs/>
                <w:i/>
                <w:iCs/>
                <w:sz w:val="18"/>
                <w:szCs w:val="18"/>
              </w:rPr>
            </w:pPr>
            <w:r w:rsidRPr="00DB2FEE">
              <w:rPr>
                <w:b/>
                <w:bCs/>
                <w:i/>
                <w:iCs/>
                <w:sz w:val="18"/>
                <w:szCs w:val="18"/>
              </w:rPr>
              <w:t>MAR</w:t>
            </w: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0.14***</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0.218***</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0.14***</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0.205***</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0.14***</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0.185***</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0.14***</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0.204***</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0.13***</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0.183***</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(6.11)</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(10.014)</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(6.21)</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(8.853)</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(6.15)</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(11.413)</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(6.14)</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(8.882)</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(5.85)</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(10.901)</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FE51AD" w:rsidP="006D69D3">
            <w:pPr>
              <w:spacing w:line="240" w:lineRule="auto"/>
              <w:rPr>
                <w:b/>
                <w:bCs/>
                <w:i/>
                <w:iCs/>
                <w:sz w:val="18"/>
                <w:szCs w:val="18"/>
              </w:rPr>
            </w:pPr>
            <w:r w:rsidRPr="00DB2FEE">
              <w:rPr>
                <w:b/>
                <w:bCs/>
                <w:i/>
                <w:iCs/>
                <w:sz w:val="18"/>
                <w:szCs w:val="18"/>
              </w:rPr>
              <w:t>Corr5yr</w:t>
            </w: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-0.06***</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-0.084***</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-0.05***</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-0.053***</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-0.04***</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-0.035**</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-0.05***</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-0.054***</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-0.04***</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-0.037***</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(-4.18)</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(-5.362)</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(-3.26)</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(-3.140)</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(-3.02)</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(-2.546)</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(-3.25)</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(-3.122)</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(-3.31)</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(-2.728)</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tcPr>
          <w:p w:rsidR="00FE51AD" w:rsidRPr="00DB2FEE" w:rsidRDefault="00FE51AD" w:rsidP="006D69D3">
            <w:pPr>
              <w:spacing w:line="240" w:lineRule="auto"/>
              <w:rPr>
                <w:b/>
                <w:bCs/>
                <w:i/>
                <w:iCs/>
                <w:sz w:val="18"/>
                <w:szCs w:val="18"/>
              </w:rPr>
            </w:pPr>
            <w:r w:rsidRPr="00DB2FEE">
              <w:rPr>
                <w:b/>
                <w:bCs/>
                <w:i/>
                <w:iCs/>
                <w:sz w:val="18"/>
                <w:szCs w:val="18"/>
              </w:rPr>
              <w:t>Surprise</w:t>
            </w:r>
          </w:p>
        </w:tc>
        <w:tc>
          <w:tcPr>
            <w:tcW w:w="1092"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w:t>
            </w:r>
          </w:p>
        </w:tc>
        <w:tc>
          <w:tcPr>
            <w:tcW w:w="1048"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-0.010***</w:t>
            </w:r>
          </w:p>
        </w:tc>
        <w:tc>
          <w:tcPr>
            <w:tcW w:w="222" w:type="dxa"/>
            <w:tcBorders>
              <w:top w:val="nil"/>
              <w:left w:val="nil"/>
              <w:bottom w:val="nil"/>
              <w:right w:val="nil"/>
            </w:tcBorders>
            <w:shd w:val="clear" w:color="auto" w:fill="auto"/>
            <w:vAlign w:val="bottom"/>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w:t>
            </w:r>
          </w:p>
        </w:tc>
        <w:tc>
          <w:tcPr>
            <w:tcW w:w="1048" w:type="dxa"/>
            <w:tcBorders>
              <w:top w:val="nil"/>
              <w:left w:val="nil"/>
              <w:bottom w:val="nil"/>
              <w:right w:val="single" w:sz="4" w:space="0" w:color="auto"/>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-0.011***</w:t>
            </w:r>
          </w:p>
        </w:tc>
        <w:tc>
          <w:tcPr>
            <w:tcW w:w="1092" w:type="dxa"/>
            <w:tcBorders>
              <w:top w:val="nil"/>
              <w:left w:val="single" w:sz="4" w:space="0" w:color="auto"/>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w:t>
            </w:r>
          </w:p>
        </w:tc>
        <w:tc>
          <w:tcPr>
            <w:tcW w:w="1048"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-0.010***</w:t>
            </w:r>
          </w:p>
        </w:tc>
        <w:tc>
          <w:tcPr>
            <w:tcW w:w="222" w:type="dxa"/>
            <w:tcBorders>
              <w:top w:val="nil"/>
              <w:left w:val="nil"/>
              <w:bottom w:val="nil"/>
              <w:right w:val="nil"/>
            </w:tcBorders>
            <w:shd w:val="clear" w:color="auto" w:fill="auto"/>
            <w:vAlign w:val="bottom"/>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w:t>
            </w:r>
          </w:p>
        </w:tc>
        <w:tc>
          <w:tcPr>
            <w:tcW w:w="1048" w:type="dxa"/>
            <w:tcBorders>
              <w:top w:val="nil"/>
              <w:left w:val="nil"/>
              <w:bottom w:val="nil"/>
              <w:right w:val="single" w:sz="4" w:space="0" w:color="auto"/>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-0.011***</w:t>
            </w:r>
          </w:p>
        </w:tc>
        <w:tc>
          <w:tcPr>
            <w:tcW w:w="1092" w:type="dxa"/>
            <w:tcBorders>
              <w:top w:val="nil"/>
              <w:left w:val="single" w:sz="4" w:space="0" w:color="auto"/>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w:t>
            </w:r>
          </w:p>
        </w:tc>
        <w:tc>
          <w:tcPr>
            <w:tcW w:w="1048"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-0.011***</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tcPr>
          <w:p w:rsidR="00FE51AD" w:rsidRPr="00DB2FEE" w:rsidRDefault="00FE51AD" w:rsidP="006D69D3">
            <w:pPr>
              <w:spacing w:line="240" w:lineRule="auto"/>
              <w:rPr>
                <w:b/>
                <w:bCs/>
                <w:i/>
                <w:iCs/>
                <w:sz w:val="18"/>
                <w:szCs w:val="18"/>
              </w:rPr>
            </w:pPr>
          </w:p>
        </w:tc>
        <w:tc>
          <w:tcPr>
            <w:tcW w:w="1092"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(-3.50)</w:t>
            </w:r>
          </w:p>
        </w:tc>
        <w:tc>
          <w:tcPr>
            <w:tcW w:w="1048"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(-7.408)</w:t>
            </w:r>
          </w:p>
        </w:tc>
        <w:tc>
          <w:tcPr>
            <w:tcW w:w="222" w:type="dxa"/>
            <w:tcBorders>
              <w:top w:val="nil"/>
              <w:left w:val="nil"/>
              <w:bottom w:val="nil"/>
              <w:right w:val="nil"/>
            </w:tcBorders>
            <w:shd w:val="clear" w:color="auto" w:fill="auto"/>
            <w:vAlign w:val="bottom"/>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(-3.89)</w:t>
            </w:r>
          </w:p>
        </w:tc>
        <w:tc>
          <w:tcPr>
            <w:tcW w:w="1048" w:type="dxa"/>
            <w:tcBorders>
              <w:top w:val="nil"/>
              <w:left w:val="nil"/>
              <w:bottom w:val="nil"/>
              <w:right w:val="single" w:sz="4" w:space="0" w:color="auto"/>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(-8.112)</w:t>
            </w:r>
          </w:p>
        </w:tc>
        <w:tc>
          <w:tcPr>
            <w:tcW w:w="1092" w:type="dxa"/>
            <w:tcBorders>
              <w:top w:val="nil"/>
              <w:left w:val="single" w:sz="4" w:space="0" w:color="auto"/>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(-10.06)</w:t>
            </w:r>
          </w:p>
        </w:tc>
        <w:tc>
          <w:tcPr>
            <w:tcW w:w="1048"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(-11.015)</w:t>
            </w:r>
          </w:p>
        </w:tc>
        <w:tc>
          <w:tcPr>
            <w:tcW w:w="222" w:type="dxa"/>
            <w:tcBorders>
              <w:top w:val="nil"/>
              <w:left w:val="nil"/>
              <w:bottom w:val="nil"/>
              <w:right w:val="nil"/>
            </w:tcBorders>
            <w:shd w:val="clear" w:color="auto" w:fill="auto"/>
            <w:vAlign w:val="bottom"/>
          </w:tcPr>
          <w:p w:rsidR="00FE51AD" w:rsidRPr="00DB2FEE" w:rsidRDefault="00FE51AD" w:rsidP="006D69D3">
            <w:pPr>
              <w:spacing w:line="240" w:lineRule="auto"/>
              <w:rPr>
                <w:sz w:val="18"/>
                <w:szCs w:val="18"/>
              </w:rPr>
            </w:pPr>
          </w:p>
        </w:tc>
        <w:tc>
          <w:tcPr>
            <w:tcW w:w="1092"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(-3.99)</w:t>
            </w:r>
          </w:p>
        </w:tc>
        <w:tc>
          <w:tcPr>
            <w:tcW w:w="1048" w:type="dxa"/>
            <w:tcBorders>
              <w:top w:val="nil"/>
              <w:left w:val="nil"/>
              <w:bottom w:val="nil"/>
              <w:right w:val="single" w:sz="4" w:space="0" w:color="auto"/>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(-8.217)</w:t>
            </w:r>
          </w:p>
        </w:tc>
        <w:tc>
          <w:tcPr>
            <w:tcW w:w="1092" w:type="dxa"/>
            <w:tcBorders>
              <w:top w:val="nil"/>
              <w:left w:val="single" w:sz="4" w:space="0" w:color="auto"/>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(-10.89)</w:t>
            </w:r>
          </w:p>
        </w:tc>
        <w:tc>
          <w:tcPr>
            <w:tcW w:w="1048" w:type="dxa"/>
            <w:tcBorders>
              <w:top w:val="nil"/>
              <w:left w:val="nil"/>
              <w:bottom w:val="nil"/>
              <w:right w:val="nil"/>
            </w:tcBorders>
            <w:shd w:val="clear" w:color="auto" w:fill="auto"/>
            <w:noWrap/>
            <w:vAlign w:val="center"/>
          </w:tcPr>
          <w:p w:rsidR="00FE51AD" w:rsidRPr="00DB2FEE" w:rsidRDefault="00FE51AD" w:rsidP="006D69D3">
            <w:pPr>
              <w:tabs>
                <w:tab w:val="decimal" w:pos="137"/>
              </w:tabs>
              <w:spacing w:line="240" w:lineRule="auto"/>
              <w:rPr>
                <w:sz w:val="18"/>
                <w:szCs w:val="18"/>
              </w:rPr>
            </w:pPr>
            <w:r w:rsidRPr="00DB2FEE">
              <w:rPr>
                <w:sz w:val="18"/>
                <w:szCs w:val="18"/>
              </w:rPr>
              <w:t>(-11.622)</w:t>
            </w: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FE51AD" w:rsidP="006D69D3">
            <w:pPr>
              <w:spacing w:line="240" w:lineRule="auto"/>
              <w:rPr>
                <w:b/>
                <w:bCs/>
                <w:i/>
                <w:iCs/>
                <w:sz w:val="18"/>
                <w:szCs w:val="18"/>
              </w:rPr>
            </w:pPr>
            <w:r w:rsidRPr="00DB2FEE">
              <w:rPr>
                <w:b/>
                <w:bCs/>
                <w:i/>
                <w:iCs/>
                <w:sz w:val="18"/>
                <w:szCs w:val="18"/>
              </w:rPr>
              <w:t>Constant</w:t>
            </w: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-0.82***</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-0.584***</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-0.84***</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-0.534***</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-0.85***</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-0.666***</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-0.81***</w:t>
            </w:r>
          </w:p>
        </w:tc>
        <w:tc>
          <w:tcPr>
            <w:tcW w:w="1048" w:type="dxa"/>
            <w:tcBorders>
              <w:top w:val="nil"/>
              <w:left w:val="nil"/>
              <w:bottom w:val="nil"/>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-0.513***</w:t>
            </w:r>
          </w:p>
        </w:tc>
        <w:tc>
          <w:tcPr>
            <w:tcW w:w="1092" w:type="dxa"/>
            <w:tcBorders>
              <w:top w:val="nil"/>
              <w:left w:val="single" w:sz="4" w:space="0" w:color="auto"/>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-0.78***</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-0.627***</w:t>
            </w:r>
          </w:p>
        </w:tc>
      </w:tr>
      <w:tr w:rsidR="00FE51AD" w:rsidRPr="00DB2FEE" w:rsidTr="006D69D3">
        <w:trPr>
          <w:trHeight w:val="300"/>
          <w:jc w:val="center"/>
        </w:trPr>
        <w:tc>
          <w:tcPr>
            <w:tcW w:w="1456" w:type="dxa"/>
            <w:tcBorders>
              <w:top w:val="nil"/>
              <w:left w:val="nil"/>
              <w:bottom w:val="single" w:sz="4" w:space="0" w:color="000000"/>
              <w:right w:val="nil"/>
            </w:tcBorders>
            <w:shd w:val="clear" w:color="auto" w:fill="auto"/>
            <w:vAlign w:val="center"/>
            <w:hideMark/>
          </w:tcPr>
          <w:p w:rsidR="00FE51AD" w:rsidRPr="00DB2FEE" w:rsidRDefault="00FE51AD" w:rsidP="006D69D3">
            <w:pPr>
              <w:spacing w:line="240" w:lineRule="auto"/>
              <w:rPr>
                <w:b/>
                <w:bCs/>
                <w:i/>
                <w:iCs/>
                <w:sz w:val="18"/>
                <w:szCs w:val="18"/>
              </w:rPr>
            </w:pPr>
            <w:r w:rsidRPr="00DB2FEE">
              <w:rPr>
                <w:b/>
                <w:bCs/>
                <w:i/>
                <w:iCs/>
                <w:sz w:val="18"/>
                <w:szCs w:val="18"/>
              </w:rPr>
              <w:t> </w:t>
            </w:r>
          </w:p>
        </w:tc>
        <w:tc>
          <w:tcPr>
            <w:tcW w:w="1092" w:type="dxa"/>
            <w:tcBorders>
              <w:top w:val="nil"/>
              <w:left w:val="nil"/>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(-12.52)</w:t>
            </w:r>
          </w:p>
        </w:tc>
        <w:tc>
          <w:tcPr>
            <w:tcW w:w="1048" w:type="dxa"/>
            <w:tcBorders>
              <w:top w:val="nil"/>
              <w:left w:val="nil"/>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(-7.716)</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(-13.34)</w:t>
            </w:r>
          </w:p>
        </w:tc>
        <w:tc>
          <w:tcPr>
            <w:tcW w:w="1048" w:type="dxa"/>
            <w:tcBorders>
              <w:top w:val="nil"/>
              <w:left w:val="nil"/>
              <w:bottom w:val="single" w:sz="4" w:space="0" w:color="000000"/>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(-7.074)</w:t>
            </w:r>
          </w:p>
        </w:tc>
        <w:tc>
          <w:tcPr>
            <w:tcW w:w="1092" w:type="dxa"/>
            <w:tcBorders>
              <w:top w:val="nil"/>
              <w:left w:val="single" w:sz="4" w:space="0" w:color="auto"/>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(-15.14)</w:t>
            </w:r>
          </w:p>
        </w:tc>
        <w:tc>
          <w:tcPr>
            <w:tcW w:w="1048" w:type="dxa"/>
            <w:tcBorders>
              <w:top w:val="nil"/>
              <w:left w:val="nil"/>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(-12.171)</w:t>
            </w:r>
          </w:p>
        </w:tc>
        <w:tc>
          <w:tcPr>
            <w:tcW w:w="222" w:type="dxa"/>
            <w:tcBorders>
              <w:top w:val="nil"/>
              <w:left w:val="nil"/>
              <w:bottom w:val="nil"/>
              <w:right w:val="nil"/>
            </w:tcBorders>
            <w:shd w:val="clear" w:color="auto" w:fill="auto"/>
            <w:vAlign w:val="bottom"/>
            <w:hideMark/>
          </w:tcPr>
          <w:p w:rsidR="00FE51AD" w:rsidRPr="00DB2FEE" w:rsidRDefault="00FE51AD" w:rsidP="006D69D3">
            <w:pPr>
              <w:spacing w:line="240" w:lineRule="auto"/>
              <w:rPr>
                <w:sz w:val="18"/>
                <w:szCs w:val="18"/>
              </w:rPr>
            </w:pPr>
          </w:p>
        </w:tc>
        <w:tc>
          <w:tcPr>
            <w:tcW w:w="1092" w:type="dxa"/>
            <w:tcBorders>
              <w:top w:val="nil"/>
              <w:left w:val="nil"/>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(-13.15)</w:t>
            </w:r>
          </w:p>
        </w:tc>
        <w:tc>
          <w:tcPr>
            <w:tcW w:w="1048" w:type="dxa"/>
            <w:tcBorders>
              <w:top w:val="nil"/>
              <w:left w:val="nil"/>
              <w:bottom w:val="single" w:sz="4" w:space="0" w:color="000000"/>
              <w:right w:val="single" w:sz="4" w:space="0" w:color="auto"/>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(-7.229)</w:t>
            </w:r>
          </w:p>
        </w:tc>
        <w:tc>
          <w:tcPr>
            <w:tcW w:w="1092" w:type="dxa"/>
            <w:tcBorders>
              <w:top w:val="nil"/>
              <w:left w:val="single" w:sz="4" w:space="0" w:color="auto"/>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(-14.05)</w:t>
            </w:r>
          </w:p>
        </w:tc>
        <w:tc>
          <w:tcPr>
            <w:tcW w:w="1048" w:type="dxa"/>
            <w:tcBorders>
              <w:top w:val="nil"/>
              <w:left w:val="nil"/>
              <w:bottom w:val="single" w:sz="4" w:space="0" w:color="000000"/>
              <w:right w:val="nil"/>
            </w:tcBorders>
            <w:shd w:val="clear" w:color="auto" w:fill="auto"/>
            <w:noWrap/>
            <w:vAlign w:val="center"/>
            <w:hideMark/>
          </w:tcPr>
          <w:p w:rsidR="00FE51AD" w:rsidRPr="00DB2FEE" w:rsidRDefault="00FE51AD" w:rsidP="006D69D3">
            <w:pPr>
              <w:tabs>
                <w:tab w:val="decimal" w:pos="137"/>
              </w:tabs>
              <w:spacing w:line="240" w:lineRule="auto"/>
              <w:rPr>
                <w:sz w:val="18"/>
                <w:szCs w:val="18"/>
              </w:rPr>
            </w:pPr>
            <w:r w:rsidRPr="00DB2FEE">
              <w:rPr>
                <w:sz w:val="18"/>
                <w:szCs w:val="18"/>
              </w:rPr>
              <w:t>(-11.846)</w:t>
            </w:r>
          </w:p>
        </w:tc>
      </w:tr>
      <w:tr w:rsidR="00FE51AD" w:rsidRPr="00DB2FEE" w:rsidTr="006D69D3">
        <w:trPr>
          <w:trHeight w:val="300"/>
          <w:jc w:val="center"/>
        </w:trPr>
        <w:tc>
          <w:tcPr>
            <w:tcW w:w="1456" w:type="dxa"/>
            <w:tcBorders>
              <w:top w:val="nil"/>
              <w:left w:val="nil"/>
              <w:right w:val="nil"/>
            </w:tcBorders>
            <w:shd w:val="clear" w:color="auto" w:fill="auto"/>
            <w:vAlign w:val="center"/>
            <w:hideMark/>
          </w:tcPr>
          <w:p w:rsidR="00FE51AD" w:rsidRPr="00DB2FEE" w:rsidRDefault="00FE51AD" w:rsidP="006D69D3">
            <w:pPr>
              <w:spacing w:line="240" w:lineRule="auto"/>
              <w:rPr>
                <w:b/>
                <w:bCs/>
                <w:i/>
                <w:iCs/>
                <w:sz w:val="18"/>
                <w:szCs w:val="18"/>
              </w:rPr>
            </w:pPr>
          </w:p>
        </w:tc>
        <w:tc>
          <w:tcPr>
            <w:tcW w:w="1092"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1048"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222" w:type="dxa"/>
            <w:tcBorders>
              <w:top w:val="nil"/>
              <w:left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1048"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1092"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1048"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222" w:type="dxa"/>
            <w:tcBorders>
              <w:top w:val="nil"/>
              <w:left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1048"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1092"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c>
          <w:tcPr>
            <w:tcW w:w="1048" w:type="dxa"/>
            <w:tcBorders>
              <w:top w:val="nil"/>
              <w:left w:val="nil"/>
              <w:right w:val="nil"/>
            </w:tcBorders>
            <w:shd w:val="clear" w:color="auto" w:fill="auto"/>
            <w:noWrap/>
            <w:vAlign w:val="center"/>
            <w:hideMark/>
          </w:tcPr>
          <w:p w:rsidR="00FE51AD" w:rsidRPr="00DB2FEE" w:rsidRDefault="00FE51AD" w:rsidP="006D69D3">
            <w:pPr>
              <w:spacing w:line="240" w:lineRule="auto"/>
              <w:jc w:val="center"/>
              <w:rPr>
                <w:sz w:val="18"/>
                <w:szCs w:val="18"/>
              </w:rPr>
            </w:pPr>
          </w:p>
        </w:tc>
      </w:tr>
      <w:tr w:rsidR="00FE51AD" w:rsidRPr="00DB2FEE" w:rsidTr="006D69D3">
        <w:trPr>
          <w:trHeight w:val="300"/>
          <w:jc w:val="center"/>
        </w:trPr>
        <w:tc>
          <w:tcPr>
            <w:tcW w:w="1456" w:type="dxa"/>
            <w:tcBorders>
              <w:top w:val="nil"/>
              <w:left w:val="nil"/>
              <w:bottom w:val="nil"/>
              <w:right w:val="nil"/>
            </w:tcBorders>
            <w:shd w:val="clear" w:color="auto" w:fill="auto"/>
            <w:vAlign w:val="center"/>
            <w:hideMark/>
          </w:tcPr>
          <w:p w:rsidR="00FE51AD" w:rsidRPr="00DB2FEE" w:rsidRDefault="00245D43" w:rsidP="006D69D3">
            <w:pPr>
              <w:spacing w:line="240" w:lineRule="auto"/>
              <w:rPr>
                <w:b/>
                <w:bCs/>
                <w:i/>
                <w:iCs/>
                <w:sz w:val="18"/>
                <w:szCs w:val="18"/>
              </w:rPr>
            </w:pPr>
            <w:r>
              <w:rPr>
                <w:b/>
                <w:bCs/>
                <w:i/>
                <w:iCs/>
                <w:sz w:val="18"/>
                <w:szCs w:val="18"/>
              </w:rPr>
              <w:t>No. Obs.</w:t>
            </w:r>
          </w:p>
        </w:tc>
        <w:tc>
          <w:tcPr>
            <w:tcW w:w="1092"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9,706</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8,057</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11,491</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9,705</w:t>
            </w:r>
          </w:p>
        </w:tc>
        <w:tc>
          <w:tcPr>
            <w:tcW w:w="1092"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14,027</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15,019</w:t>
            </w:r>
          </w:p>
        </w:tc>
        <w:tc>
          <w:tcPr>
            <w:tcW w:w="222" w:type="dxa"/>
            <w:tcBorders>
              <w:top w:val="nil"/>
              <w:left w:val="nil"/>
              <w:bottom w:val="nil"/>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11,491</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9,705</w:t>
            </w:r>
          </w:p>
        </w:tc>
        <w:tc>
          <w:tcPr>
            <w:tcW w:w="1092"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14,027</w:t>
            </w:r>
          </w:p>
        </w:tc>
        <w:tc>
          <w:tcPr>
            <w:tcW w:w="1048" w:type="dxa"/>
            <w:tcBorders>
              <w:top w:val="nil"/>
              <w:left w:val="nil"/>
              <w:bottom w:val="nil"/>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15,019</w:t>
            </w:r>
          </w:p>
        </w:tc>
      </w:tr>
      <w:tr w:rsidR="00FE51AD" w:rsidRPr="00DB2FEE" w:rsidTr="006D69D3">
        <w:trPr>
          <w:trHeight w:val="315"/>
          <w:jc w:val="center"/>
        </w:trPr>
        <w:tc>
          <w:tcPr>
            <w:tcW w:w="1456" w:type="dxa"/>
            <w:tcBorders>
              <w:top w:val="nil"/>
              <w:left w:val="nil"/>
              <w:bottom w:val="double" w:sz="4" w:space="0" w:color="auto"/>
              <w:right w:val="nil"/>
            </w:tcBorders>
            <w:shd w:val="clear" w:color="auto" w:fill="auto"/>
            <w:vAlign w:val="center"/>
            <w:hideMark/>
          </w:tcPr>
          <w:p w:rsidR="00FE51AD" w:rsidRPr="00245D43" w:rsidRDefault="00FE51AD" w:rsidP="00245D43">
            <w:pPr>
              <w:spacing w:line="240" w:lineRule="auto"/>
              <w:rPr>
                <w:b/>
                <w:bCs/>
                <w:i/>
                <w:iCs/>
                <w:sz w:val="18"/>
                <w:szCs w:val="18"/>
                <w:vertAlign w:val="superscript"/>
              </w:rPr>
            </w:pPr>
            <w:r w:rsidRPr="00DB2FEE">
              <w:rPr>
                <w:b/>
                <w:bCs/>
                <w:i/>
                <w:iCs/>
                <w:sz w:val="18"/>
                <w:szCs w:val="18"/>
              </w:rPr>
              <w:t>Adj. R</w:t>
            </w:r>
            <w:r w:rsidR="00245D43">
              <w:rPr>
                <w:b/>
                <w:bCs/>
                <w:i/>
                <w:iCs/>
                <w:sz w:val="18"/>
                <w:szCs w:val="18"/>
                <w:vertAlign w:val="superscript"/>
              </w:rPr>
              <w:t>2</w:t>
            </w:r>
          </w:p>
        </w:tc>
        <w:tc>
          <w:tcPr>
            <w:tcW w:w="1092"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7.41%</w:t>
            </w:r>
          </w:p>
        </w:tc>
        <w:tc>
          <w:tcPr>
            <w:tcW w:w="1048"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9.98%</w:t>
            </w:r>
          </w:p>
        </w:tc>
        <w:tc>
          <w:tcPr>
            <w:tcW w:w="222" w:type="dxa"/>
            <w:tcBorders>
              <w:top w:val="nil"/>
              <w:left w:val="nil"/>
              <w:bottom w:val="double" w:sz="4" w:space="0" w:color="auto"/>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6.75%</w:t>
            </w:r>
          </w:p>
        </w:tc>
        <w:tc>
          <w:tcPr>
            <w:tcW w:w="1048"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8.95%</w:t>
            </w:r>
          </w:p>
        </w:tc>
        <w:tc>
          <w:tcPr>
            <w:tcW w:w="1092"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9.92%</w:t>
            </w:r>
          </w:p>
        </w:tc>
        <w:tc>
          <w:tcPr>
            <w:tcW w:w="1048"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13.68%</w:t>
            </w:r>
          </w:p>
        </w:tc>
        <w:tc>
          <w:tcPr>
            <w:tcW w:w="222" w:type="dxa"/>
            <w:tcBorders>
              <w:top w:val="nil"/>
              <w:left w:val="nil"/>
              <w:bottom w:val="double" w:sz="4" w:space="0" w:color="auto"/>
              <w:right w:val="nil"/>
            </w:tcBorders>
            <w:shd w:val="clear" w:color="auto" w:fill="auto"/>
            <w:noWrap/>
            <w:vAlign w:val="bottom"/>
            <w:hideMark/>
          </w:tcPr>
          <w:p w:rsidR="00FE51AD" w:rsidRPr="00DB2FEE" w:rsidRDefault="00FE51AD" w:rsidP="006D69D3">
            <w:pPr>
              <w:spacing w:line="240" w:lineRule="auto"/>
              <w:rPr>
                <w:rFonts w:ascii="Calibri" w:hAnsi="Calibri"/>
                <w:color w:val="000000"/>
                <w:sz w:val="18"/>
                <w:szCs w:val="18"/>
              </w:rPr>
            </w:pPr>
          </w:p>
        </w:tc>
        <w:tc>
          <w:tcPr>
            <w:tcW w:w="1092"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6.54%</w:t>
            </w:r>
          </w:p>
        </w:tc>
        <w:tc>
          <w:tcPr>
            <w:tcW w:w="1048"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8.87%</w:t>
            </w:r>
          </w:p>
        </w:tc>
        <w:tc>
          <w:tcPr>
            <w:tcW w:w="1092"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8.67%</w:t>
            </w:r>
          </w:p>
        </w:tc>
        <w:tc>
          <w:tcPr>
            <w:tcW w:w="1048" w:type="dxa"/>
            <w:tcBorders>
              <w:top w:val="nil"/>
              <w:left w:val="nil"/>
              <w:bottom w:val="double" w:sz="4" w:space="0" w:color="auto"/>
              <w:right w:val="nil"/>
            </w:tcBorders>
            <w:shd w:val="clear" w:color="auto" w:fill="auto"/>
            <w:noWrap/>
            <w:vAlign w:val="center"/>
            <w:hideMark/>
          </w:tcPr>
          <w:p w:rsidR="00FE51AD" w:rsidRPr="00DB2FEE" w:rsidRDefault="00FE51AD" w:rsidP="006D69D3">
            <w:pPr>
              <w:spacing w:line="240" w:lineRule="auto"/>
              <w:jc w:val="center"/>
              <w:rPr>
                <w:sz w:val="18"/>
                <w:szCs w:val="18"/>
              </w:rPr>
            </w:pPr>
            <w:r w:rsidRPr="00DB2FEE">
              <w:rPr>
                <w:sz w:val="18"/>
                <w:szCs w:val="18"/>
              </w:rPr>
              <w:t>13.09%</w:t>
            </w:r>
          </w:p>
        </w:tc>
      </w:tr>
      <w:tr w:rsidR="00FE51AD" w:rsidRPr="009D4760" w:rsidTr="006D69D3">
        <w:trPr>
          <w:trHeight w:val="315"/>
          <w:jc w:val="center"/>
        </w:trPr>
        <w:tc>
          <w:tcPr>
            <w:tcW w:w="12600" w:type="dxa"/>
            <w:gridSpan w:val="13"/>
            <w:tcBorders>
              <w:top w:val="double" w:sz="4" w:space="0" w:color="auto"/>
              <w:left w:val="nil"/>
              <w:bottom w:val="nil"/>
              <w:right w:val="nil"/>
            </w:tcBorders>
            <w:shd w:val="clear" w:color="auto" w:fill="auto"/>
            <w:vAlign w:val="center"/>
          </w:tcPr>
          <w:p w:rsidR="00FE51AD" w:rsidRPr="009D4760" w:rsidRDefault="00FE51AD" w:rsidP="006D69D3">
            <w:pPr>
              <w:spacing w:line="240" w:lineRule="auto"/>
              <w:rPr>
                <w:sz w:val="20"/>
                <w:szCs w:val="20"/>
              </w:rPr>
            </w:pPr>
            <w:r w:rsidRPr="009D4760">
              <w:rPr>
                <w:sz w:val="20"/>
                <w:szCs w:val="20"/>
              </w:rPr>
              <w:t>This table presents estimation of equation (6) for robustness tests.  Variables are defined in appendix B.  Regressions 1-2 eliminate firms for which geographic segments are their primary segment reporting type.  Regressions 3-6 change the industry code for comparison between the focal firm and the industry core operations portfolio to NAICS codes.  Regressions 7-10 change the industry code for comparison between the focal firm and the industry core operations portfolio to Fama &amp; French 48 Industry codes.  Coefficients are reported above, t-statistics below in parentheses.  All regressions are estimated using two-way clustering by firm and year.</w:t>
            </w:r>
          </w:p>
          <w:p w:rsidR="00FE51AD" w:rsidRPr="009D4760" w:rsidRDefault="00FE51AD" w:rsidP="006D69D3">
            <w:pPr>
              <w:spacing w:line="240" w:lineRule="auto"/>
              <w:rPr>
                <w:sz w:val="20"/>
                <w:szCs w:val="20"/>
              </w:rPr>
            </w:pPr>
            <w:r w:rsidRPr="009D4760">
              <w:rPr>
                <w:sz w:val="20"/>
                <w:szCs w:val="20"/>
              </w:rPr>
              <w:t>Significance: *** p-value &lt; 0.01, ** p-value &lt; 0.05, and * p-value &lt;0.1</w:t>
            </w:r>
          </w:p>
        </w:tc>
      </w:tr>
    </w:tbl>
    <w:p w:rsidR="006D69D3" w:rsidRDefault="006D69D3" w:rsidP="00AA0B13"/>
    <w:p w:rsidR="006D69D3" w:rsidRDefault="006D69D3" w:rsidP="00AA0B13">
      <w:pPr>
        <w:sectPr w:rsidR="006D69D3" w:rsidSect="000E4F8D">
          <w:pgSz w:w="15840" w:h="12240" w:orient="landscape" w:code="1"/>
          <w:pgMar w:top="2304" w:right="1440" w:bottom="1440" w:left="1440" w:header="720" w:footer="720" w:gutter="0"/>
          <w:cols w:space="720"/>
          <w:docGrid w:linePitch="360"/>
        </w:sectPr>
      </w:pPr>
    </w:p>
    <w:tbl>
      <w:tblPr>
        <w:tblW w:w="8414" w:type="dxa"/>
        <w:jc w:val="center"/>
        <w:tblLayout w:type="fixed"/>
        <w:tblLook w:val="04A0" w:firstRow="1" w:lastRow="0" w:firstColumn="1" w:lastColumn="0" w:noHBand="0" w:noVBand="1"/>
      </w:tblPr>
      <w:tblGrid>
        <w:gridCol w:w="1655"/>
        <w:gridCol w:w="1126"/>
        <w:gridCol w:w="582"/>
        <w:gridCol w:w="545"/>
        <w:gridCol w:w="494"/>
        <w:gridCol w:w="632"/>
        <w:gridCol w:w="276"/>
        <w:gridCol w:w="59"/>
        <w:gridCol w:w="792"/>
        <w:gridCol w:w="247"/>
        <w:gridCol w:w="879"/>
        <w:gridCol w:w="88"/>
        <w:gridCol w:w="1039"/>
      </w:tblGrid>
      <w:tr w:rsidR="0077643E" w:rsidRPr="007128CB" w:rsidTr="00C86846">
        <w:trPr>
          <w:trHeight w:val="300"/>
          <w:jc w:val="center"/>
        </w:trPr>
        <w:tc>
          <w:tcPr>
            <w:tcW w:w="8414" w:type="dxa"/>
            <w:gridSpan w:val="13"/>
            <w:tcBorders>
              <w:top w:val="double" w:sz="4" w:space="0" w:color="auto"/>
              <w:left w:val="nil"/>
              <w:bottom w:val="single" w:sz="12" w:space="0" w:color="auto"/>
              <w:right w:val="nil"/>
            </w:tcBorders>
            <w:shd w:val="clear" w:color="auto" w:fill="auto"/>
            <w:vAlign w:val="center"/>
            <w:hideMark/>
          </w:tcPr>
          <w:p w:rsidR="0077643E" w:rsidRPr="009D4760" w:rsidRDefault="0077643E" w:rsidP="00D81B99">
            <w:pPr>
              <w:spacing w:line="240" w:lineRule="auto"/>
              <w:jc w:val="center"/>
              <w:rPr>
                <w:b/>
              </w:rPr>
            </w:pPr>
            <w:r w:rsidRPr="009D4760">
              <w:rPr>
                <w:b/>
              </w:rPr>
              <w:lastRenderedPageBreak/>
              <w:t>Table 7</w:t>
            </w:r>
          </w:p>
          <w:p w:rsidR="0077643E" w:rsidRDefault="0077643E" w:rsidP="00D81B99">
            <w:pPr>
              <w:spacing w:line="240" w:lineRule="auto"/>
              <w:jc w:val="center"/>
              <w:rPr>
                <w:b/>
                <w:i/>
              </w:rPr>
            </w:pPr>
            <w:r w:rsidRPr="009D4760">
              <w:rPr>
                <w:b/>
                <w:i/>
              </w:rPr>
              <w:t xml:space="preserve">Regressions of ExVal on Segment Reporting Differentiation, </w:t>
            </w:r>
          </w:p>
          <w:p w:rsidR="0077643E" w:rsidRPr="009D4760" w:rsidRDefault="0077643E" w:rsidP="00D81B99">
            <w:pPr>
              <w:spacing w:line="240" w:lineRule="auto"/>
              <w:jc w:val="center"/>
              <w:rPr>
                <w:b/>
                <w:i/>
              </w:rPr>
            </w:pPr>
            <w:r w:rsidRPr="009D4760">
              <w:rPr>
                <w:b/>
                <w:i/>
              </w:rPr>
              <w:t>a Variable for Small Differentiating Segments &amp; Controls</w:t>
            </w:r>
          </w:p>
        </w:tc>
      </w:tr>
      <w:tr w:rsidR="0077643E" w:rsidRPr="007128CB" w:rsidTr="00C86846">
        <w:trPr>
          <w:trHeight w:val="300"/>
          <w:jc w:val="center"/>
        </w:trPr>
        <w:tc>
          <w:tcPr>
            <w:tcW w:w="1655" w:type="dxa"/>
            <w:tcBorders>
              <w:left w:val="nil"/>
              <w:bottom w:val="nil"/>
              <w:right w:val="nil"/>
            </w:tcBorders>
            <w:shd w:val="clear" w:color="auto" w:fill="auto"/>
            <w:vAlign w:val="center"/>
          </w:tcPr>
          <w:p w:rsidR="0077643E" w:rsidRPr="009D4760" w:rsidRDefault="0077643E" w:rsidP="00D81B99">
            <w:pPr>
              <w:spacing w:line="240" w:lineRule="auto"/>
              <w:rPr>
                <w:b/>
                <w:bCs/>
                <w:i/>
                <w:iCs/>
              </w:rPr>
            </w:pPr>
          </w:p>
        </w:tc>
        <w:tc>
          <w:tcPr>
            <w:tcW w:w="3655" w:type="dxa"/>
            <w:gridSpan w:val="6"/>
            <w:tcBorders>
              <w:top w:val="nil"/>
              <w:left w:val="nil"/>
              <w:bottom w:val="single" w:sz="4" w:space="0" w:color="auto"/>
              <w:right w:val="nil"/>
            </w:tcBorders>
            <w:shd w:val="clear" w:color="auto" w:fill="auto"/>
            <w:noWrap/>
            <w:vAlign w:val="center"/>
          </w:tcPr>
          <w:p w:rsidR="0077643E" w:rsidRPr="009D4760" w:rsidRDefault="0077643E" w:rsidP="00D81B99">
            <w:pPr>
              <w:spacing w:line="240" w:lineRule="auto"/>
              <w:jc w:val="center"/>
              <w:rPr>
                <w:b/>
                <w:i/>
              </w:rPr>
            </w:pPr>
            <w:r w:rsidRPr="009D4760">
              <w:rPr>
                <w:b/>
                <w:i/>
              </w:rPr>
              <w:t>ExVal</w:t>
            </w:r>
            <w:r w:rsidRPr="009D4760">
              <w:rPr>
                <w:b/>
                <w:i/>
                <w:vertAlign w:val="subscript"/>
              </w:rPr>
              <w:t>Rev</w:t>
            </w:r>
          </w:p>
        </w:tc>
        <w:tc>
          <w:tcPr>
            <w:tcW w:w="3104" w:type="dxa"/>
            <w:gridSpan w:val="6"/>
            <w:tcBorders>
              <w:top w:val="nil"/>
              <w:left w:val="nil"/>
              <w:bottom w:val="single" w:sz="4" w:space="0" w:color="auto"/>
              <w:right w:val="nil"/>
            </w:tcBorders>
            <w:shd w:val="clear" w:color="auto" w:fill="auto"/>
            <w:noWrap/>
            <w:vAlign w:val="center"/>
          </w:tcPr>
          <w:p w:rsidR="0077643E" w:rsidRPr="009D4760" w:rsidRDefault="0077643E" w:rsidP="00D81B99">
            <w:pPr>
              <w:spacing w:line="240" w:lineRule="auto"/>
              <w:jc w:val="center"/>
              <w:rPr>
                <w:b/>
                <w:i/>
              </w:rPr>
            </w:pPr>
            <w:r w:rsidRPr="009D4760">
              <w:rPr>
                <w:b/>
                <w:i/>
              </w:rPr>
              <w:t>ExVal</w:t>
            </w:r>
            <w:r w:rsidRPr="009D4760">
              <w:rPr>
                <w:b/>
                <w:i/>
                <w:vertAlign w:val="subscript"/>
              </w:rPr>
              <w:t>AT</w:t>
            </w:r>
          </w:p>
        </w:tc>
      </w:tr>
      <w:tr w:rsidR="0077643E" w:rsidRPr="009D4760" w:rsidTr="00C86846">
        <w:trPr>
          <w:trHeight w:val="300"/>
          <w:jc w:val="center"/>
        </w:trPr>
        <w:tc>
          <w:tcPr>
            <w:tcW w:w="1655" w:type="dxa"/>
            <w:tcBorders>
              <w:top w:val="nil"/>
              <w:left w:val="nil"/>
              <w:bottom w:val="single" w:sz="4" w:space="0" w:color="000000"/>
              <w:right w:val="nil"/>
            </w:tcBorders>
            <w:shd w:val="clear" w:color="auto" w:fill="auto"/>
            <w:vAlign w:val="center"/>
            <w:hideMark/>
          </w:tcPr>
          <w:p w:rsidR="0077643E" w:rsidRPr="009D4760" w:rsidRDefault="0077643E" w:rsidP="00D81B99">
            <w:pPr>
              <w:spacing w:line="240" w:lineRule="auto"/>
              <w:jc w:val="center"/>
              <w:rPr>
                <w:b/>
                <w:bCs/>
                <w:i/>
                <w:iCs/>
                <w:sz w:val="18"/>
                <w:szCs w:val="18"/>
              </w:rPr>
            </w:pPr>
          </w:p>
        </w:tc>
        <w:tc>
          <w:tcPr>
            <w:tcW w:w="1126" w:type="dxa"/>
            <w:tcBorders>
              <w:top w:val="nil"/>
              <w:left w:val="nil"/>
              <w:bottom w:val="single" w:sz="4" w:space="0" w:color="000000"/>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(1)</w:t>
            </w:r>
          </w:p>
        </w:tc>
        <w:tc>
          <w:tcPr>
            <w:tcW w:w="1127" w:type="dxa"/>
            <w:gridSpan w:val="2"/>
            <w:tcBorders>
              <w:top w:val="nil"/>
              <w:left w:val="nil"/>
              <w:bottom w:val="single" w:sz="4" w:space="0" w:color="000000"/>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(2)</w:t>
            </w:r>
          </w:p>
        </w:tc>
        <w:tc>
          <w:tcPr>
            <w:tcW w:w="1126" w:type="dxa"/>
            <w:gridSpan w:val="2"/>
            <w:tcBorders>
              <w:top w:val="nil"/>
              <w:left w:val="nil"/>
              <w:bottom w:val="single" w:sz="4" w:space="0" w:color="000000"/>
              <w:right w:val="single" w:sz="4" w:space="0" w:color="auto"/>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(3)</w:t>
            </w:r>
          </w:p>
        </w:tc>
        <w:tc>
          <w:tcPr>
            <w:tcW w:w="1127" w:type="dxa"/>
            <w:gridSpan w:val="3"/>
            <w:tcBorders>
              <w:top w:val="nil"/>
              <w:left w:val="single" w:sz="4" w:space="0" w:color="auto"/>
              <w:bottom w:val="single" w:sz="4" w:space="0" w:color="000000"/>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(4)</w:t>
            </w:r>
          </w:p>
        </w:tc>
        <w:tc>
          <w:tcPr>
            <w:tcW w:w="1126" w:type="dxa"/>
            <w:gridSpan w:val="2"/>
            <w:tcBorders>
              <w:top w:val="nil"/>
              <w:left w:val="nil"/>
              <w:bottom w:val="single" w:sz="4" w:space="0" w:color="000000"/>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(5)</w:t>
            </w:r>
          </w:p>
        </w:tc>
        <w:tc>
          <w:tcPr>
            <w:tcW w:w="1127" w:type="dxa"/>
            <w:gridSpan w:val="2"/>
            <w:tcBorders>
              <w:top w:val="nil"/>
              <w:left w:val="nil"/>
              <w:bottom w:val="single" w:sz="4" w:space="0" w:color="000000"/>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(6)</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FFDIFF</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0.15***</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0.12***</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0.097***</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0.077**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(4.59)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(3.74)</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(2.663)</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(2.084)</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PFDIFF</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0.197***</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0.14**</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0.13**</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0.099*</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(3.017)</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(2.13)</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(2.41)</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(1.770)</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SmallSeg</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1.04***</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1.04***</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0.481*</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0.487*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(3.63)</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(3.63)</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(1.648)</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b/>
                <w:sz w:val="18"/>
                <w:szCs w:val="18"/>
              </w:rPr>
            </w:pPr>
            <w:r w:rsidRPr="009D4760">
              <w:rPr>
                <w:b/>
                <w:sz w:val="18"/>
                <w:szCs w:val="18"/>
              </w:rPr>
              <w:t>(1.686)</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NumSeg</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-0.07***</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-0.040***</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-0.07***</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-0.035***</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-0.02*</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-0.036***</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(-4.77)</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(-3.105)</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(-4.84)</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(-2.768)</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(-1.78)</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(-2.827)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Related</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0.06***</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0.034***</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0.06***</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0.031**</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0.02</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0.033***</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(4.36)</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(2.707)</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(4.51)</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(2.515)</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(1.62)</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(2.658)</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NumTNICPrs</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0.000</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-0.001**</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-0.001**</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(0.06)</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(0.328)</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(0.27)</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(-2.442)</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(-2.23)</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(-2.301)</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HHI</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0.216***</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0.19***</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0.008</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(3.36)</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(3.779)</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(3.28)</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(0.143)</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(0.123)</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Size</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0.06***</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0.061***</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0.06***</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0.037***</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0.04***</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0.037***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(7.48)</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(7.207)</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(7.50)</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(3.685)</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(3.60)</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(3.679)</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PM</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0.43***</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0.432***</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0.42***</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0.491***</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0.484***</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(4.89)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(4.850)</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(4.77)</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(4.116)</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(4.13)</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(4.072)</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Invest</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0.29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0.280</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0.31</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0.978***</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0.98***</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0.996***</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(1.17)</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(1.147)</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(1.27)</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(3.992)</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(4.01)</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(4.073)</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Leverage</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0.16***</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0.160***</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0.16***</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-0.088</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-0.095</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(2.90)</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(2.815)</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(2.73)</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(-1.305)</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(-1.38)</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(-1.420)</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SalesGrow</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0.02</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0.019</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0.02</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-0.016</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-0.01</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-0.014</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(0.45)</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(0.543)</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(0.51)</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(-0.740)</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(-0.67)</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(-0.668)</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StdROE</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-0.003</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-0.00</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0.017*</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0.02**</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0.018**</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(-0.59)</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(-0.441)</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(-0.47)</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(1.911)</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(1.98)</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(1.977)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MAR</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0.14***</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0.140***</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0.14***</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0.204***</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0.20***</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0.205***</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(6.21)</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(6.236)</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(6.38)</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(8.825)</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(8.88)</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(8.907)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Corr5yr</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-0.05***</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-0.051***</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-0.05***</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-0.052***</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-0.05***</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-0.052***</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(-3.16)</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(-3.315)</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(-3.20)</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(-3.121)</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(-3.21)</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(-3.137)</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tcPr>
          <w:p w:rsidR="0077643E" w:rsidRPr="009D4760" w:rsidRDefault="0077643E" w:rsidP="00D81B99">
            <w:pPr>
              <w:spacing w:line="240" w:lineRule="auto"/>
              <w:rPr>
                <w:b/>
                <w:bCs/>
                <w:i/>
                <w:iCs/>
                <w:sz w:val="18"/>
                <w:szCs w:val="18"/>
              </w:rPr>
            </w:pPr>
            <w:r w:rsidRPr="009D4760">
              <w:rPr>
                <w:b/>
                <w:bCs/>
                <w:i/>
                <w:iCs/>
                <w:sz w:val="18"/>
                <w:szCs w:val="18"/>
              </w:rPr>
              <w:t>Surprise</w:t>
            </w:r>
          </w:p>
        </w:tc>
        <w:tc>
          <w:tcPr>
            <w:tcW w:w="1126" w:type="dxa"/>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-0.01***</w:t>
            </w:r>
          </w:p>
        </w:tc>
        <w:tc>
          <w:tcPr>
            <w:tcW w:w="1127" w:type="dxa"/>
            <w:gridSpan w:val="2"/>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-0.007***</w:t>
            </w:r>
          </w:p>
        </w:tc>
        <w:tc>
          <w:tcPr>
            <w:tcW w:w="1126" w:type="dxa"/>
            <w:gridSpan w:val="2"/>
            <w:tcBorders>
              <w:top w:val="nil"/>
              <w:left w:val="nil"/>
              <w:bottom w:val="nil"/>
              <w:right w:val="single" w:sz="4" w:space="0" w:color="auto"/>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-0.01***</w:t>
            </w:r>
          </w:p>
        </w:tc>
        <w:tc>
          <w:tcPr>
            <w:tcW w:w="1127" w:type="dxa"/>
            <w:gridSpan w:val="3"/>
            <w:tcBorders>
              <w:top w:val="nil"/>
              <w:left w:val="single" w:sz="4" w:space="0" w:color="auto"/>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-0.011***</w:t>
            </w:r>
          </w:p>
        </w:tc>
        <w:tc>
          <w:tcPr>
            <w:tcW w:w="1126" w:type="dxa"/>
            <w:gridSpan w:val="2"/>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-0.01***</w:t>
            </w:r>
          </w:p>
        </w:tc>
        <w:tc>
          <w:tcPr>
            <w:tcW w:w="1127" w:type="dxa"/>
            <w:gridSpan w:val="2"/>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-0.011***</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(-3.75)</w:t>
            </w:r>
          </w:p>
        </w:tc>
        <w:tc>
          <w:tcPr>
            <w:tcW w:w="1127" w:type="dxa"/>
            <w:gridSpan w:val="2"/>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(-3.981)</w:t>
            </w:r>
          </w:p>
        </w:tc>
        <w:tc>
          <w:tcPr>
            <w:tcW w:w="1126" w:type="dxa"/>
            <w:gridSpan w:val="2"/>
            <w:tcBorders>
              <w:top w:val="nil"/>
              <w:left w:val="nil"/>
              <w:bottom w:val="nil"/>
              <w:right w:val="single" w:sz="4" w:space="0" w:color="auto"/>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(-3.76)</w:t>
            </w:r>
          </w:p>
        </w:tc>
        <w:tc>
          <w:tcPr>
            <w:tcW w:w="1127" w:type="dxa"/>
            <w:gridSpan w:val="3"/>
            <w:tcBorders>
              <w:top w:val="nil"/>
              <w:left w:val="single" w:sz="4" w:space="0" w:color="auto"/>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(-7.912)</w:t>
            </w:r>
          </w:p>
        </w:tc>
        <w:tc>
          <w:tcPr>
            <w:tcW w:w="1126" w:type="dxa"/>
            <w:gridSpan w:val="2"/>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(-8.32)</w:t>
            </w:r>
          </w:p>
        </w:tc>
        <w:tc>
          <w:tcPr>
            <w:tcW w:w="1127" w:type="dxa"/>
            <w:gridSpan w:val="2"/>
            <w:tcBorders>
              <w:top w:val="nil"/>
              <w:left w:val="nil"/>
              <w:bottom w:val="nil"/>
              <w:right w:val="nil"/>
            </w:tcBorders>
            <w:shd w:val="clear" w:color="auto" w:fill="auto"/>
            <w:noWrap/>
            <w:vAlign w:val="center"/>
          </w:tcPr>
          <w:p w:rsidR="0077643E" w:rsidRPr="009D4760" w:rsidRDefault="0077643E" w:rsidP="00D81B99">
            <w:pPr>
              <w:tabs>
                <w:tab w:val="decimal" w:pos="237"/>
              </w:tabs>
              <w:spacing w:line="240" w:lineRule="auto"/>
              <w:rPr>
                <w:sz w:val="18"/>
                <w:szCs w:val="18"/>
              </w:rPr>
            </w:pPr>
            <w:r w:rsidRPr="009D4760">
              <w:rPr>
                <w:sz w:val="18"/>
                <w:szCs w:val="18"/>
              </w:rPr>
              <w:t>(-7.958)</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Constant</w:t>
            </w:r>
          </w:p>
        </w:tc>
        <w:tc>
          <w:tcPr>
            <w:tcW w:w="1126" w:type="dxa"/>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-0.81***</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-0.831***</w:t>
            </w:r>
          </w:p>
        </w:tc>
        <w:tc>
          <w:tcPr>
            <w:tcW w:w="1126" w:type="dxa"/>
            <w:gridSpan w:val="2"/>
            <w:tcBorders>
              <w:top w:val="nil"/>
              <w:left w:val="nil"/>
              <w:bottom w:val="nil"/>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-0.83***</w:t>
            </w:r>
          </w:p>
        </w:tc>
        <w:tc>
          <w:tcPr>
            <w:tcW w:w="1127" w:type="dxa"/>
            <w:gridSpan w:val="3"/>
            <w:tcBorders>
              <w:top w:val="nil"/>
              <w:left w:val="single" w:sz="4" w:space="0" w:color="auto"/>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-0.504***</w:t>
            </w: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-0.52***</w:t>
            </w: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-0.518***</w:t>
            </w:r>
          </w:p>
        </w:tc>
      </w:tr>
      <w:tr w:rsidR="0077643E" w:rsidRPr="009D4760" w:rsidTr="00C86846">
        <w:trPr>
          <w:trHeight w:val="300"/>
          <w:jc w:val="center"/>
        </w:trPr>
        <w:tc>
          <w:tcPr>
            <w:tcW w:w="1655" w:type="dxa"/>
            <w:tcBorders>
              <w:top w:val="nil"/>
              <w:left w:val="nil"/>
              <w:bottom w:val="single" w:sz="4" w:space="0" w:color="000000"/>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 </w:t>
            </w:r>
          </w:p>
        </w:tc>
        <w:tc>
          <w:tcPr>
            <w:tcW w:w="1126" w:type="dxa"/>
            <w:tcBorders>
              <w:top w:val="nil"/>
              <w:left w:val="nil"/>
              <w:bottom w:val="single" w:sz="4" w:space="0" w:color="000000"/>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(-12.94)</w:t>
            </w:r>
          </w:p>
        </w:tc>
        <w:tc>
          <w:tcPr>
            <w:tcW w:w="1127" w:type="dxa"/>
            <w:gridSpan w:val="2"/>
            <w:tcBorders>
              <w:top w:val="nil"/>
              <w:left w:val="nil"/>
              <w:bottom w:val="single" w:sz="4" w:space="0" w:color="000000"/>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(-13.293)</w:t>
            </w:r>
          </w:p>
        </w:tc>
        <w:tc>
          <w:tcPr>
            <w:tcW w:w="1126" w:type="dxa"/>
            <w:gridSpan w:val="2"/>
            <w:tcBorders>
              <w:top w:val="nil"/>
              <w:left w:val="nil"/>
              <w:bottom w:val="single" w:sz="4" w:space="0" w:color="000000"/>
              <w:right w:val="single" w:sz="4" w:space="0" w:color="auto"/>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(-13.15)</w:t>
            </w:r>
          </w:p>
        </w:tc>
        <w:tc>
          <w:tcPr>
            <w:tcW w:w="1127" w:type="dxa"/>
            <w:gridSpan w:val="3"/>
            <w:tcBorders>
              <w:top w:val="nil"/>
              <w:left w:val="single" w:sz="4" w:space="0" w:color="auto"/>
              <w:bottom w:val="single" w:sz="4" w:space="0" w:color="000000"/>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(-6.692)</w:t>
            </w:r>
          </w:p>
        </w:tc>
        <w:tc>
          <w:tcPr>
            <w:tcW w:w="1126" w:type="dxa"/>
            <w:gridSpan w:val="2"/>
            <w:tcBorders>
              <w:top w:val="nil"/>
              <w:left w:val="nil"/>
              <w:bottom w:val="single" w:sz="4" w:space="0" w:color="000000"/>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(-6.87)</w:t>
            </w:r>
          </w:p>
        </w:tc>
        <w:tc>
          <w:tcPr>
            <w:tcW w:w="1127" w:type="dxa"/>
            <w:gridSpan w:val="2"/>
            <w:tcBorders>
              <w:top w:val="nil"/>
              <w:left w:val="nil"/>
              <w:bottom w:val="single" w:sz="4" w:space="0" w:color="000000"/>
              <w:right w:val="nil"/>
            </w:tcBorders>
            <w:shd w:val="clear" w:color="auto" w:fill="auto"/>
            <w:noWrap/>
            <w:vAlign w:val="center"/>
            <w:hideMark/>
          </w:tcPr>
          <w:p w:rsidR="0077643E" w:rsidRPr="009D4760" w:rsidRDefault="0077643E" w:rsidP="00D81B99">
            <w:pPr>
              <w:tabs>
                <w:tab w:val="decimal" w:pos="237"/>
              </w:tabs>
              <w:spacing w:line="240" w:lineRule="auto"/>
              <w:rPr>
                <w:sz w:val="18"/>
                <w:szCs w:val="18"/>
              </w:rPr>
            </w:pPr>
            <w:r w:rsidRPr="009D4760">
              <w:rPr>
                <w:sz w:val="18"/>
                <w:szCs w:val="18"/>
              </w:rPr>
              <w:t>(-6.793)</w:t>
            </w:r>
          </w:p>
        </w:tc>
      </w:tr>
      <w:tr w:rsidR="0077643E" w:rsidRPr="009D4760" w:rsidTr="00C86846">
        <w:trPr>
          <w:trHeight w:val="300"/>
          <w:jc w:val="center"/>
        </w:trPr>
        <w:tc>
          <w:tcPr>
            <w:tcW w:w="1655" w:type="dxa"/>
            <w:tcBorders>
              <w:top w:val="nil"/>
              <w:left w:val="nil"/>
              <w:bottom w:val="nil"/>
              <w:right w:val="nil"/>
            </w:tcBorders>
            <w:shd w:val="clear" w:color="auto" w:fill="auto"/>
            <w:vAlign w:val="center"/>
            <w:hideMark/>
          </w:tcPr>
          <w:p w:rsidR="0077643E" w:rsidRPr="009D4760" w:rsidRDefault="0077643E" w:rsidP="00D81B99">
            <w:pPr>
              <w:spacing w:line="240" w:lineRule="auto"/>
              <w:rPr>
                <w:b/>
                <w:bCs/>
                <w:i/>
                <w:iCs/>
                <w:sz w:val="18"/>
                <w:szCs w:val="18"/>
              </w:rPr>
            </w:pPr>
          </w:p>
        </w:tc>
        <w:tc>
          <w:tcPr>
            <w:tcW w:w="1126" w:type="dxa"/>
            <w:tcBorders>
              <w:top w:val="nil"/>
              <w:left w:val="nil"/>
              <w:bottom w:val="nil"/>
              <w:right w:val="nil"/>
            </w:tcBorders>
            <w:shd w:val="clear" w:color="auto" w:fill="auto"/>
            <w:noWrap/>
            <w:vAlign w:val="center"/>
            <w:hideMark/>
          </w:tcPr>
          <w:p w:rsidR="0077643E" w:rsidRPr="009D4760" w:rsidRDefault="0077643E" w:rsidP="00D81B99">
            <w:pPr>
              <w:spacing w:line="240" w:lineRule="auto"/>
              <w:rPr>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spacing w:line="240" w:lineRule="auto"/>
              <w:rPr>
                <w:sz w:val="18"/>
                <w:szCs w:val="18"/>
              </w:rPr>
            </w:pP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spacing w:line="240" w:lineRule="auto"/>
              <w:rPr>
                <w:sz w:val="18"/>
                <w:szCs w:val="18"/>
              </w:rPr>
            </w:pPr>
          </w:p>
        </w:tc>
        <w:tc>
          <w:tcPr>
            <w:tcW w:w="1127" w:type="dxa"/>
            <w:gridSpan w:val="3"/>
            <w:tcBorders>
              <w:top w:val="nil"/>
              <w:left w:val="nil"/>
              <w:bottom w:val="nil"/>
              <w:right w:val="nil"/>
            </w:tcBorders>
            <w:shd w:val="clear" w:color="auto" w:fill="auto"/>
            <w:noWrap/>
            <w:vAlign w:val="center"/>
            <w:hideMark/>
          </w:tcPr>
          <w:p w:rsidR="0077643E" w:rsidRPr="009D4760" w:rsidRDefault="0077643E" w:rsidP="00D81B99">
            <w:pPr>
              <w:spacing w:line="240" w:lineRule="auto"/>
              <w:rPr>
                <w:sz w:val="18"/>
                <w:szCs w:val="18"/>
              </w:rPr>
            </w:pPr>
          </w:p>
        </w:tc>
        <w:tc>
          <w:tcPr>
            <w:tcW w:w="1126" w:type="dxa"/>
            <w:gridSpan w:val="2"/>
            <w:tcBorders>
              <w:top w:val="nil"/>
              <w:left w:val="nil"/>
              <w:bottom w:val="nil"/>
              <w:right w:val="nil"/>
            </w:tcBorders>
            <w:shd w:val="clear" w:color="auto" w:fill="auto"/>
            <w:noWrap/>
            <w:vAlign w:val="center"/>
            <w:hideMark/>
          </w:tcPr>
          <w:p w:rsidR="0077643E" w:rsidRPr="009D4760" w:rsidRDefault="0077643E" w:rsidP="00D81B99">
            <w:pPr>
              <w:spacing w:line="240" w:lineRule="auto"/>
              <w:rPr>
                <w:sz w:val="18"/>
                <w:szCs w:val="18"/>
              </w:rPr>
            </w:pPr>
          </w:p>
        </w:tc>
        <w:tc>
          <w:tcPr>
            <w:tcW w:w="1127" w:type="dxa"/>
            <w:gridSpan w:val="2"/>
            <w:tcBorders>
              <w:top w:val="nil"/>
              <w:left w:val="nil"/>
              <w:bottom w:val="nil"/>
              <w:right w:val="nil"/>
            </w:tcBorders>
            <w:shd w:val="clear" w:color="auto" w:fill="auto"/>
            <w:noWrap/>
            <w:vAlign w:val="center"/>
            <w:hideMark/>
          </w:tcPr>
          <w:p w:rsidR="0077643E" w:rsidRPr="009D4760" w:rsidRDefault="0077643E" w:rsidP="00D81B99">
            <w:pPr>
              <w:spacing w:line="240" w:lineRule="auto"/>
              <w:rPr>
                <w:sz w:val="18"/>
                <w:szCs w:val="18"/>
              </w:rPr>
            </w:pPr>
          </w:p>
        </w:tc>
      </w:tr>
      <w:tr w:rsidR="0077643E" w:rsidRPr="009D4760" w:rsidTr="00C86846">
        <w:trPr>
          <w:trHeight w:val="300"/>
          <w:jc w:val="center"/>
        </w:trPr>
        <w:tc>
          <w:tcPr>
            <w:tcW w:w="1655" w:type="dxa"/>
            <w:tcBorders>
              <w:top w:val="nil"/>
              <w:left w:val="nil"/>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Number of observations</w:t>
            </w:r>
          </w:p>
        </w:tc>
        <w:tc>
          <w:tcPr>
            <w:tcW w:w="1126" w:type="dxa"/>
            <w:tcBorders>
              <w:top w:val="nil"/>
              <w:left w:val="nil"/>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11,491</w:t>
            </w:r>
          </w:p>
        </w:tc>
        <w:tc>
          <w:tcPr>
            <w:tcW w:w="1127" w:type="dxa"/>
            <w:gridSpan w:val="2"/>
            <w:tcBorders>
              <w:top w:val="nil"/>
              <w:left w:val="nil"/>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11,491</w:t>
            </w:r>
          </w:p>
        </w:tc>
        <w:tc>
          <w:tcPr>
            <w:tcW w:w="1126" w:type="dxa"/>
            <w:gridSpan w:val="2"/>
            <w:tcBorders>
              <w:top w:val="nil"/>
              <w:left w:val="nil"/>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11,491</w:t>
            </w:r>
          </w:p>
        </w:tc>
        <w:tc>
          <w:tcPr>
            <w:tcW w:w="1127" w:type="dxa"/>
            <w:gridSpan w:val="3"/>
            <w:tcBorders>
              <w:top w:val="nil"/>
              <w:left w:val="nil"/>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9,705</w:t>
            </w:r>
          </w:p>
        </w:tc>
        <w:tc>
          <w:tcPr>
            <w:tcW w:w="1126" w:type="dxa"/>
            <w:gridSpan w:val="2"/>
            <w:tcBorders>
              <w:top w:val="nil"/>
              <w:left w:val="nil"/>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9,705</w:t>
            </w:r>
          </w:p>
        </w:tc>
        <w:tc>
          <w:tcPr>
            <w:tcW w:w="1127" w:type="dxa"/>
            <w:gridSpan w:val="2"/>
            <w:tcBorders>
              <w:top w:val="nil"/>
              <w:left w:val="nil"/>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9,705</w:t>
            </w:r>
          </w:p>
        </w:tc>
      </w:tr>
      <w:tr w:rsidR="0077643E" w:rsidRPr="009D4760" w:rsidTr="00C86846">
        <w:trPr>
          <w:trHeight w:val="315"/>
          <w:jc w:val="center"/>
        </w:trPr>
        <w:tc>
          <w:tcPr>
            <w:tcW w:w="1655" w:type="dxa"/>
            <w:tcBorders>
              <w:top w:val="nil"/>
              <w:left w:val="nil"/>
              <w:bottom w:val="double" w:sz="4" w:space="0" w:color="auto"/>
              <w:right w:val="nil"/>
            </w:tcBorders>
            <w:shd w:val="clear" w:color="auto" w:fill="auto"/>
            <w:vAlign w:val="center"/>
            <w:hideMark/>
          </w:tcPr>
          <w:p w:rsidR="0077643E" w:rsidRPr="009D4760" w:rsidRDefault="0077643E" w:rsidP="00D81B99">
            <w:pPr>
              <w:spacing w:line="240" w:lineRule="auto"/>
              <w:rPr>
                <w:b/>
                <w:bCs/>
                <w:i/>
                <w:iCs/>
                <w:sz w:val="18"/>
                <w:szCs w:val="18"/>
              </w:rPr>
            </w:pPr>
            <w:r w:rsidRPr="009D4760">
              <w:rPr>
                <w:b/>
                <w:bCs/>
                <w:i/>
                <w:iCs/>
                <w:sz w:val="18"/>
                <w:szCs w:val="18"/>
              </w:rPr>
              <w:t>Adj. R-Squared</w:t>
            </w:r>
          </w:p>
        </w:tc>
        <w:tc>
          <w:tcPr>
            <w:tcW w:w="1126" w:type="dxa"/>
            <w:tcBorders>
              <w:top w:val="nil"/>
              <w:left w:val="nil"/>
              <w:bottom w:val="double" w:sz="4" w:space="0" w:color="auto"/>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6.99%</w:t>
            </w:r>
          </w:p>
        </w:tc>
        <w:tc>
          <w:tcPr>
            <w:tcW w:w="1127" w:type="dxa"/>
            <w:gridSpan w:val="2"/>
            <w:tcBorders>
              <w:top w:val="nil"/>
              <w:left w:val="nil"/>
              <w:bottom w:val="double" w:sz="4" w:space="0" w:color="auto"/>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6.67%</w:t>
            </w:r>
          </w:p>
        </w:tc>
        <w:tc>
          <w:tcPr>
            <w:tcW w:w="1126" w:type="dxa"/>
            <w:gridSpan w:val="2"/>
            <w:tcBorders>
              <w:top w:val="nil"/>
              <w:left w:val="nil"/>
              <w:bottom w:val="double" w:sz="4" w:space="0" w:color="auto"/>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7.12%</w:t>
            </w:r>
          </w:p>
        </w:tc>
        <w:tc>
          <w:tcPr>
            <w:tcW w:w="1127" w:type="dxa"/>
            <w:gridSpan w:val="3"/>
            <w:tcBorders>
              <w:top w:val="nil"/>
              <w:left w:val="nil"/>
              <w:bottom w:val="double" w:sz="4" w:space="0" w:color="auto"/>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8.87%</w:t>
            </w:r>
          </w:p>
        </w:tc>
        <w:tc>
          <w:tcPr>
            <w:tcW w:w="1126" w:type="dxa"/>
            <w:gridSpan w:val="2"/>
            <w:tcBorders>
              <w:top w:val="nil"/>
              <w:left w:val="nil"/>
              <w:bottom w:val="double" w:sz="4" w:space="0" w:color="auto"/>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8.79%</w:t>
            </w:r>
          </w:p>
        </w:tc>
        <w:tc>
          <w:tcPr>
            <w:tcW w:w="1127" w:type="dxa"/>
            <w:gridSpan w:val="2"/>
            <w:tcBorders>
              <w:top w:val="nil"/>
              <w:left w:val="nil"/>
              <w:bottom w:val="double" w:sz="4" w:space="0" w:color="auto"/>
              <w:right w:val="nil"/>
            </w:tcBorders>
            <w:shd w:val="clear" w:color="auto" w:fill="auto"/>
            <w:noWrap/>
            <w:vAlign w:val="center"/>
            <w:hideMark/>
          </w:tcPr>
          <w:p w:rsidR="0077643E" w:rsidRPr="009D4760" w:rsidRDefault="0077643E" w:rsidP="00D81B99">
            <w:pPr>
              <w:spacing w:line="240" w:lineRule="auto"/>
              <w:jc w:val="center"/>
              <w:rPr>
                <w:sz w:val="18"/>
                <w:szCs w:val="18"/>
              </w:rPr>
            </w:pPr>
            <w:r w:rsidRPr="009D4760">
              <w:rPr>
                <w:sz w:val="18"/>
                <w:szCs w:val="18"/>
              </w:rPr>
              <w:t>8.95%</w:t>
            </w:r>
          </w:p>
        </w:tc>
      </w:tr>
      <w:tr w:rsidR="0077643E" w:rsidRPr="009D4760" w:rsidTr="00C86846">
        <w:trPr>
          <w:trHeight w:val="20"/>
          <w:jc w:val="center"/>
        </w:trPr>
        <w:tc>
          <w:tcPr>
            <w:tcW w:w="1655" w:type="dxa"/>
            <w:tcBorders>
              <w:top w:val="nil"/>
              <w:left w:val="nil"/>
              <w:right w:val="nil"/>
            </w:tcBorders>
            <w:shd w:val="clear" w:color="auto" w:fill="auto"/>
            <w:vAlign w:val="center"/>
          </w:tcPr>
          <w:p w:rsidR="0077643E" w:rsidRPr="009D4760" w:rsidRDefault="0077643E" w:rsidP="00D81B99">
            <w:pPr>
              <w:spacing w:line="240" w:lineRule="auto"/>
              <w:rPr>
                <w:b/>
                <w:bCs/>
                <w:i/>
                <w:iCs/>
                <w:sz w:val="2"/>
                <w:szCs w:val="2"/>
              </w:rPr>
            </w:pPr>
          </w:p>
        </w:tc>
        <w:tc>
          <w:tcPr>
            <w:tcW w:w="1708" w:type="dxa"/>
            <w:gridSpan w:val="2"/>
            <w:tcBorders>
              <w:top w:val="nil"/>
              <w:left w:val="nil"/>
              <w:right w:val="nil"/>
            </w:tcBorders>
            <w:shd w:val="clear" w:color="auto" w:fill="auto"/>
            <w:noWrap/>
            <w:vAlign w:val="center"/>
          </w:tcPr>
          <w:p w:rsidR="0077643E" w:rsidRPr="009D4760" w:rsidRDefault="0077643E" w:rsidP="00D81B99">
            <w:pPr>
              <w:spacing w:line="240" w:lineRule="auto"/>
              <w:jc w:val="center"/>
              <w:rPr>
                <w:sz w:val="2"/>
                <w:szCs w:val="2"/>
              </w:rPr>
            </w:pPr>
          </w:p>
        </w:tc>
        <w:tc>
          <w:tcPr>
            <w:tcW w:w="1039" w:type="dxa"/>
            <w:gridSpan w:val="2"/>
            <w:tcBorders>
              <w:top w:val="nil"/>
              <w:left w:val="nil"/>
              <w:right w:val="nil"/>
            </w:tcBorders>
            <w:shd w:val="clear" w:color="auto" w:fill="auto"/>
            <w:noWrap/>
            <w:vAlign w:val="center"/>
          </w:tcPr>
          <w:p w:rsidR="0077643E" w:rsidRPr="009D4760" w:rsidRDefault="0077643E" w:rsidP="00D81B99">
            <w:pPr>
              <w:spacing w:line="240" w:lineRule="auto"/>
              <w:jc w:val="center"/>
              <w:rPr>
                <w:sz w:val="2"/>
                <w:szCs w:val="2"/>
              </w:rPr>
            </w:pPr>
          </w:p>
        </w:tc>
        <w:tc>
          <w:tcPr>
            <w:tcW w:w="967" w:type="dxa"/>
            <w:gridSpan w:val="3"/>
            <w:tcBorders>
              <w:top w:val="nil"/>
              <w:left w:val="nil"/>
              <w:right w:val="nil"/>
            </w:tcBorders>
            <w:shd w:val="clear" w:color="auto" w:fill="auto"/>
            <w:noWrap/>
            <w:vAlign w:val="center"/>
          </w:tcPr>
          <w:p w:rsidR="0077643E" w:rsidRPr="009D4760" w:rsidRDefault="0077643E" w:rsidP="00D81B99">
            <w:pPr>
              <w:spacing w:line="240" w:lineRule="auto"/>
              <w:jc w:val="center"/>
              <w:rPr>
                <w:sz w:val="2"/>
                <w:szCs w:val="2"/>
              </w:rPr>
            </w:pPr>
          </w:p>
        </w:tc>
        <w:tc>
          <w:tcPr>
            <w:tcW w:w="1039" w:type="dxa"/>
            <w:gridSpan w:val="2"/>
            <w:tcBorders>
              <w:top w:val="nil"/>
              <w:left w:val="nil"/>
              <w:right w:val="nil"/>
            </w:tcBorders>
            <w:shd w:val="clear" w:color="auto" w:fill="auto"/>
            <w:noWrap/>
            <w:vAlign w:val="center"/>
          </w:tcPr>
          <w:p w:rsidR="0077643E" w:rsidRPr="009D4760" w:rsidRDefault="0077643E" w:rsidP="00D81B99">
            <w:pPr>
              <w:spacing w:line="240" w:lineRule="auto"/>
              <w:jc w:val="center"/>
              <w:rPr>
                <w:sz w:val="2"/>
                <w:szCs w:val="2"/>
              </w:rPr>
            </w:pPr>
          </w:p>
        </w:tc>
        <w:tc>
          <w:tcPr>
            <w:tcW w:w="967" w:type="dxa"/>
            <w:gridSpan w:val="2"/>
            <w:tcBorders>
              <w:top w:val="nil"/>
              <w:left w:val="nil"/>
              <w:right w:val="nil"/>
            </w:tcBorders>
            <w:shd w:val="clear" w:color="auto" w:fill="auto"/>
            <w:noWrap/>
            <w:vAlign w:val="center"/>
          </w:tcPr>
          <w:p w:rsidR="0077643E" w:rsidRPr="009D4760" w:rsidRDefault="0077643E" w:rsidP="00D81B99">
            <w:pPr>
              <w:spacing w:line="240" w:lineRule="auto"/>
              <w:jc w:val="center"/>
              <w:rPr>
                <w:sz w:val="2"/>
                <w:szCs w:val="2"/>
              </w:rPr>
            </w:pPr>
          </w:p>
        </w:tc>
        <w:tc>
          <w:tcPr>
            <w:tcW w:w="1039" w:type="dxa"/>
            <w:tcBorders>
              <w:top w:val="nil"/>
              <w:left w:val="nil"/>
              <w:right w:val="nil"/>
            </w:tcBorders>
            <w:shd w:val="clear" w:color="auto" w:fill="auto"/>
            <w:noWrap/>
            <w:vAlign w:val="center"/>
          </w:tcPr>
          <w:p w:rsidR="0077643E" w:rsidRPr="009D4760" w:rsidRDefault="0077643E" w:rsidP="00D81B99">
            <w:pPr>
              <w:spacing w:line="240" w:lineRule="auto"/>
              <w:jc w:val="center"/>
              <w:rPr>
                <w:sz w:val="2"/>
                <w:szCs w:val="2"/>
              </w:rPr>
            </w:pPr>
          </w:p>
        </w:tc>
      </w:tr>
      <w:tr w:rsidR="0077643E" w:rsidRPr="009D4760" w:rsidTr="00C86846">
        <w:trPr>
          <w:trHeight w:val="315"/>
          <w:jc w:val="center"/>
        </w:trPr>
        <w:tc>
          <w:tcPr>
            <w:tcW w:w="8414" w:type="dxa"/>
            <w:gridSpan w:val="13"/>
            <w:tcBorders>
              <w:left w:val="nil"/>
              <w:right w:val="nil"/>
            </w:tcBorders>
            <w:shd w:val="clear" w:color="auto" w:fill="auto"/>
            <w:vAlign w:val="center"/>
          </w:tcPr>
          <w:p w:rsidR="0077643E" w:rsidRPr="009D4760" w:rsidRDefault="0077643E" w:rsidP="00D81B99">
            <w:pPr>
              <w:spacing w:line="240" w:lineRule="auto"/>
              <w:rPr>
                <w:i/>
                <w:sz w:val="20"/>
                <w:szCs w:val="20"/>
              </w:rPr>
            </w:pPr>
            <w:r>
              <w:rPr>
                <w:i/>
                <w:sz w:val="20"/>
                <w:szCs w:val="20"/>
              </w:rPr>
              <w:lastRenderedPageBreak/>
              <w:t>Table 7 (Continued)</w:t>
            </w:r>
          </w:p>
          <w:p w:rsidR="0077643E" w:rsidRPr="009D4760" w:rsidRDefault="0077643E" w:rsidP="00D81B99">
            <w:pPr>
              <w:spacing w:line="240" w:lineRule="auto"/>
              <w:rPr>
                <w:sz w:val="20"/>
                <w:szCs w:val="20"/>
              </w:rPr>
            </w:pPr>
            <w:r w:rsidRPr="009D4760">
              <w:rPr>
                <w:sz w:val="20"/>
                <w:szCs w:val="20"/>
              </w:rPr>
              <w:t xml:space="preserve">This table presents the estimation of equation (6) with an additional variable for differentiating segments that are less than 10% of sales, </w:t>
            </w:r>
            <w:r w:rsidRPr="009D4760">
              <w:rPr>
                <w:i/>
                <w:sz w:val="20"/>
                <w:szCs w:val="20"/>
              </w:rPr>
              <w:t>SmallSeg</w:t>
            </w:r>
            <w:r w:rsidRPr="009D4760">
              <w:rPr>
                <w:sz w:val="20"/>
                <w:szCs w:val="20"/>
              </w:rPr>
              <w:t>.  All other variabl</w:t>
            </w:r>
            <w:r w:rsidR="004C2425">
              <w:rPr>
                <w:sz w:val="20"/>
                <w:szCs w:val="20"/>
              </w:rPr>
              <w:t xml:space="preserve">es are defined in appendix B.  By definition </w:t>
            </w:r>
            <w:r w:rsidR="004C2425" w:rsidRPr="004C2425">
              <w:rPr>
                <w:i/>
                <w:sz w:val="20"/>
                <w:szCs w:val="20"/>
              </w:rPr>
              <w:t>SmallSeg</w:t>
            </w:r>
            <w:r w:rsidR="004C2425">
              <w:rPr>
                <w:sz w:val="20"/>
                <w:szCs w:val="20"/>
              </w:rPr>
              <w:t xml:space="preserve"> firms must have more than one segment.  Thus, r</w:t>
            </w:r>
            <w:r w:rsidRPr="004C2425">
              <w:rPr>
                <w:sz w:val="20"/>
                <w:szCs w:val="20"/>
              </w:rPr>
              <w:t>egressions</w:t>
            </w:r>
            <w:r w:rsidRPr="009D4760">
              <w:rPr>
                <w:sz w:val="20"/>
                <w:szCs w:val="20"/>
              </w:rPr>
              <w:t xml:space="preserve"> 1-6 are estimate</w:t>
            </w:r>
            <w:r w:rsidR="003D2176">
              <w:rPr>
                <w:sz w:val="20"/>
                <w:szCs w:val="20"/>
              </w:rPr>
              <w:t>d</w:t>
            </w:r>
            <w:r w:rsidRPr="009D4760">
              <w:rPr>
                <w:sz w:val="20"/>
                <w:szCs w:val="20"/>
              </w:rPr>
              <w:t xml:space="preserve"> </w:t>
            </w:r>
            <w:r w:rsidR="003D2176">
              <w:rPr>
                <w:sz w:val="20"/>
                <w:szCs w:val="20"/>
              </w:rPr>
              <w:t xml:space="preserve">for </w:t>
            </w:r>
            <w:r w:rsidRPr="009D4760">
              <w:rPr>
                <w:sz w:val="20"/>
                <w:szCs w:val="20"/>
              </w:rPr>
              <w:t>only multi-segment firms.  Coefficients are report</w:t>
            </w:r>
            <w:r>
              <w:rPr>
                <w:sz w:val="20"/>
                <w:szCs w:val="20"/>
              </w:rPr>
              <w:t xml:space="preserve">ed above, t-statistics below in </w:t>
            </w:r>
            <w:r w:rsidRPr="009D4760">
              <w:rPr>
                <w:sz w:val="20"/>
                <w:szCs w:val="20"/>
              </w:rPr>
              <w:t>parentheses.  All regressions are estimated using two-way clustering by firm and year.</w:t>
            </w:r>
          </w:p>
          <w:p w:rsidR="0077643E" w:rsidRPr="009D4760" w:rsidRDefault="0077643E" w:rsidP="00D81B99">
            <w:pPr>
              <w:spacing w:line="240" w:lineRule="auto"/>
              <w:rPr>
                <w:sz w:val="20"/>
                <w:szCs w:val="20"/>
              </w:rPr>
            </w:pPr>
            <w:r w:rsidRPr="009D4760">
              <w:rPr>
                <w:sz w:val="20"/>
                <w:szCs w:val="20"/>
              </w:rPr>
              <w:t>Significance: *** p-value &lt; 0.01, ** p-value &lt; 0.05, and * p-value &lt;0.1</w:t>
            </w:r>
          </w:p>
        </w:tc>
      </w:tr>
    </w:tbl>
    <w:p w:rsidR="0077643E" w:rsidRDefault="0077643E" w:rsidP="00AA0B13">
      <w:pPr>
        <w:sectPr w:rsidR="0077643E" w:rsidSect="0077643E">
          <w:headerReference w:type="default" r:id="rId24"/>
          <w:footerReference w:type="default" r:id="rId25"/>
          <w:pgSz w:w="12240" w:h="15840" w:code="1"/>
          <w:pgMar w:top="1440" w:right="1440" w:bottom="1440" w:left="2304" w:header="720" w:footer="720" w:gutter="0"/>
          <w:cols w:space="720"/>
          <w:docGrid w:linePitch="360"/>
        </w:sectPr>
      </w:pPr>
    </w:p>
    <w:tbl>
      <w:tblPr>
        <w:tblW w:w="8401" w:type="dxa"/>
        <w:jc w:val="center"/>
        <w:tblInd w:w="93" w:type="dxa"/>
        <w:tblLook w:val="04A0" w:firstRow="1" w:lastRow="0" w:firstColumn="1" w:lastColumn="0" w:noHBand="0" w:noVBand="1"/>
      </w:tblPr>
      <w:tblGrid>
        <w:gridCol w:w="1267"/>
        <w:gridCol w:w="979"/>
        <w:gridCol w:w="1069"/>
        <w:gridCol w:w="979"/>
        <w:gridCol w:w="1069"/>
        <w:gridCol w:w="979"/>
        <w:gridCol w:w="1069"/>
        <w:gridCol w:w="979"/>
        <w:gridCol w:w="11"/>
      </w:tblGrid>
      <w:tr w:rsidR="0077643E" w:rsidRPr="006E605F" w:rsidTr="00133888">
        <w:trPr>
          <w:trHeight w:val="315"/>
          <w:jc w:val="center"/>
        </w:trPr>
        <w:tc>
          <w:tcPr>
            <w:tcW w:w="8401" w:type="dxa"/>
            <w:gridSpan w:val="9"/>
            <w:tcBorders>
              <w:top w:val="double" w:sz="4" w:space="0" w:color="auto"/>
              <w:left w:val="nil"/>
              <w:bottom w:val="single" w:sz="8" w:space="0" w:color="000000"/>
              <w:right w:val="nil"/>
            </w:tcBorders>
            <w:shd w:val="clear" w:color="auto" w:fill="auto"/>
            <w:vAlign w:val="center"/>
            <w:hideMark/>
          </w:tcPr>
          <w:p w:rsidR="0077643E" w:rsidRPr="009D4760" w:rsidRDefault="0077643E" w:rsidP="00D81B99">
            <w:pPr>
              <w:spacing w:line="240" w:lineRule="auto"/>
              <w:jc w:val="center"/>
              <w:rPr>
                <w:b/>
                <w:i/>
              </w:rPr>
            </w:pPr>
            <w:r w:rsidRPr="009D4760">
              <w:rPr>
                <w:b/>
              </w:rPr>
              <w:lastRenderedPageBreak/>
              <w:t>Table 8</w:t>
            </w:r>
          </w:p>
          <w:p w:rsidR="0077643E" w:rsidRDefault="0077643E" w:rsidP="00D81B99">
            <w:pPr>
              <w:spacing w:line="240" w:lineRule="auto"/>
              <w:jc w:val="center"/>
              <w:rPr>
                <w:b/>
                <w:i/>
              </w:rPr>
            </w:pPr>
            <w:r w:rsidRPr="009D4760">
              <w:rPr>
                <w:b/>
                <w:i/>
              </w:rPr>
              <w:t xml:space="preserve">Regressions of ExVal on Segment Reporting Differentiation </w:t>
            </w:r>
          </w:p>
          <w:p w:rsidR="0077643E" w:rsidRPr="006E605F" w:rsidRDefault="0077643E" w:rsidP="00D81B99">
            <w:pPr>
              <w:spacing w:line="240" w:lineRule="auto"/>
              <w:jc w:val="center"/>
              <w:rPr>
                <w:sz w:val="14"/>
                <w:szCs w:val="14"/>
              </w:rPr>
            </w:pPr>
            <w:r w:rsidRPr="009D4760">
              <w:rPr>
                <w:b/>
                <w:i/>
              </w:rPr>
              <w:t>&amp; Controls Split by Median Industry Concentration</w:t>
            </w:r>
          </w:p>
        </w:tc>
      </w:tr>
      <w:tr w:rsidR="0077643E" w:rsidRPr="006E605F" w:rsidTr="00133888">
        <w:trPr>
          <w:trHeight w:val="300"/>
          <w:jc w:val="center"/>
        </w:trPr>
        <w:tc>
          <w:tcPr>
            <w:tcW w:w="8401" w:type="dxa"/>
            <w:gridSpan w:val="9"/>
            <w:tcBorders>
              <w:top w:val="single" w:sz="12" w:space="0" w:color="auto"/>
              <w:left w:val="nil"/>
              <w:bottom w:val="nil"/>
              <w:right w:val="nil"/>
            </w:tcBorders>
            <w:shd w:val="clear" w:color="auto" w:fill="auto"/>
            <w:vAlign w:val="center"/>
          </w:tcPr>
          <w:p w:rsidR="0077643E" w:rsidRPr="009D4760" w:rsidRDefault="0077643E" w:rsidP="00D81B99">
            <w:pPr>
              <w:spacing w:line="240" w:lineRule="auto"/>
              <w:rPr>
                <w:b/>
                <w:i/>
              </w:rPr>
            </w:pPr>
            <w:r w:rsidRPr="00176303">
              <w:rPr>
                <w:b/>
                <w:bCs/>
                <w:iCs/>
              </w:rPr>
              <w:t>Panel A</w:t>
            </w:r>
            <w:r>
              <w:rPr>
                <w:b/>
                <w:bCs/>
                <w:iCs/>
              </w:rPr>
              <w:t xml:space="preserve">: </w:t>
            </w:r>
            <w:r w:rsidRPr="009D4760">
              <w:rPr>
                <w:b/>
                <w:i/>
              </w:rPr>
              <w:t>ExVal</w:t>
            </w:r>
            <w:r w:rsidRPr="009D4760">
              <w:rPr>
                <w:b/>
                <w:i/>
                <w:vertAlign w:val="subscript"/>
              </w:rPr>
              <w:t>Rev</w:t>
            </w:r>
          </w:p>
        </w:tc>
      </w:tr>
      <w:tr w:rsidR="00133888" w:rsidRPr="006E605F" w:rsidTr="00133888">
        <w:trPr>
          <w:gridAfter w:val="1"/>
          <w:wAfter w:w="11" w:type="dxa"/>
          <w:trHeight w:val="300"/>
          <w:jc w:val="center"/>
        </w:trPr>
        <w:tc>
          <w:tcPr>
            <w:tcW w:w="1267" w:type="dxa"/>
            <w:tcBorders>
              <w:top w:val="nil"/>
              <w:left w:val="nil"/>
              <w:bottom w:val="single" w:sz="4" w:space="0" w:color="000000"/>
              <w:right w:val="nil"/>
            </w:tcBorders>
            <w:shd w:val="clear" w:color="auto" w:fill="auto"/>
            <w:vAlign w:val="center"/>
            <w:hideMark/>
          </w:tcPr>
          <w:p w:rsidR="0077643E" w:rsidRPr="006E605F" w:rsidRDefault="0077643E" w:rsidP="00D81B99">
            <w:pPr>
              <w:spacing w:line="240" w:lineRule="auto"/>
              <w:jc w:val="center"/>
              <w:rPr>
                <w:b/>
                <w:bCs/>
                <w:i/>
                <w:iCs/>
                <w:sz w:val="20"/>
                <w:szCs w:val="20"/>
              </w:rPr>
            </w:pPr>
          </w:p>
        </w:tc>
        <w:tc>
          <w:tcPr>
            <w:tcW w:w="979" w:type="dxa"/>
            <w:tcBorders>
              <w:top w:val="nil"/>
              <w:left w:val="nil"/>
              <w:bottom w:val="single" w:sz="4" w:space="0" w:color="000000"/>
              <w:right w:val="nil"/>
            </w:tcBorders>
            <w:shd w:val="clear" w:color="auto" w:fill="auto"/>
            <w:noWrap/>
            <w:vAlign w:val="center"/>
            <w:hideMark/>
          </w:tcPr>
          <w:p w:rsidR="0077643E" w:rsidRPr="006E605F" w:rsidRDefault="0077643E" w:rsidP="00D81B99">
            <w:pPr>
              <w:spacing w:line="240" w:lineRule="auto"/>
              <w:jc w:val="center"/>
              <w:rPr>
                <w:sz w:val="20"/>
                <w:szCs w:val="20"/>
              </w:rPr>
            </w:pPr>
            <w:r w:rsidRPr="006E605F">
              <w:rPr>
                <w:sz w:val="20"/>
                <w:szCs w:val="20"/>
              </w:rPr>
              <w:t>(1)</w:t>
            </w:r>
          </w:p>
        </w:tc>
        <w:tc>
          <w:tcPr>
            <w:tcW w:w="1069" w:type="dxa"/>
            <w:tcBorders>
              <w:top w:val="nil"/>
              <w:left w:val="nil"/>
              <w:bottom w:val="single" w:sz="4" w:space="0" w:color="000000"/>
              <w:right w:val="nil"/>
            </w:tcBorders>
            <w:shd w:val="clear" w:color="auto" w:fill="auto"/>
            <w:noWrap/>
            <w:vAlign w:val="center"/>
            <w:hideMark/>
          </w:tcPr>
          <w:p w:rsidR="0077643E" w:rsidRPr="006E605F" w:rsidRDefault="0077643E" w:rsidP="00D81B99">
            <w:pPr>
              <w:spacing w:line="240" w:lineRule="auto"/>
              <w:jc w:val="center"/>
              <w:rPr>
                <w:sz w:val="20"/>
                <w:szCs w:val="20"/>
              </w:rPr>
            </w:pPr>
            <w:r w:rsidRPr="006E605F">
              <w:rPr>
                <w:sz w:val="20"/>
                <w:szCs w:val="20"/>
              </w:rPr>
              <w:t>(2)</w:t>
            </w:r>
          </w:p>
        </w:tc>
        <w:tc>
          <w:tcPr>
            <w:tcW w:w="979" w:type="dxa"/>
            <w:tcBorders>
              <w:top w:val="nil"/>
              <w:left w:val="nil"/>
              <w:bottom w:val="single" w:sz="4" w:space="0" w:color="000000"/>
              <w:right w:val="nil"/>
            </w:tcBorders>
            <w:shd w:val="clear" w:color="auto" w:fill="auto"/>
            <w:noWrap/>
            <w:vAlign w:val="center"/>
            <w:hideMark/>
          </w:tcPr>
          <w:p w:rsidR="0077643E" w:rsidRPr="006E605F" w:rsidRDefault="0077643E" w:rsidP="00D81B99">
            <w:pPr>
              <w:spacing w:line="240" w:lineRule="auto"/>
              <w:jc w:val="center"/>
              <w:rPr>
                <w:sz w:val="20"/>
                <w:szCs w:val="20"/>
              </w:rPr>
            </w:pPr>
            <w:r w:rsidRPr="006E605F">
              <w:rPr>
                <w:sz w:val="20"/>
                <w:szCs w:val="20"/>
              </w:rPr>
              <w:t>(3)</w:t>
            </w:r>
          </w:p>
        </w:tc>
        <w:tc>
          <w:tcPr>
            <w:tcW w:w="1069" w:type="dxa"/>
            <w:tcBorders>
              <w:top w:val="nil"/>
              <w:left w:val="nil"/>
              <w:bottom w:val="single" w:sz="4" w:space="0" w:color="000000"/>
              <w:right w:val="nil"/>
            </w:tcBorders>
            <w:shd w:val="clear" w:color="auto" w:fill="auto"/>
            <w:noWrap/>
            <w:vAlign w:val="center"/>
            <w:hideMark/>
          </w:tcPr>
          <w:p w:rsidR="0077643E" w:rsidRPr="006E605F" w:rsidRDefault="0077643E" w:rsidP="00D81B99">
            <w:pPr>
              <w:spacing w:line="240" w:lineRule="auto"/>
              <w:jc w:val="center"/>
              <w:rPr>
                <w:sz w:val="20"/>
                <w:szCs w:val="20"/>
              </w:rPr>
            </w:pPr>
            <w:r w:rsidRPr="006E605F">
              <w:rPr>
                <w:sz w:val="20"/>
                <w:szCs w:val="20"/>
              </w:rPr>
              <w:t>(4)</w:t>
            </w:r>
          </w:p>
        </w:tc>
        <w:tc>
          <w:tcPr>
            <w:tcW w:w="979" w:type="dxa"/>
            <w:tcBorders>
              <w:top w:val="nil"/>
              <w:left w:val="nil"/>
              <w:bottom w:val="single" w:sz="4" w:space="0" w:color="000000"/>
              <w:right w:val="nil"/>
            </w:tcBorders>
            <w:shd w:val="clear" w:color="auto" w:fill="auto"/>
            <w:noWrap/>
            <w:vAlign w:val="center"/>
            <w:hideMark/>
          </w:tcPr>
          <w:p w:rsidR="0077643E" w:rsidRPr="006E605F" w:rsidRDefault="0077643E" w:rsidP="00D81B99">
            <w:pPr>
              <w:spacing w:line="240" w:lineRule="auto"/>
              <w:jc w:val="center"/>
              <w:rPr>
                <w:sz w:val="20"/>
                <w:szCs w:val="20"/>
              </w:rPr>
            </w:pPr>
            <w:r w:rsidRPr="006E605F">
              <w:rPr>
                <w:sz w:val="20"/>
                <w:szCs w:val="20"/>
              </w:rPr>
              <w:t>(5)</w:t>
            </w:r>
          </w:p>
        </w:tc>
        <w:tc>
          <w:tcPr>
            <w:tcW w:w="1069" w:type="dxa"/>
            <w:tcBorders>
              <w:top w:val="nil"/>
              <w:left w:val="nil"/>
              <w:bottom w:val="single" w:sz="4" w:space="0" w:color="000000"/>
              <w:right w:val="nil"/>
            </w:tcBorders>
            <w:shd w:val="clear" w:color="auto" w:fill="auto"/>
            <w:noWrap/>
            <w:vAlign w:val="center"/>
            <w:hideMark/>
          </w:tcPr>
          <w:p w:rsidR="0077643E" w:rsidRPr="006E605F" w:rsidRDefault="0077643E" w:rsidP="00D81B99">
            <w:pPr>
              <w:spacing w:line="240" w:lineRule="auto"/>
              <w:jc w:val="center"/>
              <w:rPr>
                <w:sz w:val="20"/>
                <w:szCs w:val="20"/>
              </w:rPr>
            </w:pPr>
            <w:r w:rsidRPr="006E605F">
              <w:rPr>
                <w:sz w:val="20"/>
                <w:szCs w:val="20"/>
              </w:rPr>
              <w:t>(6)</w:t>
            </w:r>
          </w:p>
        </w:tc>
        <w:tc>
          <w:tcPr>
            <w:tcW w:w="979" w:type="dxa"/>
            <w:tcBorders>
              <w:top w:val="nil"/>
              <w:left w:val="nil"/>
              <w:bottom w:val="single" w:sz="4" w:space="0" w:color="000000"/>
              <w:right w:val="nil"/>
            </w:tcBorders>
            <w:shd w:val="clear" w:color="auto" w:fill="auto"/>
            <w:noWrap/>
            <w:vAlign w:val="center"/>
            <w:hideMark/>
          </w:tcPr>
          <w:p w:rsidR="0077643E" w:rsidRPr="006E605F" w:rsidRDefault="0077643E" w:rsidP="00D81B99">
            <w:pPr>
              <w:spacing w:line="240" w:lineRule="auto"/>
              <w:jc w:val="center"/>
              <w:rPr>
                <w:sz w:val="20"/>
                <w:szCs w:val="20"/>
              </w:rPr>
            </w:pPr>
            <w:r w:rsidRPr="006E605F">
              <w:rPr>
                <w:sz w:val="20"/>
                <w:szCs w:val="20"/>
              </w:rPr>
              <w:t>(7)</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20"/>
                <w:szCs w:val="20"/>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spacing w:line="240" w:lineRule="auto"/>
              <w:rPr>
                <w:sz w:val="20"/>
                <w:szCs w:val="20"/>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spacing w:line="240" w:lineRule="auto"/>
              <w:rPr>
                <w:sz w:val="20"/>
                <w:szCs w:val="20"/>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spacing w:line="240" w:lineRule="auto"/>
              <w:rPr>
                <w:sz w:val="20"/>
                <w:szCs w:val="20"/>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spacing w:line="240" w:lineRule="auto"/>
              <w:rPr>
                <w:sz w:val="20"/>
                <w:szCs w:val="20"/>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spacing w:line="240" w:lineRule="auto"/>
              <w:rPr>
                <w:sz w:val="20"/>
                <w:szCs w:val="20"/>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spacing w:line="240" w:lineRule="auto"/>
              <w:rPr>
                <w:sz w:val="20"/>
                <w:szCs w:val="20"/>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spacing w:line="240" w:lineRule="auto"/>
              <w:rPr>
                <w:sz w:val="20"/>
                <w:szCs w:val="20"/>
              </w:rPr>
            </w:pPr>
          </w:p>
        </w:tc>
      </w:tr>
      <w:tr w:rsidR="00133888" w:rsidRPr="000A19B3" w:rsidTr="00133888">
        <w:trPr>
          <w:gridAfter w:val="1"/>
          <w:wAfter w:w="11" w:type="dxa"/>
          <w:trHeight w:val="36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r w:rsidRPr="000A19B3">
              <w:rPr>
                <w:b/>
                <w:bCs/>
                <w:i/>
                <w:iCs/>
                <w:sz w:val="18"/>
                <w:szCs w:val="18"/>
              </w:rPr>
              <w:t>Q1HHI * FFDIFF</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0.14*</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0.10</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0.13</w:t>
            </w:r>
          </w:p>
        </w:tc>
      </w:tr>
      <w:tr w:rsidR="00133888" w:rsidRPr="000A19B3"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(1.65)</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(1.17)</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(1.48)</w:t>
            </w:r>
          </w:p>
        </w:tc>
      </w:tr>
      <w:tr w:rsidR="00133888" w:rsidRPr="000A19B3" w:rsidTr="00133888">
        <w:trPr>
          <w:gridAfter w:val="1"/>
          <w:wAfter w:w="11" w:type="dxa"/>
          <w:trHeight w:val="36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r w:rsidRPr="000A19B3">
              <w:rPr>
                <w:b/>
                <w:bCs/>
                <w:i/>
                <w:iCs/>
                <w:sz w:val="18"/>
                <w:szCs w:val="18"/>
              </w:rPr>
              <w:t>Q3HHI * FFDIFF</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-0.145**</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-0.12*</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-0.17**</w:t>
            </w:r>
          </w:p>
        </w:tc>
      </w:tr>
      <w:tr w:rsidR="00133888" w:rsidRPr="000A19B3"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(-2.090)</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(-1.69)</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(-2.31)</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FFDIFF</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0.12***</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0.189***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0.17***</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0.16***</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(4.954)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(3.75)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(3.32)</w:t>
            </w:r>
          </w:p>
        </w:tc>
      </w:tr>
      <w:tr w:rsidR="00133888" w:rsidRPr="000A19B3" w:rsidTr="00133888">
        <w:trPr>
          <w:gridAfter w:val="1"/>
          <w:wAfter w:w="11" w:type="dxa"/>
          <w:trHeight w:val="36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r w:rsidRPr="000A19B3">
              <w:rPr>
                <w:b/>
                <w:bCs/>
                <w:i/>
                <w:iCs/>
                <w:sz w:val="18"/>
                <w:szCs w:val="18"/>
              </w:rPr>
              <w:t>Q1HHI * PFDIFF</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-0.096</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-0.020</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-0.13</w:t>
            </w:r>
          </w:p>
        </w:tc>
      </w:tr>
      <w:tr w:rsidR="00133888" w:rsidRPr="000A19B3"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(-0.739)</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(-0.156)</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(-1.02)</w:t>
            </w:r>
          </w:p>
        </w:tc>
      </w:tr>
      <w:tr w:rsidR="00133888" w:rsidRPr="000A19B3" w:rsidTr="00133888">
        <w:trPr>
          <w:gridAfter w:val="1"/>
          <w:wAfter w:w="11" w:type="dxa"/>
          <w:trHeight w:val="36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r w:rsidRPr="000A19B3">
              <w:rPr>
                <w:b/>
                <w:bCs/>
                <w:i/>
                <w:iCs/>
                <w:sz w:val="18"/>
                <w:szCs w:val="18"/>
              </w:rPr>
              <w:t>Q3HHI * PFDIFF</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0.18**</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0.169*</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0.26***</w:t>
            </w:r>
          </w:p>
        </w:tc>
      </w:tr>
      <w:tr w:rsidR="00133888" w:rsidRPr="000A19B3"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0A19B3"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(2.00)</w:t>
            </w:r>
          </w:p>
        </w:tc>
        <w:tc>
          <w:tcPr>
            <w:tcW w:w="106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(1.938)</w:t>
            </w:r>
          </w:p>
        </w:tc>
        <w:tc>
          <w:tcPr>
            <w:tcW w:w="979" w:type="dxa"/>
            <w:tcBorders>
              <w:top w:val="nil"/>
              <w:left w:val="nil"/>
              <w:bottom w:val="nil"/>
              <w:right w:val="nil"/>
            </w:tcBorders>
            <w:shd w:val="clear" w:color="auto" w:fill="auto"/>
            <w:noWrap/>
            <w:vAlign w:val="center"/>
            <w:hideMark/>
          </w:tcPr>
          <w:p w:rsidR="0077643E" w:rsidRPr="000A19B3" w:rsidRDefault="0077643E" w:rsidP="00D81B99">
            <w:pPr>
              <w:tabs>
                <w:tab w:val="decimal" w:pos="267"/>
              </w:tabs>
              <w:spacing w:line="240" w:lineRule="auto"/>
              <w:rPr>
                <w:b/>
                <w:sz w:val="18"/>
                <w:szCs w:val="18"/>
              </w:rPr>
            </w:pPr>
            <w:r w:rsidRPr="000A19B3">
              <w:rPr>
                <w:b/>
                <w:sz w:val="18"/>
                <w:szCs w:val="18"/>
              </w:rPr>
              <w:t>(2.85)</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PFDIFF</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0.214***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0.136*</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(3.008)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(1.88)</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(1.853)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(0.72)</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Q1HHI</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-0.08**</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-0.08**</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-0.026</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-0.07*</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(-2.36)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(-2.25)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(-0.754)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(-1.220)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(-1.77)</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Q3HHI</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0.104***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0.035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(2.957)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(2.91)</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(0.95)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(1.199)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(1.77)</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NumSeg</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-0.039***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(-3.56)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(-3.629)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(-3.62)</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(-3.094)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(-3.08)</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(-3.075)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(-3.66)</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Related</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0.033***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0.032***</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0.04***</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(3.15)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(3.257)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(2.662)</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(2.65)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(2.609)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(3.29)</w:t>
            </w:r>
          </w:p>
        </w:tc>
      </w:tr>
      <w:tr w:rsidR="00133888" w:rsidRPr="006E605F" w:rsidTr="00133888">
        <w:trPr>
          <w:gridAfter w:val="1"/>
          <w:wAfter w:w="11" w:type="dxa"/>
          <w:trHeight w:val="36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NumTNICPrs</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(0.90)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(0.318)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(1.06)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(0.727)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(0.19)</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(0.716)</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(1.03)</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HHI</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0.20***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0.101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0.08</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0.203***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0.09</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0.070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0.08</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(3.40)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(1.530)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(1.25)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(3.483)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(1.085)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(1.31)</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Size</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0.062***</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0.062***</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0.06***</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(7.47)</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(7.394)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(7.50)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(7.228)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(7.19)</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(7.240)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(7.50)</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PM</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0.438***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0.436***</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0.435***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0.44***</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(4.97)</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(4.874)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(4.94)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(4.905)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(4.84)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(4.902)</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(4.85)</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Invest</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0.34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0.273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0.33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0.309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0.25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0.291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0.34</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(1.37)</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(1.105)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(1.259)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(1.03)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(1.185)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(1.36)</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Leverage</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0.17***</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0.160***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0.17***</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0.164***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0.16***</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0.161***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0.16***</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(2.94)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(2.810)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(2.91)</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(2.848)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(2.73)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(2.794)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(2.68)</w:t>
            </w:r>
          </w:p>
        </w:tc>
      </w:tr>
      <w:tr w:rsidR="00133888" w:rsidRPr="006E605F" w:rsidTr="00133888">
        <w:trPr>
          <w:gridAfter w:val="1"/>
          <w:wAfter w:w="11" w:type="dxa"/>
          <w:trHeight w:val="36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SalesGrow</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0.02</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0.018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0.02</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0.018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0.02</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0.018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0.02</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(0.502)</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(0.518)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(0.55)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(0.526)</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(0.49)</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tcPr>
          <w:p w:rsidR="00133888" w:rsidRPr="006E605F" w:rsidRDefault="00133888"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r>
      <w:tr w:rsidR="00133888" w:rsidRPr="006E605F" w:rsidTr="00D81B99">
        <w:trPr>
          <w:gridAfter w:val="1"/>
          <w:wAfter w:w="11" w:type="dxa"/>
          <w:trHeight w:val="300"/>
          <w:jc w:val="center"/>
        </w:trPr>
        <w:tc>
          <w:tcPr>
            <w:tcW w:w="4294" w:type="dxa"/>
            <w:gridSpan w:val="4"/>
            <w:tcBorders>
              <w:top w:val="nil"/>
              <w:left w:val="nil"/>
              <w:bottom w:val="nil"/>
              <w:right w:val="nil"/>
            </w:tcBorders>
            <w:shd w:val="clear" w:color="auto" w:fill="auto"/>
            <w:vAlign w:val="center"/>
          </w:tcPr>
          <w:p w:rsidR="00133888" w:rsidRPr="00133888" w:rsidRDefault="00133888" w:rsidP="00D81B99">
            <w:pPr>
              <w:tabs>
                <w:tab w:val="decimal" w:pos="267"/>
              </w:tabs>
              <w:spacing w:line="240" w:lineRule="auto"/>
              <w:rPr>
                <w:sz w:val="18"/>
                <w:szCs w:val="18"/>
              </w:rPr>
            </w:pPr>
            <w:r>
              <w:rPr>
                <w:sz w:val="18"/>
                <w:szCs w:val="18"/>
              </w:rPr>
              <w:lastRenderedPageBreak/>
              <w:t>Table 8 Panel A (</w:t>
            </w:r>
            <w:r>
              <w:rPr>
                <w:i/>
                <w:sz w:val="18"/>
                <w:szCs w:val="18"/>
              </w:rPr>
              <w:t>Continued</w:t>
            </w:r>
            <w:r>
              <w:rPr>
                <w:sz w:val="18"/>
                <w:szCs w:val="18"/>
              </w:rPr>
              <w:t>)</w:t>
            </w:r>
          </w:p>
        </w:tc>
        <w:tc>
          <w:tcPr>
            <w:tcW w:w="106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c>
          <w:tcPr>
            <w:tcW w:w="979" w:type="dxa"/>
            <w:tcBorders>
              <w:top w:val="nil"/>
              <w:left w:val="nil"/>
              <w:bottom w:val="nil"/>
              <w:right w:val="nil"/>
            </w:tcBorders>
            <w:shd w:val="clear" w:color="auto" w:fill="auto"/>
            <w:noWrap/>
            <w:vAlign w:val="center"/>
          </w:tcPr>
          <w:p w:rsidR="00133888" w:rsidRPr="006E605F" w:rsidRDefault="00133888" w:rsidP="00D81B99">
            <w:pPr>
              <w:tabs>
                <w:tab w:val="decimal" w:pos="267"/>
              </w:tabs>
              <w:spacing w:line="240" w:lineRule="auto"/>
              <w:rPr>
                <w:sz w:val="18"/>
                <w:szCs w:val="18"/>
              </w:rPr>
            </w:pP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StdROE</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w:t>
            </w:r>
          </w:p>
        </w:tc>
      </w:tr>
      <w:tr w:rsidR="00133888" w:rsidRPr="006E605F"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(-0.55)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(-0.509)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(-0.54)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(-0.466)</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(-0.42)</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(-0.450)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(-0.37)</w:t>
            </w:r>
          </w:p>
        </w:tc>
      </w:tr>
      <w:tr w:rsidR="00133888" w:rsidRPr="00BC1F3C"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MAR</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0.140***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0.141***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0.141***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0.14***</w:t>
            </w:r>
          </w:p>
        </w:tc>
      </w:tr>
      <w:tr w:rsidR="00133888" w:rsidRPr="00BC1F3C"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(6.17)</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(6.121)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(6.13)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(6.212)</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(6.20)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(6.191)</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(6.24)</w:t>
            </w:r>
          </w:p>
        </w:tc>
      </w:tr>
      <w:tr w:rsidR="00133888" w:rsidRPr="00BC1F3C"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Corr5yr</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-0.050***</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-0.05***</w:t>
            </w:r>
          </w:p>
        </w:tc>
      </w:tr>
      <w:tr w:rsidR="00133888" w:rsidRPr="00BC1F3C"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(-3.13)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(-3.273)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(-3.20)</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(-3.277)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(-3.29)</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(-3.247)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(-3.18)</w:t>
            </w:r>
          </w:p>
        </w:tc>
      </w:tr>
      <w:tr w:rsidR="00133888" w:rsidRPr="00BC1F3C"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Surprise</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-0.01***</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-0.01***</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-0.01***</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-0.007***</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-0.01***</w:t>
            </w:r>
          </w:p>
        </w:tc>
      </w:tr>
      <w:tr w:rsidR="00133888" w:rsidRPr="00BC1F3C"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(-3.81)</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(-3.875)</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(-3.93)</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(-4.024)</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(-3.99)</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(-4.053)</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(-3.90)</w:t>
            </w:r>
          </w:p>
        </w:tc>
      </w:tr>
      <w:tr w:rsidR="00133888" w:rsidRPr="00BC1F3C" w:rsidTr="00133888">
        <w:trPr>
          <w:gridAfter w:val="1"/>
          <w:wAfter w:w="11" w:type="dxa"/>
          <w:trHeight w:val="300"/>
          <w:jc w:val="center"/>
        </w:trPr>
        <w:tc>
          <w:tcPr>
            <w:tcW w:w="1267" w:type="dxa"/>
            <w:tcBorders>
              <w:top w:val="nil"/>
              <w:left w:val="nil"/>
              <w:bottom w:val="nil"/>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Constant</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-0.84***</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-0.838***</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-0.85***</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-0.839***</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-0.81***</w:t>
            </w:r>
          </w:p>
        </w:tc>
        <w:tc>
          <w:tcPr>
            <w:tcW w:w="106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-0.816***</w:t>
            </w:r>
          </w:p>
        </w:tc>
        <w:tc>
          <w:tcPr>
            <w:tcW w:w="979" w:type="dxa"/>
            <w:tcBorders>
              <w:top w:val="nil"/>
              <w:left w:val="nil"/>
              <w:bottom w:val="nil"/>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-0.85***</w:t>
            </w:r>
          </w:p>
        </w:tc>
      </w:tr>
      <w:tr w:rsidR="00133888" w:rsidRPr="00BC1F3C" w:rsidTr="00133888">
        <w:trPr>
          <w:gridAfter w:val="1"/>
          <w:wAfter w:w="11" w:type="dxa"/>
          <w:trHeight w:val="300"/>
          <w:jc w:val="center"/>
        </w:trPr>
        <w:tc>
          <w:tcPr>
            <w:tcW w:w="1267" w:type="dxa"/>
            <w:tcBorders>
              <w:top w:val="nil"/>
              <w:left w:val="nil"/>
              <w:bottom w:val="single" w:sz="4" w:space="0" w:color="auto"/>
              <w:right w:val="nil"/>
            </w:tcBorders>
            <w:shd w:val="clear" w:color="auto" w:fill="auto"/>
            <w:vAlign w:val="center"/>
            <w:hideMark/>
          </w:tcPr>
          <w:p w:rsidR="0077643E" w:rsidRPr="006E605F" w:rsidRDefault="0077643E" w:rsidP="00D81B99">
            <w:pPr>
              <w:spacing w:line="240" w:lineRule="auto"/>
              <w:rPr>
                <w:b/>
                <w:bCs/>
                <w:i/>
                <w:iCs/>
                <w:sz w:val="18"/>
                <w:szCs w:val="18"/>
              </w:rPr>
            </w:pPr>
            <w:r w:rsidRPr="006E605F">
              <w:rPr>
                <w:b/>
                <w:bCs/>
                <w:i/>
                <w:iCs/>
                <w:sz w:val="18"/>
                <w:szCs w:val="18"/>
              </w:rPr>
              <w:t> </w:t>
            </w:r>
          </w:p>
        </w:tc>
        <w:tc>
          <w:tcPr>
            <w:tcW w:w="979" w:type="dxa"/>
            <w:tcBorders>
              <w:top w:val="nil"/>
              <w:left w:val="nil"/>
              <w:bottom w:val="single" w:sz="4" w:space="0" w:color="auto"/>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(-13.22)</w:t>
            </w:r>
          </w:p>
        </w:tc>
        <w:tc>
          <w:tcPr>
            <w:tcW w:w="1069" w:type="dxa"/>
            <w:tcBorders>
              <w:top w:val="nil"/>
              <w:left w:val="nil"/>
              <w:bottom w:val="single" w:sz="4" w:space="0" w:color="auto"/>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(-13.071)</w:t>
            </w:r>
          </w:p>
        </w:tc>
        <w:tc>
          <w:tcPr>
            <w:tcW w:w="979" w:type="dxa"/>
            <w:tcBorders>
              <w:top w:val="nil"/>
              <w:left w:val="nil"/>
              <w:bottom w:val="single" w:sz="4" w:space="0" w:color="auto"/>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(-12.98)</w:t>
            </w:r>
          </w:p>
        </w:tc>
        <w:tc>
          <w:tcPr>
            <w:tcW w:w="1069" w:type="dxa"/>
            <w:tcBorders>
              <w:top w:val="nil"/>
              <w:left w:val="nil"/>
              <w:bottom w:val="single" w:sz="4" w:space="0" w:color="auto"/>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(-13.153)</w:t>
            </w:r>
          </w:p>
        </w:tc>
        <w:tc>
          <w:tcPr>
            <w:tcW w:w="979" w:type="dxa"/>
            <w:tcBorders>
              <w:top w:val="nil"/>
              <w:left w:val="nil"/>
              <w:bottom w:val="single" w:sz="4" w:space="0" w:color="auto"/>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(-12.50)</w:t>
            </w:r>
          </w:p>
        </w:tc>
        <w:tc>
          <w:tcPr>
            <w:tcW w:w="1069" w:type="dxa"/>
            <w:tcBorders>
              <w:top w:val="nil"/>
              <w:left w:val="nil"/>
              <w:bottom w:val="single" w:sz="4" w:space="0" w:color="auto"/>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(-12.440)</w:t>
            </w:r>
          </w:p>
        </w:tc>
        <w:tc>
          <w:tcPr>
            <w:tcW w:w="979" w:type="dxa"/>
            <w:tcBorders>
              <w:top w:val="nil"/>
              <w:left w:val="nil"/>
              <w:bottom w:val="single" w:sz="4" w:space="0" w:color="auto"/>
              <w:right w:val="nil"/>
            </w:tcBorders>
            <w:shd w:val="clear" w:color="auto" w:fill="auto"/>
            <w:noWrap/>
            <w:vAlign w:val="center"/>
            <w:hideMark/>
          </w:tcPr>
          <w:p w:rsidR="0077643E" w:rsidRPr="006E605F" w:rsidRDefault="0077643E" w:rsidP="00D81B99">
            <w:pPr>
              <w:tabs>
                <w:tab w:val="decimal" w:pos="267"/>
              </w:tabs>
              <w:spacing w:line="240" w:lineRule="auto"/>
              <w:rPr>
                <w:sz w:val="18"/>
                <w:szCs w:val="18"/>
              </w:rPr>
            </w:pPr>
            <w:r w:rsidRPr="006E605F">
              <w:rPr>
                <w:sz w:val="18"/>
                <w:szCs w:val="18"/>
              </w:rPr>
              <w:t>(-12.87)</w:t>
            </w:r>
          </w:p>
        </w:tc>
      </w:tr>
      <w:tr w:rsidR="00133888" w:rsidRPr="00BC1F3C" w:rsidTr="00133888">
        <w:trPr>
          <w:gridAfter w:val="1"/>
          <w:wAfter w:w="11" w:type="dxa"/>
          <w:trHeight w:val="300"/>
          <w:jc w:val="center"/>
        </w:trPr>
        <w:tc>
          <w:tcPr>
            <w:tcW w:w="1267" w:type="dxa"/>
            <w:tcBorders>
              <w:top w:val="single" w:sz="4" w:space="0" w:color="auto"/>
              <w:left w:val="nil"/>
              <w:right w:val="nil"/>
            </w:tcBorders>
            <w:shd w:val="clear" w:color="auto" w:fill="auto"/>
            <w:vAlign w:val="center"/>
            <w:hideMark/>
          </w:tcPr>
          <w:p w:rsidR="0077643E" w:rsidRPr="006E605F" w:rsidRDefault="0077643E" w:rsidP="00D81B99">
            <w:pPr>
              <w:spacing w:line="240" w:lineRule="auto"/>
              <w:rPr>
                <w:b/>
                <w:bCs/>
                <w:i/>
                <w:iCs/>
                <w:sz w:val="18"/>
                <w:szCs w:val="18"/>
              </w:rPr>
            </w:pPr>
            <w:r>
              <w:rPr>
                <w:b/>
                <w:bCs/>
                <w:i/>
                <w:iCs/>
                <w:sz w:val="18"/>
                <w:szCs w:val="18"/>
              </w:rPr>
              <w:t>No. Obs.</w:t>
            </w:r>
          </w:p>
        </w:tc>
        <w:tc>
          <w:tcPr>
            <w:tcW w:w="979" w:type="dxa"/>
            <w:tcBorders>
              <w:top w:val="single" w:sz="4" w:space="0" w:color="auto"/>
              <w:left w:val="nil"/>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6E605F">
              <w:rPr>
                <w:sz w:val="18"/>
                <w:szCs w:val="18"/>
              </w:rPr>
              <w:t>11,491</w:t>
            </w:r>
          </w:p>
        </w:tc>
        <w:tc>
          <w:tcPr>
            <w:tcW w:w="1069" w:type="dxa"/>
            <w:tcBorders>
              <w:top w:val="single" w:sz="4" w:space="0" w:color="auto"/>
              <w:left w:val="nil"/>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6E605F">
              <w:rPr>
                <w:sz w:val="18"/>
                <w:szCs w:val="18"/>
              </w:rPr>
              <w:t>11,491</w:t>
            </w:r>
          </w:p>
        </w:tc>
        <w:tc>
          <w:tcPr>
            <w:tcW w:w="979" w:type="dxa"/>
            <w:tcBorders>
              <w:top w:val="single" w:sz="4" w:space="0" w:color="auto"/>
              <w:left w:val="nil"/>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6E605F">
              <w:rPr>
                <w:sz w:val="18"/>
                <w:szCs w:val="18"/>
              </w:rPr>
              <w:t>11,491</w:t>
            </w:r>
          </w:p>
        </w:tc>
        <w:tc>
          <w:tcPr>
            <w:tcW w:w="1069" w:type="dxa"/>
            <w:tcBorders>
              <w:top w:val="single" w:sz="4" w:space="0" w:color="auto"/>
              <w:left w:val="nil"/>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6E605F">
              <w:rPr>
                <w:sz w:val="18"/>
                <w:szCs w:val="18"/>
              </w:rPr>
              <w:t>11,491</w:t>
            </w:r>
          </w:p>
        </w:tc>
        <w:tc>
          <w:tcPr>
            <w:tcW w:w="979" w:type="dxa"/>
            <w:tcBorders>
              <w:top w:val="single" w:sz="4" w:space="0" w:color="auto"/>
              <w:left w:val="nil"/>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6E605F">
              <w:rPr>
                <w:sz w:val="18"/>
                <w:szCs w:val="18"/>
              </w:rPr>
              <w:t>11,491</w:t>
            </w:r>
          </w:p>
        </w:tc>
        <w:tc>
          <w:tcPr>
            <w:tcW w:w="1069" w:type="dxa"/>
            <w:tcBorders>
              <w:top w:val="single" w:sz="4" w:space="0" w:color="auto"/>
              <w:left w:val="nil"/>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6E605F">
              <w:rPr>
                <w:sz w:val="18"/>
                <w:szCs w:val="18"/>
              </w:rPr>
              <w:t>11,491</w:t>
            </w:r>
          </w:p>
        </w:tc>
        <w:tc>
          <w:tcPr>
            <w:tcW w:w="979" w:type="dxa"/>
            <w:tcBorders>
              <w:top w:val="single" w:sz="4" w:space="0" w:color="auto"/>
              <w:left w:val="nil"/>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6E605F">
              <w:rPr>
                <w:sz w:val="18"/>
                <w:szCs w:val="18"/>
              </w:rPr>
              <w:t>11,491</w:t>
            </w:r>
          </w:p>
        </w:tc>
      </w:tr>
      <w:tr w:rsidR="00133888" w:rsidRPr="00BC1F3C" w:rsidTr="00133888">
        <w:trPr>
          <w:gridAfter w:val="1"/>
          <w:wAfter w:w="11" w:type="dxa"/>
          <w:trHeight w:val="300"/>
          <w:jc w:val="center"/>
        </w:trPr>
        <w:tc>
          <w:tcPr>
            <w:tcW w:w="1267" w:type="dxa"/>
            <w:tcBorders>
              <w:top w:val="nil"/>
              <w:left w:val="nil"/>
              <w:bottom w:val="double" w:sz="4" w:space="0" w:color="auto"/>
              <w:right w:val="nil"/>
            </w:tcBorders>
            <w:shd w:val="clear" w:color="auto" w:fill="auto"/>
            <w:vAlign w:val="center"/>
            <w:hideMark/>
          </w:tcPr>
          <w:p w:rsidR="0077643E" w:rsidRPr="0077643E" w:rsidRDefault="0077643E" w:rsidP="0077643E">
            <w:pPr>
              <w:spacing w:line="240" w:lineRule="auto"/>
              <w:rPr>
                <w:b/>
                <w:bCs/>
                <w:i/>
                <w:iCs/>
                <w:sz w:val="18"/>
                <w:szCs w:val="18"/>
                <w:vertAlign w:val="superscript"/>
              </w:rPr>
            </w:pPr>
            <w:r w:rsidRPr="00BC1F3C">
              <w:rPr>
                <w:b/>
                <w:bCs/>
                <w:i/>
                <w:iCs/>
                <w:sz w:val="18"/>
                <w:szCs w:val="18"/>
              </w:rPr>
              <w:t>Adj. R</w:t>
            </w:r>
            <w:r>
              <w:rPr>
                <w:b/>
                <w:bCs/>
                <w:i/>
                <w:iCs/>
                <w:sz w:val="18"/>
                <w:szCs w:val="18"/>
                <w:vertAlign w:val="superscript"/>
              </w:rPr>
              <w:t>2</w:t>
            </w:r>
          </w:p>
        </w:tc>
        <w:tc>
          <w:tcPr>
            <w:tcW w:w="979" w:type="dxa"/>
            <w:tcBorders>
              <w:top w:val="nil"/>
              <w:left w:val="nil"/>
              <w:bottom w:val="double" w:sz="4" w:space="0" w:color="auto"/>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BC1F3C">
              <w:rPr>
                <w:sz w:val="18"/>
                <w:szCs w:val="18"/>
              </w:rPr>
              <w:t>6.88%</w:t>
            </w:r>
          </w:p>
        </w:tc>
        <w:tc>
          <w:tcPr>
            <w:tcW w:w="1069" w:type="dxa"/>
            <w:tcBorders>
              <w:top w:val="nil"/>
              <w:left w:val="nil"/>
              <w:bottom w:val="double" w:sz="4" w:space="0" w:color="auto"/>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BC1F3C">
              <w:rPr>
                <w:sz w:val="18"/>
                <w:szCs w:val="18"/>
              </w:rPr>
              <w:t>6.93%</w:t>
            </w:r>
          </w:p>
        </w:tc>
        <w:tc>
          <w:tcPr>
            <w:tcW w:w="979" w:type="dxa"/>
            <w:tcBorders>
              <w:top w:val="nil"/>
              <w:left w:val="nil"/>
              <w:bottom w:val="double" w:sz="4" w:space="0" w:color="auto"/>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BC1F3C">
              <w:rPr>
                <w:sz w:val="18"/>
                <w:szCs w:val="18"/>
              </w:rPr>
              <w:t>7.01%</w:t>
            </w:r>
          </w:p>
        </w:tc>
        <w:tc>
          <w:tcPr>
            <w:tcW w:w="1069" w:type="dxa"/>
            <w:tcBorders>
              <w:top w:val="nil"/>
              <w:left w:val="nil"/>
              <w:bottom w:val="double" w:sz="4" w:space="0" w:color="auto"/>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BC1F3C">
              <w:rPr>
                <w:sz w:val="18"/>
                <w:szCs w:val="18"/>
              </w:rPr>
              <w:t>6.70%</w:t>
            </w:r>
          </w:p>
        </w:tc>
        <w:tc>
          <w:tcPr>
            <w:tcW w:w="979" w:type="dxa"/>
            <w:tcBorders>
              <w:top w:val="nil"/>
              <w:left w:val="nil"/>
              <w:bottom w:val="double" w:sz="4" w:space="0" w:color="auto"/>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BC1F3C">
              <w:rPr>
                <w:sz w:val="18"/>
                <w:szCs w:val="18"/>
              </w:rPr>
              <w:t>6.79%</w:t>
            </w:r>
          </w:p>
        </w:tc>
        <w:tc>
          <w:tcPr>
            <w:tcW w:w="1069" w:type="dxa"/>
            <w:tcBorders>
              <w:top w:val="nil"/>
              <w:left w:val="nil"/>
              <w:bottom w:val="double" w:sz="4" w:space="0" w:color="auto"/>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BC1F3C">
              <w:rPr>
                <w:sz w:val="18"/>
                <w:szCs w:val="18"/>
              </w:rPr>
              <w:t>6.82%</w:t>
            </w:r>
          </w:p>
        </w:tc>
        <w:tc>
          <w:tcPr>
            <w:tcW w:w="979" w:type="dxa"/>
            <w:tcBorders>
              <w:top w:val="nil"/>
              <w:left w:val="nil"/>
              <w:bottom w:val="double" w:sz="4" w:space="0" w:color="auto"/>
              <w:right w:val="nil"/>
            </w:tcBorders>
            <w:shd w:val="clear" w:color="auto" w:fill="auto"/>
            <w:noWrap/>
            <w:vAlign w:val="center"/>
            <w:hideMark/>
          </w:tcPr>
          <w:p w:rsidR="0077643E" w:rsidRPr="006E605F" w:rsidRDefault="0077643E" w:rsidP="00D81B99">
            <w:pPr>
              <w:spacing w:line="240" w:lineRule="auto"/>
              <w:jc w:val="center"/>
              <w:rPr>
                <w:sz w:val="18"/>
                <w:szCs w:val="18"/>
              </w:rPr>
            </w:pPr>
            <w:r w:rsidRPr="00BC1F3C">
              <w:rPr>
                <w:sz w:val="18"/>
                <w:szCs w:val="18"/>
              </w:rPr>
              <w:t>7.27%</w:t>
            </w:r>
          </w:p>
        </w:tc>
      </w:tr>
    </w:tbl>
    <w:p w:rsidR="00107C97" w:rsidRDefault="00107C97" w:rsidP="00AA0B13"/>
    <w:p w:rsidR="00107C97" w:rsidRDefault="00107C97">
      <w:pPr>
        <w:spacing w:line="240" w:lineRule="auto"/>
      </w:pPr>
      <w:r>
        <w:br w:type="page"/>
      </w:r>
    </w:p>
    <w:tbl>
      <w:tblPr>
        <w:tblW w:w="8496" w:type="dxa"/>
        <w:jc w:val="center"/>
        <w:tblInd w:w="216" w:type="dxa"/>
        <w:tblLook w:val="04A0" w:firstRow="1" w:lastRow="0" w:firstColumn="1" w:lastColumn="0" w:noHBand="0" w:noVBand="1"/>
      </w:tblPr>
      <w:tblGrid>
        <w:gridCol w:w="1267"/>
        <w:gridCol w:w="1068"/>
        <w:gridCol w:w="985"/>
        <w:gridCol w:w="1068"/>
        <w:gridCol w:w="986"/>
        <w:gridCol w:w="1068"/>
        <w:gridCol w:w="986"/>
        <w:gridCol w:w="1068"/>
      </w:tblGrid>
      <w:tr w:rsidR="00107C97" w:rsidRPr="006E605F" w:rsidTr="00ED2926">
        <w:trPr>
          <w:trHeight w:val="315"/>
          <w:jc w:val="center"/>
        </w:trPr>
        <w:tc>
          <w:tcPr>
            <w:tcW w:w="8496" w:type="dxa"/>
            <w:gridSpan w:val="8"/>
            <w:tcBorders>
              <w:top w:val="double" w:sz="4" w:space="0" w:color="auto"/>
              <w:left w:val="nil"/>
              <w:bottom w:val="single" w:sz="8" w:space="0" w:color="000000"/>
              <w:right w:val="nil"/>
            </w:tcBorders>
            <w:shd w:val="clear" w:color="auto" w:fill="auto"/>
            <w:vAlign w:val="center"/>
            <w:hideMark/>
          </w:tcPr>
          <w:p w:rsidR="00107C97" w:rsidRPr="00E07635" w:rsidRDefault="00107C97" w:rsidP="00D81B99">
            <w:pPr>
              <w:spacing w:line="240" w:lineRule="auto"/>
              <w:jc w:val="center"/>
              <w:rPr>
                <w:b/>
              </w:rPr>
            </w:pPr>
            <w:r w:rsidRPr="009D4760">
              <w:rPr>
                <w:b/>
              </w:rPr>
              <w:lastRenderedPageBreak/>
              <w:t>Table 8</w:t>
            </w:r>
            <w:r w:rsidR="00E07635">
              <w:rPr>
                <w:b/>
              </w:rPr>
              <w:t xml:space="preserve"> (</w:t>
            </w:r>
            <w:r w:rsidR="00E07635">
              <w:rPr>
                <w:b/>
                <w:i/>
              </w:rPr>
              <w:t>Continued</w:t>
            </w:r>
            <w:r w:rsidR="00E07635">
              <w:rPr>
                <w:b/>
              </w:rPr>
              <w:t>)</w:t>
            </w:r>
          </w:p>
          <w:p w:rsidR="00107C97" w:rsidRDefault="00107C97" w:rsidP="00D81B99">
            <w:pPr>
              <w:spacing w:line="240" w:lineRule="auto"/>
              <w:jc w:val="center"/>
              <w:rPr>
                <w:b/>
                <w:i/>
              </w:rPr>
            </w:pPr>
            <w:r w:rsidRPr="009D4760">
              <w:rPr>
                <w:b/>
                <w:i/>
              </w:rPr>
              <w:t xml:space="preserve">Regressions of ExVal on Segment Reporting Differentiation </w:t>
            </w:r>
          </w:p>
          <w:p w:rsidR="00107C97" w:rsidRPr="006E605F" w:rsidRDefault="00107C97" w:rsidP="00D81B99">
            <w:pPr>
              <w:spacing w:line="240" w:lineRule="auto"/>
              <w:jc w:val="center"/>
              <w:rPr>
                <w:sz w:val="14"/>
                <w:szCs w:val="14"/>
              </w:rPr>
            </w:pPr>
            <w:r w:rsidRPr="009D4760">
              <w:rPr>
                <w:b/>
                <w:i/>
              </w:rPr>
              <w:t>&amp; Controls Split by Median Industry Concentration</w:t>
            </w:r>
          </w:p>
        </w:tc>
      </w:tr>
      <w:tr w:rsidR="00107C97" w:rsidRPr="006E605F" w:rsidTr="00ED2926">
        <w:trPr>
          <w:trHeight w:val="300"/>
          <w:jc w:val="center"/>
        </w:trPr>
        <w:tc>
          <w:tcPr>
            <w:tcW w:w="8496" w:type="dxa"/>
            <w:gridSpan w:val="8"/>
            <w:tcBorders>
              <w:top w:val="single" w:sz="12" w:space="0" w:color="auto"/>
              <w:left w:val="nil"/>
              <w:bottom w:val="nil"/>
              <w:right w:val="nil"/>
            </w:tcBorders>
            <w:shd w:val="clear" w:color="auto" w:fill="auto"/>
            <w:vAlign w:val="center"/>
          </w:tcPr>
          <w:p w:rsidR="00107C97" w:rsidRPr="00107C97" w:rsidRDefault="00107C97" w:rsidP="00D81B99">
            <w:pPr>
              <w:spacing w:line="240" w:lineRule="auto"/>
              <w:rPr>
                <w:b/>
                <w:bCs/>
                <w:iCs/>
              </w:rPr>
            </w:pPr>
            <w:r>
              <w:rPr>
                <w:b/>
                <w:bCs/>
                <w:iCs/>
              </w:rPr>
              <w:t xml:space="preserve">Panel B: </w:t>
            </w:r>
            <w:r w:rsidRPr="009D4760">
              <w:rPr>
                <w:b/>
                <w:i/>
              </w:rPr>
              <w:t>ExVal</w:t>
            </w:r>
            <w:r>
              <w:rPr>
                <w:b/>
                <w:i/>
                <w:vertAlign w:val="subscript"/>
              </w:rPr>
              <w:t>AT</w:t>
            </w:r>
          </w:p>
        </w:tc>
      </w:tr>
      <w:tr w:rsidR="00ED2926" w:rsidRPr="006E605F" w:rsidTr="00ED2926">
        <w:trPr>
          <w:trHeight w:val="300"/>
          <w:jc w:val="center"/>
        </w:trPr>
        <w:tc>
          <w:tcPr>
            <w:tcW w:w="1266" w:type="dxa"/>
            <w:tcBorders>
              <w:top w:val="nil"/>
              <w:left w:val="nil"/>
              <w:bottom w:val="single" w:sz="4" w:space="0" w:color="000000"/>
              <w:right w:val="nil"/>
            </w:tcBorders>
            <w:shd w:val="clear" w:color="auto" w:fill="auto"/>
            <w:vAlign w:val="center"/>
            <w:hideMark/>
          </w:tcPr>
          <w:p w:rsidR="00107C97" w:rsidRPr="006E605F" w:rsidRDefault="00107C97" w:rsidP="00D81B99">
            <w:pPr>
              <w:spacing w:line="240" w:lineRule="auto"/>
              <w:jc w:val="center"/>
              <w:rPr>
                <w:b/>
                <w:bCs/>
                <w:i/>
                <w:iCs/>
                <w:sz w:val="20"/>
                <w:szCs w:val="20"/>
              </w:rPr>
            </w:pPr>
          </w:p>
        </w:tc>
        <w:tc>
          <w:tcPr>
            <w:tcW w:w="1068" w:type="dxa"/>
            <w:tcBorders>
              <w:top w:val="nil"/>
              <w:left w:val="nil"/>
              <w:bottom w:val="single" w:sz="4" w:space="0" w:color="000000"/>
              <w:right w:val="nil"/>
            </w:tcBorders>
            <w:shd w:val="clear" w:color="auto" w:fill="auto"/>
            <w:noWrap/>
            <w:vAlign w:val="center"/>
            <w:hideMark/>
          </w:tcPr>
          <w:p w:rsidR="00107C97" w:rsidRPr="006E605F" w:rsidRDefault="00D11A1F" w:rsidP="00D81B99">
            <w:pPr>
              <w:spacing w:line="240" w:lineRule="auto"/>
              <w:jc w:val="center"/>
              <w:rPr>
                <w:sz w:val="20"/>
                <w:szCs w:val="20"/>
              </w:rPr>
            </w:pPr>
            <w:r>
              <w:rPr>
                <w:sz w:val="20"/>
                <w:szCs w:val="20"/>
              </w:rPr>
              <w:t>(8</w:t>
            </w:r>
            <w:r w:rsidR="00107C97" w:rsidRPr="006E605F">
              <w:rPr>
                <w:sz w:val="20"/>
                <w:szCs w:val="20"/>
              </w:rPr>
              <w:t>)</w:t>
            </w:r>
          </w:p>
        </w:tc>
        <w:tc>
          <w:tcPr>
            <w:tcW w:w="985" w:type="dxa"/>
            <w:tcBorders>
              <w:top w:val="nil"/>
              <w:left w:val="nil"/>
              <w:bottom w:val="single" w:sz="4" w:space="0" w:color="000000"/>
              <w:right w:val="nil"/>
            </w:tcBorders>
            <w:shd w:val="clear" w:color="auto" w:fill="auto"/>
            <w:noWrap/>
            <w:vAlign w:val="center"/>
            <w:hideMark/>
          </w:tcPr>
          <w:p w:rsidR="00107C97" w:rsidRPr="006E605F" w:rsidRDefault="00D11A1F" w:rsidP="00D81B99">
            <w:pPr>
              <w:spacing w:line="240" w:lineRule="auto"/>
              <w:jc w:val="center"/>
              <w:rPr>
                <w:sz w:val="20"/>
                <w:szCs w:val="20"/>
              </w:rPr>
            </w:pPr>
            <w:r>
              <w:rPr>
                <w:sz w:val="20"/>
                <w:szCs w:val="20"/>
              </w:rPr>
              <w:t>(9</w:t>
            </w:r>
            <w:r w:rsidR="00107C97" w:rsidRPr="006E605F">
              <w:rPr>
                <w:sz w:val="20"/>
                <w:szCs w:val="20"/>
              </w:rPr>
              <w:t>)</w:t>
            </w:r>
          </w:p>
        </w:tc>
        <w:tc>
          <w:tcPr>
            <w:tcW w:w="1069" w:type="dxa"/>
            <w:tcBorders>
              <w:top w:val="nil"/>
              <w:left w:val="nil"/>
              <w:bottom w:val="single" w:sz="4" w:space="0" w:color="000000"/>
              <w:right w:val="nil"/>
            </w:tcBorders>
            <w:shd w:val="clear" w:color="auto" w:fill="auto"/>
            <w:noWrap/>
            <w:vAlign w:val="center"/>
            <w:hideMark/>
          </w:tcPr>
          <w:p w:rsidR="00107C97" w:rsidRPr="006E605F" w:rsidRDefault="00D11A1F" w:rsidP="00D81B99">
            <w:pPr>
              <w:spacing w:line="240" w:lineRule="auto"/>
              <w:jc w:val="center"/>
              <w:rPr>
                <w:sz w:val="20"/>
                <w:szCs w:val="20"/>
              </w:rPr>
            </w:pPr>
            <w:r>
              <w:rPr>
                <w:sz w:val="20"/>
                <w:szCs w:val="20"/>
              </w:rPr>
              <w:t>(10</w:t>
            </w:r>
            <w:r w:rsidR="00107C97" w:rsidRPr="006E605F">
              <w:rPr>
                <w:sz w:val="20"/>
                <w:szCs w:val="20"/>
              </w:rPr>
              <w:t>)</w:t>
            </w:r>
          </w:p>
        </w:tc>
        <w:tc>
          <w:tcPr>
            <w:tcW w:w="985" w:type="dxa"/>
            <w:tcBorders>
              <w:top w:val="nil"/>
              <w:left w:val="nil"/>
              <w:bottom w:val="single" w:sz="4" w:space="0" w:color="000000"/>
              <w:right w:val="nil"/>
            </w:tcBorders>
            <w:shd w:val="clear" w:color="auto" w:fill="auto"/>
            <w:noWrap/>
            <w:vAlign w:val="center"/>
            <w:hideMark/>
          </w:tcPr>
          <w:p w:rsidR="00107C97" w:rsidRPr="006E605F" w:rsidRDefault="00D11A1F" w:rsidP="00D81B99">
            <w:pPr>
              <w:spacing w:line="240" w:lineRule="auto"/>
              <w:jc w:val="center"/>
              <w:rPr>
                <w:sz w:val="20"/>
                <w:szCs w:val="20"/>
              </w:rPr>
            </w:pPr>
            <w:r>
              <w:rPr>
                <w:sz w:val="20"/>
                <w:szCs w:val="20"/>
              </w:rPr>
              <w:t>(11</w:t>
            </w:r>
            <w:r w:rsidR="00107C97" w:rsidRPr="006E605F">
              <w:rPr>
                <w:sz w:val="20"/>
                <w:szCs w:val="20"/>
              </w:rPr>
              <w:t>)</w:t>
            </w:r>
          </w:p>
        </w:tc>
        <w:tc>
          <w:tcPr>
            <w:tcW w:w="1069" w:type="dxa"/>
            <w:tcBorders>
              <w:top w:val="nil"/>
              <w:left w:val="nil"/>
              <w:bottom w:val="single" w:sz="4" w:space="0" w:color="000000"/>
              <w:right w:val="nil"/>
            </w:tcBorders>
            <w:shd w:val="clear" w:color="auto" w:fill="auto"/>
            <w:noWrap/>
            <w:vAlign w:val="center"/>
            <w:hideMark/>
          </w:tcPr>
          <w:p w:rsidR="00107C97" w:rsidRPr="006E605F" w:rsidRDefault="00D11A1F" w:rsidP="00D81B99">
            <w:pPr>
              <w:spacing w:line="240" w:lineRule="auto"/>
              <w:jc w:val="center"/>
              <w:rPr>
                <w:sz w:val="20"/>
                <w:szCs w:val="20"/>
              </w:rPr>
            </w:pPr>
            <w:r>
              <w:rPr>
                <w:sz w:val="20"/>
                <w:szCs w:val="20"/>
              </w:rPr>
              <w:t>(12</w:t>
            </w:r>
            <w:r w:rsidR="00107C97" w:rsidRPr="006E605F">
              <w:rPr>
                <w:sz w:val="20"/>
                <w:szCs w:val="20"/>
              </w:rPr>
              <w:t>)</w:t>
            </w:r>
          </w:p>
        </w:tc>
        <w:tc>
          <w:tcPr>
            <w:tcW w:w="985" w:type="dxa"/>
            <w:tcBorders>
              <w:top w:val="nil"/>
              <w:left w:val="nil"/>
              <w:bottom w:val="single" w:sz="4" w:space="0" w:color="000000"/>
              <w:right w:val="nil"/>
            </w:tcBorders>
            <w:shd w:val="clear" w:color="auto" w:fill="auto"/>
            <w:noWrap/>
            <w:vAlign w:val="center"/>
            <w:hideMark/>
          </w:tcPr>
          <w:p w:rsidR="00107C97" w:rsidRPr="006E605F" w:rsidRDefault="00D11A1F" w:rsidP="00D81B99">
            <w:pPr>
              <w:spacing w:line="240" w:lineRule="auto"/>
              <w:jc w:val="center"/>
              <w:rPr>
                <w:sz w:val="20"/>
                <w:szCs w:val="20"/>
              </w:rPr>
            </w:pPr>
            <w:r>
              <w:rPr>
                <w:sz w:val="20"/>
                <w:szCs w:val="20"/>
              </w:rPr>
              <w:t>(13</w:t>
            </w:r>
            <w:r w:rsidR="00107C97" w:rsidRPr="006E605F">
              <w:rPr>
                <w:sz w:val="20"/>
                <w:szCs w:val="20"/>
              </w:rPr>
              <w:t>)</w:t>
            </w:r>
          </w:p>
        </w:tc>
        <w:tc>
          <w:tcPr>
            <w:tcW w:w="1069" w:type="dxa"/>
            <w:tcBorders>
              <w:top w:val="nil"/>
              <w:left w:val="nil"/>
              <w:bottom w:val="single" w:sz="4" w:space="0" w:color="000000"/>
              <w:right w:val="nil"/>
            </w:tcBorders>
            <w:shd w:val="clear" w:color="auto" w:fill="auto"/>
            <w:noWrap/>
            <w:vAlign w:val="center"/>
            <w:hideMark/>
          </w:tcPr>
          <w:p w:rsidR="00107C97" w:rsidRPr="006E605F" w:rsidRDefault="00D11A1F" w:rsidP="00D81B99">
            <w:pPr>
              <w:spacing w:line="240" w:lineRule="auto"/>
              <w:jc w:val="center"/>
              <w:rPr>
                <w:sz w:val="20"/>
                <w:szCs w:val="20"/>
              </w:rPr>
            </w:pPr>
            <w:r>
              <w:rPr>
                <w:sz w:val="20"/>
                <w:szCs w:val="20"/>
              </w:rPr>
              <w:t>(14</w:t>
            </w:r>
            <w:r w:rsidR="00107C97" w:rsidRPr="006E605F">
              <w:rPr>
                <w:sz w:val="20"/>
                <w:szCs w:val="20"/>
              </w:rPr>
              <w:t>)</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20"/>
                <w:szCs w:val="20"/>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spacing w:line="240" w:lineRule="auto"/>
              <w:rPr>
                <w:sz w:val="20"/>
                <w:szCs w:val="20"/>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spacing w:line="240" w:lineRule="auto"/>
              <w:rPr>
                <w:sz w:val="20"/>
                <w:szCs w:val="20"/>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spacing w:line="240" w:lineRule="auto"/>
              <w:rPr>
                <w:sz w:val="20"/>
                <w:szCs w:val="20"/>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spacing w:line="240" w:lineRule="auto"/>
              <w:rPr>
                <w:sz w:val="20"/>
                <w:szCs w:val="20"/>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spacing w:line="240" w:lineRule="auto"/>
              <w:rPr>
                <w:sz w:val="20"/>
                <w:szCs w:val="20"/>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spacing w:line="240" w:lineRule="auto"/>
              <w:rPr>
                <w:sz w:val="20"/>
                <w:szCs w:val="20"/>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spacing w:line="240" w:lineRule="auto"/>
              <w:rPr>
                <w:sz w:val="20"/>
                <w:szCs w:val="20"/>
              </w:rPr>
            </w:pPr>
          </w:p>
        </w:tc>
      </w:tr>
      <w:tr w:rsidR="00ED2926" w:rsidRPr="000A19B3" w:rsidTr="00ED2926">
        <w:trPr>
          <w:trHeight w:val="36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r w:rsidRPr="000A19B3">
              <w:rPr>
                <w:b/>
                <w:bCs/>
                <w:i/>
                <w:iCs/>
                <w:sz w:val="18"/>
                <w:szCs w:val="18"/>
              </w:rPr>
              <w:t>Q1HHI * FFDIFF</w:t>
            </w: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0.089</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0.091</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0.115</w:t>
            </w:r>
          </w:p>
        </w:tc>
      </w:tr>
      <w:tr w:rsidR="00ED2926" w:rsidRPr="000A19B3" w:rsidTr="00ED2926">
        <w:trPr>
          <w:trHeight w:val="30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(1.274)</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(1.264)</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(1.498)</w:t>
            </w:r>
          </w:p>
        </w:tc>
      </w:tr>
      <w:tr w:rsidR="00ED2926" w:rsidRPr="000A19B3" w:rsidTr="00ED2926">
        <w:trPr>
          <w:trHeight w:val="36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r w:rsidRPr="000A19B3">
              <w:rPr>
                <w:b/>
                <w:bCs/>
                <w:i/>
                <w:iCs/>
                <w:sz w:val="18"/>
                <w:szCs w:val="18"/>
              </w:rPr>
              <w:t>Q3HHI * FFDIFF</w:t>
            </w: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-0.02</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0.001</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-0.038</w:t>
            </w:r>
          </w:p>
        </w:tc>
      </w:tr>
      <w:tr w:rsidR="00ED2926" w:rsidRPr="000A19B3" w:rsidTr="00ED2926">
        <w:trPr>
          <w:trHeight w:val="30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(-0.29)</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(0.008)</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(-0.454)</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FFDIFF</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0.082*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0.10**</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0.081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0.073</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(1.944)</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(2.47)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(1.618)</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(1.361)</w:t>
            </w:r>
          </w:p>
        </w:tc>
      </w:tr>
      <w:tr w:rsidR="00ED2926" w:rsidRPr="000A19B3" w:rsidTr="00ED2926">
        <w:trPr>
          <w:trHeight w:val="36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r w:rsidRPr="000A19B3">
              <w:rPr>
                <w:b/>
                <w:bCs/>
                <w:i/>
                <w:iCs/>
                <w:sz w:val="18"/>
                <w:szCs w:val="18"/>
              </w:rPr>
              <w:t>Q1HHI * PFDIFF</w:t>
            </w: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-0.11</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-0.03</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-0.110</w:t>
            </w:r>
          </w:p>
        </w:tc>
      </w:tr>
      <w:tr w:rsidR="00ED2926" w:rsidRPr="000A19B3" w:rsidTr="00ED2926">
        <w:trPr>
          <w:trHeight w:val="30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(-1.04)</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(-0.34)</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(-1.005)</w:t>
            </w:r>
          </w:p>
        </w:tc>
      </w:tr>
      <w:tr w:rsidR="00ED2926" w:rsidRPr="000A19B3" w:rsidTr="00ED2926">
        <w:trPr>
          <w:trHeight w:val="36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r w:rsidRPr="000A19B3">
              <w:rPr>
                <w:b/>
                <w:bCs/>
                <w:i/>
                <w:iCs/>
                <w:sz w:val="18"/>
                <w:szCs w:val="18"/>
              </w:rPr>
              <w:t>Q3HHI * PFDIFF</w:t>
            </w: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0.185*</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0.17*</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0.197*</w:t>
            </w:r>
          </w:p>
        </w:tc>
      </w:tr>
      <w:tr w:rsidR="00ED2926" w:rsidRPr="000A19B3" w:rsidTr="00ED2926">
        <w:trPr>
          <w:trHeight w:val="300"/>
          <w:jc w:val="center"/>
        </w:trPr>
        <w:tc>
          <w:tcPr>
            <w:tcW w:w="1266" w:type="dxa"/>
            <w:tcBorders>
              <w:top w:val="nil"/>
              <w:left w:val="nil"/>
              <w:bottom w:val="nil"/>
              <w:right w:val="nil"/>
            </w:tcBorders>
            <w:shd w:val="clear" w:color="auto" w:fill="auto"/>
            <w:vAlign w:val="center"/>
            <w:hideMark/>
          </w:tcPr>
          <w:p w:rsidR="00107C97" w:rsidRPr="000A19B3"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(1.784)</w:t>
            </w:r>
          </w:p>
        </w:tc>
        <w:tc>
          <w:tcPr>
            <w:tcW w:w="985"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(1.67)</w:t>
            </w:r>
          </w:p>
        </w:tc>
        <w:tc>
          <w:tcPr>
            <w:tcW w:w="1069" w:type="dxa"/>
            <w:tcBorders>
              <w:top w:val="nil"/>
              <w:left w:val="nil"/>
              <w:bottom w:val="nil"/>
              <w:right w:val="nil"/>
            </w:tcBorders>
            <w:shd w:val="clear" w:color="auto" w:fill="auto"/>
            <w:noWrap/>
            <w:vAlign w:val="center"/>
            <w:hideMark/>
          </w:tcPr>
          <w:p w:rsidR="00107C97" w:rsidRPr="000A19B3" w:rsidRDefault="00107C97" w:rsidP="00D81B99">
            <w:pPr>
              <w:tabs>
                <w:tab w:val="decimal" w:pos="267"/>
              </w:tabs>
              <w:spacing w:line="240" w:lineRule="auto"/>
              <w:rPr>
                <w:b/>
                <w:sz w:val="18"/>
                <w:szCs w:val="18"/>
              </w:rPr>
            </w:pPr>
            <w:r w:rsidRPr="000A19B3">
              <w:rPr>
                <w:b/>
                <w:sz w:val="18"/>
                <w:szCs w:val="18"/>
              </w:rPr>
              <w:t>(1.796)</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PFDIFF</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0.15**</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0.063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0.040</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(2.40)</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(1.103)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(1.11)</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(0.551)</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Q1HHI</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-0.057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-0.059</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-0.048</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(-1.436)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(-1.548)</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(-0.24)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(-0.55)</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(-1.157)</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Q3HHI</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0.029</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-0.002</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(0.75)</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(0.675)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(-0.358)</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(-0.23)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(-0.055)</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NumSeg</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-0.027**</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(-2.037)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(-2.06)</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(-2.037)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(-1.78)</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(-1.762)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(-1.76)</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(-2.104)</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Related</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0.024*</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0.024*</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0.020</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0.025**</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(1.860)</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(1.92)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(1.852)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(1.60)</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(1.571)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(1.54)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(1.965)</w:t>
            </w:r>
          </w:p>
        </w:tc>
      </w:tr>
      <w:tr w:rsidR="00ED2926" w:rsidRPr="006E605F" w:rsidTr="00ED2926">
        <w:trPr>
          <w:trHeight w:val="36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NumTNICPrs</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-0.000</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-0.000</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-0.000</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(-1.444)</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(-2.28)</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(-1.366)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(-1.54)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(-2.337)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(-1.56)</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(-1.390)</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HHI</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-0.042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-0.024</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-0.039</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(0.213)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(-0.50)</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(-0.664)</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(0.33)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(-0.371)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(-0.54)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(-0.622)</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Size</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0.037***</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(3.874)</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(3.69)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(3.902)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(3.77)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(3.589)</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(3.77)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(3.874)</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PM</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0.495***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0.49***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0.495***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0.49***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0.485***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0.49***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0.486***</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(4.116)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(4.09)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(4.081)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(4.13)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(4.132)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(4.14)</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(4.040)</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Invest</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1.016***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0.97***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1.011***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0.99***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0.955***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0.97***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1.010***</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(4.232)</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(3.97)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(4.195)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(4.15)</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(3.887)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(4.07)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(4.197)</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Leverage</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-0.085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-0.085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-0.093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-0.09</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-0.095</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(-1.255)</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(-1.33)</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(-1.263)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(-1.37)</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(-1.409)</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(-1.38)</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(-1.421)</w:t>
            </w:r>
          </w:p>
        </w:tc>
      </w:tr>
      <w:tr w:rsidR="00ED2926" w:rsidRPr="006E605F" w:rsidTr="00ED2926">
        <w:trPr>
          <w:trHeight w:val="36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r w:rsidRPr="006E605F">
              <w:rPr>
                <w:b/>
                <w:bCs/>
                <w:i/>
                <w:iCs/>
                <w:sz w:val="18"/>
                <w:szCs w:val="18"/>
              </w:rPr>
              <w:t>SalesGrow</w:t>
            </w: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-0.016</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-0.013</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-0.015</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(-0.737)</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(-0.72)</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(-0.751)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(-0.71)</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(-0.651)</w:t>
            </w:r>
          </w:p>
        </w:tc>
        <w:tc>
          <w:tcPr>
            <w:tcW w:w="985"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(-0.68)</w:t>
            </w:r>
          </w:p>
        </w:tc>
        <w:tc>
          <w:tcPr>
            <w:tcW w:w="1069" w:type="dxa"/>
            <w:tcBorders>
              <w:top w:val="nil"/>
              <w:left w:val="nil"/>
              <w:bottom w:val="nil"/>
              <w:right w:val="nil"/>
            </w:tcBorders>
            <w:shd w:val="clear" w:color="auto" w:fill="auto"/>
            <w:noWrap/>
            <w:vAlign w:val="center"/>
            <w:hideMark/>
          </w:tcPr>
          <w:p w:rsidR="00107C97" w:rsidRPr="006E605F" w:rsidRDefault="00107C97" w:rsidP="00D81B99">
            <w:pPr>
              <w:tabs>
                <w:tab w:val="decimal" w:pos="267"/>
              </w:tabs>
              <w:spacing w:line="240" w:lineRule="auto"/>
              <w:rPr>
                <w:sz w:val="18"/>
                <w:szCs w:val="18"/>
              </w:rPr>
            </w:pPr>
            <w:r w:rsidRPr="004B1CD9">
              <w:rPr>
                <w:sz w:val="18"/>
                <w:szCs w:val="18"/>
              </w:rPr>
              <w:t>(-0.683)</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tcPr>
          <w:p w:rsidR="00107C97" w:rsidRPr="006E605F" w:rsidRDefault="00107C97"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tcPr>
          <w:p w:rsidR="00107C97" w:rsidRPr="006E605F" w:rsidRDefault="00107C97" w:rsidP="00D81B99">
            <w:pPr>
              <w:tabs>
                <w:tab w:val="decimal" w:pos="267"/>
              </w:tabs>
              <w:spacing w:line="240" w:lineRule="auto"/>
              <w:rPr>
                <w:sz w:val="18"/>
                <w:szCs w:val="18"/>
              </w:rPr>
            </w:pPr>
          </w:p>
        </w:tc>
        <w:tc>
          <w:tcPr>
            <w:tcW w:w="985" w:type="dxa"/>
            <w:tcBorders>
              <w:top w:val="nil"/>
              <w:left w:val="nil"/>
              <w:bottom w:val="nil"/>
              <w:right w:val="nil"/>
            </w:tcBorders>
            <w:shd w:val="clear" w:color="auto" w:fill="auto"/>
            <w:noWrap/>
            <w:vAlign w:val="center"/>
          </w:tcPr>
          <w:p w:rsidR="00107C97" w:rsidRPr="006E605F" w:rsidRDefault="00107C97" w:rsidP="00D81B99">
            <w:pPr>
              <w:tabs>
                <w:tab w:val="decimal" w:pos="267"/>
              </w:tabs>
              <w:spacing w:line="240" w:lineRule="auto"/>
              <w:rPr>
                <w:sz w:val="18"/>
                <w:szCs w:val="18"/>
              </w:rPr>
            </w:pPr>
          </w:p>
        </w:tc>
        <w:tc>
          <w:tcPr>
            <w:tcW w:w="1069" w:type="dxa"/>
            <w:tcBorders>
              <w:top w:val="nil"/>
              <w:left w:val="nil"/>
              <w:bottom w:val="nil"/>
              <w:right w:val="nil"/>
            </w:tcBorders>
            <w:shd w:val="clear" w:color="auto" w:fill="auto"/>
            <w:noWrap/>
            <w:vAlign w:val="center"/>
          </w:tcPr>
          <w:p w:rsidR="00107C97" w:rsidRPr="006E605F" w:rsidRDefault="00107C97" w:rsidP="00D81B99">
            <w:pPr>
              <w:tabs>
                <w:tab w:val="decimal" w:pos="267"/>
              </w:tabs>
              <w:spacing w:line="240" w:lineRule="auto"/>
              <w:rPr>
                <w:sz w:val="18"/>
                <w:szCs w:val="18"/>
              </w:rPr>
            </w:pPr>
          </w:p>
        </w:tc>
      </w:tr>
      <w:tr w:rsidR="00ED2926" w:rsidRPr="006E605F" w:rsidTr="00ED2926">
        <w:trPr>
          <w:trHeight w:val="300"/>
          <w:jc w:val="center"/>
        </w:trPr>
        <w:tc>
          <w:tcPr>
            <w:tcW w:w="3320" w:type="dxa"/>
            <w:gridSpan w:val="3"/>
            <w:tcBorders>
              <w:top w:val="nil"/>
              <w:left w:val="nil"/>
              <w:bottom w:val="nil"/>
              <w:right w:val="nil"/>
            </w:tcBorders>
            <w:shd w:val="clear" w:color="auto" w:fill="auto"/>
            <w:vAlign w:val="center"/>
          </w:tcPr>
          <w:p w:rsidR="00ED2926" w:rsidRPr="00107C97" w:rsidRDefault="00ED2926" w:rsidP="00654C89">
            <w:pPr>
              <w:tabs>
                <w:tab w:val="decimal" w:pos="267"/>
              </w:tabs>
              <w:spacing w:line="240" w:lineRule="auto"/>
              <w:rPr>
                <w:sz w:val="18"/>
                <w:szCs w:val="18"/>
              </w:rPr>
            </w:pPr>
            <w:r>
              <w:rPr>
                <w:sz w:val="18"/>
                <w:szCs w:val="18"/>
              </w:rPr>
              <w:lastRenderedPageBreak/>
              <w:t>Table 8 Panel B (</w:t>
            </w:r>
            <w:r>
              <w:rPr>
                <w:i/>
                <w:sz w:val="18"/>
                <w:szCs w:val="18"/>
              </w:rPr>
              <w:t>Continued</w:t>
            </w:r>
            <w:r>
              <w:rPr>
                <w:sz w:val="18"/>
                <w:szCs w:val="18"/>
              </w:rPr>
              <w:t>)</w:t>
            </w:r>
          </w:p>
        </w:tc>
        <w:tc>
          <w:tcPr>
            <w:tcW w:w="1068" w:type="dxa"/>
            <w:tcBorders>
              <w:top w:val="nil"/>
              <w:left w:val="nil"/>
              <w:bottom w:val="nil"/>
              <w:right w:val="nil"/>
            </w:tcBorders>
            <w:shd w:val="clear" w:color="auto" w:fill="auto"/>
            <w:noWrap/>
            <w:vAlign w:val="center"/>
          </w:tcPr>
          <w:p w:rsidR="00ED2926" w:rsidRPr="006E605F" w:rsidRDefault="00ED2926" w:rsidP="00654C89">
            <w:pPr>
              <w:tabs>
                <w:tab w:val="decimal" w:pos="267"/>
              </w:tabs>
              <w:spacing w:line="240" w:lineRule="auto"/>
              <w:rPr>
                <w:sz w:val="18"/>
                <w:szCs w:val="18"/>
              </w:rPr>
            </w:pPr>
          </w:p>
        </w:tc>
        <w:tc>
          <w:tcPr>
            <w:tcW w:w="986" w:type="dxa"/>
            <w:tcBorders>
              <w:top w:val="nil"/>
              <w:left w:val="nil"/>
              <w:bottom w:val="nil"/>
              <w:right w:val="nil"/>
            </w:tcBorders>
            <w:shd w:val="clear" w:color="auto" w:fill="auto"/>
            <w:noWrap/>
            <w:vAlign w:val="center"/>
          </w:tcPr>
          <w:p w:rsidR="00ED2926" w:rsidRPr="006E605F" w:rsidRDefault="00ED2926" w:rsidP="00654C89">
            <w:pPr>
              <w:tabs>
                <w:tab w:val="decimal" w:pos="267"/>
              </w:tabs>
              <w:spacing w:line="240" w:lineRule="auto"/>
              <w:rPr>
                <w:sz w:val="18"/>
                <w:szCs w:val="18"/>
              </w:rPr>
            </w:pPr>
          </w:p>
        </w:tc>
        <w:tc>
          <w:tcPr>
            <w:tcW w:w="1068" w:type="dxa"/>
            <w:tcBorders>
              <w:top w:val="nil"/>
              <w:left w:val="nil"/>
              <w:bottom w:val="nil"/>
              <w:right w:val="nil"/>
            </w:tcBorders>
            <w:shd w:val="clear" w:color="auto" w:fill="auto"/>
            <w:noWrap/>
            <w:vAlign w:val="center"/>
          </w:tcPr>
          <w:p w:rsidR="00ED2926" w:rsidRPr="006E605F" w:rsidRDefault="00ED2926" w:rsidP="00654C89">
            <w:pPr>
              <w:tabs>
                <w:tab w:val="decimal" w:pos="267"/>
              </w:tabs>
              <w:spacing w:line="240" w:lineRule="auto"/>
              <w:rPr>
                <w:sz w:val="18"/>
                <w:szCs w:val="18"/>
              </w:rPr>
            </w:pPr>
          </w:p>
        </w:tc>
        <w:tc>
          <w:tcPr>
            <w:tcW w:w="986" w:type="dxa"/>
            <w:tcBorders>
              <w:top w:val="nil"/>
              <w:left w:val="nil"/>
              <w:bottom w:val="nil"/>
              <w:right w:val="nil"/>
            </w:tcBorders>
            <w:shd w:val="clear" w:color="auto" w:fill="auto"/>
            <w:noWrap/>
            <w:vAlign w:val="center"/>
          </w:tcPr>
          <w:p w:rsidR="00ED2926" w:rsidRPr="006E605F" w:rsidRDefault="00ED2926" w:rsidP="00654C89">
            <w:pPr>
              <w:tabs>
                <w:tab w:val="decimal" w:pos="267"/>
              </w:tabs>
              <w:spacing w:line="240" w:lineRule="auto"/>
              <w:rPr>
                <w:sz w:val="18"/>
                <w:szCs w:val="18"/>
              </w:rPr>
            </w:pPr>
          </w:p>
        </w:tc>
        <w:tc>
          <w:tcPr>
            <w:tcW w:w="1068" w:type="dxa"/>
            <w:tcBorders>
              <w:top w:val="nil"/>
              <w:left w:val="nil"/>
              <w:bottom w:val="nil"/>
              <w:right w:val="nil"/>
            </w:tcBorders>
            <w:shd w:val="clear" w:color="auto" w:fill="auto"/>
            <w:noWrap/>
            <w:vAlign w:val="center"/>
          </w:tcPr>
          <w:p w:rsidR="00ED2926" w:rsidRPr="006E605F" w:rsidRDefault="00ED2926" w:rsidP="00654C89">
            <w:pPr>
              <w:tabs>
                <w:tab w:val="decimal" w:pos="267"/>
              </w:tabs>
              <w:spacing w:line="240" w:lineRule="auto"/>
              <w:rPr>
                <w:sz w:val="18"/>
                <w:szCs w:val="18"/>
              </w:rPr>
            </w:pP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r w:rsidRPr="006E605F">
              <w:rPr>
                <w:b/>
                <w:bCs/>
                <w:i/>
                <w:iCs/>
                <w:sz w:val="18"/>
                <w:szCs w:val="18"/>
              </w:rPr>
              <w:t>StdROE</w:t>
            </w: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0.017*</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0.017*</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0.018**</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0.02*</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0.018*</w:t>
            </w:r>
          </w:p>
        </w:tc>
      </w:tr>
      <w:tr w:rsidR="00ED2926" w:rsidRPr="006E605F"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(1.902)</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(1.92)</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(1.897)</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(1.97)</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(1.961)</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(1.96)</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(1.954)</w:t>
            </w:r>
          </w:p>
        </w:tc>
      </w:tr>
      <w:tr w:rsidR="00ED2926" w:rsidRPr="00BC1F3C"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r w:rsidRPr="006E605F">
              <w:rPr>
                <w:b/>
                <w:bCs/>
                <w:i/>
                <w:iCs/>
                <w:sz w:val="18"/>
                <w:szCs w:val="18"/>
              </w:rPr>
              <w:t>MAR</w:t>
            </w: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0.204***</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0.20***</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0.204***</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0.20***</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0.204***</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0.20***</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0.205***</w:t>
            </w:r>
          </w:p>
        </w:tc>
      </w:tr>
      <w:tr w:rsidR="00ED2926" w:rsidRPr="00BC1F3C"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(8.791)</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(8.78)</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(8.761)</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(8.81)</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(8.849)</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(8.81)</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(8.796)</w:t>
            </w:r>
          </w:p>
        </w:tc>
      </w:tr>
      <w:tr w:rsidR="00ED2926" w:rsidRPr="00BC1F3C"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r w:rsidRPr="006E605F">
              <w:rPr>
                <w:b/>
                <w:bCs/>
                <w:i/>
                <w:iCs/>
                <w:sz w:val="18"/>
                <w:szCs w:val="18"/>
              </w:rPr>
              <w:t>Corr5yr</w:t>
            </w: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-0.052***</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-0.05***</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-0.052***</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-0.05***</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-0.054***</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-0.05***</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-0.051***</w:t>
            </w:r>
          </w:p>
        </w:tc>
      </w:tr>
      <w:tr w:rsidR="00ED2926" w:rsidRPr="00BC1F3C"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(-3.087)</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(-3.13)</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(-3.098)</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(-3.18)</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(-3.180)</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(-3.17)</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(-3.054)</w:t>
            </w:r>
          </w:p>
        </w:tc>
      </w:tr>
      <w:tr w:rsidR="00ED2926" w:rsidRPr="00BC1F3C"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r w:rsidRPr="006E605F">
              <w:rPr>
                <w:b/>
                <w:bCs/>
                <w:i/>
                <w:iCs/>
                <w:sz w:val="18"/>
                <w:szCs w:val="18"/>
              </w:rPr>
              <w:t>Surprise</w:t>
            </w: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-0.011***</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-0.011***</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-0.011***</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-0.011***</w:t>
            </w:r>
          </w:p>
        </w:tc>
      </w:tr>
      <w:tr w:rsidR="00ED2926" w:rsidRPr="00BC1F3C"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(-8.086)</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(-7.93)</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(-8.006)</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(-8.41)</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(-8.225)</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(-8.33)</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(-8.044)</w:t>
            </w:r>
          </w:p>
        </w:tc>
      </w:tr>
      <w:tr w:rsidR="00ED2926" w:rsidRPr="00BC1F3C" w:rsidTr="00ED2926">
        <w:trPr>
          <w:trHeight w:val="300"/>
          <w:jc w:val="center"/>
        </w:trPr>
        <w:tc>
          <w:tcPr>
            <w:tcW w:w="1266" w:type="dxa"/>
            <w:tcBorders>
              <w:top w:val="nil"/>
              <w:left w:val="nil"/>
              <w:bottom w:val="nil"/>
              <w:right w:val="nil"/>
            </w:tcBorders>
            <w:shd w:val="clear" w:color="auto" w:fill="auto"/>
            <w:vAlign w:val="center"/>
            <w:hideMark/>
          </w:tcPr>
          <w:p w:rsidR="00446082" w:rsidRPr="006E605F" w:rsidRDefault="00446082" w:rsidP="00D81B99">
            <w:pPr>
              <w:spacing w:line="240" w:lineRule="auto"/>
              <w:rPr>
                <w:b/>
                <w:bCs/>
                <w:i/>
                <w:iCs/>
                <w:sz w:val="18"/>
                <w:szCs w:val="18"/>
              </w:rPr>
            </w:pPr>
            <w:r w:rsidRPr="006E605F">
              <w:rPr>
                <w:b/>
                <w:bCs/>
                <w:i/>
                <w:iCs/>
                <w:sz w:val="18"/>
                <w:szCs w:val="18"/>
              </w:rPr>
              <w:t>Constant</w:t>
            </w:r>
          </w:p>
        </w:tc>
        <w:tc>
          <w:tcPr>
            <w:tcW w:w="1068"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-0.522***</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-0.51***</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-0.519***</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-0.52***</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-0.497***</w:t>
            </w:r>
          </w:p>
        </w:tc>
        <w:tc>
          <w:tcPr>
            <w:tcW w:w="985"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-0.50***</w:t>
            </w:r>
          </w:p>
        </w:tc>
        <w:tc>
          <w:tcPr>
            <w:tcW w:w="1069" w:type="dxa"/>
            <w:tcBorders>
              <w:top w:val="nil"/>
              <w:left w:val="nil"/>
              <w:bottom w:val="nil"/>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-0.520***</w:t>
            </w:r>
          </w:p>
        </w:tc>
      </w:tr>
      <w:tr w:rsidR="00ED2926" w:rsidRPr="00BC1F3C" w:rsidTr="00ED2926">
        <w:trPr>
          <w:trHeight w:val="300"/>
          <w:jc w:val="center"/>
        </w:trPr>
        <w:tc>
          <w:tcPr>
            <w:tcW w:w="1266" w:type="dxa"/>
            <w:tcBorders>
              <w:top w:val="nil"/>
              <w:left w:val="nil"/>
              <w:bottom w:val="single" w:sz="4" w:space="0" w:color="auto"/>
              <w:right w:val="nil"/>
            </w:tcBorders>
            <w:shd w:val="clear" w:color="auto" w:fill="auto"/>
            <w:vAlign w:val="center"/>
            <w:hideMark/>
          </w:tcPr>
          <w:p w:rsidR="00446082" w:rsidRPr="006E605F" w:rsidRDefault="00446082" w:rsidP="00D81B99">
            <w:pPr>
              <w:spacing w:line="240" w:lineRule="auto"/>
              <w:rPr>
                <w:b/>
                <w:bCs/>
                <w:i/>
                <w:iCs/>
                <w:sz w:val="18"/>
                <w:szCs w:val="18"/>
              </w:rPr>
            </w:pPr>
            <w:r w:rsidRPr="006E605F">
              <w:rPr>
                <w:b/>
                <w:bCs/>
                <w:i/>
                <w:iCs/>
                <w:sz w:val="18"/>
                <w:szCs w:val="18"/>
              </w:rPr>
              <w:t> </w:t>
            </w:r>
          </w:p>
        </w:tc>
        <w:tc>
          <w:tcPr>
            <w:tcW w:w="1068" w:type="dxa"/>
            <w:tcBorders>
              <w:top w:val="nil"/>
              <w:left w:val="nil"/>
              <w:bottom w:val="single" w:sz="4" w:space="0" w:color="auto"/>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(-6.992)</w:t>
            </w:r>
          </w:p>
        </w:tc>
        <w:tc>
          <w:tcPr>
            <w:tcW w:w="985" w:type="dxa"/>
            <w:tcBorders>
              <w:top w:val="nil"/>
              <w:left w:val="nil"/>
              <w:bottom w:val="single" w:sz="4" w:space="0" w:color="auto"/>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(-6.89)</w:t>
            </w:r>
          </w:p>
        </w:tc>
        <w:tc>
          <w:tcPr>
            <w:tcW w:w="1069" w:type="dxa"/>
            <w:tcBorders>
              <w:top w:val="nil"/>
              <w:left w:val="nil"/>
              <w:bottom w:val="single" w:sz="4" w:space="0" w:color="auto"/>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(-7.040)</w:t>
            </w:r>
          </w:p>
        </w:tc>
        <w:tc>
          <w:tcPr>
            <w:tcW w:w="985" w:type="dxa"/>
            <w:tcBorders>
              <w:top w:val="nil"/>
              <w:left w:val="nil"/>
              <w:bottom w:val="single" w:sz="4" w:space="0" w:color="auto"/>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(-7.05)</w:t>
            </w:r>
          </w:p>
        </w:tc>
        <w:tc>
          <w:tcPr>
            <w:tcW w:w="1069" w:type="dxa"/>
            <w:tcBorders>
              <w:top w:val="nil"/>
              <w:left w:val="nil"/>
              <w:bottom w:val="single" w:sz="4" w:space="0" w:color="auto"/>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(-6.451)</w:t>
            </w:r>
          </w:p>
        </w:tc>
        <w:tc>
          <w:tcPr>
            <w:tcW w:w="985" w:type="dxa"/>
            <w:tcBorders>
              <w:top w:val="nil"/>
              <w:left w:val="nil"/>
              <w:bottom w:val="single" w:sz="4" w:space="0" w:color="auto"/>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(-6.62)</w:t>
            </w:r>
          </w:p>
        </w:tc>
        <w:tc>
          <w:tcPr>
            <w:tcW w:w="1069" w:type="dxa"/>
            <w:tcBorders>
              <w:top w:val="nil"/>
              <w:left w:val="nil"/>
              <w:bottom w:val="single" w:sz="4" w:space="0" w:color="auto"/>
              <w:right w:val="nil"/>
            </w:tcBorders>
            <w:shd w:val="clear" w:color="auto" w:fill="auto"/>
            <w:noWrap/>
            <w:vAlign w:val="center"/>
            <w:hideMark/>
          </w:tcPr>
          <w:p w:rsidR="00446082" w:rsidRPr="006E605F" w:rsidRDefault="00446082" w:rsidP="00D81B99">
            <w:pPr>
              <w:tabs>
                <w:tab w:val="decimal" w:pos="267"/>
              </w:tabs>
              <w:spacing w:line="240" w:lineRule="auto"/>
              <w:rPr>
                <w:sz w:val="18"/>
                <w:szCs w:val="18"/>
              </w:rPr>
            </w:pPr>
            <w:r w:rsidRPr="004B1CD9">
              <w:rPr>
                <w:sz w:val="18"/>
                <w:szCs w:val="18"/>
              </w:rPr>
              <w:t>(-6.873)</w:t>
            </w:r>
          </w:p>
        </w:tc>
      </w:tr>
      <w:tr w:rsidR="00ED2926" w:rsidRPr="00BC1F3C" w:rsidTr="00ED2926">
        <w:trPr>
          <w:trHeight w:val="300"/>
          <w:jc w:val="center"/>
        </w:trPr>
        <w:tc>
          <w:tcPr>
            <w:tcW w:w="1266" w:type="dxa"/>
            <w:tcBorders>
              <w:top w:val="single" w:sz="4" w:space="0" w:color="auto"/>
              <w:left w:val="nil"/>
              <w:right w:val="nil"/>
            </w:tcBorders>
            <w:shd w:val="clear" w:color="auto" w:fill="auto"/>
            <w:vAlign w:val="center"/>
            <w:hideMark/>
          </w:tcPr>
          <w:p w:rsidR="00446082" w:rsidRPr="006E605F" w:rsidRDefault="00446082" w:rsidP="00D81B99">
            <w:pPr>
              <w:spacing w:line="240" w:lineRule="auto"/>
              <w:rPr>
                <w:b/>
                <w:bCs/>
                <w:i/>
                <w:iCs/>
                <w:sz w:val="18"/>
                <w:szCs w:val="18"/>
              </w:rPr>
            </w:pPr>
            <w:r>
              <w:rPr>
                <w:b/>
                <w:bCs/>
                <w:i/>
                <w:iCs/>
                <w:sz w:val="18"/>
                <w:szCs w:val="18"/>
              </w:rPr>
              <w:t>No. Obs.</w:t>
            </w:r>
          </w:p>
        </w:tc>
        <w:tc>
          <w:tcPr>
            <w:tcW w:w="1068" w:type="dxa"/>
            <w:tcBorders>
              <w:top w:val="single" w:sz="4" w:space="0" w:color="auto"/>
              <w:left w:val="nil"/>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9,705</w:t>
            </w:r>
          </w:p>
        </w:tc>
        <w:tc>
          <w:tcPr>
            <w:tcW w:w="985" w:type="dxa"/>
            <w:tcBorders>
              <w:top w:val="single" w:sz="4" w:space="0" w:color="auto"/>
              <w:left w:val="nil"/>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9,705</w:t>
            </w:r>
          </w:p>
        </w:tc>
        <w:tc>
          <w:tcPr>
            <w:tcW w:w="1069" w:type="dxa"/>
            <w:tcBorders>
              <w:top w:val="single" w:sz="4" w:space="0" w:color="auto"/>
              <w:left w:val="nil"/>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9,705</w:t>
            </w:r>
          </w:p>
        </w:tc>
        <w:tc>
          <w:tcPr>
            <w:tcW w:w="985" w:type="dxa"/>
            <w:tcBorders>
              <w:top w:val="single" w:sz="4" w:space="0" w:color="auto"/>
              <w:left w:val="nil"/>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9,705</w:t>
            </w:r>
          </w:p>
        </w:tc>
        <w:tc>
          <w:tcPr>
            <w:tcW w:w="1069" w:type="dxa"/>
            <w:tcBorders>
              <w:top w:val="single" w:sz="4" w:space="0" w:color="auto"/>
              <w:left w:val="nil"/>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9,705</w:t>
            </w:r>
          </w:p>
        </w:tc>
        <w:tc>
          <w:tcPr>
            <w:tcW w:w="985" w:type="dxa"/>
            <w:tcBorders>
              <w:top w:val="single" w:sz="4" w:space="0" w:color="auto"/>
              <w:left w:val="nil"/>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9,705</w:t>
            </w:r>
          </w:p>
        </w:tc>
        <w:tc>
          <w:tcPr>
            <w:tcW w:w="1069" w:type="dxa"/>
            <w:tcBorders>
              <w:top w:val="single" w:sz="4" w:space="0" w:color="auto"/>
              <w:left w:val="nil"/>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9,705</w:t>
            </w:r>
          </w:p>
        </w:tc>
      </w:tr>
      <w:tr w:rsidR="00ED2926" w:rsidRPr="00BC1F3C" w:rsidTr="00ED2926">
        <w:trPr>
          <w:trHeight w:val="300"/>
          <w:jc w:val="center"/>
        </w:trPr>
        <w:tc>
          <w:tcPr>
            <w:tcW w:w="1266" w:type="dxa"/>
            <w:tcBorders>
              <w:top w:val="nil"/>
              <w:left w:val="nil"/>
              <w:bottom w:val="double" w:sz="4" w:space="0" w:color="auto"/>
              <w:right w:val="nil"/>
            </w:tcBorders>
            <w:shd w:val="clear" w:color="auto" w:fill="auto"/>
            <w:vAlign w:val="center"/>
            <w:hideMark/>
          </w:tcPr>
          <w:p w:rsidR="00446082" w:rsidRPr="0077643E" w:rsidRDefault="00446082" w:rsidP="00D81B99">
            <w:pPr>
              <w:spacing w:line="240" w:lineRule="auto"/>
              <w:rPr>
                <w:b/>
                <w:bCs/>
                <w:i/>
                <w:iCs/>
                <w:sz w:val="18"/>
                <w:szCs w:val="18"/>
                <w:vertAlign w:val="superscript"/>
              </w:rPr>
            </w:pPr>
            <w:r w:rsidRPr="00BC1F3C">
              <w:rPr>
                <w:b/>
                <w:bCs/>
                <w:i/>
                <w:iCs/>
                <w:sz w:val="18"/>
                <w:szCs w:val="18"/>
              </w:rPr>
              <w:t>Adj. R</w:t>
            </w:r>
            <w:r>
              <w:rPr>
                <w:b/>
                <w:bCs/>
                <w:i/>
                <w:iCs/>
                <w:sz w:val="18"/>
                <w:szCs w:val="18"/>
                <w:vertAlign w:val="superscript"/>
              </w:rPr>
              <w:t>2</w:t>
            </w:r>
          </w:p>
        </w:tc>
        <w:tc>
          <w:tcPr>
            <w:tcW w:w="1068" w:type="dxa"/>
            <w:tcBorders>
              <w:top w:val="nil"/>
              <w:left w:val="nil"/>
              <w:bottom w:val="double" w:sz="4" w:space="0" w:color="auto"/>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8.86%</w:t>
            </w:r>
          </w:p>
        </w:tc>
        <w:tc>
          <w:tcPr>
            <w:tcW w:w="985" w:type="dxa"/>
            <w:tcBorders>
              <w:top w:val="nil"/>
              <w:left w:val="nil"/>
              <w:bottom w:val="double" w:sz="4" w:space="0" w:color="auto"/>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8.82%</w:t>
            </w:r>
          </w:p>
        </w:tc>
        <w:tc>
          <w:tcPr>
            <w:tcW w:w="1069" w:type="dxa"/>
            <w:tcBorders>
              <w:top w:val="nil"/>
              <w:left w:val="nil"/>
              <w:bottom w:val="double" w:sz="4" w:space="0" w:color="auto"/>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8.86%</w:t>
            </w:r>
          </w:p>
        </w:tc>
        <w:tc>
          <w:tcPr>
            <w:tcW w:w="985" w:type="dxa"/>
            <w:tcBorders>
              <w:top w:val="nil"/>
              <w:left w:val="nil"/>
              <w:bottom w:val="double" w:sz="4" w:space="0" w:color="auto"/>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8.80%</w:t>
            </w:r>
          </w:p>
        </w:tc>
        <w:tc>
          <w:tcPr>
            <w:tcW w:w="1069" w:type="dxa"/>
            <w:tcBorders>
              <w:top w:val="nil"/>
              <w:left w:val="nil"/>
              <w:bottom w:val="double" w:sz="4" w:space="0" w:color="auto"/>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8.86%</w:t>
            </w:r>
          </w:p>
        </w:tc>
        <w:tc>
          <w:tcPr>
            <w:tcW w:w="985" w:type="dxa"/>
            <w:tcBorders>
              <w:top w:val="nil"/>
              <w:left w:val="nil"/>
              <w:bottom w:val="double" w:sz="4" w:space="0" w:color="auto"/>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8.87%</w:t>
            </w:r>
          </w:p>
        </w:tc>
        <w:tc>
          <w:tcPr>
            <w:tcW w:w="1069" w:type="dxa"/>
            <w:tcBorders>
              <w:top w:val="nil"/>
              <w:left w:val="nil"/>
              <w:bottom w:val="double" w:sz="4" w:space="0" w:color="auto"/>
              <w:right w:val="nil"/>
            </w:tcBorders>
            <w:shd w:val="clear" w:color="auto" w:fill="auto"/>
            <w:noWrap/>
            <w:vAlign w:val="center"/>
            <w:hideMark/>
          </w:tcPr>
          <w:p w:rsidR="00446082" w:rsidRPr="006E605F" w:rsidRDefault="00446082" w:rsidP="00D81B99">
            <w:pPr>
              <w:spacing w:line="240" w:lineRule="auto"/>
              <w:jc w:val="center"/>
              <w:rPr>
                <w:sz w:val="18"/>
                <w:szCs w:val="18"/>
              </w:rPr>
            </w:pPr>
            <w:r w:rsidRPr="004B1CD9">
              <w:rPr>
                <w:sz w:val="18"/>
                <w:szCs w:val="18"/>
              </w:rPr>
              <w:t>9.04%</w:t>
            </w:r>
          </w:p>
        </w:tc>
      </w:tr>
      <w:tr w:rsidR="00446082" w:rsidRPr="00BC1F3C" w:rsidTr="00ED2926">
        <w:trPr>
          <w:trHeight w:val="300"/>
          <w:jc w:val="center"/>
        </w:trPr>
        <w:tc>
          <w:tcPr>
            <w:tcW w:w="8496" w:type="dxa"/>
            <w:gridSpan w:val="8"/>
            <w:tcBorders>
              <w:top w:val="double" w:sz="4" w:space="0" w:color="auto"/>
              <w:left w:val="nil"/>
              <w:bottom w:val="nil"/>
              <w:right w:val="nil"/>
            </w:tcBorders>
            <w:shd w:val="clear" w:color="auto" w:fill="auto"/>
            <w:vAlign w:val="center"/>
          </w:tcPr>
          <w:p w:rsidR="00446082" w:rsidRPr="004B6D1C" w:rsidRDefault="00446082" w:rsidP="00446082">
            <w:pPr>
              <w:spacing w:line="240" w:lineRule="auto"/>
              <w:rPr>
                <w:sz w:val="20"/>
                <w:szCs w:val="20"/>
              </w:rPr>
            </w:pPr>
            <w:r w:rsidRPr="004B6D1C">
              <w:rPr>
                <w:sz w:val="20"/>
                <w:szCs w:val="20"/>
              </w:rPr>
              <w:t xml:space="preserve">This table presents estimation of equation (6) with </w:t>
            </w:r>
            <w:r w:rsidR="004544EB">
              <w:rPr>
                <w:sz w:val="20"/>
                <w:szCs w:val="20"/>
              </w:rPr>
              <w:t xml:space="preserve">two additional indicator variables.  </w:t>
            </w:r>
            <w:r w:rsidR="0045524C">
              <w:rPr>
                <w:i/>
                <w:sz w:val="20"/>
                <w:szCs w:val="20"/>
              </w:rPr>
              <w:t xml:space="preserve">Q3HHI </w:t>
            </w:r>
            <w:r w:rsidR="0045524C">
              <w:rPr>
                <w:sz w:val="20"/>
                <w:szCs w:val="20"/>
              </w:rPr>
              <w:t xml:space="preserve">is </w:t>
            </w:r>
            <w:r w:rsidRPr="004B6D1C">
              <w:rPr>
                <w:sz w:val="20"/>
                <w:szCs w:val="20"/>
              </w:rPr>
              <w:t xml:space="preserve">an indicator variable equal to one if the firm-year observation is above </w:t>
            </w:r>
            <w:r>
              <w:rPr>
                <w:sz w:val="20"/>
                <w:szCs w:val="20"/>
              </w:rPr>
              <w:t xml:space="preserve">third quartile </w:t>
            </w:r>
            <w:r w:rsidRPr="004B6D1C">
              <w:rPr>
                <w:sz w:val="20"/>
                <w:szCs w:val="20"/>
              </w:rPr>
              <w:t>HH</w:t>
            </w:r>
            <w:r>
              <w:rPr>
                <w:sz w:val="20"/>
                <w:szCs w:val="20"/>
              </w:rPr>
              <w:t xml:space="preserve">I </w:t>
            </w:r>
            <w:r w:rsidR="0045524C">
              <w:rPr>
                <w:sz w:val="20"/>
                <w:szCs w:val="20"/>
              </w:rPr>
              <w:t>in</w:t>
            </w:r>
            <w:r w:rsidR="008E71AA">
              <w:rPr>
                <w:sz w:val="20"/>
                <w:szCs w:val="20"/>
              </w:rPr>
              <w:t xml:space="preserve"> for the </w:t>
            </w:r>
            <w:r w:rsidR="001221D2">
              <w:rPr>
                <w:sz w:val="20"/>
                <w:szCs w:val="20"/>
              </w:rPr>
              <w:t xml:space="preserve">year, zero otherwise.  </w:t>
            </w:r>
            <w:r w:rsidR="001221D2">
              <w:rPr>
                <w:i/>
                <w:sz w:val="20"/>
                <w:szCs w:val="20"/>
              </w:rPr>
              <w:t>Q1HHI</w:t>
            </w:r>
            <w:r w:rsidR="001221D2">
              <w:rPr>
                <w:sz w:val="20"/>
                <w:szCs w:val="20"/>
              </w:rPr>
              <w:t xml:space="preserve"> is</w:t>
            </w:r>
            <w:r>
              <w:rPr>
                <w:sz w:val="20"/>
                <w:szCs w:val="20"/>
              </w:rPr>
              <w:t xml:space="preserve"> an indicator variable equal to one if the firm year observation</w:t>
            </w:r>
            <w:r w:rsidR="004544EB">
              <w:rPr>
                <w:sz w:val="20"/>
                <w:szCs w:val="20"/>
              </w:rPr>
              <w:t xml:space="preserve"> is below the first quartile HHI</w:t>
            </w:r>
            <w:r w:rsidR="00D32CEE">
              <w:rPr>
                <w:sz w:val="20"/>
                <w:szCs w:val="20"/>
              </w:rPr>
              <w:t xml:space="preserve"> for the</w:t>
            </w:r>
            <w:r>
              <w:rPr>
                <w:sz w:val="20"/>
                <w:szCs w:val="20"/>
              </w:rPr>
              <w:t xml:space="preserve"> year, zero otherwise.  Regressions 1-14</w:t>
            </w:r>
            <w:r w:rsidRPr="004B6D1C">
              <w:rPr>
                <w:sz w:val="20"/>
                <w:szCs w:val="20"/>
              </w:rPr>
              <w:t xml:space="preserve"> are estimates for multi-segment firms.  Regressions </w:t>
            </w:r>
            <w:r>
              <w:rPr>
                <w:sz w:val="20"/>
                <w:szCs w:val="20"/>
              </w:rPr>
              <w:t xml:space="preserve">1-7 use </w:t>
            </w:r>
            <w:r>
              <w:rPr>
                <w:i/>
                <w:sz w:val="20"/>
                <w:szCs w:val="20"/>
              </w:rPr>
              <w:t>ExVal</w:t>
            </w:r>
            <w:r>
              <w:rPr>
                <w:i/>
                <w:sz w:val="20"/>
                <w:szCs w:val="20"/>
                <w:vertAlign w:val="subscript"/>
              </w:rPr>
              <w:t>Rev</w:t>
            </w:r>
            <w:r>
              <w:rPr>
                <w:i/>
                <w:sz w:val="20"/>
                <w:szCs w:val="20"/>
              </w:rPr>
              <w:t xml:space="preserve"> </w:t>
            </w:r>
            <w:r>
              <w:rPr>
                <w:sz w:val="20"/>
                <w:szCs w:val="20"/>
              </w:rPr>
              <w:t>as the dependent variable</w:t>
            </w:r>
            <w:r w:rsidRPr="004B6D1C">
              <w:rPr>
                <w:sz w:val="20"/>
                <w:szCs w:val="20"/>
              </w:rPr>
              <w:t xml:space="preserve">.  </w:t>
            </w:r>
            <w:r>
              <w:rPr>
                <w:sz w:val="20"/>
                <w:szCs w:val="20"/>
              </w:rPr>
              <w:t xml:space="preserve">Regressions 8-14 use </w:t>
            </w:r>
            <w:r w:rsidRPr="005E30EB">
              <w:rPr>
                <w:i/>
                <w:sz w:val="20"/>
                <w:szCs w:val="20"/>
              </w:rPr>
              <w:t>ExVal</w:t>
            </w:r>
            <w:r w:rsidRPr="005E30EB">
              <w:rPr>
                <w:i/>
                <w:sz w:val="20"/>
                <w:szCs w:val="20"/>
                <w:vertAlign w:val="subscript"/>
              </w:rPr>
              <w:t>AT</w:t>
            </w:r>
            <w:r>
              <w:rPr>
                <w:sz w:val="20"/>
                <w:szCs w:val="20"/>
              </w:rPr>
              <w:t xml:space="preserve"> as the dependent variable.  All remaining v</w:t>
            </w:r>
            <w:r w:rsidRPr="005E30EB">
              <w:rPr>
                <w:sz w:val="20"/>
                <w:szCs w:val="20"/>
              </w:rPr>
              <w:t>ariables</w:t>
            </w:r>
            <w:r w:rsidRPr="004B6D1C">
              <w:rPr>
                <w:sz w:val="20"/>
                <w:szCs w:val="20"/>
              </w:rPr>
              <w:t xml:space="preserve"> are defined in appendix B.  Coefficients are reported above, t-statistics below in parentheses.  All regressions are estimated using two-way clustering by firm and year.</w:t>
            </w:r>
          </w:p>
          <w:p w:rsidR="00446082" w:rsidRPr="00BC1F3C" w:rsidRDefault="00446082" w:rsidP="00446082">
            <w:pPr>
              <w:spacing w:line="240" w:lineRule="auto"/>
              <w:rPr>
                <w:sz w:val="18"/>
                <w:szCs w:val="18"/>
              </w:rPr>
            </w:pPr>
            <w:r w:rsidRPr="004B6D1C">
              <w:rPr>
                <w:sz w:val="20"/>
                <w:szCs w:val="20"/>
              </w:rPr>
              <w:t>Significance: *** p-value &lt; 0.01, ** p-value &lt; 0.05, and * p-value &lt;0.1</w:t>
            </w:r>
          </w:p>
        </w:tc>
      </w:tr>
    </w:tbl>
    <w:p w:rsidR="00FE51AD" w:rsidRDefault="00FE51AD" w:rsidP="00107C97">
      <w:pPr>
        <w:tabs>
          <w:tab w:val="left" w:pos="6630"/>
        </w:tabs>
      </w:pPr>
    </w:p>
    <w:sectPr w:rsidR="00FE51AD" w:rsidSect="0077643E">
      <w:headerReference w:type="default" r:id="rId26"/>
      <w:footerReference w:type="default" r:id="rId27"/>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4A2" w:rsidRDefault="004604A2" w:rsidP="008E1C26">
      <w:pPr>
        <w:spacing w:line="240" w:lineRule="auto"/>
      </w:pPr>
      <w:r>
        <w:separator/>
      </w:r>
    </w:p>
  </w:endnote>
  <w:endnote w:type="continuationSeparator" w:id="0">
    <w:p w:rsidR="004604A2" w:rsidRDefault="004604A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TIXGeneral-Italic">
    <w:charset w:val="00"/>
    <w:family w:val="auto"/>
    <w:pitch w:val="variable"/>
    <w:sig w:usb0="A00002BF" w:usb1="42000D4E" w:usb2="02000000" w:usb3="00000000" w:csb0="8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BD2" w:rsidRDefault="00C46BD2" w:rsidP="008E1C26">
    <w:pPr>
      <w:pStyle w:val="Footer"/>
      <w:jc w:val="center"/>
    </w:pPr>
    <w:r>
      <w:fldChar w:fldCharType="begin"/>
    </w:r>
    <w:r>
      <w:instrText xml:space="preserve"> PAGE   \* MERGEFORMAT </w:instrText>
    </w:r>
    <w:r>
      <w:fldChar w:fldCharType="separate"/>
    </w:r>
    <w:r w:rsidR="00CB38DB">
      <w:rPr>
        <w:noProof/>
      </w:rPr>
      <w:t>vi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BD2" w:rsidRDefault="00C46BD2" w:rsidP="008E1C26">
    <w:pPr>
      <w:pStyle w:val="Footer"/>
      <w:jc w:val="center"/>
    </w:pPr>
    <w:r>
      <w:fldChar w:fldCharType="begin"/>
    </w:r>
    <w:r>
      <w:instrText xml:space="preserve"> PAGE   \* MERGEFORMAT </w:instrText>
    </w:r>
    <w:r>
      <w:fldChar w:fldCharType="separate"/>
    </w:r>
    <w:r w:rsidR="00CB38DB">
      <w:rPr>
        <w:noProof/>
      </w:rPr>
      <w:t>59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BD2" w:rsidRDefault="00C46BD2" w:rsidP="008E1C26">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BD2" w:rsidRDefault="00C46BD2" w:rsidP="008E1C26">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3564805"/>
      <w:docPartObj>
        <w:docPartGallery w:val="Page Numbers (Bottom of Page)"/>
        <w:docPartUnique/>
      </w:docPartObj>
    </w:sdtPr>
    <w:sdtEndPr>
      <w:rPr>
        <w:noProof/>
      </w:rPr>
    </w:sdtEndPr>
    <w:sdtContent>
      <w:p w:rsidR="00C46BD2" w:rsidRDefault="00C46BD2" w:rsidP="0077643E">
        <w:pPr>
          <w:pStyle w:val="Footer"/>
          <w:jc w:val="center"/>
        </w:pPr>
        <w:r>
          <w:fldChar w:fldCharType="begin"/>
        </w:r>
        <w:r>
          <w:instrText xml:space="preserve"> PAGE   \* MERGEFORMAT </w:instrText>
        </w:r>
        <w:r>
          <w:fldChar w:fldCharType="separate"/>
        </w:r>
        <w:r w:rsidR="00CB38DB">
          <w:rPr>
            <w:noProof/>
          </w:rPr>
          <w:t>79</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7347011"/>
      <w:docPartObj>
        <w:docPartGallery w:val="Page Numbers (Bottom of Page)"/>
        <w:docPartUnique/>
      </w:docPartObj>
    </w:sdtPr>
    <w:sdtEndPr>
      <w:rPr>
        <w:noProof/>
      </w:rPr>
    </w:sdtEndPr>
    <w:sdtContent>
      <w:p w:rsidR="00C46BD2" w:rsidRDefault="00C46BD2" w:rsidP="00133888">
        <w:pPr>
          <w:pStyle w:val="Footer"/>
          <w:jc w:val="center"/>
        </w:pPr>
        <w:r>
          <w:fldChar w:fldCharType="begin"/>
        </w:r>
        <w:r>
          <w:instrText xml:space="preserve"> PAGE   \* MERGEFORMAT </w:instrText>
        </w:r>
        <w:r>
          <w:fldChar w:fldCharType="separate"/>
        </w:r>
        <w:r w:rsidR="00CB38DB">
          <w:rPr>
            <w:noProof/>
          </w:rPr>
          <w:t>83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4A2" w:rsidRDefault="004604A2" w:rsidP="008E1C26">
      <w:pPr>
        <w:spacing w:line="240" w:lineRule="auto"/>
      </w:pPr>
      <w:r>
        <w:separator/>
      </w:r>
    </w:p>
  </w:footnote>
  <w:footnote w:type="continuationSeparator" w:id="0">
    <w:p w:rsidR="004604A2" w:rsidRDefault="004604A2" w:rsidP="008E1C26">
      <w:pPr>
        <w:spacing w:line="240" w:lineRule="auto"/>
      </w:pPr>
      <w:r>
        <w:continuationSeparator/>
      </w:r>
    </w:p>
  </w:footnote>
  <w:footnote w:id="1">
    <w:p w:rsidR="00C46BD2" w:rsidRDefault="00C46BD2" w:rsidP="00F778C8">
      <w:pPr>
        <w:pStyle w:val="Footnote"/>
      </w:pPr>
      <w:r>
        <w:rPr>
          <w:rStyle w:val="FootnoteReference"/>
        </w:rPr>
        <w:footnoteRef/>
      </w:r>
      <w:r>
        <w:t xml:space="preserve">  I refer to the firm being affected as the “firm” or “focal firm” interchangeably.  Peer firms are groups of firms that are similar to or clustered with the focal firm.  I define peers in two ways.  First, peers are defined using product market peers based on product descriptions to construct my measure of segment reporting differentiation.  Second, peers are defined using three-digit SIC codes to examine the effects of peer firms on the focal firm’s excess value.</w:t>
      </w:r>
    </w:p>
  </w:footnote>
  <w:footnote w:id="2">
    <w:p w:rsidR="00C46BD2" w:rsidRDefault="00C46BD2" w:rsidP="00F778C8">
      <w:pPr>
        <w:pStyle w:val="Footnote"/>
      </w:pPr>
      <w:r>
        <w:rPr>
          <w:rStyle w:val="FootnoteReference"/>
        </w:rPr>
        <w:footnoteRef/>
      </w:r>
      <w:r>
        <w:t xml:space="preserve">  I follow </w:t>
      </w:r>
      <w:r>
        <w:fldChar w:fldCharType="begin"/>
      </w:r>
      <w:r>
        <w:instrText xml:space="preserve"> ADDIN EN.CITE &lt;EndNote&gt;&lt;Cite AuthorYear="1"&gt;&lt;Author&gt;Berger&lt;/Author&gt;&lt;Year&gt;1995&lt;/Year&gt;&lt;RecNum&gt;153&lt;/RecNum&gt;&lt;DisplayText&gt;Berger and Ofek (1995)&lt;/DisplayText&gt;&lt;record&gt;&lt;rec-number&gt;153&lt;/rec-number&gt;&lt;foreign-keys&gt;&lt;key app="EN" db-id="0svx9dsr8pfxzmere98xdw5cr9vx9fdw2wrt" timestamp="1392430217"&gt;153&lt;/key&gt;&lt;key app="ENWeb" db-id=""&gt;0&lt;/key&gt;&lt;/foreign-keys&gt;&lt;ref-type name="Journal Article"&gt;17&lt;/ref-type&gt;&lt;contributors&gt;&lt;authors&gt;&lt;author&gt;Berger, Philip G.&lt;/author&gt;&lt;author&gt;Ofek, Eli&lt;/author&gt;&lt;/authors&gt;&lt;/contributors&gt;&lt;auth-address&gt;Wharton School&amp;#xD;Stern School of Business, NYU&lt;/auth-address&gt;&lt;titles&gt;&lt;title&gt;Diversification&amp;apos;s Effect on Firm Value&lt;/title&gt;&lt;secondary-title&gt;Journal of Financial Economics&lt;/secondary-title&gt;&lt;/titles&gt;&lt;periodical&gt;&lt;full-title&gt;Journal of Financial Economics&lt;/full-title&gt;&lt;/periodical&gt;&lt;pages&gt;39-65&lt;/pages&gt;&lt;volume&gt;37&lt;/volume&gt;&lt;number&gt;1&lt;/number&gt;&lt;keywords&gt;&lt;keyword&gt;Financing Policy&lt;/keyword&gt;&lt;keyword&gt;Financial Risk and Risk Management&lt;/keyword&gt;&lt;keyword&gt;Capital and Ownership Structure&lt;/keyword&gt;&lt;keyword&gt;Value of Firms&lt;/keyword&gt;&lt;keyword&gt;Goodwill G32&lt;/keyword&gt;&lt;/keywords&gt;&lt;dates&gt;&lt;year&gt;1995&lt;/year&gt;&lt;/dates&gt;&lt;isbn&gt;0304405X&lt;/isbn&gt;&lt;accession-num&gt;0354453&lt;/accession-num&gt;&lt;urls&gt;&lt;related-urls&gt;&lt;url&gt;http://libraries.ou.edu/access.aspx?url=http://search.ebscohost.com/login.aspx?direct=true&amp;amp;db=ecn&amp;amp;AN=0354453&amp;amp;site=ehost-live&lt;/url&gt;&lt;url&gt;http://www.sciencedirect.com/science/journal/0304405X&lt;/url&gt;&lt;/related-urls&gt;&lt;/urls&gt;&lt;electronic-resource-num&gt;http://www.sciencedirect.com/science/journal/0304405X&lt;/electronic-resource-num&gt;&lt;remote-database-name&gt;ecn&lt;/remote-database-name&gt;&lt;remote-database-provider&gt;EBSCOhost&lt;/remote-database-provider&gt;&lt;/record&gt;&lt;/Cite&gt;&lt;/EndNote&gt;</w:instrText>
      </w:r>
      <w:r>
        <w:fldChar w:fldCharType="separate"/>
      </w:r>
      <w:r>
        <w:rPr>
          <w:noProof/>
        </w:rPr>
        <w:t>Berger and Ofek (1995)</w:t>
      </w:r>
      <w:r>
        <w:fldChar w:fldCharType="end"/>
      </w:r>
      <w:r>
        <w:t xml:space="preserve"> in defining excess value.  Excess value compares the actual value of the firm based on the market’s price to the implied value of the firm based on the value of its individual subsidiaries/segments.  Excess value uses industry multiples for each subsidiary/segment to impute the market value of segments.  The sum of estimated subsidiary/segment value is the implied value of the firm.  Firms have lower excess value (a discount) if firm excess value is less than the market value.  Conversely, firms have higher excess value (a premium) if firm excess value exceeds market value.</w:t>
      </w:r>
    </w:p>
  </w:footnote>
  <w:footnote w:id="3">
    <w:p w:rsidR="00C46BD2" w:rsidRDefault="00C46BD2" w:rsidP="00F778C8">
      <w:pPr>
        <w:pStyle w:val="Footnote"/>
      </w:pPr>
      <w:r>
        <w:rPr>
          <w:rStyle w:val="FootnoteReference"/>
        </w:rPr>
        <w:footnoteRef/>
      </w:r>
      <w:r>
        <w:t xml:space="preserve">  SFAS No. 131 (now ASC 280) requires disclosure of operating, often referred to as line of business segments, as well as geographic segments.  This paper focuses on operating/line of business segments.  Thus, segment reporting differentiation refers to difference between reported operating segments of the focal firm and its peer group.</w:t>
      </w:r>
    </w:p>
  </w:footnote>
  <w:footnote w:id="4">
    <w:p w:rsidR="00C46BD2" w:rsidRDefault="00C46BD2" w:rsidP="00F778C8">
      <w:pPr>
        <w:pStyle w:val="Footnote"/>
      </w:pPr>
      <w:r>
        <w:rPr>
          <w:rStyle w:val="FootnoteReference"/>
        </w:rPr>
        <w:footnoteRef/>
      </w:r>
      <w:r>
        <w:t xml:space="preserve"> I choose to focus on peer firms’ core operations due to potential noise caused by segments not common among the peer group.  As discussed later, I specify that at least 5 percent of peer firms must disclose an industry code to be included in the core peer operations portfolio.  This </w:t>
      </w:r>
      <w:r w:rsidRPr="00CC1C1E">
        <w:t>choice</w:t>
      </w:r>
      <w:r>
        <w:t xml:space="preserve"> eliminates industry codes that are primarily disclosed by only one firm, often a small portion of total peer firm operations.  Varying the cutoff point from no cutoff to 25 percent or above does not impact the results of this study.</w:t>
      </w:r>
    </w:p>
  </w:footnote>
  <w:footnote w:id="5">
    <w:p w:rsidR="00C46BD2" w:rsidRDefault="00C46BD2" w:rsidP="00F778C8">
      <w:pPr>
        <w:pStyle w:val="Footnote"/>
      </w:pPr>
      <w:r>
        <w:rPr>
          <w:rStyle w:val="FootnoteReference"/>
        </w:rPr>
        <w:footnoteRef/>
      </w:r>
      <w:r>
        <w:t xml:space="preserve">  See </w:t>
      </w:r>
      <w:r>
        <w:fldChar w:fldCharType="begin"/>
      </w:r>
      <w:r>
        <w:instrText xml:space="preserve"> ADDIN EN.CITE &lt;EndNote&gt;&lt;Cite AuthorYear="1"&gt;&lt;Author&gt;Martin&lt;/Author&gt;&lt;Year&gt;2003&lt;/Year&gt;&lt;RecNum&gt;193&lt;/RecNum&gt;&lt;DisplayText&gt;Martin and Sayrak (2003)&lt;/DisplayText&gt;&lt;record&gt;&lt;rec-number&gt;193&lt;/rec-number&gt;&lt;foreign-keys&gt;&lt;key app="EN" db-id="0svx9dsr8pfxzmere98xdw5cr9vx9fdw2wrt" timestamp="1392430344"&gt;193&lt;/key&gt;&lt;key app="ENWeb" db-id=""&gt;0&lt;/key&gt;&lt;/foreign-keys&gt;&lt;ref-type name="Journal Article"&gt;17&lt;/ref-type&gt;&lt;contributors&gt;&lt;authors&gt;&lt;author&gt;Martin, John D.&lt;/author&gt;&lt;author&gt;Sayrak, Akin&lt;/author&gt;&lt;/authors&gt;&lt;/contributors&gt;&lt;titles&gt;&lt;title&gt;Corporate diversification and shareholder value: a survey of recent literature&lt;/title&gt;&lt;secondary-title&gt;Journal of Corporate Finance&lt;/secondary-title&gt;&lt;/titles&gt;&lt;periodical&gt;&lt;full-title&gt;Journal of Corporate Finance&lt;/full-title&gt;&lt;/periodical&gt;&lt;pages&gt;37&lt;/pages&gt;&lt;volume&gt;9&lt;/volume&gt;&lt;number&gt;1&lt;/number&gt;&lt;keywords&gt;&lt;keyword&gt;DIVERSIFICATION in industry&lt;/keyword&gt;&lt;keyword&gt;BUSINESS enterprises -- Valuation&lt;/keyword&gt;&lt;keyword&gt;Corporate diversification&lt;/keyword&gt;&lt;keyword&gt;Firm valuation&lt;/keyword&gt;&lt;/keywords&gt;&lt;dates&gt;&lt;year&gt;2003&lt;/year&gt;&lt;/dates&gt;&lt;isbn&gt;09291199&lt;/isbn&gt;&lt;accession-num&gt;8929680&lt;/accession-num&gt;&lt;work-type&gt;Article&lt;/work-type&gt;&lt;urls&gt;&lt;related-urls&gt;&lt;url&gt;http://libraries.ou.edu/access.aspx?url=http://search.ebscohost.com/login.aspx?direct=true&amp;amp;db=buh&amp;amp;AN=8929680&amp;amp;site=ehost-live&lt;/url&gt;&lt;/related-urls&gt;&lt;/urls&gt;&lt;remote-database-name&gt;buh&lt;/remote-database-name&gt;&lt;remote-database-provider&gt;EBSCOhost&lt;/remote-database-provider&gt;&lt;/record&gt;&lt;/Cite&gt;&lt;/EndNote&gt;</w:instrText>
      </w:r>
      <w:r>
        <w:fldChar w:fldCharType="separate"/>
      </w:r>
      <w:r>
        <w:rPr>
          <w:noProof/>
        </w:rPr>
        <w:t>Martin and Sayrak (2003)</w:t>
      </w:r>
      <w:r>
        <w:fldChar w:fldCharType="end"/>
      </w:r>
      <w:r>
        <w:t xml:space="preserve"> and </w:t>
      </w:r>
      <w:r>
        <w:fldChar w:fldCharType="begin">
          <w:fldData xml:space="preserve">PEVuZE5vdGU+PENpdGUgQXV0aG9yWWVhcj0iMSI+PEF1dGhvcj5FcmRvcmY8L0F1dGhvcj48WWVh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</w:fldData>
        </w:fldChar>
      </w:r>
      <w:r>
        <w:instrText xml:space="preserve"> ADDIN EN.CITE </w:instrText>
      </w:r>
      <w:r>
        <w:fldChar w:fldCharType="begin">
          <w:fldData xml:space="preserve">PEVuZE5vdGU+PENpdGUgQXV0aG9yWWVhcj0iMSI+PEF1dGhvcj5FcmRvcmY8L0F1dGhvcj48WWVh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</w:fldData>
        </w:fldChar>
      </w:r>
      <w:r>
        <w:instrText xml:space="preserve"> ADDIN EN.CITE.DATA </w:instrText>
      </w:r>
      <w:r>
        <w:fldChar w:fldCharType="end"/>
      </w:r>
      <w:r>
        <w:fldChar w:fldCharType="separate"/>
      </w:r>
      <w:r>
        <w:rPr>
          <w:noProof/>
        </w:rPr>
        <w:t>Erdorf et al. (2013)</w:t>
      </w:r>
      <w:r>
        <w:fldChar w:fldCharType="end"/>
      </w:r>
      <w:r>
        <w:t xml:space="preserve"> for extensive reviews of diversification and excess value.</w:t>
      </w:r>
    </w:p>
  </w:footnote>
  <w:footnote w:id="6">
    <w:p w:rsidR="00C46BD2" w:rsidRPr="005D02C0" w:rsidRDefault="00C46BD2" w:rsidP="00FB4562">
      <w:pPr>
        <w:pStyle w:val="Footnote"/>
      </w:pPr>
      <w:r>
        <w:rPr>
          <w:rStyle w:val="FootnoteReference"/>
        </w:rPr>
        <w:footnoteRef/>
      </w:r>
      <w:r>
        <w:t xml:space="preserve">  </w:t>
      </w:r>
      <w:r w:rsidRPr="005D02C0">
        <w:t xml:space="preserve">Effects of peer groups on the focal firm are well established in finance and accounting.  Finance research demonstrates peer stocks move in tandem </w:t>
      </w:r>
      <w:r w:rsidRPr="005D02C0">
        <w:fldChar w:fldCharType="begin">
          <w:fldData xml:space="preserve">PEVuZE5vdGU+PENpdGU+PEF1dGhvcj5LaW5nPC9BdXRob3I+PFllYXI+MTk2NjwvWWVhcj48UmVj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</w:fldData>
        </w:fldChar>
      </w:r>
      <w:r>
        <w:instrText xml:space="preserve"> ADDIN EN.CITE </w:instrText>
      </w:r>
      <w:r>
        <w:fldChar w:fldCharType="begin">
          <w:fldData xml:space="preserve">PEVuZE5vdGU+PENpdGU+PEF1dGhvcj5LaW5nPC9BdXRob3I+PFllYXI+MTk2NjwvWWVhcj48UmVj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</w:fldData>
        </w:fldChar>
      </w:r>
      <w:r>
        <w:instrText xml:space="preserve"> ADDIN EN.CITE.DATA </w:instrText>
      </w:r>
      <w:r>
        <w:fldChar w:fldCharType="end"/>
      </w:r>
      <w:r w:rsidRPr="005D02C0">
        <w:fldChar w:fldCharType="separate"/>
      </w:r>
      <w:r>
        <w:rPr>
          <w:noProof/>
        </w:rPr>
        <w:t>(King 1966, Roll 1992, Lessard 1974, Grinold, Rudd, and Stefek 1989)</w:t>
      </w:r>
      <w:r w:rsidRPr="005D02C0">
        <w:fldChar w:fldCharType="end"/>
      </w:r>
      <w:r>
        <w:t xml:space="preserve"> and that </w:t>
      </w:r>
      <w:proofErr w:type="spellStart"/>
      <w:r w:rsidRPr="005D02C0">
        <w:t>comovement</w:t>
      </w:r>
      <w:proofErr w:type="spellEnd"/>
      <w:r w:rsidRPr="005D02C0">
        <w:t xml:space="preserve"> can be attributed to information transfer from one stock to another, </w:t>
      </w:r>
      <w:r w:rsidRPr="005D02C0">
        <w:fldChar w:fldCharType="begin">
          <w:fldData xml:space="preserve">PEVuZE5vdGU+PENpdGU+PEF1dGhvcj5Gb3N0ZXI8L0F1dGhvcj48WWVhcj4xOTgxPC9ZZWFyPjxS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</w:fldData>
        </w:fldChar>
      </w:r>
      <w:r>
        <w:instrText xml:space="preserve"> ADDIN EN.CITE </w:instrText>
      </w:r>
      <w:r>
        <w:fldChar w:fldCharType="begin">
          <w:fldData xml:space="preserve">PEVuZE5vdGU+PENpdGU+PEF1dGhvcj5Gb3N0ZXI8L0F1dGhvcj48WWVhcj4xOTgxPC9ZZWFyPjxS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</w:fldData>
        </w:fldChar>
      </w:r>
      <w:r>
        <w:instrText xml:space="preserve"> ADDIN EN.CITE.DATA </w:instrText>
      </w:r>
      <w:r>
        <w:fldChar w:fldCharType="end"/>
      </w:r>
      <w:r w:rsidRPr="005D02C0">
        <w:fldChar w:fldCharType="separate"/>
      </w:r>
      <w:r>
        <w:rPr>
          <w:noProof/>
        </w:rPr>
        <w:t>(Foster 1981, Baginski 1987, Clinch and Sinclair 1987, Han, Wild, and Ramesh 1989, Han and Wild 1990, Freeman and Tse 1992)</w:t>
      </w:r>
      <w:r w:rsidRPr="005D02C0">
        <w:fldChar w:fldCharType="end"/>
      </w:r>
      <w:r w:rsidRPr="005D02C0">
        <w:t>.  Other researchers examine the effects of indu</w:t>
      </w:r>
      <w:r>
        <w:t xml:space="preserve">stry specific events </w:t>
      </w:r>
      <w:r w:rsidRPr="005D02C0">
        <w:fldChar w:fldCharType="begin">
          <w:fldData xml:space="preserve">PEVuZE5vdGU+PENpdGU+PEF1dGhvcj5Cb3dlbjwvQXV0aG9yPjxZZWFyPjE5ODM8L1llYXI+PFJl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</w:fldData>
        </w:fldChar>
      </w:r>
      <w:r>
        <w:instrText xml:space="preserve"> ADDIN EN.CITE </w:instrText>
      </w:r>
      <w:r>
        <w:fldChar w:fldCharType="begin">
          <w:fldData xml:space="preserve">PEVuZE5vdGU+PENpdGU+PEF1dGhvcj5Cb3dlbjwvQXV0aG9yPjxZZWFyPjE5ODM8L1llYXI+PFJl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</w:fldData>
        </w:fldChar>
      </w:r>
      <w:r>
        <w:instrText xml:space="preserve"> ADDIN EN.CITE.DATA </w:instrText>
      </w:r>
      <w:r>
        <w:fldChar w:fldCharType="end"/>
      </w:r>
      <w:r w:rsidRPr="005D02C0">
        <w:fldChar w:fldCharType="separate"/>
      </w:r>
      <w:r>
        <w:rPr>
          <w:noProof/>
        </w:rPr>
        <w:t>(Bowen, Castanias, and Daley 1983, Sidak 2003)</w:t>
      </w:r>
      <w:r w:rsidRPr="005D02C0">
        <w:fldChar w:fldCharType="end"/>
      </w:r>
      <w:r w:rsidRPr="005D02C0">
        <w:t xml:space="preserve"> on industry peers, showing the event affected all peers within the industry group.  Research examining accounting restatements demonstrates investors reevaluate their investments and make adjustments after a peers’ restatement </w:t>
      </w:r>
      <w:r w:rsidRPr="005D02C0">
        <w:fldChar w:fldCharType="begin">
          <w:fldData xml:space="preserve">PEVuZE5vdGU+PENpdGU+PEF1dGhvcj5YdTwvQXV0aG9yPjxZZWFyPjIwMDY8L1llYXI+PFJlY051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</w:fldData>
        </w:fldChar>
      </w:r>
      <w:r>
        <w:instrText xml:space="preserve"> ADDIN EN.CITE </w:instrText>
      </w:r>
      <w:r>
        <w:fldChar w:fldCharType="begin">
          <w:fldData xml:space="preserve">PEVuZE5vdGU+PENpdGU+PEF1dGhvcj5YdTwvQXV0aG9yPjxZZWFyPjIwMDY8L1llYXI+PFJlY051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</w:fldData>
        </w:fldChar>
      </w:r>
      <w:r>
        <w:instrText xml:space="preserve"> ADDIN EN.CITE.DATA </w:instrText>
      </w:r>
      <w:r>
        <w:fldChar w:fldCharType="end"/>
      </w:r>
      <w:r w:rsidRPr="005D02C0">
        <w:fldChar w:fldCharType="separate"/>
      </w:r>
      <w:r>
        <w:rPr>
          <w:noProof/>
        </w:rPr>
        <w:t>(Xu, Najand, and Ziegenfuss 2006, Gleason, Jenkins, and Johnson 2008, Durnev and Mangen 2009, Kravet and Shevlin 2010)</w:t>
      </w:r>
      <w:r w:rsidRPr="005D02C0">
        <w:fldChar w:fldCharType="end"/>
      </w:r>
      <w:r w:rsidRPr="005D02C0">
        <w:t xml:space="preserve">.  Industry and audit peers of the focal firm are valued at a discount after the restatement, likely due to short-term earnings projection revisions </w:t>
      </w:r>
      <w:r w:rsidRPr="005D02C0">
        <w:fldChar w:fldCharType="begin">
          <w:fldData xml:space="preserve">PEVuZE5vdGU+PENpdGU+PEF1dGhvcj5YdTwvQXV0aG9yPjxZZWFyPjIwMDY8L1llYXI+PFJlY051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</w:fldData>
        </w:fldChar>
      </w:r>
      <w:r>
        <w:instrText xml:space="preserve"> ADDIN EN.CITE </w:instrText>
      </w:r>
      <w:r>
        <w:fldChar w:fldCharType="begin">
          <w:fldData xml:space="preserve">PEVuZE5vdGU+PENpdGU+PEF1dGhvcj5YdTwvQXV0aG9yPjxZZWFyPjIwMDY8L1llYXI+PFJlY051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</w:fldData>
        </w:fldChar>
      </w:r>
      <w:r>
        <w:instrText xml:space="preserve"> ADDIN EN.CITE.DATA </w:instrText>
      </w:r>
      <w:r>
        <w:fldChar w:fldCharType="end"/>
      </w:r>
      <w:r w:rsidRPr="005D02C0">
        <w:fldChar w:fldCharType="separate"/>
      </w:r>
      <w:r>
        <w:rPr>
          <w:noProof/>
        </w:rPr>
        <w:t>(Xu, Najand, and Ziegenfuss 2006, Gleason, Jenkins, and Johnson 2008)</w:t>
      </w:r>
      <w:r w:rsidRPr="005D02C0">
        <w:fldChar w:fldCharType="end"/>
      </w:r>
      <w:r w:rsidRPr="005D02C0">
        <w:t>.  Thus, research suggests investors are continually revising expectations using available information to create expectations.</w:t>
      </w:r>
    </w:p>
  </w:footnote>
  <w:footnote w:id="7">
    <w:p w:rsidR="00C46BD2" w:rsidRDefault="00C46BD2" w:rsidP="00FB4562">
      <w:pPr>
        <w:pStyle w:val="Footnote"/>
      </w:pPr>
      <w:r>
        <w:rPr>
          <w:rStyle w:val="FootnoteReference"/>
        </w:rPr>
        <w:footnoteRef/>
      </w:r>
      <w:r>
        <w:t xml:space="preserve">  If the focal firm’s cash flows are measured with error and correlated with other firms, then the effect of peers’ disclosure is not diversifiable.  When information from peers is released, the market receives new information about the measurement error and/or future cash flows of the correlated focal firm.  If there is no noise then cash flow disclosures are fully informative and there is no need for peers.  If noise is infinite then all peer disclosures provide information about the focal firm.  Additional information from peers reduces the unconditional covariance between correlated firms, which in turn reduces the focal firm’s cost of capital.</w:t>
      </w:r>
    </w:p>
  </w:footnote>
  <w:footnote w:id="8">
    <w:p w:rsidR="00C46BD2" w:rsidRPr="00CF3781" w:rsidRDefault="00C46BD2" w:rsidP="00FB4562">
      <w:pPr>
        <w:pStyle w:val="Footnote"/>
      </w:pPr>
      <w:r>
        <w:rPr>
          <w:rStyle w:val="FootnoteReference"/>
        </w:rPr>
        <w:footnoteRef/>
      </w:r>
      <w:r>
        <w:t xml:space="preserve">  </w:t>
      </w:r>
      <w:r w:rsidRPr="00CF3781">
        <w:t>Lambert et al. suggest the effects of information quality on cost of capital are both direct through revision in market participants’ assessment of the cash flow distribution and indirect through real decisions made by a firm that in turn affect the expected value and covariance of future cash flows.</w:t>
      </w:r>
      <w:r>
        <w:t xml:space="preserve">  I test the valuation implications of their model, not the effects of increased disclosure on real decisions.</w:t>
      </w:r>
    </w:p>
  </w:footnote>
  <w:footnote w:id="9">
    <w:p w:rsidR="00C46BD2" w:rsidRDefault="00C46BD2" w:rsidP="00BF588B">
      <w:pPr>
        <w:pStyle w:val="Footnote"/>
      </w:pPr>
      <w:r>
        <w:rPr>
          <w:rStyle w:val="FootnoteReference"/>
        </w:rPr>
        <w:footnoteRef/>
      </w:r>
      <w:r>
        <w:t xml:space="preserve"> </w:t>
      </w:r>
      <w:hyperlink r:id="rId1" w:history="1">
        <w:r w:rsidRPr="00B7768D">
          <w:rPr>
            <w:rStyle w:val="Hyperlink"/>
          </w:rPr>
          <w:t>http://alex2.umd.edu/industrydata/industryclass.htm</w:t>
        </w:r>
      </w:hyperlink>
      <w:r>
        <w:t xml:space="preserve"> </w:t>
      </w:r>
      <w:proofErr w:type="gramStart"/>
      <w:r>
        <w:t>Last</w:t>
      </w:r>
      <w:proofErr w:type="gramEnd"/>
      <w:r>
        <w:t xml:space="preserve"> downloaded on March 24, 2014, the most recent update.  As of January 18, 2015 there have been no updates.</w:t>
      </w:r>
    </w:p>
  </w:footnote>
  <w:footnote w:id="10">
    <w:p w:rsidR="00C46BD2" w:rsidRDefault="00C46BD2" w:rsidP="00BF588B">
      <w:pPr>
        <w:pStyle w:val="Footnote"/>
      </w:pPr>
      <w:r>
        <w:rPr>
          <w:rStyle w:val="FootnoteReference"/>
        </w:rPr>
        <w:footnoteRef/>
      </w:r>
      <w:r>
        <w:t xml:space="preserve"> The period covered by </w:t>
      </w:r>
      <w:r w:rsidRPr="00475463">
        <w:t>Hoberg and Phillips (2010a; 2013)</w:t>
      </w:r>
      <w:r>
        <w:t xml:space="preserve"> determines the sample period for my tests.</w:t>
      </w:r>
    </w:p>
  </w:footnote>
  <w:footnote w:id="11">
    <w:p w:rsidR="00C46BD2" w:rsidRDefault="00C46BD2" w:rsidP="00BF588B">
      <w:pPr>
        <w:pStyle w:val="Footnote"/>
      </w:pPr>
      <w:r>
        <w:rPr>
          <w:rStyle w:val="FootnoteReference"/>
        </w:rPr>
        <w:footnoteRef/>
      </w:r>
      <w:r>
        <w:t xml:space="preserve"> Firms in the financial sector (SIC 6000 to 6999) are excluded due to additional disclosure regulation and previous research design choice when determining excess value </w:t>
      </w:r>
      <w:r>
        <w:fldChar w:fldCharType="begin"/>
      </w:r>
      <w:r>
        <w:instrText xml:space="preserve"> ADDIN EN.CITE &lt;EndNote&gt;&lt;Cite&gt;&lt;Author&gt;Berger&lt;/Author&gt;&lt;Year&gt;1995&lt;/Year&gt;&lt;RecNum&gt;153&lt;/RecNum&gt;&lt;DisplayText&gt;(Berger and Ofek 1995)&lt;/DisplayText&gt;&lt;record&gt;&lt;rec-number&gt;153&lt;/rec-number&gt;&lt;foreign-keys&gt;&lt;key app="EN" db-id="0svx9dsr8pfxzmere98xdw5cr9vx9fdw2wrt" timestamp="1392430217"&gt;153&lt;/key&gt;&lt;key app="ENWeb" db-id=""&gt;0&lt;/key&gt;&lt;/foreign-keys&gt;&lt;ref-type name="Journal Article"&gt;17&lt;/ref-type&gt;&lt;contributors&gt;&lt;authors&gt;&lt;author&gt;Berger, Philip G.&lt;/author&gt;&lt;author&gt;Ofek, Eli&lt;/author&gt;&lt;/authors&gt;&lt;/contributors&gt;&lt;auth-address&gt;Wharton School&amp;#xD;Stern School of Business, NYU&lt;/auth-address&gt;&lt;titles&gt;&lt;title&gt;Diversification&amp;apos;s Effect on Firm Value&lt;/title&gt;&lt;secondary-title&gt;Journal of Financial Economics&lt;/secondary-title&gt;&lt;/titles&gt;&lt;periodical&gt;&lt;full-title&gt;Journal of Financial Economics&lt;/full-title&gt;&lt;/periodical&gt;&lt;pages&gt;39-65&lt;/pages&gt;&lt;volume&gt;37&lt;/volume&gt;&lt;number&gt;1&lt;/number&gt;&lt;keywords&gt;&lt;keyword&gt;Financing Policy&lt;/keyword&gt;&lt;keyword&gt;Financial Risk and Risk Management&lt;/keyword&gt;&lt;keyword&gt;Capital and Ownership Structure&lt;/keyword&gt;&lt;keyword&gt;Value of Firms&lt;/keyword&gt;&lt;keyword&gt;Goodwill G32&lt;/keyword&gt;&lt;/keywords&gt;&lt;dates&gt;&lt;year&gt;1995&lt;/year&gt;&lt;/dates&gt;&lt;isbn&gt;0304405X&lt;/isbn&gt;&lt;accession-num&gt;0354453&lt;/accession-num&gt;&lt;urls&gt;&lt;related-urls&gt;&lt;url&gt;http://libraries.ou.edu/access.aspx?url=http://search.ebscohost.com/login.aspx?direct=true&amp;amp;db=ecn&amp;amp;AN=0354453&amp;amp;site=ehost-live&lt;/url&gt;&lt;url&gt;http://www.sciencedirect.com/science/journal/0304405X&lt;/url&gt;&lt;/related-urls&gt;&lt;/urls&gt;&lt;electronic-resource-num&gt;http://www.sciencedirect.com/science/journal/0304405X&lt;/electronic-resource-num&gt;&lt;remote-database-name&gt;ecn&lt;/remote-database-name&gt;&lt;remote-database-provider&gt;EBSCOhost&lt;/remote-database-provider&gt;&lt;/record&gt;&lt;/Cite&gt;&lt;/EndNote&gt;</w:instrText>
      </w:r>
      <w:r>
        <w:fldChar w:fldCharType="separate"/>
      </w:r>
      <w:r>
        <w:rPr>
          <w:noProof/>
        </w:rPr>
        <w:t>(Berger and Ofek 1995)</w:t>
      </w:r>
      <w:r>
        <w:fldChar w:fldCharType="end"/>
      </w:r>
    </w:p>
  </w:footnote>
  <w:footnote w:id="12">
    <w:p w:rsidR="00C46BD2" w:rsidRDefault="00C46BD2" w:rsidP="00BF588B">
      <w:pPr>
        <w:pStyle w:val="Footnote"/>
      </w:pPr>
      <w:r w:rsidRPr="00F73BBB">
        <w:rPr>
          <w:rStyle w:val="FootnoteReference"/>
        </w:rPr>
        <w:footnoteRef/>
      </w:r>
      <w:r w:rsidRPr="00F73BBB">
        <w:t xml:space="preserve"> The sum of single-segment and multi-segment firms exceeds the total number of Compustat firms because the lists are not mutually exclusive.  A single-segment firm can expand to become a multi-segment firm or vice versa.</w:t>
      </w:r>
      <w:r>
        <w:t xml:space="preserve"> </w:t>
      </w:r>
    </w:p>
  </w:footnote>
  <w:footnote w:id="13">
    <w:p w:rsidR="00C46BD2" w:rsidRDefault="00C46BD2" w:rsidP="00BF588B">
      <w:pPr>
        <w:pStyle w:val="Footnote"/>
      </w:pPr>
      <w:r>
        <w:rPr>
          <w:rStyle w:val="FootnoteReference"/>
        </w:rPr>
        <w:footnoteRef/>
      </w:r>
      <w:r>
        <w:t xml:space="preserve"> </w:t>
      </w:r>
      <w:r w:rsidRPr="00475463">
        <w:t xml:space="preserve">Three approaches to determine segment reporting quality currently exist.  First, researchers estimate a firm’s operational diversity from plant-level data collected by the U.S. Census Bureau </w:t>
      </w:r>
      <w:r w:rsidRPr="00475463">
        <w:fldChar w:fldCharType="begin"/>
      </w:r>
      <w:r>
        <w:instrText xml:space="preserve"> ADDIN EN.CITE &lt;EndNote&gt;&lt;Cite&gt;&lt;Author&gt;Bens&lt;/Author&gt;&lt;Year&gt;2011&lt;/Year&gt;&lt;RecNum&gt;151&lt;/RecNum&gt;&lt;Prefix&gt;i.e.`, &lt;/Prefix&gt;&lt;DisplayText&gt;(i.e., Bens, Berger, and Monahan 2011)&lt;/DisplayText&gt;&lt;record&gt;&lt;rec-number&gt;151&lt;/rec-number&gt;&lt;foreign-keys&gt;&lt;key app="EN" db-id="0svx9dsr8pfxzmere98xdw5cr9vx9fdw2wrt" timestamp="1392430214"&gt;151&lt;/key&gt;&lt;key app="ENWeb" db-id=""&gt;0&lt;/key&gt;&lt;/foreign-keys&gt;&lt;ref-type name="Journal Article"&gt;17&lt;/ref-type&gt;&lt;contributors&gt;&lt;authors&gt;&lt;author&gt;Bens, Daniel A.&lt;/author&gt;&lt;author&gt;Berger, Philip G.&lt;/author&gt;&lt;author&gt;Monahan, Steven J.&lt;/author&gt;&lt;/authors&gt;&lt;/contributors&gt;&lt;auth-address&gt;U AZ&amp;#xD;U Chicago&amp;#xD;INSEAD, Fontainebleau&lt;/auth-address&gt;&lt;titles&gt;&lt;title&gt;Discretionary Disclosure in Financial Reporting: An Examination Comparing Internal Firm Data to Externally Reported Segment Data&lt;/title&gt;&lt;secondary-title&gt;Accounting Review&lt;/secondary-title&gt;&lt;/titles&gt;&lt;periodical&gt;&lt;full-title&gt;Accounting Review&lt;/full-title&gt;&lt;/periodical&gt;&lt;pages&gt;417-449&lt;/pages&gt;&lt;volume&gt;86&lt;/volume&gt;&lt;number&gt;2&lt;/number&gt;&lt;keywords&gt;&lt;keyword&gt;Financing Policy&lt;/keyword&gt;&lt;keyword&gt;Financial Risk and Risk Management&lt;/keyword&gt;&lt;keyword&gt;Capital and Ownership Structure&lt;/keyword&gt;&lt;keyword&gt;Value of Firms&lt;/keyword&gt;&lt;keyword&gt;Goodwill G32&lt;/keyword&gt;&lt;keyword&gt;Accounting M41&lt;/keyword&gt;&lt;/keywords&gt;&lt;dates&gt;&lt;year&gt;2011&lt;/year&gt;&lt;/dates&gt;&lt;isbn&gt;00014826&lt;/isbn&gt;&lt;accession-num&gt;1372048&lt;/accession-num&gt;&lt;urls&gt;&lt;related-urls&gt;&lt;url&gt;http://libraries.ou.edu/access.aspx?url=http://search.ebscohost.com/login.aspx?direct=true&amp;amp;db=ecn&amp;amp;AN=1372048&amp;amp;site=ehost-live&lt;/url&gt;&lt;url&gt;http://aaapubs.org/loi/accr&lt;/url&gt;&lt;/related-urls&gt;&lt;/urls&gt;&lt;electronic-resource-num&gt;http://aaapubs.org/loi/accr&lt;/electronic-resource-num&gt;&lt;remote-database-name&gt;ecn&lt;/remote-database-name&gt;&lt;remote-database-provider&gt;EBSCOhost&lt;/remote-database-provider&gt;&lt;/record&gt;&lt;/Cite&gt;&lt;/EndNote&gt;</w:instrText>
      </w:r>
      <w:r w:rsidRPr="00475463">
        <w:fldChar w:fldCharType="separate"/>
      </w:r>
      <w:r>
        <w:rPr>
          <w:noProof/>
        </w:rPr>
        <w:t>(i.e., Bens, Berger, and Monahan 2011)</w:t>
      </w:r>
      <w:r w:rsidRPr="00475463">
        <w:fldChar w:fldCharType="end"/>
      </w:r>
      <w:r w:rsidRPr="00475463">
        <w:t xml:space="preserve">.  Second, researchers use data from a source that has verified a firm’s operations in more detail than segments reported in financial statements—such as the </w:t>
      </w:r>
      <w:r w:rsidRPr="00475463">
        <w:rPr>
          <w:i/>
        </w:rPr>
        <w:t>Standard &amp; Poor’s Register of Corporations, Directors and Executives</w:t>
      </w:r>
      <w:r w:rsidRPr="00475463">
        <w:t xml:space="preserve"> </w:t>
      </w:r>
      <w:r w:rsidRPr="00475463">
        <w:fldChar w:fldCharType="begin">
          <w:fldData xml:space="preserve">PEVuZE5vdGU+PENpdGU+PEF1dGhvcj5CZW5zPC9BdXRob3I+PFllYXI+MjAwNDwvWWVhcj48UmVj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</w:fldData>
        </w:fldChar>
      </w:r>
      <w:r>
        <w:instrText xml:space="preserve"> ADDIN EN.CITE </w:instrText>
      </w:r>
      <w:r>
        <w:fldChar w:fldCharType="begin">
          <w:fldData xml:space="preserve">PEVuZE5vdGU+PENpdGU+PEF1dGhvcj5CZW5zPC9BdXRob3I+PFllYXI+MjAwNDwvWWVhcj48UmVj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</w:fldData>
        </w:fldChar>
      </w:r>
      <w:r>
        <w:instrText xml:space="preserve"> ADDIN EN.CITE.DATA </w:instrText>
      </w:r>
      <w:r>
        <w:fldChar w:fldCharType="end"/>
      </w:r>
      <w:r w:rsidRPr="00475463">
        <w:fldChar w:fldCharType="separate"/>
      </w:r>
      <w:r>
        <w:rPr>
          <w:noProof/>
        </w:rPr>
        <w:t>(Bens and Monahan 2004, Piotroski 2003)</w:t>
      </w:r>
      <w:r w:rsidRPr="00475463">
        <w:fldChar w:fldCharType="end"/>
      </w:r>
      <w:r w:rsidRPr="00475463">
        <w:t xml:space="preserve">.  Finally, researchers take segment reports as given, examining the quality of reported information using the number of items reported in above mandatory requirements </w:t>
      </w:r>
      <w:r w:rsidRPr="00475463">
        <w:fldChar w:fldCharType="begin"/>
      </w:r>
      <w:r>
        <w:instrText xml:space="preserve"> ADDIN EN.CITE &lt;EndNote&gt;&lt;Cite&gt;&lt;Author&gt;Blanco Peláez&lt;/Author&gt;&lt;Year&gt;2013&lt;/Year&gt;&lt;RecNum&gt;109&lt;/RecNum&gt;&lt;DisplayText&gt;(Blanco Peláez, García Lara, and Tribó Giné 2013, 2010)&lt;/DisplayText&gt;&lt;record&gt;&lt;rec-number&gt;109&lt;/rec-number&gt;&lt;foreign-keys&gt;&lt;key app="EN" db-id="0svx9dsr8pfxzmere98xdw5cr9vx9fdw2wrt" timestamp="1392430118"&gt;109&lt;/key&gt;&lt;/foreign-keys&gt;&lt;ref-type name="Journal Article"&gt;17&lt;/ref-type&gt;&lt;contributors&gt;&lt;authors&gt;&lt;author&gt;Blanco Peláez, Belén&lt;/author&gt;&lt;author&gt;García Lara, Juan Manuel&lt;/author&gt;&lt;author&gt;Tribó Giné, Josep A&lt;/author&gt;&lt;/authors&gt;&lt;/contributors&gt;&lt;titles&gt;&lt;title&gt;The Relation Between Segment Disclosure and Earnings Quality&lt;/title&gt;&lt;secondary-title&gt;Journal of Accounting &amp;amp; Public Policy&lt;/secondary-title&gt;&lt;/titles&gt;&lt;periodical&gt;&lt;full-title&gt;Journal of Accounting &amp;amp; Public Policy&lt;/full-title&gt;&lt;/periodical&gt;&lt;volume&gt;Forthcoming&lt;/volume&gt;&lt;dates&gt;&lt;year&gt;2013&lt;/year&gt;&lt;/dates&gt;&lt;urls&gt;&lt;/urls&gt;&lt;/record&gt;&lt;/Cite&gt;&lt;Cite&gt;&lt;Author&gt;Blanco Peláez&lt;/Author&gt;&lt;Year&gt;2010&lt;/Year&gt;&lt;RecNum&gt;155&lt;/RecNum&gt;&lt;record&gt;&lt;rec-number&gt;155&lt;/rec-number&gt;&lt;foreign-keys&gt;&lt;key app="EN" db-id="0svx9dsr8pfxzmere98xdw5cr9vx9fdw2wrt" timestamp="1392430222"&gt;155&lt;/key&gt;&lt;key app="ENWeb" db-id=""&gt;0&lt;/key&gt;&lt;/foreign-keys&gt;&lt;ref-type name="Unpublished Work"&gt;34&lt;/ref-type&gt;&lt;contributors&gt;&lt;authors&gt;&lt;author&gt;Blanco Peláez, Belén&lt;/author&gt;&lt;author&gt;García Lara, Juan Manuel&lt;/author&gt;&lt;author&gt;Tribó Giné, Josep A&lt;/author&gt;&lt;/authors&gt;&lt;/contributors&gt;&lt;titles&gt;&lt;title&gt;The Complementarity between segment disclosure and earnings quality, and its effect on cost of capital&lt;/title&gt;&lt;/titles&gt;&lt;dates&gt;&lt;year&gt;2010&lt;/year&gt;&lt;/dates&gt;&lt;urls&gt;&lt;/urls&gt;&lt;/record&gt;&lt;/Cite&gt;&lt;/EndNote&gt;</w:instrText>
      </w:r>
      <w:r w:rsidRPr="00475463">
        <w:fldChar w:fldCharType="separate"/>
      </w:r>
      <w:r>
        <w:rPr>
          <w:noProof/>
        </w:rPr>
        <w:t>(Blanco Peláez, García Lara, and Tribó Giné 2013, 2010)</w:t>
      </w:r>
      <w:r w:rsidRPr="00475463">
        <w:fldChar w:fldCharType="end"/>
      </w:r>
      <w:r w:rsidRPr="00475463">
        <w:t xml:space="preserve"> or rating the quality of reported segment information </w:t>
      </w:r>
      <w:r w:rsidRPr="00475463">
        <w:fldChar w:fldCharType="begin"/>
      </w:r>
      <w:r>
        <w:instrText xml:space="preserve"> ADDIN EN.CITE &lt;EndNote&gt;&lt;Cite&gt;&lt;Author&gt;Saini&lt;/Author&gt;&lt;Year&gt;2010&lt;/Year&gt;&lt;RecNum&gt;142&lt;/RecNum&gt;&lt;DisplayText&gt;(Saini 2010, Saini and Herrmann 2011)&lt;/DisplayText&gt;&lt;record&gt;&lt;rec-number&gt;142&lt;/rec-number&gt;&lt;foreign-keys&gt;&lt;key app="EN" db-id="0svx9dsr8pfxzmere98xdw5cr9vx9fdw2wrt" timestamp="1392430199"&gt;142&lt;/key&gt;&lt;/foreign-keys&gt;&lt;ref-type name="Thesis"&gt;32&lt;/ref-type&gt;&lt;contributors&gt;&lt;authors&gt;&lt;author&gt;Saini, Jagjit Singh&lt;/author&gt;&lt;/authors&gt;&lt;/contributors&gt;&lt;titles&gt;&lt;title&gt;Information Asymmetry, Segment Disclosures, and Cost of Equity Capital&lt;/title&gt;&lt;/titles&gt;&lt;dates&gt;&lt;year&gt;2010&lt;/year&gt;&lt;/dates&gt;&lt;publisher&gt;Oklahoma State University&lt;/publisher&gt;&lt;urls&gt;&lt;/urls&gt;&lt;/record&gt;&lt;/Cite&gt;&lt;Cite&gt;&lt;Author&gt;Saini&lt;/Author&gt;&lt;Year&gt;2011&lt;/Year&gt;&lt;RecNum&gt;141&lt;/RecNum&gt;&lt;record&gt;&lt;rec-number&gt;141&lt;/rec-number&gt;&lt;foreign-keys&gt;&lt;key app="EN" db-id="0svx9dsr8pfxzmere98xdw5cr9vx9fdw2wrt" timestamp="1392430199"&gt;141&lt;/key&gt;&lt;/foreign-keys&gt;&lt;ref-type name="Journal Article"&gt;17&lt;/ref-type&gt;&lt;contributors&gt;&lt;authors&gt;&lt;author&gt;Saini, Jagjit&lt;/author&gt;&lt;author&gt;Herrmann, Don&lt;/author&gt;&lt;/authors&gt;&lt;/contributors&gt;&lt;titles&gt;&lt;title&gt;Cost of Equity Capital, Information Asymmetry, and Segment Disclosure&lt;/title&gt;&lt;secondary-title&gt;Information Asymmetry, and Segment Disclosure (February 9, 2011)&lt;/secondary-title&gt;&lt;/titles&gt;&lt;periodical&gt;&lt;full-title&gt;Information Asymmetry, and Segment Disclosure (February 9, 2011)&lt;/full-title&gt;&lt;/periodical&gt;&lt;dates&gt;&lt;year&gt;2011&lt;/year&gt;&lt;/dates&gt;&lt;urls&gt;&lt;/urls&gt;&lt;/record&gt;&lt;/Cite&gt;&lt;/EndNote&gt;</w:instrText>
      </w:r>
      <w:r w:rsidRPr="00475463">
        <w:fldChar w:fldCharType="separate"/>
      </w:r>
      <w:r>
        <w:rPr>
          <w:noProof/>
        </w:rPr>
        <w:t>(Saini 2010, Saini and Herrmann 2011)</w:t>
      </w:r>
      <w:r w:rsidRPr="00475463">
        <w:fldChar w:fldCharType="end"/>
      </w:r>
      <w:r w:rsidRPr="00475463">
        <w:t>.</w:t>
      </w:r>
      <w:r>
        <w:t xml:space="preserve">  While my measure is not directly measuring segment reporting quality, more precise, differentiating segments can be thought of as a form of segment reporting quality.</w:t>
      </w:r>
    </w:p>
  </w:footnote>
  <w:footnote w:id="14">
    <w:p w:rsidR="00C46BD2" w:rsidRDefault="00C46BD2" w:rsidP="00BF588B">
      <w:pPr>
        <w:pStyle w:val="Footnote"/>
      </w:pPr>
      <w:r>
        <w:rPr>
          <w:rStyle w:val="FootnoteReference"/>
        </w:rPr>
        <w:footnoteRef/>
      </w:r>
      <w:r>
        <w:t xml:space="preserve"> TNIC refers to the fact that industry classifications are determined using textual analysis of product descriptions.</w:t>
      </w:r>
    </w:p>
  </w:footnote>
  <w:footnote w:id="15">
    <w:p w:rsidR="00C46BD2" w:rsidRDefault="00C46BD2" w:rsidP="00BF588B">
      <w:pPr>
        <w:pStyle w:val="Footnote"/>
      </w:pPr>
      <w:r>
        <w:rPr>
          <w:rStyle w:val="FootnoteReference"/>
        </w:rPr>
        <w:footnoteRef/>
      </w:r>
      <w:r>
        <w:t xml:space="preserve"> To see a full description of the procedure used to derive my measure of segment reporting differentiation with a detailed example, please refer to Appendix A.  </w:t>
      </w:r>
    </w:p>
  </w:footnote>
  <w:footnote w:id="16">
    <w:p w:rsidR="00C46BD2" w:rsidRDefault="00C46BD2" w:rsidP="00BF588B">
      <w:pPr>
        <w:pStyle w:val="Footnote"/>
      </w:pPr>
      <w:r>
        <w:rPr>
          <w:rStyle w:val="FootnoteReference"/>
        </w:rPr>
        <w:footnoteRef/>
      </w:r>
      <w:r>
        <w:t xml:space="preserve"> TNIC peer SIC codes are obtained from the Compustat Segment file.  To be included in the peer portfolio at least five percent of firms must disclose the same SIC code.  This cutoff is made to identify core peer firm operations.  Results are the same if this cutoff is not made or the level of similarity between peers is varied below or above 5 percent.</w:t>
      </w:r>
    </w:p>
  </w:footnote>
  <w:footnote w:id="17">
    <w:p w:rsidR="00C46BD2" w:rsidRPr="001E6C9D" w:rsidRDefault="00C46BD2" w:rsidP="00BF588B">
      <w:pPr>
        <w:pStyle w:val="Footnote"/>
      </w:pPr>
      <w:r>
        <w:rPr>
          <w:rStyle w:val="FootnoteReference"/>
        </w:rPr>
        <w:footnoteRef/>
      </w:r>
      <w:r>
        <w:t xml:space="preserve"> Research has not agreed on how industries should be defined.  </w:t>
      </w:r>
      <w:r>
        <w:fldChar w:fldCharType="begin"/>
      </w:r>
      <w:r>
        <w:instrText xml:space="preserve"> ADDIN EN.CITE &lt;EndNote&gt;&lt;Cite AuthorYear="1"&gt;&lt;Author&gt;Bhojraj&lt;/Author&gt;&lt;Year&gt;2003&lt;/Year&gt;&lt;RecNum&gt;226&lt;/RecNum&gt;&lt;DisplayText&gt;Bhojraj, Lee, and Oler (2003)&lt;/DisplayText&gt;&lt;record&gt;&lt;rec-number&gt;226&lt;/rec-number&gt;&lt;foreign-keys&gt;&lt;key app="EN" db-id="0svx9dsr8pfxzmere98xdw5cr9vx9fdw2wrt" timestamp="1392430406"&gt;226&lt;/key&gt;&lt;/foreign-keys&gt;&lt;ref-type name="Journal Article"&gt;17&lt;/ref-type&gt;&lt;contributors&gt;&lt;authors&gt;&lt;author&gt;Bhojraj, Sanjeev&lt;/author&gt;&lt;author&gt;Lee, Charles M. C.&lt;/author&gt;&lt;author&gt;Oler, Derek K.&lt;/author&gt;&lt;/authors&gt;&lt;/contributors&gt;&lt;titles&gt;&lt;title&gt;What&amp;apos;s My Line? A Comparison of Industry Classification Schemes for Capital Market Research&lt;/title&gt;&lt;secondary-title&gt;Journal of Accounting Research&lt;/secondary-title&gt;&lt;/titles&gt;&lt;periodical&gt;&lt;full-title&gt;Journal of Accounting Research&lt;/full-title&gt;&lt;/periodical&gt;&lt;pages&gt;745-774&lt;/pages&gt;&lt;volume&gt;41&lt;/volume&gt;&lt;number&gt;5&lt;/number&gt;&lt;keywords&gt;&lt;keyword&gt;INDUSTRIES -- Classification&lt;/keyword&gt;&lt;keyword&gt;MARKETING research&lt;/keyword&gt;&lt;keyword&gt;CAPITAL market&lt;/keyword&gt;&lt;keyword&gt;STOCKS (Finance) -- Rate of return&lt;/keyword&gt;&lt;keyword&gt;BUSINESS enterprises -- Size&lt;/keyword&gt;&lt;keyword&gt;FINANCIAL ratios&lt;/keyword&gt;&lt;keyword&gt;BUSINESS enterprises -- Finance&lt;/keyword&gt;&lt;keyword&gt;VALUATION&lt;/keyword&gt;&lt;keyword&gt;GROWTH rate&lt;/keyword&gt;&lt;keyword&gt;FINANCIAL statements&lt;/keyword&gt;&lt;keyword&gt;CORPORATE profits&lt;/keyword&gt;&lt;keyword&gt;STANDARD &amp;amp; Poor&amp;apos;s Ratings Services (Company)&lt;/keyword&gt;&lt;/keywords&gt;&lt;dates&gt;&lt;year&gt;2003&lt;/year&gt;&lt;/dates&gt;&lt;publisher&gt;Wiley-Blackwell&lt;/publisher&gt;&lt;isbn&gt;00218456&lt;/isbn&gt;&lt;accession-num&gt;11397716&lt;/accession-num&gt;&lt;work-type&gt;Article&lt;/work-type&gt;&lt;urls&gt;&lt;related-urls&gt;&lt;url&gt;http://libraries.ou.edu/access.aspx?url=http://search.ebscohost.com/login.aspx?direct=true&amp;amp;db=buh&amp;amp;AN=11397716&amp;amp;site=ehost-live&lt;/url&gt;&lt;url&gt;http://onlinelibrary.wiley.com/doi/10.1046/j.1475-679X.2003.00122.x/abstract&lt;/url&gt;&lt;/related-urls&gt;&lt;/urls&gt;&lt;electronic-resource-num&gt;10.1046/j.1475-679X.2003.00122.x&lt;/electronic-resource-num&gt;&lt;remote-database-name&gt;buh&lt;/remote-database-name&gt;&lt;remote-database-provider&gt;EBSCOhost&lt;/remote-database-provider&gt;&lt;/record&gt;&lt;/Cite&gt;&lt;/EndNote&gt;</w:instrText>
      </w:r>
      <w:r>
        <w:fldChar w:fldCharType="separate"/>
      </w:r>
      <w:r>
        <w:rPr>
          <w:noProof/>
        </w:rPr>
        <w:t>Bhojraj, Lee, and Oler (2003)</w:t>
      </w:r>
      <w:r>
        <w:fldChar w:fldCharType="end"/>
      </w:r>
      <w:r>
        <w:t xml:space="preserve"> provide a comparison of industry classification systems, concluding that GICS codes performed as well if not better than SIC, NAICS, or Fama-French 48 industry classifications.  But, GICS codes are not widely available for all firm-years.  SIC codes are most widely adopted.  Research using plant-level data uses four-digit SIC codes </w:t>
      </w:r>
      <w:r>
        <w:fldChar w:fldCharType="begin"/>
      </w:r>
      <w:r>
        <w:instrText xml:space="preserve"> ADDIN EN.CITE &lt;EndNote&gt;&lt;Cite&gt;&lt;Author&gt;Bens&lt;/Author&gt;&lt;Year&gt;2011&lt;/Year&gt;&lt;RecNum&gt;151&lt;/RecNum&gt;&lt;DisplayText&gt;(Bens, Berger, and Monahan 2011)&lt;/DisplayText&gt;&lt;record&gt;&lt;rec-number&gt;151&lt;/rec-number&gt;&lt;foreign-keys&gt;&lt;key app="EN" db-id="0svx9dsr8pfxzmere98xdw5cr9vx9fdw2wrt" timestamp="1392430214"&gt;151&lt;/key&gt;&lt;key app="ENWeb" db-id=""&gt;0&lt;/key&gt;&lt;/foreign-keys&gt;&lt;ref-type name="Journal Article"&gt;17&lt;/ref-type&gt;&lt;contributors&gt;&lt;authors&gt;&lt;author&gt;Bens, Daniel A.&lt;/author&gt;&lt;author&gt;Berger, Philip G.&lt;/author&gt;&lt;author&gt;Monahan, Steven J.&lt;/author&gt;&lt;/authors&gt;&lt;/contributors&gt;&lt;auth-address&gt;U AZ&amp;#xD;U Chicago&amp;#xD;INSEAD, Fontainebleau&lt;/auth-address&gt;&lt;titles&gt;&lt;title&gt;Discretionary Disclosure in Financial Reporting: An Examination Comparing Internal Firm Data to Externally Reported Segment Data&lt;/title&gt;&lt;secondary-title&gt;Accounting Review&lt;/secondary-title&gt;&lt;/titles&gt;&lt;periodical&gt;&lt;full-title&gt;Accounting Review&lt;/full-title&gt;&lt;/periodical&gt;&lt;pages&gt;417-449&lt;/pages&gt;&lt;volume&gt;86&lt;/volume&gt;&lt;number&gt;2&lt;/number&gt;&lt;keywords&gt;&lt;keyword&gt;Financing Policy&lt;/keyword&gt;&lt;keyword&gt;Financial Risk and Risk Management&lt;/keyword&gt;&lt;keyword&gt;Capital and Ownership Structure&lt;/keyword&gt;&lt;keyword&gt;Value of Firms&lt;/keyword&gt;&lt;keyword&gt;Goodwill G32&lt;/keyword&gt;&lt;keyword&gt;Accounting M41&lt;/keyword&gt;&lt;/keywords&gt;&lt;dates&gt;&lt;year&gt;2011&lt;/year&gt;&lt;/dates&gt;&lt;isbn&gt;00014826&lt;/isbn&gt;&lt;accession-num&gt;1372048&lt;/accession-num&gt;&lt;urls&gt;&lt;related-urls&gt;&lt;url&gt;http://libraries.ou.edu/access.aspx?url=http://search.ebscohost.com/login.aspx?direct=true&amp;amp;db=ecn&amp;amp;AN=1372048&amp;amp;site=ehost-live&lt;/url&gt;&lt;url&gt;http://aaapubs.org/loi/accr&lt;/url&gt;&lt;/related-urls&gt;&lt;/urls&gt;&lt;electronic-resource-num&gt;http://aaapubs.org/loi/accr&lt;/electronic-resource-num&gt;&lt;remote-database-name&gt;ecn&lt;/remote-database-name&gt;&lt;remote-database-provider&gt;EBSCOhost&lt;/remote-database-provider&gt;&lt;/record&gt;&lt;/Cite&gt;&lt;/EndNote&gt;</w:instrText>
      </w:r>
      <w:r>
        <w:fldChar w:fldCharType="separate"/>
      </w:r>
      <w:r>
        <w:rPr>
          <w:noProof/>
        </w:rPr>
        <w:t>(Bens, Berger, and Monahan 2011)</w:t>
      </w:r>
      <w:r>
        <w:fldChar w:fldCharType="end"/>
      </w:r>
      <w:r>
        <w:t xml:space="preserve"> while most other research uses two or three-digit SIC codes.  Also, Hoberg and Phillips (2010a; 2013) state the granularity of their data is similar to that of three-digit SIC codes.  I use four-digit SIC codes to capture the breadth of focal firm operations but define the peer firm measure at the three-digit SIC code level to avoid issues of granularity.</w:t>
      </w:r>
    </w:p>
  </w:footnote>
  <w:footnote w:id="18">
    <w:p w:rsidR="00C46BD2" w:rsidRPr="00DD3C93" w:rsidRDefault="00C46BD2" w:rsidP="00BF588B">
      <w:pPr>
        <w:pStyle w:val="Footnote"/>
        <w:rPr>
          <w:szCs w:val="20"/>
        </w:rPr>
      </w:pPr>
      <w:r>
        <w:rPr>
          <w:rStyle w:val="FootnoteReference"/>
        </w:rPr>
        <w:footnoteRef/>
      </w:r>
      <w:r>
        <w:t xml:space="preserve"> </w:t>
      </w:r>
      <w:r w:rsidRPr="00DD3C93">
        <w:t>If peers are defined at the four-digit SIC code level issues of co</w:t>
      </w:r>
      <w:r>
        <w:t>l</w:t>
      </w:r>
      <w:r w:rsidRPr="00DD3C93">
        <w:t xml:space="preserve">inearity arise.  Also, defining peer groups at the four-digit level increases the probability that an SIC code group contains </w:t>
      </w:r>
      <w:r>
        <w:t xml:space="preserve">only a few </w:t>
      </w:r>
      <w:r w:rsidRPr="00DD3C93">
        <w:t>peers.  Thus, I define peer groups at the three-digit level</w:t>
      </w:r>
      <w:r w:rsidRPr="009A3D54">
        <w:t>.  The results remain unchanged if peers are defined at any level of SIC codes.</w:t>
      </w:r>
    </w:p>
  </w:footnote>
  <w:footnote w:id="19">
    <w:p w:rsidR="00C46BD2" w:rsidRPr="0096554D" w:rsidRDefault="00C46BD2" w:rsidP="00BF588B">
      <w:pPr>
        <w:pStyle w:val="Footnote"/>
      </w:pPr>
      <w:r>
        <w:rPr>
          <w:rStyle w:val="FootnoteReference"/>
        </w:rPr>
        <w:footnoteRef/>
      </w:r>
      <w:r>
        <w:t xml:space="preserve"> Equal-weighting treats all observations in a given industry-year equally.  This does not take into account how the size of a given firm in an industry-year may affect the median or mean value disproportionately.  Equal-weighting can overweight smaller firms and underweight large firms.  Value-weighting considers the market or book value of the firm when determining the median or mean value.  Value-weighting accounts for the disproportionate effect of larger firms on aggregate industry outcomes. Results are robust to equal-weighting </w:t>
      </w:r>
      <w:r>
        <w:rPr>
          <w:i/>
        </w:rPr>
        <w:t>DIFF</w:t>
      </w:r>
      <w:r>
        <w:t>.</w:t>
      </w:r>
    </w:p>
  </w:footnote>
  <w:footnote w:id="20">
    <w:p w:rsidR="00C46BD2" w:rsidRDefault="00C46BD2" w:rsidP="00E82B31">
      <w:pPr>
        <w:pStyle w:val="Footnote"/>
      </w:pPr>
      <w:r>
        <w:rPr>
          <w:rStyle w:val="FootnoteReference"/>
        </w:rPr>
        <w:footnoteRef/>
      </w:r>
      <w:r>
        <w:t xml:space="preserve"> </w:t>
      </w:r>
      <w:r>
        <w:fldChar w:fldCharType="begin"/>
      </w:r>
      <w:r>
        <w:instrText xml:space="preserve"> ADDIN EN.CITE &lt;EndNote&gt;&lt;Cite AuthorYear="1"&gt;&lt;Author&gt;Berger&lt;/Author&gt;&lt;Year&gt;1995&lt;/Year&gt;&lt;RecNum&gt;153&lt;/RecNum&gt;&lt;DisplayText&gt;Berger and Ofek (1995)&lt;/DisplayText&gt;&lt;record&gt;&lt;rec-number&gt;153&lt;/rec-number&gt;&lt;foreign-keys&gt;&lt;key app="EN" db-id="0svx9dsr8pfxzmere98xdw5cr9vx9fdw2wrt" timestamp="1392430217"&gt;153&lt;/key&gt;&lt;key app="ENWeb" db-id=""&gt;0&lt;/key&gt;&lt;/foreign-keys&gt;&lt;ref-type name="Journal Article"&gt;17&lt;/ref-type&gt;&lt;contributors&gt;&lt;authors&gt;&lt;author&gt;Berger, Philip G.&lt;/author&gt;&lt;author&gt;Ofek, Eli&lt;/author&gt;&lt;/authors&gt;&lt;/contributors&gt;&lt;auth-address&gt;Wharton School&amp;#xD;Stern School of Business, NYU&lt;/auth-address&gt;&lt;titles&gt;&lt;title&gt;Diversification&amp;apos;s Effect on Firm Value&lt;/title&gt;&lt;secondary-title&gt;Journal of Financial Economics&lt;/secondary-title&gt;&lt;/titles&gt;&lt;periodical&gt;&lt;full-title&gt;Journal of Financial Economics&lt;/full-title&gt;&lt;/periodical&gt;&lt;pages&gt;39-65&lt;/pages&gt;&lt;volume&gt;37&lt;/volume&gt;&lt;number&gt;1&lt;/number&gt;&lt;keywords&gt;&lt;keyword&gt;Financing Policy&lt;/keyword&gt;&lt;keyword&gt;Financial Risk and Risk Management&lt;/keyword&gt;&lt;keyword&gt;Capital and Ownership Structure&lt;/keyword&gt;&lt;keyword&gt;Value of Firms&lt;/keyword&gt;&lt;keyword&gt;Goodwill G32&lt;/keyword&gt;&lt;/keywords&gt;&lt;dates&gt;&lt;year&gt;1995&lt;/year&gt;&lt;/dates&gt;&lt;isbn&gt;0304405X&lt;/isbn&gt;&lt;accession-num&gt;0354453&lt;/accession-num&gt;&lt;urls&gt;&lt;related-urls&gt;&lt;url&gt;http://libraries.ou.edu/access.aspx?url=http://search.ebscohost.com/login.aspx?direct=true&amp;amp;db=ecn&amp;amp;AN=0354453&amp;amp;site=ehost-live&lt;/url&gt;&lt;url&gt;http://www.sciencedirect.com/science/journal/0304405X&lt;/url&gt;&lt;/related-urls&gt;&lt;/urls&gt;&lt;electronic-resource-num&gt;http://www.sciencedirect.com/science/journal/0304405X&lt;/electronic-resource-num&gt;&lt;remote-database-name&gt;ecn&lt;/remote-database-name&gt;&lt;remote-database-provider&gt;EBSCOhost&lt;/remote-database-provider&gt;&lt;/record&gt;&lt;/Cite&gt;&lt;/EndNote&gt;</w:instrText>
      </w:r>
      <w:r>
        <w:fldChar w:fldCharType="separate"/>
      </w:r>
      <w:r>
        <w:rPr>
          <w:noProof/>
        </w:rPr>
        <w:t>Berger and Ofek (1995)</w:t>
      </w:r>
      <w:r>
        <w:fldChar w:fldCharType="end"/>
      </w:r>
      <w:r>
        <w:t xml:space="preserve"> chose 1.386 and -1.386 as cutoff points because actual values above or below these thresholds are less than four times or one-fourth the imputed value, respectively.</w:t>
      </w:r>
    </w:p>
  </w:footnote>
  <w:footnote w:id="21">
    <w:p w:rsidR="00C46BD2" w:rsidRDefault="00C46BD2" w:rsidP="00E82B31">
      <w:pPr>
        <w:pStyle w:val="Footnote"/>
      </w:pPr>
      <w:r>
        <w:rPr>
          <w:rStyle w:val="FootnoteReference"/>
        </w:rPr>
        <w:footnoteRef/>
      </w:r>
      <w:r>
        <w:t xml:space="preserve"> Using median industry multipliers provides similar results.</w:t>
      </w:r>
    </w:p>
  </w:footnote>
  <w:footnote w:id="22">
    <w:p w:rsidR="00C46BD2" w:rsidRDefault="00C46BD2" w:rsidP="00E82B31">
      <w:pPr>
        <w:pStyle w:val="Footnote"/>
      </w:pPr>
      <w:r>
        <w:rPr>
          <w:rStyle w:val="FootnoteReference"/>
        </w:rPr>
        <w:footnoteRef/>
      </w:r>
      <w:r>
        <w:t xml:space="preserve"> Berger and Ofek as well as others using their methodology have found all segments are defined at the two-digit SIC code level, as is the case in this study  This makes defining industries by single-digit SIC code unnecessary.</w:t>
      </w:r>
    </w:p>
  </w:footnote>
  <w:footnote w:id="23">
    <w:p w:rsidR="00C46BD2" w:rsidRDefault="00C46BD2" w:rsidP="00E82B31">
      <w:pPr>
        <w:pStyle w:val="Footnote"/>
      </w:pPr>
      <w:r>
        <w:rPr>
          <w:rStyle w:val="FootnoteReference"/>
        </w:rPr>
        <w:footnoteRef/>
      </w:r>
      <w:r>
        <w:t xml:space="preserve"> Firms often have a large amount of corporate assets that are unallocated to segments.  Enacting a threshold of one percent, similar to the sales threshold, would exclude firms with corporate assets not allocated to operating segments.  Thus, the higher threshold of 25 percent of assets is chosen.</w:t>
      </w:r>
    </w:p>
  </w:footnote>
  <w:footnote w:id="24">
    <w:p w:rsidR="00C46BD2" w:rsidRDefault="00C46BD2" w:rsidP="00E82B31">
      <w:pPr>
        <w:pStyle w:val="Footnote"/>
      </w:pPr>
      <w:r>
        <w:rPr>
          <w:rStyle w:val="FootnoteReference"/>
        </w:rPr>
        <w:footnoteRef/>
      </w:r>
      <w:r>
        <w:t xml:space="preserve"> I use an HHI index provided by </w:t>
      </w:r>
      <w:r>
        <w:fldChar w:fldCharType="begin"/>
      </w:r>
      <w:r>
        <w:instrText xml:space="preserve"> ADDIN EN.CITE &lt;EndNote&gt;&lt;Cite AuthorYear="1"&gt;&lt;Author&gt;Hoberg&lt;/Author&gt;&lt;Year&gt;2010&lt;/Year&gt;&lt;RecNum&gt;232&lt;/RecNum&gt;&lt;DisplayText&gt;Hoberg and Phillips (2010b)&lt;/DisplayText&gt;&lt;record&gt;&lt;rec-number&gt;232&lt;/rec-number&gt;&lt;foreign-keys&gt;&lt;key app="EN" db-id="0svx9dsr8pfxzmere98xdw5cr9vx9fdw2wrt" timestamp="1395952066"&gt;232&lt;/key&gt;&lt;/foreign-keys&gt;&lt;ref-type name="Journal Article"&gt;17&lt;/ref-type&gt;&lt;contributors&gt;&lt;authors&gt;&lt;author&gt;Hoberg, Gerard&lt;/author&gt;&lt;author&gt;Phillips, Gordon&lt;/author&gt;&lt;/authors&gt;&lt;/contributors&gt;&lt;titles&gt;&lt;title&gt;Real and financial industry booms and busts&lt;/title&gt;&lt;secondary-title&gt;The Journal of Finance&lt;/secondary-title&gt;&lt;/titles&gt;&lt;periodical&gt;&lt;full-title&gt;The Journal of Finance&lt;/full-title&gt;&lt;/periodical&gt;&lt;pages&gt;45-86&lt;/pages&gt;&lt;volume&gt;65&lt;/volume&gt;&lt;number&gt;1&lt;/number&gt;&lt;dates&gt;&lt;year&gt;2010&lt;/year&gt;&lt;/dates&gt;&lt;isbn&gt;1540-6261&lt;/isbn&gt;&lt;urls&gt;&lt;/urls&gt;&lt;/record&gt;&lt;/Cite&gt;&lt;/EndNote&gt;</w:instrText>
      </w:r>
      <w:r>
        <w:fldChar w:fldCharType="separate"/>
      </w:r>
      <w:r>
        <w:rPr>
          <w:noProof/>
        </w:rPr>
        <w:t>Hoberg and Phillips (2010b)</w:t>
      </w:r>
      <w:r>
        <w:fldChar w:fldCharType="end"/>
      </w:r>
      <w:r>
        <w:t xml:space="preserve"> because using an HHI index based on Compustat data alone can lead to incorrect conclusions </w:t>
      </w:r>
      <w:r>
        <w:fldChar w:fldCharType="begin"/>
      </w:r>
      <w:r>
        <w:instrText xml:space="preserve"> ADDIN EN.CITE &lt;EndNote&gt;&lt;Cite&gt;&lt;Author&gt;Ali&lt;/Author&gt;&lt;Year&gt;2009&lt;/Year&gt;&lt;RecNum&gt;233&lt;/RecNum&gt;&lt;DisplayText&gt;(Ali, Klasa, and Yeung 2009)&lt;/DisplayText&gt;&lt;record&gt;&lt;rec-number&gt;233&lt;/rec-number&gt;&lt;foreign-keys&gt;&lt;key app="EN" db-id="0svx9dsr8pfxzmere98xdw5cr9vx9fdw2wrt" timestamp="1395952066"&gt;233&lt;/key&gt;&lt;/foreign-keys&gt;&lt;ref-type name="Journal Article"&gt;17&lt;/ref-type&gt;&lt;contributors&gt;&lt;authors&gt;&lt;author&gt;Ali, Ashiq&lt;/author&gt;&lt;author&gt;Klasa, Sandy&lt;/author&gt;&lt;author&gt;Yeung, Eric&lt;/author&gt;&lt;/authors&gt;&lt;/contributors&gt;&lt;titles&gt;&lt;title&gt;The limitations of industry concentration measures constructed with Compustat data: Implications for finance research&lt;/title&gt;&lt;secondary-title&gt;Review of Financial Studies&lt;/secondary-title&gt;&lt;/titles&gt;&lt;periodical&gt;&lt;full-title&gt;Review of Financial Studies&lt;/full-title&gt;&lt;/periodical&gt;&lt;pages&gt;3839-3871&lt;/pages&gt;&lt;volume&gt;22&lt;/volume&gt;&lt;number&gt;10&lt;/number&gt;&lt;dates&gt;&lt;year&gt;2009&lt;/year&gt;&lt;/dates&gt;&lt;isbn&gt;0893-9454&lt;/isbn&gt;&lt;urls&gt;&lt;/urls&gt;&lt;/record&gt;&lt;/Cite&gt;&lt;/EndNote&gt;</w:instrText>
      </w:r>
      <w:r>
        <w:fldChar w:fldCharType="separate"/>
      </w:r>
      <w:r>
        <w:rPr>
          <w:noProof/>
        </w:rPr>
        <w:t>(Ali, Klasa, and Yeung 2009)</w:t>
      </w:r>
      <w:r>
        <w:fldChar w:fldCharType="end"/>
      </w:r>
      <w:r>
        <w:t xml:space="preserve">.  </w:t>
      </w:r>
      <w:r>
        <w:fldChar w:fldCharType="begin"/>
      </w:r>
      <w:r>
        <w:instrText xml:space="preserve"> ADDIN EN.CITE &lt;EndNote&gt;&lt;Cite AuthorYear="1"&gt;&lt;Author&gt;Hoberg&lt;/Author&gt;&lt;Year&gt;2010&lt;/Year&gt;&lt;RecNum&gt;232&lt;/RecNum&gt;&lt;DisplayText&gt;Hoberg and Phillips (2010b)&lt;/DisplayText&gt;&lt;record&gt;&lt;rec-number&gt;232&lt;/rec-number&gt;&lt;foreign-keys&gt;&lt;key app="EN" db-id="0svx9dsr8pfxzmere98xdw5cr9vx9fdw2wrt" timestamp="1395952066"&gt;232&lt;/key&gt;&lt;/foreign-keys&gt;&lt;ref-type name="Journal Article"&gt;17&lt;/ref-type&gt;&lt;contributors&gt;&lt;authors&gt;&lt;author&gt;Hoberg, Gerard&lt;/author&gt;&lt;author&gt;Phillips, Gordon&lt;/author&gt;&lt;/authors&gt;&lt;/contributors&gt;&lt;titles&gt;&lt;title&gt;Real and financial industry booms and busts&lt;/title&gt;&lt;secondary-title&gt;The Journal of Finance&lt;/secondary-title&gt;&lt;/titles&gt;&lt;periodical&gt;&lt;full-title&gt;The Journal of Finance&lt;/full-title&gt;&lt;/periodical&gt;&lt;pages&gt;45-86&lt;/pages&gt;&lt;volume&gt;65&lt;/volume&gt;&lt;number&gt;1&lt;/number&gt;&lt;dates&gt;&lt;year&gt;2010&lt;/year&gt;&lt;/dates&gt;&lt;isbn&gt;1540-6261&lt;/isbn&gt;&lt;urls&gt;&lt;/urls&gt;&lt;/record&gt;&lt;/Cite&gt;&lt;/EndNote&gt;</w:instrText>
      </w:r>
      <w:r>
        <w:fldChar w:fldCharType="separate"/>
      </w:r>
      <w:r>
        <w:rPr>
          <w:noProof/>
        </w:rPr>
        <w:t>Hoberg and Phillips (2010b)</w:t>
      </w:r>
      <w:r>
        <w:fldChar w:fldCharType="end"/>
      </w:r>
      <w:r>
        <w:t xml:space="preserve"> have estimated HHIs using publically and privately available information.  Compustat is limited to publicly trade firms, omitting private firms, a large portion of competition in many markets.</w:t>
      </w:r>
    </w:p>
  </w:footnote>
  <w:footnote w:id="25">
    <w:p w:rsidR="00C46BD2" w:rsidRPr="00826AC0" w:rsidRDefault="00C46BD2" w:rsidP="00E82B31">
      <w:pPr>
        <w:pStyle w:val="Footnote"/>
      </w:pPr>
      <w:r>
        <w:rPr>
          <w:rStyle w:val="FootnoteReference"/>
        </w:rPr>
        <w:footnoteRef/>
      </w:r>
      <w:r>
        <w:t xml:space="preserve"> Bens and Monahan also </w:t>
      </w:r>
      <w:r w:rsidRPr="00826AC0">
        <w:t xml:space="preserve">include several variables </w:t>
      </w:r>
      <w:r>
        <w:t>describing analysts’ evaluation of the firm:</w:t>
      </w:r>
      <w:r w:rsidRPr="00826AC0">
        <w:t xml:space="preserve"> analyst forecasts, the average monthly following, forecast error, forecast dispersion, and the standard deviation of changes </w:t>
      </w:r>
      <w:r>
        <w:t>over the fis</w:t>
      </w:r>
      <w:r w:rsidRPr="00826AC0">
        <w:t>cal year in the median forecast from the preceding</w:t>
      </w:r>
      <w:r>
        <w:t xml:space="preserve"> </w:t>
      </w:r>
      <w:r w:rsidRPr="00826AC0">
        <w:t xml:space="preserve">month.  I exclude these variables </w:t>
      </w:r>
      <w:r>
        <w:t xml:space="preserve">for two reasons.  First, one measure of their study uses AMIR scores which are more closely related to analyst forecast, and second, using I/B/E/S data places </w:t>
      </w:r>
      <w:r w:rsidRPr="00826AC0">
        <w:t>additional restriction</w:t>
      </w:r>
      <w:r>
        <w:t>s on data by limiting the number of matches.  Analyst control variables in the study have limited explanatory power in most cases.</w:t>
      </w:r>
    </w:p>
  </w:footnote>
  <w:footnote w:id="26">
    <w:p w:rsidR="00C46BD2" w:rsidRDefault="00C46BD2" w:rsidP="00E82B31">
      <w:pPr>
        <w:pStyle w:val="Footnote"/>
      </w:pPr>
      <w:r>
        <w:rPr>
          <w:rStyle w:val="FootnoteReference"/>
        </w:rPr>
        <w:footnoteRef/>
      </w:r>
      <w:r>
        <w:t xml:space="preserve"> The change in standard occurred for firms filing in December 1998.  If a firm filed their annual return in November 1998 they would report segments under SFAS No. 14 unless voluntarily choosing to report under ASC 280.  I assume all firms disclosing prior to December 1998 report under SFAS No. 14 and firms disclosing after December 1, 1998 disclose using ASC 280.</w:t>
      </w:r>
    </w:p>
  </w:footnote>
  <w:footnote w:id="27">
    <w:p w:rsidR="00C46BD2" w:rsidRPr="002044D8" w:rsidRDefault="00C46BD2" w:rsidP="00786A89">
      <w:pPr>
        <w:pStyle w:val="Footnote"/>
      </w:pPr>
      <w:r>
        <w:rPr>
          <w:rStyle w:val="FootnoteReference"/>
        </w:rPr>
        <w:footnoteRef/>
      </w:r>
      <w:r>
        <w:t xml:space="preserve"> </w:t>
      </w:r>
      <w:r w:rsidRPr="002044D8">
        <w:t xml:space="preserve">Industry </w:t>
      </w:r>
      <w:r>
        <w:t>groups are presented using Fama-</w:t>
      </w:r>
      <w:r w:rsidRPr="002044D8">
        <w:t>French 48 industry classifications for</w:t>
      </w:r>
      <w:r>
        <w:t xml:space="preserve"> ease of presentation.  SIC codes are used in analysis.</w:t>
      </w:r>
    </w:p>
  </w:footnote>
  <w:footnote w:id="28">
    <w:p w:rsidR="00C46BD2" w:rsidRDefault="00C46BD2" w:rsidP="00786A89">
      <w:pPr>
        <w:pStyle w:val="Footnote"/>
      </w:pPr>
      <w:r>
        <w:rPr>
          <w:rStyle w:val="FootnoteReference"/>
        </w:rPr>
        <w:footnoteRef/>
      </w:r>
      <w:r>
        <w:t xml:space="preserve"> As previously noted, I make one deviation from Berger and Ofek.  I use mean industry multipliers instead of median industry multipliers (discussed in detail previously).  In separate analysis, results are consistent when using median industry multipliers.  Results for mean industry multipliers are not reported by Berger and Ofek for comparison.</w:t>
      </w:r>
    </w:p>
  </w:footnote>
  <w:footnote w:id="29">
    <w:p w:rsidR="00C46BD2" w:rsidRPr="00385E53" w:rsidRDefault="00C46BD2" w:rsidP="00786A89">
      <w:pPr>
        <w:pStyle w:val="Footnote"/>
      </w:pPr>
      <w:r>
        <w:rPr>
          <w:rStyle w:val="FootnoteReference"/>
        </w:rPr>
        <w:footnoteRef/>
      </w:r>
      <w:r>
        <w:t xml:space="preserve"> To reconcile the values listed in descriptive statistics with values used in regressions, the reported value is added to one, and then the natural log is taken.  For example, the mean (median) </w:t>
      </w:r>
      <w:r>
        <w:rPr>
          <w:i/>
        </w:rPr>
        <w:t>FFDIFF</w:t>
      </w:r>
      <w:r>
        <w:t xml:space="preserve"> for multi-segment firms is 0.3148 (0.1484).</w:t>
      </w:r>
    </w:p>
  </w:footnote>
  <w:footnote w:id="30">
    <w:p w:rsidR="00C46BD2" w:rsidRDefault="00C46BD2" w:rsidP="00786A89">
      <w:pPr>
        <w:pStyle w:val="Footnote"/>
      </w:pPr>
      <w:r>
        <w:rPr>
          <w:rStyle w:val="FootnoteReference"/>
        </w:rPr>
        <w:footnoteRef/>
      </w:r>
      <w:r>
        <w:t xml:space="preserve"> Single segment firms that do not operate in the same four-digit SIC code as product market peers operate in SIC codes very similar to product market peers.  In this case, product market peers operate in four-digit SIC codes above and/or below the single-segment’s four-digit SIC code.</w:t>
      </w:r>
    </w:p>
  </w:footnote>
  <w:footnote w:id="31">
    <w:p w:rsidR="00C46BD2" w:rsidRDefault="00C46BD2" w:rsidP="00786A89">
      <w:pPr>
        <w:pStyle w:val="Footnote"/>
      </w:pPr>
      <w:r>
        <w:rPr>
          <w:rStyle w:val="FootnoteReference"/>
        </w:rPr>
        <w:footnoteRef/>
      </w:r>
      <w:r>
        <w:t xml:space="preserve"> Estimating equation (6) on the pre-period only also results in similar conclusions.</w:t>
      </w:r>
    </w:p>
  </w:footnote>
  <w:footnote w:id="32">
    <w:p w:rsidR="00C46BD2" w:rsidRDefault="00C46BD2" w:rsidP="00786A89">
      <w:pPr>
        <w:pStyle w:val="Footnote"/>
      </w:pPr>
      <w:r>
        <w:rPr>
          <w:rStyle w:val="FootnoteReference"/>
        </w:rPr>
        <w:footnoteRef/>
      </w:r>
      <w:r>
        <w:t xml:space="preserve"> Median values provide similar intuition.  For a ten percent increase in focal firm reporting—an increase of 1.6 percent of differentiating sales—implied value increases by $10.39 million when revenues are used to estimate excess value and $8.80 million when assets are used to estimate excess value.</w:t>
      </w:r>
    </w:p>
  </w:footnote>
  <w:footnote w:id="33">
    <w:p w:rsidR="00C46BD2" w:rsidRDefault="00C46BD2" w:rsidP="00786A89">
      <w:pPr>
        <w:pStyle w:val="Footnote"/>
      </w:pPr>
      <w:r>
        <w:rPr>
          <w:rStyle w:val="FootnoteReference"/>
        </w:rPr>
        <w:footnoteRef/>
      </w:r>
      <w:r>
        <w:t xml:space="preserve"> Median values provide similar intuition.  For a ten percent increase in the average level of segment differentiating sales—peer firms reporting 0.9 percent additional differentiating sales on average—implied value increases by $14.11 million when sales is used to estimate implied value and $11.95 million when assets is used to estimate excess value.</w:t>
      </w:r>
    </w:p>
  </w:footnote>
  <w:footnote w:id="34">
    <w:p w:rsidR="00C46BD2" w:rsidRDefault="00C46BD2" w:rsidP="00A7280B">
      <w:pPr>
        <w:pStyle w:val="Footnote"/>
      </w:pPr>
      <w:r>
        <w:rPr>
          <w:rStyle w:val="FootnoteReference"/>
        </w:rPr>
        <w:footnoteRef/>
      </w:r>
      <w:r>
        <w:t xml:space="preserve"> Single segment firms are by definition primary geographic segment reports and are not considered in this analysis.</w:t>
      </w:r>
    </w:p>
  </w:footnote>
  <w:footnote w:id="35">
    <w:p w:rsidR="00C46BD2" w:rsidRDefault="00C46BD2" w:rsidP="00A7280B">
      <w:pPr>
        <w:pStyle w:val="Footnote"/>
      </w:pPr>
      <w:r>
        <w:rPr>
          <w:rStyle w:val="FootnoteReference"/>
        </w:rPr>
        <w:footnoteRef/>
      </w:r>
      <w:r>
        <w:t xml:space="preserve"> Varying the percentage of peer firms disclosing an industry code (i.e., no cutoff or 1 percent versus 5 percent) does not affect results.</w:t>
      </w:r>
    </w:p>
  </w:footnote>
  <w:footnote w:id="36">
    <w:p w:rsidR="00C46BD2" w:rsidRDefault="00C46BD2" w:rsidP="00A7280B">
      <w:pPr>
        <w:pStyle w:val="Footnote"/>
      </w:pPr>
      <w:r>
        <w:rPr>
          <w:rStyle w:val="FootnoteReference"/>
        </w:rPr>
        <w:footnoteRef/>
      </w:r>
      <w:r>
        <w:t xml:space="preserve"> Six-digit NAICS codes are roughly equivalent in specificity to four-digit SIC codes.  Four-digit NAICS codes are roughly equivalent to three-digit SIC codes </w:t>
      </w:r>
      <w:r>
        <w:fldChar w:fldCharType="begin"/>
      </w:r>
      <w:r>
        <w:instrText xml:space="preserve"> ADDIN EN.CITE &lt;EndNote&gt;&lt;Cite&gt;&lt;Author&gt;Hoberg&lt;/Author&gt;&lt;Year&gt;2013&lt;/Year&gt;&lt;RecNum&gt;225&lt;/RecNum&gt;&lt;DisplayText&gt;(Hoberg and Phillips 2013)&lt;/DisplayText&gt;&lt;record&gt;&lt;rec-number&gt;225&lt;/rec-number&gt;&lt;foreign-keys&gt;&lt;key app="EN" db-id="0svx9dsr8pfxzmere98xdw5cr9vx9fdw2wrt" timestamp="1392430406"&gt;225&lt;/key&gt;&lt;/foreign-keys&gt;&lt;ref-type name="Journal Article"&gt;17&lt;/ref-type&gt;&lt;contributors&gt;&lt;authors&gt;&lt;author&gt;Hoberg, Gerard&lt;/author&gt;&lt;author&gt;Phillips, Gordon&lt;/author&gt;&lt;/authors&gt;&lt;/contributors&gt;&lt;titles&gt;&lt;title&gt;Text-Based Network Industries and Endogenous Product Differentiation&lt;/title&gt;&lt;secondary-title&gt;SSRN eLibrary&lt;/secondary-title&gt;&lt;/titles&gt;&lt;periodical&gt;&lt;full-title&gt;SSRN eLibrary&lt;/full-title&gt;&lt;/periodical&gt;&lt;edition&gt;July 15, 2013&lt;/edition&gt;&lt;dates&gt;&lt;year&gt;2013&lt;/year&gt;&lt;pub-dates&gt;&lt;date&gt;July 15, 2013&lt;/date&gt;&lt;/pub-dates&gt;&lt;/dates&gt;&lt;urls&gt;&lt;related-urls&gt;&lt;url&gt;Available at SSRN: http://ssrn.com/abstract=1520062 or http://dx.doi.org/10.2139/ssrn.1520062&lt;/url&gt;&lt;/related-urls&gt;&lt;/urls&gt;&lt;/record&gt;&lt;/Cite&gt;&lt;/EndNote&gt;</w:instrText>
      </w:r>
      <w:r>
        <w:fldChar w:fldCharType="separate"/>
      </w:r>
      <w:r>
        <w:rPr>
          <w:noProof/>
        </w:rPr>
        <w:t>(Hoberg and Phillips 2013)</w:t>
      </w:r>
      <w:r>
        <w:fldChar w:fldCharType="end"/>
      </w:r>
      <w:r>
        <w:t>.  Altering this specification does not change the interpretation of results.</w:t>
      </w:r>
    </w:p>
  </w:footnote>
  <w:footnote w:id="37">
    <w:p w:rsidR="00C46BD2" w:rsidRPr="00A73B8B" w:rsidRDefault="00C46BD2" w:rsidP="00D06B6F">
      <w:pPr>
        <w:pStyle w:val="Footnote"/>
      </w:pPr>
      <w:r>
        <w:rPr>
          <w:rStyle w:val="FootnoteReference"/>
        </w:rPr>
        <w:footnoteRef/>
      </w:r>
      <w:r>
        <w:t xml:space="preserve"> Of all Form 10-K filings, roughly 100 firms did not provide product descriptions compatible with the measurement of </w:t>
      </w:r>
      <w:r>
        <w:rPr>
          <w:i/>
        </w:rPr>
        <w:t>Product Cosine Similarity</w:t>
      </w:r>
      <w:r>
        <w:t>.  These firms are not expected to impact the results.</w:t>
      </w:r>
    </w:p>
  </w:footnote>
  <w:footnote w:id="38">
    <w:p w:rsidR="00C46BD2" w:rsidRDefault="00C46BD2" w:rsidP="00D06B6F">
      <w:pPr>
        <w:pStyle w:val="Footnote"/>
      </w:pPr>
      <w:r>
        <w:rPr>
          <w:rStyle w:val="FootnoteReference"/>
        </w:rPr>
        <w:footnoteRef/>
      </w:r>
      <w:r>
        <w:t xml:space="preserve"> While Hoberg and Phillips assert and provide some evidence that their TNICs provide a more accurate representation of industry clustering, I compare SIC codes because of their ubiquitous use in research and the fact that segment industries are defined in Compustat by SIC codes and have only recently started disclosing NAICS codes.</w:t>
      </w:r>
    </w:p>
  </w:footnote>
  <w:footnote w:id="39">
    <w:p w:rsidR="00C46BD2" w:rsidRPr="00A56E16" w:rsidRDefault="00C46BD2" w:rsidP="00D06B6F">
      <w:pPr>
        <w:pStyle w:val="Footnote"/>
      </w:pPr>
      <w:r>
        <w:rPr>
          <w:rStyle w:val="FootnoteReference"/>
        </w:rPr>
        <w:footnoteRef/>
      </w:r>
      <w:r>
        <w:t xml:space="preserve"> The construction of the vector </w:t>
      </w:r>
      <w:r w:rsidRPr="00BD6AA6">
        <w:rPr>
          <w:i/>
        </w:rPr>
        <w:t>P</w:t>
      </w:r>
      <w:r w:rsidRPr="00BD6AA6">
        <w:rPr>
          <w:i/>
          <w:vertAlign w:val="subscript"/>
        </w:rPr>
        <w:t>i</w:t>
      </w:r>
      <w:r>
        <w:t xml:space="preserve"> assigns equal weights to all words in the vector.  Hoberg and Phillips also discuss weighting the words in vector </w:t>
      </w:r>
      <w:r w:rsidRPr="00BD6AA6">
        <w:rPr>
          <w:i/>
        </w:rPr>
        <w:t>P</w:t>
      </w:r>
      <w:r w:rsidRPr="00BD6AA6">
        <w:rPr>
          <w:i/>
          <w:vertAlign w:val="subscript"/>
        </w:rPr>
        <w:t>i</w:t>
      </w:r>
      <w:r>
        <w:t xml:space="preserve"> by the frequency of use in the product description, a value-weighted approach.  They find no difference in this alternative definition of vector </w:t>
      </w:r>
      <w:r w:rsidRPr="00BD6AA6">
        <w:rPr>
          <w:i/>
        </w:rPr>
        <w:t>P</w:t>
      </w:r>
      <w:r w:rsidRPr="00BD6AA6">
        <w:rPr>
          <w:i/>
          <w:vertAlign w:val="subscript"/>
        </w:rPr>
        <w:t>i</w:t>
      </w:r>
      <w:r>
        <w:t xml:space="preserve">.  Thus, they conclude “a firm’s decision to use a given word to describe a product is more important than how frequently it is used </w:t>
      </w:r>
      <w:r>
        <w:fldChar w:fldCharType="begin"/>
      </w:r>
      <w:r>
        <w:instrText xml:space="preserve"> ADDIN EN.CITE &lt;EndNote&gt;&lt;Cite&gt;&lt;Author&gt;Hoberg&lt;/Author&gt;&lt;Year&gt;2013&lt;/Year&gt;&lt;RecNum&gt;225&lt;/RecNum&gt;&lt;Pages&gt;11&lt;/Pages&gt;&lt;DisplayText&gt;(Hoberg and Phillips 2013, 11)&lt;/DisplayText&gt;&lt;record&gt;&lt;rec-number&gt;225&lt;/rec-number&gt;&lt;foreign-keys&gt;&lt;key app="EN" db-id="0svx9dsr8pfxzmere98xdw5cr9vx9fdw2wrt" timestamp="1392430406"&gt;225&lt;/key&gt;&lt;/foreign-keys&gt;&lt;ref-type name="Journal Article"&gt;17&lt;/ref-type&gt;&lt;contributors&gt;&lt;authors&gt;&lt;author&gt;Hoberg, Gerard&lt;/author&gt;&lt;author&gt;Phillips, Gordon&lt;/author&gt;&lt;/authors&gt;&lt;/contributors&gt;&lt;titles&gt;&lt;title&gt;Text-Based Network Industries and Endogenous Product Differentiation&lt;/title&gt;&lt;secondary-title&gt;SSRN eLibrary&lt;/secondary-title&gt;&lt;/titles&gt;&lt;periodical&gt;&lt;full-title&gt;SSRN eLibrary&lt;/full-title&gt;&lt;/periodical&gt;&lt;edition&gt;July 15, 2013&lt;/edition&gt;&lt;dates&gt;&lt;year&gt;2013&lt;/year&gt;&lt;pub-dates&gt;&lt;date&gt;July 15, 2013&lt;/date&gt;&lt;/pub-dates&gt;&lt;/dates&gt;&lt;urls&gt;&lt;related-urls&gt;&lt;url&gt;Available at SSRN: http://ssrn.com/abstract=1520062 or http://dx.doi.org/10.2139/ssrn.1520062&lt;/url&gt;&lt;/related-urls&gt;&lt;/urls&gt;&lt;/record&gt;&lt;/Cite&gt;&lt;/EndNote&gt;</w:instrText>
      </w:r>
      <w:r>
        <w:fldChar w:fldCharType="separate"/>
      </w:r>
      <w:r>
        <w:rPr>
          <w:noProof/>
        </w:rPr>
        <w:t>(Hoberg and Phillips 2013, 11)</w:t>
      </w:r>
      <w:r>
        <w:fldChar w:fldCharType="end"/>
      </w:r>
      <w:r>
        <w:t>.”</w:t>
      </w:r>
    </w:p>
  </w:footnote>
  <w:footnote w:id="40">
    <w:p w:rsidR="00C46BD2" w:rsidRPr="00EE59E5" w:rsidRDefault="00C46BD2" w:rsidP="00D06B6F">
      <w:pPr>
        <w:pStyle w:val="Footnote"/>
      </w:pPr>
      <w:r>
        <w:rPr>
          <w:rStyle w:val="FootnoteReference"/>
        </w:rPr>
        <w:footnoteRef/>
      </w:r>
      <w:r>
        <w:t xml:space="preserve"> See Hoberg and Phillips (2010a; 2013)</w:t>
      </w:r>
      <w:r w:rsidRPr="00EE59E5">
        <w:t xml:space="preserve"> for tests that validate the improved explanatory power of TNIC groups.</w:t>
      </w:r>
    </w:p>
  </w:footnote>
  <w:footnote w:id="41">
    <w:p w:rsidR="00C46BD2" w:rsidRDefault="00C46BD2" w:rsidP="009F38C2">
      <w:pPr>
        <w:pStyle w:val="Footnote"/>
      </w:pPr>
      <w:r>
        <w:rPr>
          <w:rStyle w:val="FootnoteReference"/>
        </w:rPr>
        <w:footnoteRef/>
      </w:r>
      <w:r>
        <w:t xml:space="preserve"> In robustness test, I equally-equally weight my measure of segment reporting differentiation.  That is to say, I divide the number of unmatched segments by the total number of segments.  The results remain the same.</w:t>
      </w:r>
    </w:p>
  </w:footnote>
  <w:footnote w:id="42">
    <w:p w:rsidR="00C46BD2" w:rsidRDefault="00C46BD2" w:rsidP="009F38C2">
      <w:pPr>
        <w:pStyle w:val="Footnote"/>
      </w:pPr>
      <w:r>
        <w:rPr>
          <w:rStyle w:val="FootnoteReference"/>
        </w:rPr>
        <w:footnoteRef/>
      </w:r>
      <w:r>
        <w:t xml:space="preserve">  The sum of the shared segments and the distinct segments is less that 100 percent because the </w:t>
      </w:r>
      <w:proofErr w:type="gramStart"/>
      <w:r>
        <w:t>Other</w:t>
      </w:r>
      <w:proofErr w:type="gramEnd"/>
      <w:r>
        <w:t xml:space="preserve"> segment is eliminated.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76622"/>
      <w:docPartObj>
        <w:docPartGallery w:val="Page Numbers (Margins)"/>
        <w:docPartUnique/>
      </w:docPartObj>
    </w:sdtPr>
    <w:sdtEndPr/>
    <w:sdtContent>
      <w:p w:rsidR="00C46BD2" w:rsidRDefault="00C46BD2">
        <w:pPr>
          <w:pStyle w:val="Header"/>
        </w:pPr>
        <w:r>
          <w:rPr>
            <w:noProof/>
            <w:lang w:bidi="ar-SA"/>
          </w:rPr>
          <mc:AlternateContent>
            <mc:Choice Requires="wps">
              <w:drawing>
                <wp:anchor distT="0" distB="0" distL="114300" distR="114300" simplePos="0" relativeHeight="251663360" behindDoc="0" locked="0" layoutInCell="0" allowOverlap="1" wp14:anchorId="094E8433" wp14:editId="24323FB8">
                  <wp:simplePos x="0" y="0"/>
                  <wp:positionH relativeFrom="leftMargin">
                    <wp:align>left</wp:align>
                  </wp:positionH>
                  <wp:positionV relativeFrom="margin">
                    <wp:align>center</wp:align>
                  </wp:positionV>
                  <wp:extent cx="727710" cy="329565"/>
                  <wp:effectExtent l="0" t="0" r="0" b="381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6BD2" w:rsidRDefault="00C46BD2">
                              <w:pPr>
                                <w:pBdr>
                                  <w:bottom w:val="single" w:sz="4" w:space="1" w:color="auto"/>
                                </w:pBdr>
                                <w:jc w:val="right"/>
                              </w:pPr>
                              <w:r>
                                <w:fldChar w:fldCharType="begin"/>
                              </w:r>
                              <w:r>
                                <w:instrText xml:space="preserve"> PAGE   \* MERGEFORMAT </w:instrText>
                              </w:r>
                              <w:r>
                                <w:fldChar w:fldCharType="separate"/>
                              </w:r>
                              <w:r w:rsidR="00CB38DB">
                                <w:rPr>
                                  <w:noProof/>
                                </w:rPr>
                                <w:t>61</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Rectangle 7" o:spid="_x0000_s1026" style="position:absolute;margin-left:0;margin-top:0;width:57.3pt;height:25.95pt;z-index:25166336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" o:allowincell="f" stroked="f">
                  <v:textbox style="layout-flow:vertical">
                    <w:txbxContent>
                      <w:p w:rsidR="00C46BD2" w:rsidRDefault="00C46BD2">
                        <w:pPr>
                          <w:pBdr>
                            <w:bottom w:val="single" w:sz="4" w:space="1" w:color="auto"/>
                          </w:pBdr>
                          <w:jc w:val="right"/>
                        </w:pPr>
                        <w:r>
                          <w:fldChar w:fldCharType="begin"/>
                        </w:r>
                        <w:r>
                          <w:instrText xml:space="preserve"> PAGE   \* MERGEFORMAT </w:instrText>
                        </w:r>
                        <w:r>
                          <w:fldChar w:fldCharType="separate"/>
                        </w:r>
                        <w:r w:rsidR="00CB38DB">
                          <w:rPr>
                            <w:noProof/>
                          </w:rPr>
                          <w:t>61</w:t>
                        </w:r>
                        <w:r>
                          <w:rPr>
                            <w:noProof/>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785172"/>
      <w:docPartObj>
        <w:docPartGallery w:val="Page Numbers (Margins)"/>
        <w:docPartUnique/>
      </w:docPartObj>
    </w:sdtPr>
    <w:sdtEndPr/>
    <w:sdtContent>
      <w:p w:rsidR="00C46BD2" w:rsidRDefault="00C46BD2">
        <w:pPr>
          <w:pStyle w:val="Header"/>
        </w:pPr>
        <w:r>
          <w:rPr>
            <w:noProof/>
            <w:lang w:bidi="ar-SA"/>
          </w:rPr>
          <mc:AlternateContent>
            <mc:Choice Requires="wps">
              <w:drawing>
                <wp:anchor distT="0" distB="0" distL="114300" distR="114300" simplePos="0" relativeHeight="251659264" behindDoc="0" locked="0" layoutInCell="0" allowOverlap="1" wp14:anchorId="6DBEA693" wp14:editId="460935D6">
                  <wp:simplePos x="0" y="0"/>
                  <wp:positionH relativeFrom="leftMargin">
                    <wp:align>left</wp:align>
                  </wp:positionH>
                  <wp:positionV relativeFrom="margin">
                    <wp:align>center</wp:align>
                  </wp:positionV>
                  <wp:extent cx="727710" cy="329565"/>
                  <wp:effectExtent l="0" t="0" r="0" b="381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6BD2" w:rsidRDefault="00C46BD2">
                              <w:pPr>
                                <w:pBdr>
                                  <w:bottom w:val="single" w:sz="4" w:space="1" w:color="auto"/>
                                </w:pBdr>
                                <w:jc w:val="right"/>
                              </w:pPr>
                              <w:r>
                                <w:fldChar w:fldCharType="begin"/>
                              </w:r>
                              <w:r>
                                <w:instrText xml:space="preserve"> PAGE   \* MERGEFORMAT </w:instrText>
                              </w:r>
                              <w:r>
                                <w:fldChar w:fldCharType="separate"/>
                              </w:r>
                              <w:r w:rsidR="00CB38DB">
                                <w:rPr>
                                  <w:noProof/>
                                </w:rPr>
                                <w:t>77</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Rectangle 4" o:spid="_x0000_s1027"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" o:allowincell="f" stroked="f">
                  <v:textbox style="layout-flow:vertical">
                    <w:txbxContent>
                      <w:p w:rsidR="00C46BD2" w:rsidRDefault="00C46BD2">
                        <w:pPr>
                          <w:pBdr>
                            <w:bottom w:val="single" w:sz="4" w:space="1" w:color="auto"/>
                          </w:pBdr>
                          <w:jc w:val="right"/>
                        </w:pPr>
                        <w:r>
                          <w:fldChar w:fldCharType="begin"/>
                        </w:r>
                        <w:r>
                          <w:instrText xml:space="preserve"> PAGE   \* MERGEFORMAT </w:instrText>
                        </w:r>
                        <w:r>
                          <w:fldChar w:fldCharType="separate"/>
                        </w:r>
                        <w:r w:rsidR="00CB38DB">
                          <w:rPr>
                            <w:noProof/>
                          </w:rPr>
                          <w:t>77</w:t>
                        </w:r>
                        <w:r>
                          <w:rPr>
                            <w:noProof/>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BD2" w:rsidRDefault="00C46B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BD2" w:rsidRDefault="00C46B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2F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9390F1D"/>
    <w:multiLevelType w:val="multilevel"/>
    <w:tmpl w:val="AED470C0"/>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
    <w:nsid w:val="0AC00D61"/>
    <w:multiLevelType w:val="multilevel"/>
    <w:tmpl w:val="D716F1E8"/>
    <w:lvl w:ilvl="0">
      <w:start w:val="1"/>
      <w:numFmt w:val="upperLetter"/>
      <w:lvlText w:val="Appendix %1."/>
      <w:lvlJc w:val="left"/>
      <w:pPr>
        <w:ind w:left="792" w:hanging="432"/>
      </w:pPr>
      <w:rPr>
        <w:rFonts w:cs="Times New Roman" w:hint="default"/>
      </w:rPr>
    </w:lvl>
    <w:lvl w:ilvl="1">
      <w:start w:val="1"/>
      <w:numFmt w:val="decimal"/>
      <w:pStyle w:val="Heading2Appendix"/>
      <w:lvlText w:val="%1.%2"/>
      <w:lvlJc w:val="left"/>
      <w:pPr>
        <w:ind w:left="936" w:hanging="576"/>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24" w:hanging="864"/>
      </w:pPr>
      <w:rPr>
        <w:rFonts w:cs="Times New Roman" w:hint="default"/>
      </w:rPr>
    </w:lvl>
    <w:lvl w:ilvl="4">
      <w:start w:val="1"/>
      <w:numFmt w:val="decimal"/>
      <w:lvlText w:val="%1.%2.%3.%4.%5"/>
      <w:lvlJc w:val="left"/>
      <w:pPr>
        <w:ind w:left="1368" w:hanging="1008"/>
      </w:pPr>
      <w:rPr>
        <w:rFonts w:cs="Times New Roman" w:hint="default"/>
      </w:rPr>
    </w:lvl>
    <w:lvl w:ilvl="5">
      <w:start w:val="1"/>
      <w:numFmt w:val="decimal"/>
      <w:lvlText w:val="%1.%2.%3.%4.%5.%6"/>
      <w:lvlJc w:val="left"/>
      <w:pPr>
        <w:ind w:left="1512" w:hanging="1152"/>
      </w:pPr>
      <w:rPr>
        <w:rFonts w:cs="Times New Roman" w:hint="default"/>
      </w:rPr>
    </w:lvl>
    <w:lvl w:ilvl="6">
      <w:start w:val="1"/>
      <w:numFmt w:val="decimal"/>
      <w:lvlText w:val="%1.%2.%3.%4.%5.%6.%7"/>
      <w:lvlJc w:val="left"/>
      <w:pPr>
        <w:ind w:left="1656" w:hanging="1296"/>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1944" w:hanging="1584"/>
      </w:pPr>
      <w:rPr>
        <w:rFonts w:cs="Times New Roman" w:hint="default"/>
      </w:rPr>
    </w:lvl>
  </w:abstractNum>
  <w:abstractNum w:abstractNumId="3">
    <w:nsid w:val="165B681E"/>
    <w:multiLevelType w:val="multilevel"/>
    <w:tmpl w:val="FF7C05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F83259"/>
    <w:multiLevelType w:val="multilevel"/>
    <w:tmpl w:val="2674838C"/>
    <w:lvl w:ilvl="0">
      <w:start w:val="1"/>
      <w:numFmt w:val="upperLetter"/>
      <w:pStyle w:val="Heading1Appendix"/>
      <w:lvlText w:val="Appendix %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5">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302EDD"/>
    <w:multiLevelType w:val="hybridMultilevel"/>
    <w:tmpl w:val="1966D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177456"/>
    <w:multiLevelType w:val="multilevel"/>
    <w:tmpl w:val="00562384"/>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9">
    <w:nsid w:val="36F167D4"/>
    <w:multiLevelType w:val="multilevel"/>
    <w:tmpl w:val="7B609524"/>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0">
    <w:nsid w:val="397C0A50"/>
    <w:multiLevelType w:val="multilevel"/>
    <w:tmpl w:val="09E603E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1495C4A"/>
    <w:multiLevelType w:val="multilevel"/>
    <w:tmpl w:val="67FA52CC"/>
    <w:lvl w:ilvl="0">
      <w:start w:val="1"/>
      <w:numFmt w:val="upperLetter"/>
      <w:lvlText w:val="Appendix %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4F3DEF"/>
    <w:multiLevelType w:val="multilevel"/>
    <w:tmpl w:val="3716A840"/>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89697F"/>
    <w:multiLevelType w:val="multilevel"/>
    <w:tmpl w:val="84E48838"/>
    <w:lvl w:ilvl="0">
      <w:start w:val="1"/>
      <w:numFmt w:val="upperLetter"/>
      <w:lvlText w:val="Appendix %1."/>
      <w:lvlJc w:val="left"/>
      <w:pPr>
        <w:ind w:left="792" w:hanging="432"/>
      </w:pPr>
      <w:rPr>
        <w:rFonts w:cs="Times New Roman" w:hint="default"/>
      </w:rPr>
    </w:lvl>
    <w:lvl w:ilvl="1">
      <w:start w:val="1"/>
      <w:numFmt w:val="decimal"/>
      <w:lvlText w:val="%1.%2"/>
      <w:lvlJc w:val="left"/>
      <w:pPr>
        <w:ind w:left="936" w:hanging="576"/>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24" w:hanging="864"/>
      </w:pPr>
      <w:rPr>
        <w:rFonts w:cs="Times New Roman" w:hint="default"/>
      </w:rPr>
    </w:lvl>
    <w:lvl w:ilvl="4">
      <w:start w:val="1"/>
      <w:numFmt w:val="decimal"/>
      <w:lvlText w:val="%1.%2.%3.%4.%5"/>
      <w:lvlJc w:val="left"/>
      <w:pPr>
        <w:ind w:left="1368" w:hanging="1008"/>
      </w:pPr>
      <w:rPr>
        <w:rFonts w:cs="Times New Roman" w:hint="default"/>
      </w:rPr>
    </w:lvl>
    <w:lvl w:ilvl="5">
      <w:start w:val="1"/>
      <w:numFmt w:val="decimal"/>
      <w:lvlText w:val="%1.%2.%3.%4.%5.%6"/>
      <w:lvlJc w:val="left"/>
      <w:pPr>
        <w:ind w:left="1512" w:hanging="1152"/>
      </w:pPr>
      <w:rPr>
        <w:rFonts w:cs="Times New Roman" w:hint="default"/>
      </w:rPr>
    </w:lvl>
    <w:lvl w:ilvl="6">
      <w:start w:val="1"/>
      <w:numFmt w:val="decimal"/>
      <w:lvlText w:val="%1.%2.%3.%4.%5.%6.%7"/>
      <w:lvlJc w:val="left"/>
      <w:pPr>
        <w:ind w:left="1656" w:hanging="1296"/>
      </w:pPr>
      <w:rPr>
        <w:rFonts w:cs="Times New Roman" w:hint="default"/>
      </w:rPr>
    </w:lvl>
    <w:lvl w:ilvl="7">
      <w:start w:val="1"/>
      <w:numFmt w:val="decimal"/>
      <w:lvlText w:val="%1.%2.%3.%4.%5.%6.%7.%8"/>
      <w:lvlJc w:val="left"/>
      <w:pPr>
        <w:ind w:left="1800" w:hanging="1440"/>
      </w:pPr>
      <w:rPr>
        <w:rFonts w:cs="Times New Roman" w:hint="default"/>
      </w:rPr>
    </w:lvl>
    <w:lvl w:ilvl="8">
      <w:start w:val="1"/>
      <w:numFmt w:val="decimal"/>
      <w:lvlText w:val="%1.%2.%3.%4.%5.%6.%7.%8.%9"/>
      <w:lvlJc w:val="left"/>
      <w:pPr>
        <w:ind w:left="1944" w:hanging="1584"/>
      </w:pPr>
      <w:rPr>
        <w:rFonts w:cs="Times New Roman" w:hint="default"/>
      </w:rPr>
    </w:lvl>
  </w:abstractNum>
  <w:abstractNum w:abstractNumId="17">
    <w:nsid w:val="52C6423D"/>
    <w:multiLevelType w:val="multilevel"/>
    <w:tmpl w:val="B7888E1E"/>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nsid w:val="747E65D2"/>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7"/>
  </w:num>
  <w:num w:numId="4">
    <w:abstractNumId w:val="5"/>
  </w:num>
  <w:num w:numId="5">
    <w:abstractNumId w:val="12"/>
  </w:num>
  <w:num w:numId="6">
    <w:abstractNumId w:val="14"/>
  </w:num>
  <w:num w:numId="7">
    <w:abstractNumId w:val="15"/>
  </w:num>
  <w:num w:numId="8">
    <w:abstractNumId w:val="9"/>
  </w:num>
  <w:num w:numId="9">
    <w:abstractNumId w:val="18"/>
  </w:num>
  <w:num w:numId="10">
    <w:abstractNumId w:val="1"/>
  </w:num>
  <w:num w:numId="11">
    <w:abstractNumId w:val="17"/>
  </w:num>
  <w:num w:numId="12">
    <w:abstractNumId w:val="13"/>
  </w:num>
  <w:num w:numId="13">
    <w:abstractNumId w:val="4"/>
  </w:num>
  <w:num w:numId="14">
    <w:abstractNumId w:val="0"/>
  </w:num>
  <w:num w:numId="15">
    <w:abstractNumId w:val="10"/>
  </w:num>
  <w:num w:numId="16">
    <w:abstractNumId w:val="3"/>
  </w:num>
  <w:num w:numId="17">
    <w:abstractNumId w:val="2"/>
  </w:num>
  <w:num w:numId="18">
    <w:abstractNumId w:val="11"/>
  </w:num>
  <w:num w:numId="19">
    <w:abstractNumId w:val="8"/>
  </w:num>
  <w:num w:numId="20">
    <w:abstractNumId w:val="16"/>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Chicago 16th Author-Da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vx9dsr8pfxzmere98xdw5cr9vx9fdw2wrt&quot;&gt;Matt Cobabe EndNote Library&lt;record-ids&gt;&lt;item&gt;10&lt;/item&gt;&lt;item&gt;78&lt;/item&gt;&lt;item&gt;88&lt;/item&gt;&lt;item&gt;90&lt;/item&gt;&lt;item&gt;91&lt;/item&gt;&lt;item&gt;97&lt;/item&gt;&lt;item&gt;100&lt;/item&gt;&lt;item&gt;103&lt;/item&gt;&lt;item&gt;104&lt;/item&gt;&lt;item&gt;107&lt;/item&gt;&lt;item&gt;109&lt;/item&gt;&lt;item&gt;111&lt;/item&gt;&lt;item&gt;112&lt;/item&gt;&lt;item&gt;113&lt;/item&gt;&lt;item&gt;114&lt;/item&gt;&lt;item&gt;115&lt;/item&gt;&lt;item&gt;116&lt;/item&gt;&lt;item&gt;117&lt;/item&gt;&lt;item&gt;118&lt;/item&gt;&lt;item&gt;119&lt;/item&gt;&lt;item&gt;121&lt;/item&gt;&lt;item&gt;122&lt;/item&gt;&lt;item&gt;123&lt;/item&gt;&lt;item&gt;124&lt;/item&gt;&lt;item&gt;125&lt;/item&gt;&lt;item&gt;128&lt;/item&gt;&lt;item&gt;130&lt;/item&gt;&lt;item&gt;131&lt;/item&gt;&lt;item&gt;132&lt;/item&gt;&lt;item&gt;133&lt;/item&gt;&lt;item&gt;136&lt;/item&gt;&lt;item&gt;137&lt;/item&gt;&lt;item&gt;138&lt;/item&gt;&lt;item&gt;139&lt;/item&gt;&lt;item&gt;140&lt;/item&gt;&lt;item&gt;141&lt;/item&gt;&lt;item&gt;142&lt;/item&gt;&lt;item&gt;143&lt;/item&gt;&lt;item&gt;145&lt;/item&gt;&lt;item&gt;150&lt;/item&gt;&lt;item&gt;151&lt;/item&gt;&lt;item&gt;152&lt;/item&gt;&lt;item&gt;153&lt;/item&gt;&lt;item&gt;155&lt;/item&gt;&lt;item&gt;158&lt;/item&gt;&lt;item&gt;160&lt;/item&gt;&lt;item&gt;162&lt;/item&gt;&lt;item&gt;163&lt;/item&gt;&lt;item&gt;169&lt;/item&gt;&lt;item&gt;175&lt;/item&gt;&lt;item&gt;176&lt;/item&gt;&lt;item&gt;181&lt;/item&gt;&lt;item&gt;184&lt;/item&gt;&lt;item&gt;187&lt;/item&gt;&lt;item&gt;189&lt;/item&gt;&lt;item&gt;190&lt;/item&gt;&lt;item&gt;191&lt;/item&gt;&lt;item&gt;193&lt;/item&gt;&lt;item&gt;199&lt;/item&gt;&lt;item&gt;202&lt;/item&gt;&lt;item&gt;206&lt;/item&gt;&lt;item&gt;207&lt;/item&gt;&lt;item&gt;212&lt;/item&gt;&lt;item&gt;213&lt;/item&gt;&lt;item&gt;219&lt;/item&gt;&lt;item&gt;220&lt;/item&gt;&lt;item&gt;221&lt;/item&gt;&lt;item&gt;222&lt;/item&gt;&lt;item&gt;223&lt;/item&gt;&lt;item&gt;224&lt;/item&gt;&lt;item&gt;225&lt;/item&gt;&lt;item&gt;226&lt;/item&gt;&lt;item&gt;228&lt;/item&gt;&lt;item&gt;229&lt;/item&gt;&lt;item&gt;230&lt;/item&gt;&lt;item&gt;232&lt;/item&gt;&lt;item&gt;233&lt;/item&gt;&lt;item&gt;235&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E11D2F"/>
    <w:rsid w:val="000056F4"/>
    <w:rsid w:val="00015B5C"/>
    <w:rsid w:val="00025A12"/>
    <w:rsid w:val="000345AA"/>
    <w:rsid w:val="00041B04"/>
    <w:rsid w:val="00044558"/>
    <w:rsid w:val="0004469D"/>
    <w:rsid w:val="0005374D"/>
    <w:rsid w:val="00076B36"/>
    <w:rsid w:val="00077A99"/>
    <w:rsid w:val="00077F0A"/>
    <w:rsid w:val="00080F78"/>
    <w:rsid w:val="0008176F"/>
    <w:rsid w:val="00092867"/>
    <w:rsid w:val="000A6F1C"/>
    <w:rsid w:val="000B78B5"/>
    <w:rsid w:val="000C18E6"/>
    <w:rsid w:val="000C24B8"/>
    <w:rsid w:val="000D71AF"/>
    <w:rsid w:val="000E4F8D"/>
    <w:rsid w:val="000F56FF"/>
    <w:rsid w:val="0010090C"/>
    <w:rsid w:val="00102FF7"/>
    <w:rsid w:val="00105BBB"/>
    <w:rsid w:val="00107C97"/>
    <w:rsid w:val="00111915"/>
    <w:rsid w:val="001221D2"/>
    <w:rsid w:val="00125A7B"/>
    <w:rsid w:val="00131E0B"/>
    <w:rsid w:val="00132A4A"/>
    <w:rsid w:val="00133888"/>
    <w:rsid w:val="00135F08"/>
    <w:rsid w:val="00140EE1"/>
    <w:rsid w:val="001504BE"/>
    <w:rsid w:val="00156853"/>
    <w:rsid w:val="00172240"/>
    <w:rsid w:val="001743B9"/>
    <w:rsid w:val="00180CBC"/>
    <w:rsid w:val="00186058"/>
    <w:rsid w:val="00187691"/>
    <w:rsid w:val="00194FE8"/>
    <w:rsid w:val="0019684E"/>
    <w:rsid w:val="00197E38"/>
    <w:rsid w:val="001A327C"/>
    <w:rsid w:val="001A3DDE"/>
    <w:rsid w:val="001B12EF"/>
    <w:rsid w:val="001B521A"/>
    <w:rsid w:val="001C10A0"/>
    <w:rsid w:val="001C2334"/>
    <w:rsid w:val="001C245F"/>
    <w:rsid w:val="001C3489"/>
    <w:rsid w:val="001C3B63"/>
    <w:rsid w:val="001D4D53"/>
    <w:rsid w:val="001E1E68"/>
    <w:rsid w:val="001F2618"/>
    <w:rsid w:val="00205C64"/>
    <w:rsid w:val="002147D8"/>
    <w:rsid w:val="00225DD1"/>
    <w:rsid w:val="00227893"/>
    <w:rsid w:val="00233B87"/>
    <w:rsid w:val="002341F1"/>
    <w:rsid w:val="00240C3C"/>
    <w:rsid w:val="00244C26"/>
    <w:rsid w:val="00245D43"/>
    <w:rsid w:val="002567CF"/>
    <w:rsid w:val="00257382"/>
    <w:rsid w:val="0025754A"/>
    <w:rsid w:val="00260F9A"/>
    <w:rsid w:val="00271ED6"/>
    <w:rsid w:val="00274E2C"/>
    <w:rsid w:val="00280CAA"/>
    <w:rsid w:val="00293E02"/>
    <w:rsid w:val="002A0FFA"/>
    <w:rsid w:val="002A74FF"/>
    <w:rsid w:val="002B38BC"/>
    <w:rsid w:val="002B3E20"/>
    <w:rsid w:val="002D6AA1"/>
    <w:rsid w:val="002D6E20"/>
    <w:rsid w:val="002D734F"/>
    <w:rsid w:val="002E157F"/>
    <w:rsid w:val="002E1C13"/>
    <w:rsid w:val="002F39BE"/>
    <w:rsid w:val="00304FD6"/>
    <w:rsid w:val="0030767B"/>
    <w:rsid w:val="00314F3F"/>
    <w:rsid w:val="003218D0"/>
    <w:rsid w:val="003240AA"/>
    <w:rsid w:val="003304C4"/>
    <w:rsid w:val="00337EC2"/>
    <w:rsid w:val="00343673"/>
    <w:rsid w:val="003450B1"/>
    <w:rsid w:val="0035366F"/>
    <w:rsid w:val="00354526"/>
    <w:rsid w:val="00355FF0"/>
    <w:rsid w:val="003635D6"/>
    <w:rsid w:val="00367338"/>
    <w:rsid w:val="00376333"/>
    <w:rsid w:val="00382CEC"/>
    <w:rsid w:val="003846A1"/>
    <w:rsid w:val="00385E9D"/>
    <w:rsid w:val="00386E26"/>
    <w:rsid w:val="00391F83"/>
    <w:rsid w:val="0039236F"/>
    <w:rsid w:val="00393159"/>
    <w:rsid w:val="003953BA"/>
    <w:rsid w:val="00395B7F"/>
    <w:rsid w:val="00396207"/>
    <w:rsid w:val="003973D5"/>
    <w:rsid w:val="003A060D"/>
    <w:rsid w:val="003A61B9"/>
    <w:rsid w:val="003B0A2F"/>
    <w:rsid w:val="003B73A8"/>
    <w:rsid w:val="003C25E0"/>
    <w:rsid w:val="003D0317"/>
    <w:rsid w:val="003D2176"/>
    <w:rsid w:val="003D34F2"/>
    <w:rsid w:val="003D546E"/>
    <w:rsid w:val="003E22B5"/>
    <w:rsid w:val="003F5681"/>
    <w:rsid w:val="003F5D94"/>
    <w:rsid w:val="00417606"/>
    <w:rsid w:val="0042093E"/>
    <w:rsid w:val="00420E38"/>
    <w:rsid w:val="004212E7"/>
    <w:rsid w:val="004225CC"/>
    <w:rsid w:val="00424119"/>
    <w:rsid w:val="00424418"/>
    <w:rsid w:val="00426FAC"/>
    <w:rsid w:val="00431427"/>
    <w:rsid w:val="004429A9"/>
    <w:rsid w:val="004431F8"/>
    <w:rsid w:val="00446082"/>
    <w:rsid w:val="0045202B"/>
    <w:rsid w:val="004544EB"/>
    <w:rsid w:val="0045524C"/>
    <w:rsid w:val="004558D6"/>
    <w:rsid w:val="004604A2"/>
    <w:rsid w:val="00460CAF"/>
    <w:rsid w:val="00461AA9"/>
    <w:rsid w:val="00470D9C"/>
    <w:rsid w:val="00472B7F"/>
    <w:rsid w:val="00480B87"/>
    <w:rsid w:val="004932D2"/>
    <w:rsid w:val="004A29B3"/>
    <w:rsid w:val="004A52B4"/>
    <w:rsid w:val="004A7222"/>
    <w:rsid w:val="004B3993"/>
    <w:rsid w:val="004B535C"/>
    <w:rsid w:val="004C2425"/>
    <w:rsid w:val="004C6CEF"/>
    <w:rsid w:val="004D4552"/>
    <w:rsid w:val="004E33E7"/>
    <w:rsid w:val="004E41F4"/>
    <w:rsid w:val="004E44EE"/>
    <w:rsid w:val="004E495C"/>
    <w:rsid w:val="005037E0"/>
    <w:rsid w:val="00515AF7"/>
    <w:rsid w:val="00515E4D"/>
    <w:rsid w:val="00516656"/>
    <w:rsid w:val="00525A8C"/>
    <w:rsid w:val="0053028C"/>
    <w:rsid w:val="00531BF2"/>
    <w:rsid w:val="005354E8"/>
    <w:rsid w:val="0055179E"/>
    <w:rsid w:val="00564DB9"/>
    <w:rsid w:val="00564FA9"/>
    <w:rsid w:val="00566BA2"/>
    <w:rsid w:val="005741FF"/>
    <w:rsid w:val="00575A8C"/>
    <w:rsid w:val="0057775C"/>
    <w:rsid w:val="00582EBC"/>
    <w:rsid w:val="00583C7E"/>
    <w:rsid w:val="00586982"/>
    <w:rsid w:val="005911BB"/>
    <w:rsid w:val="00595130"/>
    <w:rsid w:val="005A2B79"/>
    <w:rsid w:val="005B0705"/>
    <w:rsid w:val="005B16E2"/>
    <w:rsid w:val="005C194C"/>
    <w:rsid w:val="005C67D8"/>
    <w:rsid w:val="005C733B"/>
    <w:rsid w:val="005D3920"/>
    <w:rsid w:val="005E64CF"/>
    <w:rsid w:val="005E68C0"/>
    <w:rsid w:val="005F2DBF"/>
    <w:rsid w:val="006010A2"/>
    <w:rsid w:val="00617839"/>
    <w:rsid w:val="006273C0"/>
    <w:rsid w:val="00627F8E"/>
    <w:rsid w:val="00633660"/>
    <w:rsid w:val="00633C74"/>
    <w:rsid w:val="006439FE"/>
    <w:rsid w:val="00645A8F"/>
    <w:rsid w:val="00647814"/>
    <w:rsid w:val="00653C73"/>
    <w:rsid w:val="006572C9"/>
    <w:rsid w:val="00661C13"/>
    <w:rsid w:val="00662B0D"/>
    <w:rsid w:val="00670864"/>
    <w:rsid w:val="006838E2"/>
    <w:rsid w:val="00687C45"/>
    <w:rsid w:val="00695237"/>
    <w:rsid w:val="0069549B"/>
    <w:rsid w:val="006A39CF"/>
    <w:rsid w:val="006A6340"/>
    <w:rsid w:val="006B1D41"/>
    <w:rsid w:val="006B4721"/>
    <w:rsid w:val="006B5B97"/>
    <w:rsid w:val="006C0613"/>
    <w:rsid w:val="006C0C97"/>
    <w:rsid w:val="006C33FA"/>
    <w:rsid w:val="006D1B98"/>
    <w:rsid w:val="006D1CA1"/>
    <w:rsid w:val="006D35CC"/>
    <w:rsid w:val="006D69D3"/>
    <w:rsid w:val="006E41CB"/>
    <w:rsid w:val="006F10CE"/>
    <w:rsid w:val="006F1552"/>
    <w:rsid w:val="006F1794"/>
    <w:rsid w:val="006F401C"/>
    <w:rsid w:val="0070017B"/>
    <w:rsid w:val="00705086"/>
    <w:rsid w:val="007122F2"/>
    <w:rsid w:val="007247B0"/>
    <w:rsid w:val="00730F0A"/>
    <w:rsid w:val="00746946"/>
    <w:rsid w:val="00746E16"/>
    <w:rsid w:val="007559B1"/>
    <w:rsid w:val="00761FDB"/>
    <w:rsid w:val="007727A7"/>
    <w:rsid w:val="007739FB"/>
    <w:rsid w:val="0077457C"/>
    <w:rsid w:val="00775701"/>
    <w:rsid w:val="0077643E"/>
    <w:rsid w:val="00783787"/>
    <w:rsid w:val="00784171"/>
    <w:rsid w:val="007864D2"/>
    <w:rsid w:val="0078679A"/>
    <w:rsid w:val="00786A89"/>
    <w:rsid w:val="00795952"/>
    <w:rsid w:val="007B0C89"/>
    <w:rsid w:val="007B2DD0"/>
    <w:rsid w:val="007C1EB2"/>
    <w:rsid w:val="007C2896"/>
    <w:rsid w:val="007C4603"/>
    <w:rsid w:val="007F2648"/>
    <w:rsid w:val="007F7CED"/>
    <w:rsid w:val="0080093A"/>
    <w:rsid w:val="00813A39"/>
    <w:rsid w:val="00816C4B"/>
    <w:rsid w:val="008253D8"/>
    <w:rsid w:val="0082601C"/>
    <w:rsid w:val="008264BE"/>
    <w:rsid w:val="00831220"/>
    <w:rsid w:val="00841129"/>
    <w:rsid w:val="00861F46"/>
    <w:rsid w:val="00871252"/>
    <w:rsid w:val="00877389"/>
    <w:rsid w:val="00883BD6"/>
    <w:rsid w:val="0089366F"/>
    <w:rsid w:val="008967FB"/>
    <w:rsid w:val="008A1EE9"/>
    <w:rsid w:val="008A4F22"/>
    <w:rsid w:val="008B7ECE"/>
    <w:rsid w:val="008C27FE"/>
    <w:rsid w:val="008D1A9F"/>
    <w:rsid w:val="008E1C26"/>
    <w:rsid w:val="008E2CC7"/>
    <w:rsid w:val="008E337E"/>
    <w:rsid w:val="008E71AA"/>
    <w:rsid w:val="008F1822"/>
    <w:rsid w:val="008F6E18"/>
    <w:rsid w:val="0091534A"/>
    <w:rsid w:val="0091777F"/>
    <w:rsid w:val="00917D6C"/>
    <w:rsid w:val="009245C5"/>
    <w:rsid w:val="00927863"/>
    <w:rsid w:val="00930F77"/>
    <w:rsid w:val="00931BB1"/>
    <w:rsid w:val="00934DE9"/>
    <w:rsid w:val="00936C82"/>
    <w:rsid w:val="00944453"/>
    <w:rsid w:val="0094522D"/>
    <w:rsid w:val="0094664B"/>
    <w:rsid w:val="00952BBC"/>
    <w:rsid w:val="0095552C"/>
    <w:rsid w:val="0096307F"/>
    <w:rsid w:val="009671ED"/>
    <w:rsid w:val="009718D9"/>
    <w:rsid w:val="00972EE2"/>
    <w:rsid w:val="00976BD6"/>
    <w:rsid w:val="009836D1"/>
    <w:rsid w:val="00985936"/>
    <w:rsid w:val="00992C28"/>
    <w:rsid w:val="009A1894"/>
    <w:rsid w:val="009B2E8B"/>
    <w:rsid w:val="009B434F"/>
    <w:rsid w:val="009B49FC"/>
    <w:rsid w:val="009D62D9"/>
    <w:rsid w:val="009F38C2"/>
    <w:rsid w:val="00A0094B"/>
    <w:rsid w:val="00A05064"/>
    <w:rsid w:val="00A0647F"/>
    <w:rsid w:val="00A10406"/>
    <w:rsid w:val="00A235EA"/>
    <w:rsid w:val="00A251AF"/>
    <w:rsid w:val="00A27160"/>
    <w:rsid w:val="00A36DB1"/>
    <w:rsid w:val="00A460F3"/>
    <w:rsid w:val="00A50007"/>
    <w:rsid w:val="00A50CCC"/>
    <w:rsid w:val="00A523B9"/>
    <w:rsid w:val="00A5626C"/>
    <w:rsid w:val="00A7280B"/>
    <w:rsid w:val="00A75045"/>
    <w:rsid w:val="00A76E5D"/>
    <w:rsid w:val="00A77093"/>
    <w:rsid w:val="00A82147"/>
    <w:rsid w:val="00AA0B13"/>
    <w:rsid w:val="00AA1B3B"/>
    <w:rsid w:val="00AB7472"/>
    <w:rsid w:val="00AC282C"/>
    <w:rsid w:val="00AC5E50"/>
    <w:rsid w:val="00AD2CC0"/>
    <w:rsid w:val="00AD69F3"/>
    <w:rsid w:val="00AE2C93"/>
    <w:rsid w:val="00AF0BB2"/>
    <w:rsid w:val="00B009B2"/>
    <w:rsid w:val="00B07D82"/>
    <w:rsid w:val="00B15C2A"/>
    <w:rsid w:val="00B224CD"/>
    <w:rsid w:val="00B22E82"/>
    <w:rsid w:val="00B26394"/>
    <w:rsid w:val="00B270FE"/>
    <w:rsid w:val="00B271BD"/>
    <w:rsid w:val="00B36426"/>
    <w:rsid w:val="00B52359"/>
    <w:rsid w:val="00B53A60"/>
    <w:rsid w:val="00B6422D"/>
    <w:rsid w:val="00B70CEF"/>
    <w:rsid w:val="00B87C6D"/>
    <w:rsid w:val="00B905E2"/>
    <w:rsid w:val="00B90838"/>
    <w:rsid w:val="00B9455B"/>
    <w:rsid w:val="00BA003B"/>
    <w:rsid w:val="00BA1A3A"/>
    <w:rsid w:val="00BA1E4B"/>
    <w:rsid w:val="00BA27E1"/>
    <w:rsid w:val="00BB3F72"/>
    <w:rsid w:val="00BB4BDB"/>
    <w:rsid w:val="00BB50E5"/>
    <w:rsid w:val="00BB678C"/>
    <w:rsid w:val="00BB7498"/>
    <w:rsid w:val="00BC16DD"/>
    <w:rsid w:val="00BD1142"/>
    <w:rsid w:val="00BD45C8"/>
    <w:rsid w:val="00BF2728"/>
    <w:rsid w:val="00BF588B"/>
    <w:rsid w:val="00C16C66"/>
    <w:rsid w:val="00C20A7B"/>
    <w:rsid w:val="00C2763F"/>
    <w:rsid w:val="00C27F3F"/>
    <w:rsid w:val="00C34256"/>
    <w:rsid w:val="00C3745C"/>
    <w:rsid w:val="00C4062A"/>
    <w:rsid w:val="00C424F7"/>
    <w:rsid w:val="00C46BD2"/>
    <w:rsid w:val="00C52F66"/>
    <w:rsid w:val="00C54100"/>
    <w:rsid w:val="00C63C23"/>
    <w:rsid w:val="00C64524"/>
    <w:rsid w:val="00C66F5E"/>
    <w:rsid w:val="00C72413"/>
    <w:rsid w:val="00C80802"/>
    <w:rsid w:val="00C814D4"/>
    <w:rsid w:val="00C8326D"/>
    <w:rsid w:val="00C86846"/>
    <w:rsid w:val="00C92079"/>
    <w:rsid w:val="00C9420C"/>
    <w:rsid w:val="00CA498F"/>
    <w:rsid w:val="00CB38DB"/>
    <w:rsid w:val="00CC6745"/>
    <w:rsid w:val="00CC7E26"/>
    <w:rsid w:val="00CD0E69"/>
    <w:rsid w:val="00CE6964"/>
    <w:rsid w:val="00CF5DEB"/>
    <w:rsid w:val="00CF7DCB"/>
    <w:rsid w:val="00D04D13"/>
    <w:rsid w:val="00D06B6F"/>
    <w:rsid w:val="00D11A1F"/>
    <w:rsid w:val="00D12C1D"/>
    <w:rsid w:val="00D27624"/>
    <w:rsid w:val="00D323D6"/>
    <w:rsid w:val="00D32CEE"/>
    <w:rsid w:val="00D3387C"/>
    <w:rsid w:val="00D33D84"/>
    <w:rsid w:val="00D340C8"/>
    <w:rsid w:val="00D51B8F"/>
    <w:rsid w:val="00D54F29"/>
    <w:rsid w:val="00D56A44"/>
    <w:rsid w:val="00D63169"/>
    <w:rsid w:val="00D64C0A"/>
    <w:rsid w:val="00D65384"/>
    <w:rsid w:val="00D74087"/>
    <w:rsid w:val="00D75B66"/>
    <w:rsid w:val="00D80F89"/>
    <w:rsid w:val="00D81B99"/>
    <w:rsid w:val="00D914E2"/>
    <w:rsid w:val="00D97BEC"/>
    <w:rsid w:val="00D97CFA"/>
    <w:rsid w:val="00DA02BF"/>
    <w:rsid w:val="00DA1614"/>
    <w:rsid w:val="00DA1971"/>
    <w:rsid w:val="00DB57AB"/>
    <w:rsid w:val="00DB664C"/>
    <w:rsid w:val="00DC6749"/>
    <w:rsid w:val="00DC6A4A"/>
    <w:rsid w:val="00DC7B1C"/>
    <w:rsid w:val="00DD484C"/>
    <w:rsid w:val="00DD4CBD"/>
    <w:rsid w:val="00DD6412"/>
    <w:rsid w:val="00DE1EF7"/>
    <w:rsid w:val="00DE50F8"/>
    <w:rsid w:val="00DF05F1"/>
    <w:rsid w:val="00DF1985"/>
    <w:rsid w:val="00DF348B"/>
    <w:rsid w:val="00DF4B88"/>
    <w:rsid w:val="00DF6FC0"/>
    <w:rsid w:val="00E0176C"/>
    <w:rsid w:val="00E0501B"/>
    <w:rsid w:val="00E07635"/>
    <w:rsid w:val="00E11D2F"/>
    <w:rsid w:val="00E11DA8"/>
    <w:rsid w:val="00E14328"/>
    <w:rsid w:val="00E20B9A"/>
    <w:rsid w:val="00E252B0"/>
    <w:rsid w:val="00E30DA2"/>
    <w:rsid w:val="00E453E8"/>
    <w:rsid w:val="00E475C4"/>
    <w:rsid w:val="00E53D7E"/>
    <w:rsid w:val="00E7193B"/>
    <w:rsid w:val="00E77477"/>
    <w:rsid w:val="00E82B31"/>
    <w:rsid w:val="00E86B37"/>
    <w:rsid w:val="00E87553"/>
    <w:rsid w:val="00E87FD6"/>
    <w:rsid w:val="00E91B7A"/>
    <w:rsid w:val="00EA13D9"/>
    <w:rsid w:val="00EA1BB2"/>
    <w:rsid w:val="00EA7E4F"/>
    <w:rsid w:val="00EB5463"/>
    <w:rsid w:val="00EC1E2F"/>
    <w:rsid w:val="00ED2926"/>
    <w:rsid w:val="00ED464C"/>
    <w:rsid w:val="00ED6F0B"/>
    <w:rsid w:val="00EE1461"/>
    <w:rsid w:val="00EE3797"/>
    <w:rsid w:val="00EE7F41"/>
    <w:rsid w:val="00F077D6"/>
    <w:rsid w:val="00F107FD"/>
    <w:rsid w:val="00F25045"/>
    <w:rsid w:val="00F27248"/>
    <w:rsid w:val="00F27648"/>
    <w:rsid w:val="00F37F46"/>
    <w:rsid w:val="00F40EEA"/>
    <w:rsid w:val="00F41D86"/>
    <w:rsid w:val="00F46A49"/>
    <w:rsid w:val="00F7122D"/>
    <w:rsid w:val="00F778C8"/>
    <w:rsid w:val="00F84962"/>
    <w:rsid w:val="00F85A9A"/>
    <w:rsid w:val="00F914C7"/>
    <w:rsid w:val="00F93475"/>
    <w:rsid w:val="00FA2425"/>
    <w:rsid w:val="00FB1AE2"/>
    <w:rsid w:val="00FB4562"/>
    <w:rsid w:val="00FB4BD8"/>
    <w:rsid w:val="00FB5287"/>
    <w:rsid w:val="00FC6A58"/>
    <w:rsid w:val="00FC6FB4"/>
    <w:rsid w:val="00FC7BDD"/>
    <w:rsid w:val="00FD6F37"/>
    <w:rsid w:val="00FD7060"/>
    <w:rsid w:val="00FE51AD"/>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BF588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qFormat/>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BF588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unhideWhenUsed/>
    <w:qFormat/>
    <w:rsid w:val="003A060D"/>
    <w:rPr>
      <w:i/>
    </w:rPr>
  </w:style>
  <w:style w:type="character" w:customStyle="1" w:styleId="QuoteChar">
    <w:name w:val="Quote Char"/>
    <w:basedOn w:val="DefaultParagraphFont"/>
    <w:link w:val="Quote"/>
    <w:uiPriority w:val="29"/>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otnoteReference">
    <w:name w:val="footnote reference"/>
    <w:basedOn w:val="DefaultParagraphFont"/>
    <w:uiPriority w:val="99"/>
    <w:unhideWhenUsed/>
    <w:rsid w:val="00F778C8"/>
    <w:rPr>
      <w:rFonts w:cs="Times New Roman"/>
      <w:vertAlign w:val="superscript"/>
    </w:rPr>
  </w:style>
  <w:style w:type="paragraph" w:customStyle="1" w:styleId="Footnote">
    <w:name w:val="Footnote"/>
    <w:basedOn w:val="FootnoteText"/>
    <w:autoRedefine/>
    <w:qFormat/>
    <w:rsid w:val="00F778C8"/>
    <w:pPr>
      <w:spacing w:after="60"/>
      <w:ind w:left="173" w:hanging="173"/>
    </w:pPr>
    <w:rPr>
      <w:rFonts w:ascii="Times New Roman" w:eastAsiaTheme="minorEastAsia" w:hAnsi="Times New Roman"/>
      <w:szCs w:val="24"/>
      <w:lang w:eastAsia="ja-JP" w:bidi="ar-SA"/>
    </w:rPr>
  </w:style>
  <w:style w:type="paragraph" w:styleId="FootnoteText">
    <w:name w:val="footnote text"/>
    <w:basedOn w:val="Normal"/>
    <w:link w:val="FootnoteTextChar"/>
    <w:uiPriority w:val="99"/>
    <w:unhideWhenUsed/>
    <w:rsid w:val="00F778C8"/>
    <w:pPr>
      <w:spacing w:line="240" w:lineRule="auto"/>
    </w:pPr>
    <w:rPr>
      <w:sz w:val="20"/>
      <w:szCs w:val="20"/>
    </w:rPr>
  </w:style>
  <w:style w:type="character" w:customStyle="1" w:styleId="FootnoteTextChar">
    <w:name w:val="Footnote Text Char"/>
    <w:basedOn w:val="DefaultParagraphFont"/>
    <w:link w:val="FootnoteText"/>
    <w:uiPriority w:val="99"/>
    <w:rsid w:val="00F778C8"/>
    <w:rPr>
      <w:rFonts w:asciiTheme="minorHAnsi" w:hAnsiTheme="minorHAnsi"/>
      <w:lang w:bidi="en-US"/>
    </w:rPr>
  </w:style>
  <w:style w:type="paragraph" w:customStyle="1" w:styleId="Hypothesis">
    <w:name w:val="Hypothesis"/>
    <w:basedOn w:val="Normal"/>
    <w:autoRedefine/>
    <w:qFormat/>
    <w:rsid w:val="00FB4562"/>
    <w:pPr>
      <w:spacing w:before="240" w:after="480" w:line="240" w:lineRule="auto"/>
      <w:ind w:left="1152" w:hanging="432"/>
    </w:pPr>
    <w:rPr>
      <w:rFonts w:ascii="Times New Roman" w:eastAsiaTheme="minorEastAsia" w:hAnsi="Times New Roman"/>
      <w:i/>
      <w:iCs/>
      <w:lang w:eastAsia="ja-JP" w:bidi="ar-SA"/>
    </w:rPr>
  </w:style>
  <w:style w:type="paragraph" w:customStyle="1" w:styleId="EndNoteBibliographyTitle">
    <w:name w:val="EndNote Bibliography Title"/>
    <w:basedOn w:val="Normal"/>
    <w:link w:val="EndNoteBibliographyTitleChar"/>
    <w:rsid w:val="00A7280B"/>
    <w:pPr>
      <w:jc w:val="center"/>
    </w:pPr>
    <w:rPr>
      <w:rFonts w:ascii="Times New Roman" w:hAnsi="Times New Roman"/>
      <w:noProof/>
    </w:rPr>
  </w:style>
  <w:style w:type="character" w:customStyle="1" w:styleId="EndNoteBibliographyTitleChar">
    <w:name w:val="EndNote Bibliography Title Char"/>
    <w:basedOn w:val="Heading1Char"/>
    <w:link w:val="EndNoteBibliographyTitle"/>
    <w:rsid w:val="00A7280B"/>
    <w:rPr>
      <w:rFonts w:asciiTheme="majorHAnsi" w:hAnsiTheme="majorHAnsi"/>
      <w:b w:val="0"/>
      <w:bCs w:val="0"/>
      <w:noProof/>
      <w:sz w:val="24"/>
      <w:szCs w:val="24"/>
      <w:lang w:bidi="en-US"/>
    </w:rPr>
  </w:style>
  <w:style w:type="paragraph" w:customStyle="1" w:styleId="EndNoteBibliography">
    <w:name w:val="EndNote Bibliography"/>
    <w:basedOn w:val="Normal"/>
    <w:link w:val="EndNoteBibliographyChar"/>
    <w:rsid w:val="00A7280B"/>
    <w:pPr>
      <w:spacing w:line="240" w:lineRule="auto"/>
    </w:pPr>
    <w:rPr>
      <w:rFonts w:ascii="Times New Roman" w:hAnsi="Times New Roman"/>
      <w:noProof/>
    </w:rPr>
  </w:style>
  <w:style w:type="character" w:customStyle="1" w:styleId="EndNoteBibliographyChar">
    <w:name w:val="EndNote Bibliography Char"/>
    <w:basedOn w:val="Heading1Char"/>
    <w:link w:val="EndNoteBibliography"/>
    <w:rsid w:val="00A7280B"/>
    <w:rPr>
      <w:rFonts w:asciiTheme="majorHAnsi" w:hAnsiTheme="majorHAnsi"/>
      <w:b w:val="0"/>
      <w:bCs w:val="0"/>
      <w:noProof/>
      <w:sz w:val="24"/>
      <w:szCs w:val="24"/>
      <w:lang w:bidi="en-US"/>
    </w:rPr>
  </w:style>
  <w:style w:type="paragraph" w:customStyle="1" w:styleId="EndNoteCategoryHeading">
    <w:name w:val="EndNote Category Heading"/>
    <w:basedOn w:val="Normal"/>
    <w:link w:val="EndNoteCategoryHeadingChar"/>
    <w:rsid w:val="0091777F"/>
    <w:pPr>
      <w:spacing w:before="120" w:after="120"/>
    </w:pPr>
  </w:style>
  <w:style w:type="character" w:customStyle="1" w:styleId="EndNoteCategoryHeadingChar">
    <w:name w:val="EndNote Category Heading Char"/>
    <w:basedOn w:val="EndNoteBibliographyChar"/>
    <w:link w:val="EndNoteCategoryHeading"/>
    <w:rsid w:val="0091777F"/>
    <w:rPr>
      <w:rFonts w:asciiTheme="minorHAnsi" w:hAnsiTheme="minorHAnsi"/>
      <w:b w:val="0"/>
      <w:bCs w:val="0"/>
      <w:noProof/>
      <w:sz w:val="24"/>
      <w:szCs w:val="24"/>
      <w:lang w:bidi="en-US"/>
    </w:rPr>
  </w:style>
  <w:style w:type="paragraph" w:customStyle="1" w:styleId="EndNoteCategoryTitle">
    <w:name w:val="EndNote Category Title"/>
    <w:basedOn w:val="Normal"/>
    <w:link w:val="EndNoteCategoryTitleChar"/>
    <w:rsid w:val="0091777F"/>
    <w:pPr>
      <w:spacing w:before="120" w:after="120"/>
      <w:jc w:val="center"/>
    </w:pPr>
  </w:style>
  <w:style w:type="character" w:customStyle="1" w:styleId="EndNoteCategoryTitleChar">
    <w:name w:val="EndNote Category Title Char"/>
    <w:basedOn w:val="EndNoteBibliographyChar"/>
    <w:link w:val="EndNoteCategoryTitle"/>
    <w:rsid w:val="0091777F"/>
    <w:rPr>
      <w:rFonts w:asciiTheme="minorHAnsi" w:hAnsiTheme="minorHAnsi"/>
      <w:b w:val="0"/>
      <w:bCs w:val="0"/>
      <w:noProof/>
      <w:sz w:val="24"/>
      <w:szCs w:val="24"/>
      <w:lang w:bidi="en-US"/>
    </w:rPr>
  </w:style>
  <w:style w:type="table" w:customStyle="1" w:styleId="TableGrid1">
    <w:name w:val="Table Grid1"/>
    <w:basedOn w:val="TableNormal"/>
    <w:next w:val="TableGrid"/>
    <w:uiPriority w:val="59"/>
    <w:rsid w:val="00D06B6F"/>
    <w:rPr>
      <w:rFonts w:asciiTheme="minorHAnsi" w:eastAsiaTheme="minorEastAsia" w:hAnsiTheme="minorHAns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F1552"/>
    <w:rPr>
      <w:rFonts w:asciiTheme="minorHAnsi" w:eastAsiaTheme="minorEastAsia" w:hAnsiTheme="minorHAns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7457C"/>
    <w:rPr>
      <w:rFonts w:cs="Times New Roman"/>
    </w:rPr>
  </w:style>
  <w:style w:type="paragraph" w:customStyle="1" w:styleId="Heading1Appendix">
    <w:name w:val="Heading 1 Appendix"/>
    <w:basedOn w:val="Heading1"/>
    <w:autoRedefine/>
    <w:qFormat/>
    <w:rsid w:val="0077457C"/>
    <w:pPr>
      <w:keepNext/>
      <w:keepLines/>
      <w:numPr>
        <w:numId w:val="13"/>
      </w:numPr>
      <w:jc w:val="left"/>
    </w:pPr>
    <w:rPr>
      <w:rFonts w:ascii="Times New Roman" w:eastAsiaTheme="majorEastAsia" w:hAnsi="Times New Roman"/>
      <w:lang w:eastAsia="ja-JP" w:bidi="ar-SA"/>
    </w:rPr>
  </w:style>
  <w:style w:type="paragraph" w:customStyle="1" w:styleId="Heading2Appendix">
    <w:name w:val="Heading 2 Appendix"/>
    <w:basedOn w:val="Heading2"/>
    <w:autoRedefine/>
    <w:qFormat/>
    <w:rsid w:val="0077457C"/>
    <w:pPr>
      <w:keepLines/>
      <w:numPr>
        <w:ilvl w:val="1"/>
        <w:numId w:val="17"/>
      </w:numPr>
      <w:ind w:left="0" w:firstLine="0"/>
      <w:jc w:val="left"/>
    </w:pPr>
    <w:rPr>
      <w:rFonts w:ascii="Times New Roman" w:eastAsiaTheme="majorEastAsia" w:hAnsi="Times New Roman"/>
      <w:i/>
      <w:iCs w:val="0"/>
      <w:szCs w:val="26"/>
      <w:lang w:eastAsia="ja-JP" w:bidi="ar-SA"/>
    </w:rPr>
  </w:style>
  <w:style w:type="paragraph" w:customStyle="1" w:styleId="Author">
    <w:name w:val="Author"/>
    <w:basedOn w:val="NoSpacing"/>
    <w:next w:val="NoSpacing"/>
    <w:qFormat/>
    <w:rsid w:val="0077457C"/>
    <w:pPr>
      <w:jc w:val="center"/>
    </w:pPr>
    <w:rPr>
      <w:rFonts w:ascii="Times New Roman" w:eastAsiaTheme="minorEastAsia" w:hAnsi="Times New Roman"/>
      <w:b/>
      <w:szCs w:val="24"/>
      <w:lang w:eastAsia="ja-JP" w:bidi="ar-SA"/>
    </w:rPr>
  </w:style>
  <w:style w:type="paragraph" w:customStyle="1" w:styleId="AuthorInfo">
    <w:name w:val="Author Info"/>
    <w:basedOn w:val="Author"/>
    <w:qFormat/>
    <w:rsid w:val="0077457C"/>
    <w:rPr>
      <w:b w:val="0"/>
    </w:rPr>
  </w:style>
  <w:style w:type="paragraph" w:customStyle="1" w:styleId="TableReference">
    <w:name w:val="Table Reference"/>
    <w:basedOn w:val="Normal"/>
    <w:link w:val="TableReferenceChar"/>
    <w:autoRedefine/>
    <w:qFormat/>
    <w:rsid w:val="0077457C"/>
    <w:pPr>
      <w:jc w:val="center"/>
    </w:pPr>
    <w:rPr>
      <w:rFonts w:eastAsiaTheme="minorEastAsia"/>
      <w:b/>
      <w:lang w:eastAsia="ja-JP"/>
    </w:rPr>
  </w:style>
  <w:style w:type="character" w:customStyle="1" w:styleId="TableReferenceChar">
    <w:name w:val="Table Reference Char"/>
    <w:basedOn w:val="NoSpacingChar"/>
    <w:link w:val="TableReference"/>
    <w:rsid w:val="0077457C"/>
    <w:rPr>
      <w:rFonts w:asciiTheme="minorHAnsi" w:eastAsiaTheme="minorEastAsia" w:hAnsiTheme="minorHAnsi"/>
      <w:b/>
      <w:sz w:val="24"/>
      <w:szCs w:val="24"/>
      <w:lang w:eastAsia="ja-JP" w:bidi="en-US"/>
    </w:rPr>
  </w:style>
  <w:style w:type="paragraph" w:styleId="DocumentMap">
    <w:name w:val="Document Map"/>
    <w:basedOn w:val="Normal"/>
    <w:link w:val="DocumentMapChar"/>
    <w:uiPriority w:val="99"/>
    <w:semiHidden/>
    <w:unhideWhenUsed/>
    <w:rsid w:val="0077457C"/>
    <w:pPr>
      <w:spacing w:line="240" w:lineRule="auto"/>
    </w:pPr>
    <w:rPr>
      <w:rFonts w:ascii="Lucida Grande" w:eastAsiaTheme="minorEastAsia" w:hAnsi="Lucida Grande" w:cs="Lucida Grande"/>
      <w:lang w:eastAsia="ja-JP" w:bidi="ar-SA"/>
    </w:rPr>
  </w:style>
  <w:style w:type="character" w:customStyle="1" w:styleId="DocumentMapChar">
    <w:name w:val="Document Map Char"/>
    <w:basedOn w:val="DefaultParagraphFont"/>
    <w:link w:val="DocumentMap"/>
    <w:uiPriority w:val="99"/>
    <w:semiHidden/>
    <w:rsid w:val="0077457C"/>
    <w:rPr>
      <w:rFonts w:ascii="Lucida Grande" w:eastAsiaTheme="minorEastAsia" w:hAnsi="Lucida Grande" w:cs="Lucida Grande"/>
      <w:sz w:val="24"/>
      <w:szCs w:val="24"/>
      <w:lang w:eastAsia="ja-JP"/>
    </w:rPr>
  </w:style>
  <w:style w:type="paragraph" w:styleId="NormalWeb">
    <w:name w:val="Normal (Web)"/>
    <w:basedOn w:val="Normal"/>
    <w:uiPriority w:val="99"/>
    <w:semiHidden/>
    <w:unhideWhenUsed/>
    <w:rsid w:val="0077457C"/>
    <w:pPr>
      <w:spacing w:before="100" w:beforeAutospacing="1" w:after="100" w:afterAutospacing="1" w:line="240" w:lineRule="auto"/>
    </w:pPr>
    <w:rPr>
      <w:rFonts w:ascii="Times New Roman" w:hAnsi="Times New Roman"/>
      <w:lang w:bidi="ar-SA"/>
    </w:rPr>
  </w:style>
  <w:style w:type="table" w:styleId="MediumShading1">
    <w:name w:val="Medium Shading 1"/>
    <w:basedOn w:val="TableNormal"/>
    <w:uiPriority w:val="63"/>
    <w:rsid w:val="0077457C"/>
    <w:rPr>
      <w:rFonts w:asciiTheme="minorHAnsi" w:eastAsiaTheme="minorEastAsia" w:hAnsiTheme="minorHAnsi"/>
      <w:lang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CommentReference">
    <w:name w:val="annotation reference"/>
    <w:basedOn w:val="DefaultParagraphFont"/>
    <w:uiPriority w:val="99"/>
    <w:semiHidden/>
    <w:unhideWhenUsed/>
    <w:rsid w:val="0077457C"/>
    <w:rPr>
      <w:sz w:val="16"/>
      <w:szCs w:val="16"/>
    </w:rPr>
  </w:style>
  <w:style w:type="paragraph" w:styleId="CommentText">
    <w:name w:val="annotation text"/>
    <w:basedOn w:val="Normal"/>
    <w:link w:val="CommentTextChar"/>
    <w:uiPriority w:val="99"/>
    <w:semiHidden/>
    <w:unhideWhenUsed/>
    <w:rsid w:val="0077457C"/>
    <w:pPr>
      <w:spacing w:line="240" w:lineRule="auto"/>
    </w:pPr>
    <w:rPr>
      <w:rFonts w:ascii="Times New Roman" w:eastAsiaTheme="minorEastAsia" w:hAnsi="Times New Roman"/>
      <w:sz w:val="20"/>
      <w:szCs w:val="20"/>
      <w:lang w:eastAsia="ja-JP" w:bidi="ar-SA"/>
    </w:rPr>
  </w:style>
  <w:style w:type="character" w:customStyle="1" w:styleId="CommentTextChar">
    <w:name w:val="Comment Text Char"/>
    <w:basedOn w:val="DefaultParagraphFont"/>
    <w:link w:val="CommentText"/>
    <w:uiPriority w:val="99"/>
    <w:semiHidden/>
    <w:rsid w:val="0077457C"/>
    <w:rPr>
      <w:rFonts w:eastAsiaTheme="minorEastAsia"/>
      <w:lang w:eastAsia="ja-JP"/>
    </w:rPr>
  </w:style>
  <w:style w:type="paragraph" w:styleId="CommentSubject">
    <w:name w:val="annotation subject"/>
    <w:basedOn w:val="CommentText"/>
    <w:next w:val="CommentText"/>
    <w:link w:val="CommentSubjectChar"/>
    <w:uiPriority w:val="99"/>
    <w:semiHidden/>
    <w:unhideWhenUsed/>
    <w:rsid w:val="0077457C"/>
    <w:rPr>
      <w:b/>
      <w:bCs/>
    </w:rPr>
  </w:style>
  <w:style w:type="character" w:customStyle="1" w:styleId="CommentSubjectChar">
    <w:name w:val="Comment Subject Char"/>
    <w:basedOn w:val="CommentTextChar"/>
    <w:link w:val="CommentSubject"/>
    <w:uiPriority w:val="99"/>
    <w:semiHidden/>
    <w:rsid w:val="0077457C"/>
    <w:rPr>
      <w:rFonts w:eastAsiaTheme="minorEastAsia"/>
      <w:b/>
      <w:bCs/>
      <w:lang w:eastAsia="ja-JP"/>
    </w:rPr>
  </w:style>
  <w:style w:type="paragraph" w:styleId="Revision">
    <w:name w:val="Revision"/>
    <w:hidden/>
    <w:uiPriority w:val="99"/>
    <w:semiHidden/>
    <w:rsid w:val="0077457C"/>
    <w:rPr>
      <w:rFonts w:eastAsiaTheme="minorEastAsia"/>
      <w:sz w:val="24"/>
      <w:szCs w:val="24"/>
      <w:lang w:eastAsia="ja-JP"/>
    </w:rPr>
  </w:style>
  <w:style w:type="character" w:styleId="FollowedHyperlink">
    <w:name w:val="FollowedHyperlink"/>
    <w:basedOn w:val="DefaultParagraphFont"/>
    <w:uiPriority w:val="99"/>
    <w:semiHidden/>
    <w:unhideWhenUsed/>
    <w:rsid w:val="0077457C"/>
    <w:rPr>
      <w:color w:val="800080"/>
      <w:u w:val="single"/>
    </w:rPr>
  </w:style>
  <w:style w:type="paragraph" w:customStyle="1" w:styleId="xl65">
    <w:name w:val="xl65"/>
    <w:basedOn w:val="Normal"/>
    <w:rsid w:val="0077457C"/>
    <w:pPr>
      <w:spacing w:before="100" w:beforeAutospacing="1" w:after="100" w:afterAutospacing="1" w:line="240" w:lineRule="auto"/>
      <w:jc w:val="center"/>
      <w:textAlignment w:val="center"/>
    </w:pPr>
    <w:rPr>
      <w:rFonts w:ascii="Times New Roman" w:hAnsi="Times New Roman"/>
      <w:b/>
      <w:bCs/>
      <w:sz w:val="14"/>
      <w:szCs w:val="14"/>
      <w:lang w:bidi="ar-SA"/>
    </w:rPr>
  </w:style>
  <w:style w:type="paragraph" w:customStyle="1" w:styleId="xl66">
    <w:name w:val="xl66"/>
    <w:basedOn w:val="Normal"/>
    <w:rsid w:val="0077457C"/>
    <w:pPr>
      <w:pBdr>
        <w:bottom w:val="single" w:sz="8" w:space="0" w:color="000000"/>
      </w:pBd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67">
    <w:name w:val="xl67"/>
    <w:basedOn w:val="Normal"/>
    <w:rsid w:val="0077457C"/>
    <w:pPr>
      <w:pBdr>
        <w:bottom w:val="single" w:sz="8"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68">
    <w:name w:val="xl68"/>
    <w:basedOn w:val="Normal"/>
    <w:rsid w:val="0077457C"/>
    <w:pPr>
      <w:pBdr>
        <w:bottom w:val="single" w:sz="8"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69">
    <w:name w:val="xl69"/>
    <w:basedOn w:val="Normal"/>
    <w:rsid w:val="0077457C"/>
    <w:pPr>
      <w:spacing w:before="100" w:beforeAutospacing="1" w:after="100" w:afterAutospacing="1" w:line="240" w:lineRule="auto"/>
    </w:pPr>
    <w:rPr>
      <w:rFonts w:ascii="Times New Roman" w:hAnsi="Times New Roman"/>
      <w:sz w:val="14"/>
      <w:szCs w:val="14"/>
      <w:lang w:bidi="ar-SA"/>
    </w:rPr>
  </w:style>
  <w:style w:type="paragraph" w:customStyle="1" w:styleId="xl70">
    <w:name w:val="xl70"/>
    <w:basedOn w:val="Normal"/>
    <w:rsid w:val="0077457C"/>
    <w:pP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71">
    <w:name w:val="xl71"/>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2">
    <w:name w:val="xl72"/>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3">
    <w:name w:val="xl73"/>
    <w:basedOn w:val="Normal"/>
    <w:rsid w:val="0077457C"/>
    <w:pPr>
      <w:pBdr>
        <w:bottom w:val="single" w:sz="4" w:space="0" w:color="000000"/>
      </w:pBd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74">
    <w:name w:val="xl74"/>
    <w:basedOn w:val="Normal"/>
    <w:rsid w:val="0077457C"/>
    <w:pPr>
      <w:pBdr>
        <w:bottom w:val="single" w:sz="4"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5">
    <w:name w:val="xl75"/>
    <w:basedOn w:val="Normal"/>
    <w:rsid w:val="0077457C"/>
    <w:pPr>
      <w:pBdr>
        <w:bottom w:val="single" w:sz="4"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6">
    <w:name w:val="xl76"/>
    <w:basedOn w:val="Normal"/>
    <w:rsid w:val="0077457C"/>
    <w:pP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77">
    <w:name w:val="xl77"/>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8">
    <w:name w:val="xl78"/>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9">
    <w:name w:val="xl79"/>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0">
    <w:name w:val="xl80"/>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1">
    <w:name w:val="xl81"/>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2">
    <w:name w:val="xl82"/>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3">
    <w:name w:val="xl83"/>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4">
    <w:name w:val="xl84"/>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5">
    <w:name w:val="xl85"/>
    <w:basedOn w:val="Normal"/>
    <w:rsid w:val="0077457C"/>
    <w:pPr>
      <w:spacing w:before="100" w:beforeAutospacing="1" w:after="100" w:afterAutospacing="1" w:line="240" w:lineRule="auto"/>
      <w:jc w:val="center"/>
      <w:textAlignment w:val="center"/>
    </w:pPr>
    <w:rPr>
      <w:rFonts w:ascii="Times New Roman" w:hAnsi="Times New Roman"/>
      <w:sz w:val="14"/>
      <w:szCs w:val="14"/>
      <w:lang w:bidi="ar-SA"/>
    </w:rPr>
  </w:style>
  <w:style w:type="paragraph" w:customStyle="1" w:styleId="xl86">
    <w:name w:val="xl86"/>
    <w:basedOn w:val="Normal"/>
    <w:rsid w:val="0077457C"/>
    <w:pPr>
      <w:pBdr>
        <w:bottom w:val="double" w:sz="6" w:space="0" w:color="000000"/>
      </w:pBd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87">
    <w:name w:val="xl87"/>
    <w:basedOn w:val="Normal"/>
    <w:rsid w:val="0077457C"/>
    <w:pPr>
      <w:pBdr>
        <w:bottom w:val="double" w:sz="6" w:space="0" w:color="000000"/>
      </w:pBdr>
      <w:spacing w:before="100" w:beforeAutospacing="1" w:after="100" w:afterAutospacing="1" w:line="240" w:lineRule="auto"/>
      <w:jc w:val="center"/>
      <w:textAlignment w:val="center"/>
    </w:pPr>
    <w:rPr>
      <w:rFonts w:ascii="Times New Roman" w:hAnsi="Times New Roman"/>
      <w:sz w:val="14"/>
      <w:szCs w:val="14"/>
      <w:lang w:bidi="ar-SA"/>
    </w:rPr>
  </w:style>
  <w:style w:type="paragraph" w:customStyle="1" w:styleId="xl88">
    <w:name w:val="xl88"/>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BF588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qFormat/>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BF588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unhideWhenUsed/>
    <w:qFormat/>
    <w:rsid w:val="003A060D"/>
    <w:rPr>
      <w:i/>
    </w:rPr>
  </w:style>
  <w:style w:type="character" w:customStyle="1" w:styleId="QuoteChar">
    <w:name w:val="Quote Char"/>
    <w:basedOn w:val="DefaultParagraphFont"/>
    <w:link w:val="Quote"/>
    <w:uiPriority w:val="29"/>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otnoteReference">
    <w:name w:val="footnote reference"/>
    <w:basedOn w:val="DefaultParagraphFont"/>
    <w:uiPriority w:val="99"/>
    <w:unhideWhenUsed/>
    <w:rsid w:val="00F778C8"/>
    <w:rPr>
      <w:rFonts w:cs="Times New Roman"/>
      <w:vertAlign w:val="superscript"/>
    </w:rPr>
  </w:style>
  <w:style w:type="paragraph" w:customStyle="1" w:styleId="Footnote">
    <w:name w:val="Footnote"/>
    <w:basedOn w:val="FootnoteText"/>
    <w:autoRedefine/>
    <w:qFormat/>
    <w:rsid w:val="00F778C8"/>
    <w:pPr>
      <w:spacing w:after="60"/>
      <w:ind w:left="173" w:hanging="173"/>
    </w:pPr>
    <w:rPr>
      <w:rFonts w:ascii="Times New Roman" w:eastAsiaTheme="minorEastAsia" w:hAnsi="Times New Roman"/>
      <w:szCs w:val="24"/>
      <w:lang w:eastAsia="ja-JP" w:bidi="ar-SA"/>
    </w:rPr>
  </w:style>
  <w:style w:type="paragraph" w:styleId="FootnoteText">
    <w:name w:val="footnote text"/>
    <w:basedOn w:val="Normal"/>
    <w:link w:val="FootnoteTextChar"/>
    <w:uiPriority w:val="99"/>
    <w:unhideWhenUsed/>
    <w:rsid w:val="00F778C8"/>
    <w:pPr>
      <w:spacing w:line="240" w:lineRule="auto"/>
    </w:pPr>
    <w:rPr>
      <w:sz w:val="20"/>
      <w:szCs w:val="20"/>
    </w:rPr>
  </w:style>
  <w:style w:type="character" w:customStyle="1" w:styleId="FootnoteTextChar">
    <w:name w:val="Footnote Text Char"/>
    <w:basedOn w:val="DefaultParagraphFont"/>
    <w:link w:val="FootnoteText"/>
    <w:uiPriority w:val="99"/>
    <w:rsid w:val="00F778C8"/>
    <w:rPr>
      <w:rFonts w:asciiTheme="minorHAnsi" w:hAnsiTheme="minorHAnsi"/>
      <w:lang w:bidi="en-US"/>
    </w:rPr>
  </w:style>
  <w:style w:type="paragraph" w:customStyle="1" w:styleId="Hypothesis">
    <w:name w:val="Hypothesis"/>
    <w:basedOn w:val="Normal"/>
    <w:autoRedefine/>
    <w:qFormat/>
    <w:rsid w:val="00FB4562"/>
    <w:pPr>
      <w:spacing w:before="240" w:after="480" w:line="240" w:lineRule="auto"/>
      <w:ind w:left="1152" w:hanging="432"/>
    </w:pPr>
    <w:rPr>
      <w:rFonts w:ascii="Times New Roman" w:eastAsiaTheme="minorEastAsia" w:hAnsi="Times New Roman"/>
      <w:i/>
      <w:iCs/>
      <w:lang w:eastAsia="ja-JP" w:bidi="ar-SA"/>
    </w:rPr>
  </w:style>
  <w:style w:type="paragraph" w:customStyle="1" w:styleId="EndNoteBibliographyTitle">
    <w:name w:val="EndNote Bibliography Title"/>
    <w:basedOn w:val="Normal"/>
    <w:link w:val="EndNoteBibliographyTitleChar"/>
    <w:rsid w:val="00A7280B"/>
    <w:pPr>
      <w:jc w:val="center"/>
    </w:pPr>
    <w:rPr>
      <w:rFonts w:ascii="Times New Roman" w:hAnsi="Times New Roman"/>
      <w:noProof/>
    </w:rPr>
  </w:style>
  <w:style w:type="character" w:customStyle="1" w:styleId="EndNoteBibliographyTitleChar">
    <w:name w:val="EndNote Bibliography Title Char"/>
    <w:basedOn w:val="Heading1Char"/>
    <w:link w:val="EndNoteBibliographyTitle"/>
    <w:rsid w:val="00A7280B"/>
    <w:rPr>
      <w:rFonts w:asciiTheme="majorHAnsi" w:hAnsiTheme="majorHAnsi"/>
      <w:b w:val="0"/>
      <w:bCs w:val="0"/>
      <w:noProof/>
      <w:sz w:val="24"/>
      <w:szCs w:val="24"/>
      <w:lang w:bidi="en-US"/>
    </w:rPr>
  </w:style>
  <w:style w:type="paragraph" w:customStyle="1" w:styleId="EndNoteBibliography">
    <w:name w:val="EndNote Bibliography"/>
    <w:basedOn w:val="Normal"/>
    <w:link w:val="EndNoteBibliographyChar"/>
    <w:rsid w:val="00A7280B"/>
    <w:pPr>
      <w:spacing w:line="240" w:lineRule="auto"/>
    </w:pPr>
    <w:rPr>
      <w:rFonts w:ascii="Times New Roman" w:hAnsi="Times New Roman"/>
      <w:noProof/>
    </w:rPr>
  </w:style>
  <w:style w:type="character" w:customStyle="1" w:styleId="EndNoteBibliographyChar">
    <w:name w:val="EndNote Bibliography Char"/>
    <w:basedOn w:val="Heading1Char"/>
    <w:link w:val="EndNoteBibliography"/>
    <w:rsid w:val="00A7280B"/>
    <w:rPr>
      <w:rFonts w:asciiTheme="majorHAnsi" w:hAnsiTheme="majorHAnsi"/>
      <w:b w:val="0"/>
      <w:bCs w:val="0"/>
      <w:noProof/>
      <w:sz w:val="24"/>
      <w:szCs w:val="24"/>
      <w:lang w:bidi="en-US"/>
    </w:rPr>
  </w:style>
  <w:style w:type="paragraph" w:customStyle="1" w:styleId="EndNoteCategoryHeading">
    <w:name w:val="EndNote Category Heading"/>
    <w:basedOn w:val="Normal"/>
    <w:link w:val="EndNoteCategoryHeadingChar"/>
    <w:rsid w:val="0091777F"/>
    <w:pPr>
      <w:spacing w:before="120" w:after="120"/>
    </w:pPr>
  </w:style>
  <w:style w:type="character" w:customStyle="1" w:styleId="EndNoteCategoryHeadingChar">
    <w:name w:val="EndNote Category Heading Char"/>
    <w:basedOn w:val="EndNoteBibliographyChar"/>
    <w:link w:val="EndNoteCategoryHeading"/>
    <w:rsid w:val="0091777F"/>
    <w:rPr>
      <w:rFonts w:asciiTheme="minorHAnsi" w:hAnsiTheme="minorHAnsi"/>
      <w:b w:val="0"/>
      <w:bCs w:val="0"/>
      <w:noProof/>
      <w:sz w:val="24"/>
      <w:szCs w:val="24"/>
      <w:lang w:bidi="en-US"/>
    </w:rPr>
  </w:style>
  <w:style w:type="paragraph" w:customStyle="1" w:styleId="EndNoteCategoryTitle">
    <w:name w:val="EndNote Category Title"/>
    <w:basedOn w:val="Normal"/>
    <w:link w:val="EndNoteCategoryTitleChar"/>
    <w:rsid w:val="0091777F"/>
    <w:pPr>
      <w:spacing w:before="120" w:after="120"/>
      <w:jc w:val="center"/>
    </w:pPr>
  </w:style>
  <w:style w:type="character" w:customStyle="1" w:styleId="EndNoteCategoryTitleChar">
    <w:name w:val="EndNote Category Title Char"/>
    <w:basedOn w:val="EndNoteBibliographyChar"/>
    <w:link w:val="EndNoteCategoryTitle"/>
    <w:rsid w:val="0091777F"/>
    <w:rPr>
      <w:rFonts w:asciiTheme="minorHAnsi" w:hAnsiTheme="minorHAnsi"/>
      <w:b w:val="0"/>
      <w:bCs w:val="0"/>
      <w:noProof/>
      <w:sz w:val="24"/>
      <w:szCs w:val="24"/>
      <w:lang w:bidi="en-US"/>
    </w:rPr>
  </w:style>
  <w:style w:type="table" w:customStyle="1" w:styleId="TableGrid1">
    <w:name w:val="Table Grid1"/>
    <w:basedOn w:val="TableNormal"/>
    <w:next w:val="TableGrid"/>
    <w:uiPriority w:val="59"/>
    <w:rsid w:val="00D06B6F"/>
    <w:rPr>
      <w:rFonts w:asciiTheme="minorHAnsi" w:eastAsiaTheme="minorEastAsia" w:hAnsiTheme="minorHAns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F1552"/>
    <w:rPr>
      <w:rFonts w:asciiTheme="minorHAnsi" w:eastAsiaTheme="minorEastAsia" w:hAnsiTheme="minorHAns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77457C"/>
    <w:rPr>
      <w:rFonts w:cs="Times New Roman"/>
    </w:rPr>
  </w:style>
  <w:style w:type="paragraph" w:customStyle="1" w:styleId="Heading1Appendix">
    <w:name w:val="Heading 1 Appendix"/>
    <w:basedOn w:val="Heading1"/>
    <w:autoRedefine/>
    <w:qFormat/>
    <w:rsid w:val="0077457C"/>
    <w:pPr>
      <w:keepNext/>
      <w:keepLines/>
      <w:numPr>
        <w:numId w:val="13"/>
      </w:numPr>
      <w:jc w:val="left"/>
    </w:pPr>
    <w:rPr>
      <w:rFonts w:ascii="Times New Roman" w:eastAsiaTheme="majorEastAsia" w:hAnsi="Times New Roman"/>
      <w:lang w:eastAsia="ja-JP" w:bidi="ar-SA"/>
    </w:rPr>
  </w:style>
  <w:style w:type="paragraph" w:customStyle="1" w:styleId="Heading2Appendix">
    <w:name w:val="Heading 2 Appendix"/>
    <w:basedOn w:val="Heading2"/>
    <w:autoRedefine/>
    <w:qFormat/>
    <w:rsid w:val="0077457C"/>
    <w:pPr>
      <w:keepLines/>
      <w:numPr>
        <w:ilvl w:val="1"/>
        <w:numId w:val="17"/>
      </w:numPr>
      <w:ind w:left="0" w:firstLine="0"/>
      <w:jc w:val="left"/>
    </w:pPr>
    <w:rPr>
      <w:rFonts w:ascii="Times New Roman" w:eastAsiaTheme="majorEastAsia" w:hAnsi="Times New Roman"/>
      <w:i/>
      <w:iCs w:val="0"/>
      <w:szCs w:val="26"/>
      <w:lang w:eastAsia="ja-JP" w:bidi="ar-SA"/>
    </w:rPr>
  </w:style>
  <w:style w:type="paragraph" w:customStyle="1" w:styleId="Author">
    <w:name w:val="Author"/>
    <w:basedOn w:val="NoSpacing"/>
    <w:next w:val="NoSpacing"/>
    <w:qFormat/>
    <w:rsid w:val="0077457C"/>
    <w:pPr>
      <w:jc w:val="center"/>
    </w:pPr>
    <w:rPr>
      <w:rFonts w:ascii="Times New Roman" w:eastAsiaTheme="minorEastAsia" w:hAnsi="Times New Roman"/>
      <w:b/>
      <w:szCs w:val="24"/>
      <w:lang w:eastAsia="ja-JP" w:bidi="ar-SA"/>
    </w:rPr>
  </w:style>
  <w:style w:type="paragraph" w:customStyle="1" w:styleId="AuthorInfo">
    <w:name w:val="Author Info"/>
    <w:basedOn w:val="Author"/>
    <w:qFormat/>
    <w:rsid w:val="0077457C"/>
    <w:rPr>
      <w:b w:val="0"/>
    </w:rPr>
  </w:style>
  <w:style w:type="paragraph" w:customStyle="1" w:styleId="TableReference">
    <w:name w:val="Table Reference"/>
    <w:basedOn w:val="Normal"/>
    <w:link w:val="TableReferenceChar"/>
    <w:autoRedefine/>
    <w:qFormat/>
    <w:rsid w:val="0077457C"/>
    <w:pPr>
      <w:jc w:val="center"/>
    </w:pPr>
    <w:rPr>
      <w:rFonts w:eastAsiaTheme="minorEastAsia"/>
      <w:b/>
      <w:lang w:eastAsia="ja-JP"/>
    </w:rPr>
  </w:style>
  <w:style w:type="character" w:customStyle="1" w:styleId="TableReferenceChar">
    <w:name w:val="Table Reference Char"/>
    <w:basedOn w:val="NoSpacingChar"/>
    <w:link w:val="TableReference"/>
    <w:rsid w:val="0077457C"/>
    <w:rPr>
      <w:rFonts w:asciiTheme="minorHAnsi" w:eastAsiaTheme="minorEastAsia" w:hAnsiTheme="minorHAnsi"/>
      <w:b/>
      <w:sz w:val="24"/>
      <w:szCs w:val="24"/>
      <w:lang w:eastAsia="ja-JP" w:bidi="en-US"/>
    </w:rPr>
  </w:style>
  <w:style w:type="paragraph" w:styleId="DocumentMap">
    <w:name w:val="Document Map"/>
    <w:basedOn w:val="Normal"/>
    <w:link w:val="DocumentMapChar"/>
    <w:uiPriority w:val="99"/>
    <w:semiHidden/>
    <w:unhideWhenUsed/>
    <w:rsid w:val="0077457C"/>
    <w:pPr>
      <w:spacing w:line="240" w:lineRule="auto"/>
    </w:pPr>
    <w:rPr>
      <w:rFonts w:ascii="Lucida Grande" w:eastAsiaTheme="minorEastAsia" w:hAnsi="Lucida Grande" w:cs="Lucida Grande"/>
      <w:lang w:eastAsia="ja-JP" w:bidi="ar-SA"/>
    </w:rPr>
  </w:style>
  <w:style w:type="character" w:customStyle="1" w:styleId="DocumentMapChar">
    <w:name w:val="Document Map Char"/>
    <w:basedOn w:val="DefaultParagraphFont"/>
    <w:link w:val="DocumentMap"/>
    <w:uiPriority w:val="99"/>
    <w:semiHidden/>
    <w:rsid w:val="0077457C"/>
    <w:rPr>
      <w:rFonts w:ascii="Lucida Grande" w:eastAsiaTheme="minorEastAsia" w:hAnsi="Lucida Grande" w:cs="Lucida Grande"/>
      <w:sz w:val="24"/>
      <w:szCs w:val="24"/>
      <w:lang w:eastAsia="ja-JP"/>
    </w:rPr>
  </w:style>
  <w:style w:type="paragraph" w:styleId="NormalWeb">
    <w:name w:val="Normal (Web)"/>
    <w:basedOn w:val="Normal"/>
    <w:uiPriority w:val="99"/>
    <w:semiHidden/>
    <w:unhideWhenUsed/>
    <w:rsid w:val="0077457C"/>
    <w:pPr>
      <w:spacing w:before="100" w:beforeAutospacing="1" w:after="100" w:afterAutospacing="1" w:line="240" w:lineRule="auto"/>
    </w:pPr>
    <w:rPr>
      <w:rFonts w:ascii="Times New Roman" w:hAnsi="Times New Roman"/>
      <w:lang w:bidi="ar-SA"/>
    </w:rPr>
  </w:style>
  <w:style w:type="table" w:styleId="MediumShading1">
    <w:name w:val="Medium Shading 1"/>
    <w:basedOn w:val="TableNormal"/>
    <w:uiPriority w:val="63"/>
    <w:rsid w:val="0077457C"/>
    <w:rPr>
      <w:rFonts w:asciiTheme="minorHAnsi" w:eastAsiaTheme="minorEastAsia" w:hAnsiTheme="minorHAnsi"/>
      <w:lang w:eastAsia="ja-JP"/>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CommentReference">
    <w:name w:val="annotation reference"/>
    <w:basedOn w:val="DefaultParagraphFont"/>
    <w:uiPriority w:val="99"/>
    <w:semiHidden/>
    <w:unhideWhenUsed/>
    <w:rsid w:val="0077457C"/>
    <w:rPr>
      <w:sz w:val="16"/>
      <w:szCs w:val="16"/>
    </w:rPr>
  </w:style>
  <w:style w:type="paragraph" w:styleId="CommentText">
    <w:name w:val="annotation text"/>
    <w:basedOn w:val="Normal"/>
    <w:link w:val="CommentTextChar"/>
    <w:uiPriority w:val="99"/>
    <w:semiHidden/>
    <w:unhideWhenUsed/>
    <w:rsid w:val="0077457C"/>
    <w:pPr>
      <w:spacing w:line="240" w:lineRule="auto"/>
    </w:pPr>
    <w:rPr>
      <w:rFonts w:ascii="Times New Roman" w:eastAsiaTheme="minorEastAsia" w:hAnsi="Times New Roman"/>
      <w:sz w:val="20"/>
      <w:szCs w:val="20"/>
      <w:lang w:eastAsia="ja-JP" w:bidi="ar-SA"/>
    </w:rPr>
  </w:style>
  <w:style w:type="character" w:customStyle="1" w:styleId="CommentTextChar">
    <w:name w:val="Comment Text Char"/>
    <w:basedOn w:val="DefaultParagraphFont"/>
    <w:link w:val="CommentText"/>
    <w:uiPriority w:val="99"/>
    <w:semiHidden/>
    <w:rsid w:val="0077457C"/>
    <w:rPr>
      <w:rFonts w:eastAsiaTheme="minorEastAsia"/>
      <w:lang w:eastAsia="ja-JP"/>
    </w:rPr>
  </w:style>
  <w:style w:type="paragraph" w:styleId="CommentSubject">
    <w:name w:val="annotation subject"/>
    <w:basedOn w:val="CommentText"/>
    <w:next w:val="CommentText"/>
    <w:link w:val="CommentSubjectChar"/>
    <w:uiPriority w:val="99"/>
    <w:semiHidden/>
    <w:unhideWhenUsed/>
    <w:rsid w:val="0077457C"/>
    <w:rPr>
      <w:b/>
      <w:bCs/>
    </w:rPr>
  </w:style>
  <w:style w:type="character" w:customStyle="1" w:styleId="CommentSubjectChar">
    <w:name w:val="Comment Subject Char"/>
    <w:basedOn w:val="CommentTextChar"/>
    <w:link w:val="CommentSubject"/>
    <w:uiPriority w:val="99"/>
    <w:semiHidden/>
    <w:rsid w:val="0077457C"/>
    <w:rPr>
      <w:rFonts w:eastAsiaTheme="minorEastAsia"/>
      <w:b/>
      <w:bCs/>
      <w:lang w:eastAsia="ja-JP"/>
    </w:rPr>
  </w:style>
  <w:style w:type="paragraph" w:styleId="Revision">
    <w:name w:val="Revision"/>
    <w:hidden/>
    <w:uiPriority w:val="99"/>
    <w:semiHidden/>
    <w:rsid w:val="0077457C"/>
    <w:rPr>
      <w:rFonts w:eastAsiaTheme="minorEastAsia"/>
      <w:sz w:val="24"/>
      <w:szCs w:val="24"/>
      <w:lang w:eastAsia="ja-JP"/>
    </w:rPr>
  </w:style>
  <w:style w:type="character" w:styleId="FollowedHyperlink">
    <w:name w:val="FollowedHyperlink"/>
    <w:basedOn w:val="DefaultParagraphFont"/>
    <w:uiPriority w:val="99"/>
    <w:semiHidden/>
    <w:unhideWhenUsed/>
    <w:rsid w:val="0077457C"/>
    <w:rPr>
      <w:color w:val="800080"/>
      <w:u w:val="single"/>
    </w:rPr>
  </w:style>
  <w:style w:type="paragraph" w:customStyle="1" w:styleId="xl65">
    <w:name w:val="xl65"/>
    <w:basedOn w:val="Normal"/>
    <w:rsid w:val="0077457C"/>
    <w:pPr>
      <w:spacing w:before="100" w:beforeAutospacing="1" w:after="100" w:afterAutospacing="1" w:line="240" w:lineRule="auto"/>
      <w:jc w:val="center"/>
      <w:textAlignment w:val="center"/>
    </w:pPr>
    <w:rPr>
      <w:rFonts w:ascii="Times New Roman" w:hAnsi="Times New Roman"/>
      <w:b/>
      <w:bCs/>
      <w:sz w:val="14"/>
      <w:szCs w:val="14"/>
      <w:lang w:bidi="ar-SA"/>
    </w:rPr>
  </w:style>
  <w:style w:type="paragraph" w:customStyle="1" w:styleId="xl66">
    <w:name w:val="xl66"/>
    <w:basedOn w:val="Normal"/>
    <w:rsid w:val="0077457C"/>
    <w:pPr>
      <w:pBdr>
        <w:bottom w:val="single" w:sz="8" w:space="0" w:color="000000"/>
      </w:pBd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67">
    <w:name w:val="xl67"/>
    <w:basedOn w:val="Normal"/>
    <w:rsid w:val="0077457C"/>
    <w:pPr>
      <w:pBdr>
        <w:bottom w:val="single" w:sz="8"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68">
    <w:name w:val="xl68"/>
    <w:basedOn w:val="Normal"/>
    <w:rsid w:val="0077457C"/>
    <w:pPr>
      <w:pBdr>
        <w:bottom w:val="single" w:sz="8"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69">
    <w:name w:val="xl69"/>
    <w:basedOn w:val="Normal"/>
    <w:rsid w:val="0077457C"/>
    <w:pPr>
      <w:spacing w:before="100" w:beforeAutospacing="1" w:after="100" w:afterAutospacing="1" w:line="240" w:lineRule="auto"/>
    </w:pPr>
    <w:rPr>
      <w:rFonts w:ascii="Times New Roman" w:hAnsi="Times New Roman"/>
      <w:sz w:val="14"/>
      <w:szCs w:val="14"/>
      <w:lang w:bidi="ar-SA"/>
    </w:rPr>
  </w:style>
  <w:style w:type="paragraph" w:customStyle="1" w:styleId="xl70">
    <w:name w:val="xl70"/>
    <w:basedOn w:val="Normal"/>
    <w:rsid w:val="0077457C"/>
    <w:pP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71">
    <w:name w:val="xl71"/>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2">
    <w:name w:val="xl72"/>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3">
    <w:name w:val="xl73"/>
    <w:basedOn w:val="Normal"/>
    <w:rsid w:val="0077457C"/>
    <w:pPr>
      <w:pBdr>
        <w:bottom w:val="single" w:sz="4" w:space="0" w:color="000000"/>
      </w:pBd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74">
    <w:name w:val="xl74"/>
    <w:basedOn w:val="Normal"/>
    <w:rsid w:val="0077457C"/>
    <w:pPr>
      <w:pBdr>
        <w:bottom w:val="single" w:sz="4"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5">
    <w:name w:val="xl75"/>
    <w:basedOn w:val="Normal"/>
    <w:rsid w:val="0077457C"/>
    <w:pPr>
      <w:pBdr>
        <w:bottom w:val="single" w:sz="4" w:space="0" w:color="000000"/>
      </w:pBd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6">
    <w:name w:val="xl76"/>
    <w:basedOn w:val="Normal"/>
    <w:rsid w:val="0077457C"/>
    <w:pP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77">
    <w:name w:val="xl77"/>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8">
    <w:name w:val="xl78"/>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79">
    <w:name w:val="xl79"/>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0">
    <w:name w:val="xl80"/>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1">
    <w:name w:val="xl81"/>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2">
    <w:name w:val="xl82"/>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3">
    <w:name w:val="xl83"/>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4">
    <w:name w:val="xl84"/>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 w:type="paragraph" w:customStyle="1" w:styleId="xl85">
    <w:name w:val="xl85"/>
    <w:basedOn w:val="Normal"/>
    <w:rsid w:val="0077457C"/>
    <w:pPr>
      <w:spacing w:before="100" w:beforeAutospacing="1" w:after="100" w:afterAutospacing="1" w:line="240" w:lineRule="auto"/>
      <w:jc w:val="center"/>
      <w:textAlignment w:val="center"/>
    </w:pPr>
    <w:rPr>
      <w:rFonts w:ascii="Times New Roman" w:hAnsi="Times New Roman"/>
      <w:sz w:val="14"/>
      <w:szCs w:val="14"/>
      <w:lang w:bidi="ar-SA"/>
    </w:rPr>
  </w:style>
  <w:style w:type="paragraph" w:customStyle="1" w:styleId="xl86">
    <w:name w:val="xl86"/>
    <w:basedOn w:val="Normal"/>
    <w:rsid w:val="0077457C"/>
    <w:pPr>
      <w:pBdr>
        <w:bottom w:val="double" w:sz="6" w:space="0" w:color="000000"/>
      </w:pBdr>
      <w:spacing w:before="100" w:beforeAutospacing="1" w:after="100" w:afterAutospacing="1" w:line="240" w:lineRule="auto"/>
      <w:textAlignment w:val="center"/>
    </w:pPr>
    <w:rPr>
      <w:rFonts w:ascii="Times New Roman" w:hAnsi="Times New Roman"/>
      <w:b/>
      <w:bCs/>
      <w:i/>
      <w:iCs/>
      <w:sz w:val="14"/>
      <w:szCs w:val="14"/>
      <w:lang w:bidi="ar-SA"/>
    </w:rPr>
  </w:style>
  <w:style w:type="paragraph" w:customStyle="1" w:styleId="xl87">
    <w:name w:val="xl87"/>
    <w:basedOn w:val="Normal"/>
    <w:rsid w:val="0077457C"/>
    <w:pPr>
      <w:pBdr>
        <w:bottom w:val="double" w:sz="6" w:space="0" w:color="000000"/>
      </w:pBdr>
      <w:spacing w:before="100" w:beforeAutospacing="1" w:after="100" w:afterAutospacing="1" w:line="240" w:lineRule="auto"/>
      <w:jc w:val="center"/>
      <w:textAlignment w:val="center"/>
    </w:pPr>
    <w:rPr>
      <w:rFonts w:ascii="Times New Roman" w:hAnsi="Times New Roman"/>
      <w:sz w:val="14"/>
      <w:szCs w:val="14"/>
      <w:lang w:bidi="ar-SA"/>
    </w:rPr>
  </w:style>
  <w:style w:type="paragraph" w:customStyle="1" w:styleId="xl88">
    <w:name w:val="xl88"/>
    <w:basedOn w:val="Normal"/>
    <w:rsid w:val="0077457C"/>
    <w:pPr>
      <w:spacing w:before="100" w:beforeAutospacing="1" w:after="100" w:afterAutospacing="1" w:line="240" w:lineRule="auto"/>
      <w:textAlignment w:val="center"/>
    </w:pPr>
    <w:rPr>
      <w:rFonts w:ascii="Times New Roman" w:hAnsi="Times New Roman"/>
      <w:sz w:val="14"/>
      <w:szCs w:val="1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51394">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54606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ink.springer.com/journal/volumesAndIssues/11408" TargetMode="External"/><Relationship Id="rId18" Type="http://schemas.openxmlformats.org/officeDocument/2006/relationships/image" Target="media/image1.pn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www.sciencedirect.com/science/journal/01654101" TargetMode="External"/><Relationship Id="rId17" Type="http://schemas.openxmlformats.org/officeDocument/2006/relationships/hyperlink" Target="http://onlinelibrary.wiley.com/journal/10.1111/%28ISSN%291755-053X/issues"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onlinelibrary.wiley.com/journal/10.1111/%28ISSN%291540-6261/issues"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ciencedirect.com/science/journal/0304405X"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sciencedirect.com/science/journal/0304405X"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http://aaapubs.org/loi/accr"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sciencedirect.com/science/journal/01654101" TargetMode="External"/><Relationship Id="rId22" Type="http://schemas.openxmlformats.org/officeDocument/2006/relationships/header" Target="header2.xml"/><Relationship Id="rId27" Type="http://schemas.openxmlformats.org/officeDocument/2006/relationships/footer" Target="foot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alex2.umd.edu/industrydata/industryclass.h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TIXGeneral-Italic">
    <w:charset w:val="00"/>
    <w:family w:val="auto"/>
    <w:pitch w:val="variable"/>
    <w:sig w:usb0="A00002BF" w:usb1="42000D4E" w:usb2="02000000" w:usb3="00000000" w:csb0="8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1F7A16"/>
    <w:rsid w:val="00276951"/>
    <w:rsid w:val="00293081"/>
    <w:rsid w:val="002C6D93"/>
    <w:rsid w:val="003F1BCB"/>
    <w:rsid w:val="004950C2"/>
    <w:rsid w:val="00572AB3"/>
    <w:rsid w:val="005844EF"/>
    <w:rsid w:val="005902A4"/>
    <w:rsid w:val="0059667E"/>
    <w:rsid w:val="0067451F"/>
    <w:rsid w:val="006B53FA"/>
    <w:rsid w:val="007113C2"/>
    <w:rsid w:val="00787914"/>
    <w:rsid w:val="007A04BC"/>
    <w:rsid w:val="007B7122"/>
    <w:rsid w:val="00875ABD"/>
    <w:rsid w:val="00A343F1"/>
    <w:rsid w:val="00B05737"/>
    <w:rsid w:val="00B46CD3"/>
    <w:rsid w:val="00C738D6"/>
    <w:rsid w:val="00CA39D2"/>
    <w:rsid w:val="00D22D3B"/>
    <w:rsid w:val="00DD6093"/>
    <w:rsid w:val="00E144A3"/>
    <w:rsid w:val="00EF14E5"/>
    <w:rsid w:val="00F21A40"/>
    <w:rsid w:val="00F80430"/>
    <w:rsid w:val="00FD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5848F-BC4A-4DEF-8C19-C55080BE0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29666</Words>
  <Characters>169098</Characters>
  <Application>Microsoft Office Word</Application>
  <DocSecurity>0</DocSecurity>
  <Lines>1409</Lines>
  <Paragraphs>396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198368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Matt Cobabe</cp:lastModifiedBy>
  <cp:revision>4</cp:revision>
  <cp:lastPrinted>2015-03-25T19:54:00Z</cp:lastPrinted>
  <dcterms:created xsi:type="dcterms:W3CDTF">2015-03-25T19:54:00Z</dcterms:created>
  <dcterms:modified xsi:type="dcterms:W3CDTF">2015-03-25T19:55:00Z</dcterms:modified>
</cp:coreProperties>
</file>