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83492" w14:textId="77777777" w:rsidR="009F0E14" w:rsidRDefault="009F0E14" w:rsidP="009F0E14">
      <w:pPr>
        <w:spacing w:after="210" w:line="248" w:lineRule="auto"/>
        <w:jc w:val="center"/>
      </w:pPr>
      <w:bookmarkStart w:id="0" w:name="_Hlk14473912"/>
      <w:bookmarkEnd w:id="0"/>
      <w:r>
        <w:t xml:space="preserve">UNIVERSITY OF OKLAHOMA  </w:t>
      </w:r>
    </w:p>
    <w:p w14:paraId="36C5BCED" w14:textId="77777777" w:rsidR="009F0E14" w:rsidRDefault="009F0E14" w:rsidP="009F0E14">
      <w:pPr>
        <w:spacing w:after="261" w:line="248" w:lineRule="auto"/>
        <w:jc w:val="center"/>
      </w:pPr>
      <w:r>
        <w:t xml:space="preserve">GRADUATE COLLEGE  </w:t>
      </w:r>
    </w:p>
    <w:p w14:paraId="5AED9B8D" w14:textId="77777777" w:rsidR="009F0E14" w:rsidRDefault="009F0E14" w:rsidP="009F0E14">
      <w:pPr>
        <w:spacing w:after="252" w:line="259" w:lineRule="auto"/>
        <w:ind w:left="0" w:right="0" w:firstLine="0"/>
        <w:jc w:val="center"/>
      </w:pPr>
      <w:r>
        <w:t xml:space="preserve"> </w:t>
      </w:r>
    </w:p>
    <w:p w14:paraId="687546B0" w14:textId="77777777" w:rsidR="009F0E14" w:rsidRDefault="009F0E14" w:rsidP="009F0E14">
      <w:pPr>
        <w:spacing w:after="256" w:line="259" w:lineRule="auto"/>
        <w:ind w:left="0" w:right="0" w:firstLine="0"/>
        <w:jc w:val="center"/>
      </w:pPr>
      <w:r>
        <w:t xml:space="preserve"> </w:t>
      </w:r>
    </w:p>
    <w:p w14:paraId="7625BF4D" w14:textId="77777777" w:rsidR="009F0E14" w:rsidRDefault="009D46B7" w:rsidP="009F0E14">
      <w:pPr>
        <w:spacing w:after="252" w:line="259" w:lineRule="auto"/>
        <w:ind w:left="0" w:right="0" w:firstLine="0"/>
        <w:jc w:val="center"/>
      </w:pPr>
      <w:r>
        <w:t>EFFECT OF BIOMASS COMPOSITION ON HEMICELLULOSE, CELLULOSE, AND LIGNIN DERIVED THERMAL PRODUCTS VIA TORREFACTION/PYROLYSIS</w:t>
      </w:r>
    </w:p>
    <w:p w14:paraId="2128E65C" w14:textId="77777777" w:rsidR="009F0E14" w:rsidRDefault="009F0E14" w:rsidP="009F0E14">
      <w:pPr>
        <w:spacing w:after="252" w:line="259" w:lineRule="auto"/>
        <w:ind w:left="0" w:right="0" w:firstLine="0"/>
        <w:jc w:val="center"/>
      </w:pPr>
      <w:r>
        <w:t xml:space="preserve"> </w:t>
      </w:r>
    </w:p>
    <w:p w14:paraId="391A14CA" w14:textId="77777777" w:rsidR="009F0E14" w:rsidRDefault="009F0E14" w:rsidP="009F0E14">
      <w:pPr>
        <w:spacing w:after="252" w:line="259" w:lineRule="auto"/>
        <w:ind w:left="0" w:right="0" w:firstLine="0"/>
      </w:pPr>
      <w:r>
        <w:t xml:space="preserve"> </w:t>
      </w:r>
    </w:p>
    <w:p w14:paraId="389C5A28" w14:textId="77777777" w:rsidR="009F0E14" w:rsidRDefault="009F0E14" w:rsidP="009F0E14">
      <w:pPr>
        <w:spacing w:after="261" w:line="248" w:lineRule="auto"/>
        <w:jc w:val="center"/>
      </w:pPr>
      <w:r>
        <w:t xml:space="preserve">A THESIS </w:t>
      </w:r>
    </w:p>
    <w:p w14:paraId="613B8307" w14:textId="77777777" w:rsidR="009F0E14" w:rsidRDefault="009F0E14" w:rsidP="009F0E14">
      <w:pPr>
        <w:spacing w:after="261" w:line="248" w:lineRule="auto"/>
        <w:jc w:val="center"/>
      </w:pPr>
      <w:r>
        <w:t xml:space="preserve">SUBMITTED TO THE GRADUATE FACULTY </w:t>
      </w:r>
    </w:p>
    <w:p w14:paraId="431E7CDC" w14:textId="77777777" w:rsidR="009F0E14" w:rsidRDefault="009F0E14" w:rsidP="009F0E14">
      <w:pPr>
        <w:spacing w:after="261" w:line="248" w:lineRule="auto"/>
        <w:jc w:val="center"/>
      </w:pPr>
      <w:r>
        <w:t xml:space="preserve">in partial fulfillment of the requirements for the </w:t>
      </w:r>
    </w:p>
    <w:p w14:paraId="03A8CB2F" w14:textId="77777777" w:rsidR="009F0E14" w:rsidRDefault="009F0E14" w:rsidP="009F0E14">
      <w:pPr>
        <w:spacing w:after="261" w:line="248" w:lineRule="auto"/>
        <w:jc w:val="center"/>
      </w:pPr>
      <w:r>
        <w:t xml:space="preserve">Degree of </w:t>
      </w:r>
    </w:p>
    <w:p w14:paraId="7D877395" w14:textId="77777777" w:rsidR="009F0E14" w:rsidRDefault="009F0E14" w:rsidP="009F0E14">
      <w:pPr>
        <w:spacing w:after="261" w:line="248" w:lineRule="auto"/>
        <w:jc w:val="center"/>
      </w:pPr>
      <w:r>
        <w:t xml:space="preserve">MASTER OF SCIENCE </w:t>
      </w:r>
    </w:p>
    <w:p w14:paraId="506A0D18" w14:textId="77777777" w:rsidR="009F0E14" w:rsidRDefault="009F0E14" w:rsidP="009F0E14">
      <w:pPr>
        <w:spacing w:after="252" w:line="259" w:lineRule="auto"/>
        <w:ind w:left="0" w:right="0" w:firstLine="0"/>
        <w:jc w:val="center"/>
      </w:pPr>
      <w:r>
        <w:t xml:space="preserve"> </w:t>
      </w:r>
    </w:p>
    <w:p w14:paraId="0F853633" w14:textId="77777777" w:rsidR="009F0E14" w:rsidRDefault="009F0E14" w:rsidP="009F0E14">
      <w:pPr>
        <w:spacing w:after="252" w:line="259" w:lineRule="auto"/>
        <w:ind w:left="0" w:right="0" w:firstLine="0"/>
        <w:jc w:val="center"/>
      </w:pPr>
      <w:r>
        <w:t xml:space="preserve"> </w:t>
      </w:r>
    </w:p>
    <w:p w14:paraId="047D0C43" w14:textId="77777777" w:rsidR="009F0E14" w:rsidRDefault="009F0E14" w:rsidP="009F0E14">
      <w:pPr>
        <w:spacing w:after="252" w:line="259" w:lineRule="auto"/>
        <w:ind w:left="0" w:right="0" w:firstLine="0"/>
        <w:jc w:val="center"/>
      </w:pPr>
      <w:r>
        <w:t xml:space="preserve"> </w:t>
      </w:r>
    </w:p>
    <w:p w14:paraId="4C4C0FA0" w14:textId="77777777" w:rsidR="009F0E14" w:rsidRDefault="009F0E14" w:rsidP="009F0E14">
      <w:pPr>
        <w:spacing w:after="252" w:line="259" w:lineRule="auto"/>
        <w:ind w:left="0" w:right="0" w:firstLine="0"/>
      </w:pPr>
      <w:r>
        <w:t xml:space="preserve"> </w:t>
      </w:r>
    </w:p>
    <w:p w14:paraId="1D004A30" w14:textId="77777777" w:rsidR="009F0E14" w:rsidRDefault="009F0E14" w:rsidP="009F0E14">
      <w:pPr>
        <w:spacing w:after="252" w:line="259" w:lineRule="auto"/>
        <w:ind w:left="0" w:right="0" w:firstLine="0"/>
      </w:pPr>
      <w:r>
        <w:t xml:space="preserve"> </w:t>
      </w:r>
    </w:p>
    <w:p w14:paraId="2F2ADDD8" w14:textId="77777777" w:rsidR="009F0E14" w:rsidRDefault="009F0E14" w:rsidP="009F0E14">
      <w:pPr>
        <w:spacing w:after="261" w:line="248" w:lineRule="auto"/>
        <w:jc w:val="center"/>
      </w:pPr>
      <w:r>
        <w:t xml:space="preserve">By </w:t>
      </w:r>
    </w:p>
    <w:p w14:paraId="1A8D691C" w14:textId="77777777" w:rsidR="009F0E14" w:rsidRDefault="009D46B7" w:rsidP="009F0E14">
      <w:pPr>
        <w:spacing w:after="12" w:line="248" w:lineRule="auto"/>
        <w:jc w:val="center"/>
      </w:pPr>
      <w:r>
        <w:t>REDWAN NAZIM</w:t>
      </w:r>
      <w:r w:rsidR="009F0E14">
        <w:t xml:space="preserve"> </w:t>
      </w:r>
    </w:p>
    <w:p w14:paraId="3E060F25" w14:textId="77777777" w:rsidR="009F0E14" w:rsidRDefault="009F0E14" w:rsidP="009D46B7">
      <w:pPr>
        <w:spacing w:after="261" w:line="248" w:lineRule="auto"/>
        <w:ind w:left="3029" w:right="3019"/>
        <w:jc w:val="center"/>
      </w:pPr>
      <w:r>
        <w:t>Norman, Oklahoma</w:t>
      </w:r>
      <w:r w:rsidR="009D46B7">
        <w:br/>
        <w:t>2019</w:t>
      </w:r>
      <w:r>
        <w:t xml:space="preserve"> </w:t>
      </w:r>
    </w:p>
    <w:p w14:paraId="097FCC38" w14:textId="77777777" w:rsidR="0019470D" w:rsidRDefault="0019470D" w:rsidP="009D46B7">
      <w:pPr>
        <w:spacing w:after="261" w:line="248" w:lineRule="auto"/>
        <w:ind w:left="3029" w:right="3019"/>
        <w:jc w:val="center"/>
      </w:pPr>
    </w:p>
    <w:p w14:paraId="06CA48A7" w14:textId="77777777" w:rsidR="0019470D" w:rsidRDefault="0019470D" w:rsidP="009D46B7">
      <w:pPr>
        <w:spacing w:after="261" w:line="248" w:lineRule="auto"/>
        <w:ind w:left="3029" w:right="3019"/>
        <w:jc w:val="center"/>
      </w:pPr>
    </w:p>
    <w:p w14:paraId="1951ED03" w14:textId="77777777" w:rsidR="0019470D" w:rsidRDefault="0019470D" w:rsidP="009D46B7">
      <w:pPr>
        <w:spacing w:after="261" w:line="248" w:lineRule="auto"/>
        <w:ind w:left="3029" w:right="3019"/>
        <w:jc w:val="center"/>
      </w:pPr>
    </w:p>
    <w:p w14:paraId="76FE445C" w14:textId="77777777" w:rsidR="0019470D" w:rsidRDefault="0019470D" w:rsidP="0019470D">
      <w:pPr>
        <w:spacing w:after="252" w:line="259" w:lineRule="auto"/>
        <w:ind w:left="0" w:right="0" w:firstLine="0"/>
        <w:jc w:val="center"/>
      </w:pPr>
      <w:r>
        <w:lastRenderedPageBreak/>
        <w:t>EFFECT OF BIOMASS COMPOSITION ON HEMICELLULOSE, CELLULOSE, AND LIGNIN DERIVED THERMAL PRODUCTS VIA TORREFACTION/PYROLYSIS</w:t>
      </w:r>
    </w:p>
    <w:p w14:paraId="13916713" w14:textId="77777777" w:rsidR="0019470D" w:rsidRDefault="0019470D" w:rsidP="0019470D">
      <w:pPr>
        <w:spacing w:after="12" w:line="248" w:lineRule="auto"/>
        <w:jc w:val="center"/>
      </w:pPr>
      <w:r>
        <w:t xml:space="preserve"> </w:t>
      </w:r>
    </w:p>
    <w:p w14:paraId="4C2BFBE0" w14:textId="77777777" w:rsidR="0019470D" w:rsidRDefault="0019470D" w:rsidP="0019470D">
      <w:pPr>
        <w:spacing w:after="0" w:line="259" w:lineRule="auto"/>
        <w:ind w:left="0" w:right="0" w:firstLine="0"/>
        <w:jc w:val="center"/>
      </w:pPr>
      <w:r>
        <w:t xml:space="preserve">  </w:t>
      </w:r>
    </w:p>
    <w:p w14:paraId="4E6A8E26" w14:textId="77777777" w:rsidR="0019470D" w:rsidRDefault="0019470D" w:rsidP="0019470D">
      <w:pPr>
        <w:spacing w:after="12" w:line="248" w:lineRule="auto"/>
        <w:jc w:val="center"/>
      </w:pPr>
      <w:r>
        <w:t xml:space="preserve">A THESIS APPROVED FOR THE </w:t>
      </w:r>
    </w:p>
    <w:p w14:paraId="68DC3679" w14:textId="77777777" w:rsidR="0019470D" w:rsidRDefault="0019470D" w:rsidP="0019470D">
      <w:pPr>
        <w:spacing w:after="256" w:line="259" w:lineRule="auto"/>
        <w:ind w:left="259" w:right="176"/>
      </w:pPr>
      <w:r>
        <w:t xml:space="preserve">SCHOOL OF CHEMICAL, BIOLOGICAL AND MATERIALS ENGINEERING </w:t>
      </w:r>
    </w:p>
    <w:p w14:paraId="6322A4A9" w14:textId="77777777" w:rsidR="0019470D" w:rsidRDefault="0019470D" w:rsidP="0019470D">
      <w:pPr>
        <w:spacing w:after="252" w:line="259" w:lineRule="auto"/>
        <w:ind w:left="0" w:right="0" w:firstLine="0"/>
        <w:jc w:val="center"/>
      </w:pPr>
      <w:r>
        <w:t xml:space="preserve"> </w:t>
      </w:r>
    </w:p>
    <w:p w14:paraId="4313C607" w14:textId="77777777" w:rsidR="0019470D" w:rsidRDefault="0019470D" w:rsidP="0019470D">
      <w:pPr>
        <w:spacing w:after="256" w:line="259" w:lineRule="auto"/>
        <w:ind w:left="0" w:right="0" w:firstLine="0"/>
        <w:jc w:val="center"/>
      </w:pPr>
      <w:r>
        <w:t xml:space="preserve"> </w:t>
      </w:r>
    </w:p>
    <w:p w14:paraId="68A0E431" w14:textId="77777777" w:rsidR="0019470D" w:rsidRDefault="0019470D" w:rsidP="0019470D">
      <w:pPr>
        <w:spacing w:after="256" w:line="259" w:lineRule="auto"/>
        <w:ind w:left="0" w:right="0" w:firstLine="0"/>
        <w:jc w:val="center"/>
      </w:pPr>
      <w:r>
        <w:t xml:space="preserve"> </w:t>
      </w:r>
    </w:p>
    <w:p w14:paraId="7F5F09FB" w14:textId="77777777" w:rsidR="0019470D" w:rsidRDefault="0019470D" w:rsidP="0019470D">
      <w:pPr>
        <w:spacing w:after="256" w:line="259" w:lineRule="auto"/>
        <w:ind w:left="0" w:right="0" w:firstLine="0"/>
        <w:jc w:val="center"/>
      </w:pPr>
      <w:r>
        <w:t xml:space="preserve"> </w:t>
      </w:r>
    </w:p>
    <w:p w14:paraId="7C0EEEBF" w14:textId="77777777" w:rsidR="0019470D" w:rsidRDefault="0019470D" w:rsidP="0019470D">
      <w:pPr>
        <w:spacing w:after="256" w:line="259" w:lineRule="auto"/>
        <w:ind w:left="0" w:right="0" w:firstLine="0"/>
        <w:jc w:val="center"/>
      </w:pPr>
      <w:r>
        <w:t xml:space="preserve"> </w:t>
      </w:r>
    </w:p>
    <w:p w14:paraId="63EA0C4C" w14:textId="77777777" w:rsidR="0019470D" w:rsidRDefault="0019470D" w:rsidP="0019470D">
      <w:pPr>
        <w:spacing w:after="256" w:line="259" w:lineRule="auto"/>
        <w:ind w:left="0" w:right="0" w:firstLine="0"/>
      </w:pPr>
      <w:r>
        <w:t xml:space="preserve"> </w:t>
      </w:r>
    </w:p>
    <w:p w14:paraId="24E6A3A4" w14:textId="77777777" w:rsidR="0019470D" w:rsidRDefault="0019470D" w:rsidP="0019470D">
      <w:pPr>
        <w:spacing w:after="95" w:line="248" w:lineRule="auto"/>
        <w:jc w:val="center"/>
      </w:pPr>
      <w:r>
        <w:t xml:space="preserve">BY </w:t>
      </w:r>
    </w:p>
    <w:p w14:paraId="3F2090DC" w14:textId="77777777" w:rsidR="0019470D" w:rsidRDefault="0019470D" w:rsidP="0019470D">
      <w:pPr>
        <w:spacing w:after="50" w:line="259" w:lineRule="auto"/>
        <w:ind w:left="0" w:right="0" w:firstLine="0"/>
      </w:pPr>
      <w:r>
        <w:t xml:space="preserve"> </w:t>
      </w:r>
    </w:p>
    <w:p w14:paraId="5F62304C" w14:textId="77777777" w:rsidR="0019470D" w:rsidRDefault="0019470D" w:rsidP="0019470D">
      <w:pPr>
        <w:spacing w:after="50" w:line="259" w:lineRule="auto"/>
        <w:ind w:left="0" w:right="0" w:firstLine="0"/>
      </w:pPr>
      <w:r>
        <w:t xml:space="preserve"> </w:t>
      </w:r>
      <w:bookmarkStart w:id="1" w:name="_GoBack"/>
      <w:bookmarkEnd w:id="1"/>
    </w:p>
    <w:p w14:paraId="54E3AE6C" w14:textId="77777777" w:rsidR="0019470D" w:rsidRDefault="0019470D" w:rsidP="0019470D">
      <w:pPr>
        <w:spacing w:after="50" w:line="259" w:lineRule="auto"/>
        <w:ind w:left="0" w:right="0" w:firstLine="0"/>
      </w:pPr>
      <w:r>
        <w:t xml:space="preserve"> </w:t>
      </w:r>
    </w:p>
    <w:p w14:paraId="3DA744C5" w14:textId="77777777" w:rsidR="0019470D" w:rsidRDefault="0019470D" w:rsidP="0019470D">
      <w:pPr>
        <w:spacing w:after="45" w:line="259" w:lineRule="auto"/>
        <w:ind w:left="0" w:right="0" w:firstLine="0"/>
      </w:pPr>
      <w:r>
        <w:t xml:space="preserve"> </w:t>
      </w:r>
    </w:p>
    <w:p w14:paraId="550603BF" w14:textId="77777777" w:rsidR="0019470D" w:rsidRDefault="0019470D" w:rsidP="0019470D">
      <w:pPr>
        <w:spacing w:after="50" w:line="259" w:lineRule="auto"/>
        <w:ind w:left="0" w:right="0" w:firstLine="0"/>
      </w:pPr>
      <w:r>
        <w:t xml:space="preserve"> </w:t>
      </w:r>
    </w:p>
    <w:p w14:paraId="62CA897B" w14:textId="77777777" w:rsidR="0019470D" w:rsidRDefault="0019470D" w:rsidP="0019470D">
      <w:pPr>
        <w:spacing w:after="50" w:line="259" w:lineRule="auto"/>
        <w:ind w:left="0" w:right="0" w:firstLine="0"/>
      </w:pPr>
      <w:r>
        <w:t xml:space="preserve"> </w:t>
      </w:r>
    </w:p>
    <w:p w14:paraId="0F091E63" w14:textId="4C0E05B4" w:rsidR="0019470D" w:rsidRDefault="0019470D" w:rsidP="0019470D">
      <w:pPr>
        <w:spacing w:after="39" w:line="265" w:lineRule="auto"/>
        <w:ind w:right="45"/>
        <w:jc w:val="right"/>
      </w:pPr>
      <w:r>
        <w:t xml:space="preserve">  </w:t>
      </w:r>
    </w:p>
    <w:p w14:paraId="6BDF6240" w14:textId="77777777" w:rsidR="0019470D" w:rsidRDefault="0019470D" w:rsidP="0019470D">
      <w:pPr>
        <w:spacing w:after="44" w:line="265" w:lineRule="auto"/>
        <w:ind w:right="45"/>
        <w:jc w:val="right"/>
      </w:pPr>
      <w:r>
        <w:t xml:space="preserve">Dr. Lance Lobban, Chair  </w:t>
      </w:r>
    </w:p>
    <w:p w14:paraId="73C92A7B" w14:textId="77777777" w:rsidR="0019470D" w:rsidRDefault="0019470D" w:rsidP="0019470D">
      <w:pPr>
        <w:spacing w:after="50" w:line="259" w:lineRule="auto"/>
        <w:ind w:left="0" w:right="0" w:firstLine="0"/>
        <w:jc w:val="right"/>
      </w:pPr>
      <w:r>
        <w:t xml:space="preserve"> </w:t>
      </w:r>
    </w:p>
    <w:p w14:paraId="076FACFE" w14:textId="378D6D5F" w:rsidR="0019470D" w:rsidRDefault="0019470D" w:rsidP="0019470D">
      <w:pPr>
        <w:spacing w:after="38" w:line="265" w:lineRule="auto"/>
        <w:ind w:left="4521" w:right="45"/>
        <w:jc w:val="right"/>
      </w:pPr>
      <w:r>
        <w:t xml:space="preserve">  </w:t>
      </w:r>
      <w:r>
        <w:br/>
        <w:t>Dr. Daniel Resasco</w:t>
      </w:r>
    </w:p>
    <w:p w14:paraId="624C4CEF" w14:textId="77777777" w:rsidR="0019470D" w:rsidRDefault="0019470D" w:rsidP="0019470D">
      <w:pPr>
        <w:spacing w:after="108" w:line="259" w:lineRule="auto"/>
        <w:ind w:left="0" w:right="0" w:firstLine="0"/>
        <w:jc w:val="right"/>
      </w:pPr>
      <w:r>
        <w:t xml:space="preserve"> </w:t>
      </w:r>
    </w:p>
    <w:p w14:paraId="243063AA" w14:textId="1EC1B7B1" w:rsidR="0019470D" w:rsidRDefault="0019470D" w:rsidP="0019470D">
      <w:pPr>
        <w:spacing w:after="113" w:line="265" w:lineRule="auto"/>
        <w:ind w:right="45"/>
        <w:jc w:val="right"/>
      </w:pPr>
      <w:r>
        <w:t xml:space="preserve">  </w:t>
      </w:r>
    </w:p>
    <w:p w14:paraId="6F6C2761" w14:textId="77777777" w:rsidR="0019470D" w:rsidRDefault="0019470D" w:rsidP="0019470D">
      <w:pPr>
        <w:spacing w:after="3" w:line="265" w:lineRule="auto"/>
        <w:ind w:right="45"/>
        <w:jc w:val="right"/>
      </w:pPr>
      <w:r>
        <w:t xml:space="preserve">Dr. Steven Crossley </w:t>
      </w:r>
      <w:r>
        <w:rPr>
          <w:sz w:val="30"/>
          <w:vertAlign w:val="subscript"/>
        </w:rPr>
        <w:t xml:space="preserve"> </w:t>
      </w:r>
    </w:p>
    <w:p w14:paraId="232F9E0A" w14:textId="77777777" w:rsidR="0019470D" w:rsidRDefault="0019470D" w:rsidP="009D46B7">
      <w:pPr>
        <w:spacing w:after="261" w:line="248" w:lineRule="auto"/>
        <w:ind w:left="3029" w:right="3019"/>
        <w:jc w:val="center"/>
      </w:pPr>
    </w:p>
    <w:p w14:paraId="74CEAB63" w14:textId="77777777" w:rsidR="009F0E14" w:rsidRDefault="009F0E14"/>
    <w:p w14:paraId="3791F94A" w14:textId="77777777" w:rsidR="0019470D" w:rsidRDefault="0019470D"/>
    <w:p w14:paraId="76155D54" w14:textId="77777777" w:rsidR="0019470D" w:rsidRDefault="0019470D"/>
    <w:p w14:paraId="2CAA4A5D" w14:textId="77777777" w:rsidR="0019470D" w:rsidRDefault="0019470D" w:rsidP="0019470D">
      <w:pPr>
        <w:spacing w:after="301" w:line="259" w:lineRule="auto"/>
        <w:ind w:left="0" w:right="11" w:firstLine="0"/>
        <w:jc w:val="center"/>
      </w:pPr>
    </w:p>
    <w:p w14:paraId="1BF3AC87" w14:textId="77777777" w:rsidR="0019470D" w:rsidRDefault="0019470D" w:rsidP="0019470D">
      <w:pPr>
        <w:spacing w:after="0" w:line="259" w:lineRule="auto"/>
        <w:ind w:left="0" w:right="0" w:firstLine="0"/>
        <w:jc w:val="center"/>
      </w:pPr>
      <w:r>
        <w:t xml:space="preserve"> </w:t>
      </w:r>
    </w:p>
    <w:p w14:paraId="6E2E693E" w14:textId="77777777" w:rsidR="0019470D" w:rsidRDefault="0019470D" w:rsidP="0019470D">
      <w:pPr>
        <w:spacing w:after="261" w:line="259" w:lineRule="auto"/>
        <w:ind w:left="0" w:right="0" w:firstLine="0"/>
        <w:jc w:val="center"/>
      </w:pPr>
      <w:r>
        <w:t xml:space="preserve"> </w:t>
      </w:r>
    </w:p>
    <w:p w14:paraId="05886431" w14:textId="77777777" w:rsidR="0019470D" w:rsidRDefault="0019470D" w:rsidP="0019470D">
      <w:pPr>
        <w:spacing w:after="252" w:line="259" w:lineRule="auto"/>
        <w:ind w:left="0" w:right="0" w:firstLine="0"/>
      </w:pPr>
      <w:r>
        <w:t xml:space="preserve"> </w:t>
      </w:r>
    </w:p>
    <w:p w14:paraId="5C78583B" w14:textId="77777777" w:rsidR="0019470D" w:rsidRDefault="0019470D" w:rsidP="0019470D">
      <w:pPr>
        <w:spacing w:after="256" w:line="259" w:lineRule="auto"/>
        <w:ind w:left="0" w:right="0" w:firstLine="0"/>
      </w:pPr>
      <w:r>
        <w:t xml:space="preserve"> </w:t>
      </w:r>
    </w:p>
    <w:p w14:paraId="0FDDC4A0" w14:textId="77777777" w:rsidR="0019470D" w:rsidRDefault="0019470D" w:rsidP="0019470D">
      <w:pPr>
        <w:spacing w:after="256" w:line="259" w:lineRule="auto"/>
        <w:ind w:left="0" w:right="0" w:firstLine="0"/>
      </w:pPr>
      <w:r>
        <w:t xml:space="preserve"> </w:t>
      </w:r>
    </w:p>
    <w:p w14:paraId="49CCE4E6" w14:textId="77777777" w:rsidR="0019470D" w:rsidRDefault="0019470D" w:rsidP="0019470D">
      <w:pPr>
        <w:spacing w:after="256" w:line="259" w:lineRule="auto"/>
        <w:ind w:left="0" w:right="0" w:firstLine="0"/>
      </w:pPr>
      <w:r>
        <w:t xml:space="preserve"> </w:t>
      </w:r>
    </w:p>
    <w:p w14:paraId="54761CED" w14:textId="77777777" w:rsidR="0019470D" w:rsidRDefault="0019470D" w:rsidP="0019470D">
      <w:pPr>
        <w:spacing w:after="252" w:line="259" w:lineRule="auto"/>
        <w:ind w:left="0" w:right="0" w:firstLine="0"/>
      </w:pPr>
      <w:r>
        <w:t xml:space="preserve"> </w:t>
      </w:r>
    </w:p>
    <w:p w14:paraId="524093FA" w14:textId="77777777" w:rsidR="0019470D" w:rsidRDefault="0019470D" w:rsidP="0019470D">
      <w:pPr>
        <w:spacing w:after="256" w:line="259" w:lineRule="auto"/>
        <w:ind w:left="0" w:right="0" w:firstLine="0"/>
      </w:pPr>
      <w:r>
        <w:t xml:space="preserve"> </w:t>
      </w:r>
    </w:p>
    <w:p w14:paraId="1279BC88" w14:textId="77777777" w:rsidR="0019470D" w:rsidRDefault="0019470D" w:rsidP="0019470D">
      <w:pPr>
        <w:spacing w:after="256" w:line="259" w:lineRule="auto"/>
        <w:ind w:left="0" w:right="0" w:firstLine="0"/>
      </w:pPr>
      <w:r>
        <w:t xml:space="preserve"> </w:t>
      </w:r>
    </w:p>
    <w:p w14:paraId="634277A9" w14:textId="77777777" w:rsidR="0019470D" w:rsidRDefault="0019470D" w:rsidP="0019470D">
      <w:pPr>
        <w:spacing w:after="256" w:line="259" w:lineRule="auto"/>
        <w:ind w:left="0" w:right="0" w:firstLine="0"/>
      </w:pPr>
      <w:r>
        <w:t xml:space="preserve"> </w:t>
      </w:r>
    </w:p>
    <w:p w14:paraId="07F56876" w14:textId="77777777" w:rsidR="0019470D" w:rsidRDefault="0019470D" w:rsidP="0019470D">
      <w:pPr>
        <w:spacing w:after="256" w:line="259" w:lineRule="auto"/>
        <w:ind w:left="0" w:right="0" w:firstLine="0"/>
      </w:pPr>
      <w:r>
        <w:t xml:space="preserve"> </w:t>
      </w:r>
    </w:p>
    <w:p w14:paraId="6CB53714" w14:textId="77777777" w:rsidR="0019470D" w:rsidRDefault="0019470D" w:rsidP="0019470D">
      <w:pPr>
        <w:spacing w:after="256" w:line="259" w:lineRule="auto"/>
        <w:ind w:left="0" w:right="0" w:firstLine="0"/>
      </w:pPr>
      <w:r>
        <w:t xml:space="preserve"> </w:t>
      </w:r>
    </w:p>
    <w:p w14:paraId="7F0EEDA7" w14:textId="77777777" w:rsidR="0019470D" w:rsidRDefault="0019470D" w:rsidP="0019470D">
      <w:pPr>
        <w:spacing w:after="252" w:line="259" w:lineRule="auto"/>
        <w:ind w:left="0" w:right="0" w:firstLine="0"/>
      </w:pPr>
      <w:r>
        <w:t xml:space="preserve"> </w:t>
      </w:r>
    </w:p>
    <w:p w14:paraId="7AC01561" w14:textId="77777777" w:rsidR="0019470D" w:rsidRDefault="0019470D" w:rsidP="0019470D">
      <w:pPr>
        <w:spacing w:after="256" w:line="259" w:lineRule="auto"/>
        <w:ind w:left="0" w:right="0" w:firstLine="0"/>
      </w:pPr>
      <w:r>
        <w:t xml:space="preserve"> </w:t>
      </w:r>
    </w:p>
    <w:p w14:paraId="360111DD" w14:textId="77777777" w:rsidR="0019470D" w:rsidRDefault="0019470D" w:rsidP="0019470D">
      <w:pPr>
        <w:spacing w:after="256" w:line="259" w:lineRule="auto"/>
        <w:ind w:left="0" w:right="0" w:firstLine="0"/>
      </w:pPr>
      <w:r>
        <w:t xml:space="preserve"> </w:t>
      </w:r>
    </w:p>
    <w:p w14:paraId="62172D37" w14:textId="77777777" w:rsidR="0019470D" w:rsidRDefault="0019470D" w:rsidP="0019470D">
      <w:pPr>
        <w:spacing w:after="256" w:line="259" w:lineRule="auto"/>
        <w:ind w:left="0" w:right="0" w:firstLine="0"/>
      </w:pPr>
      <w:r>
        <w:t xml:space="preserve"> </w:t>
      </w:r>
    </w:p>
    <w:p w14:paraId="2E2E8055" w14:textId="77777777" w:rsidR="0019470D" w:rsidRDefault="0019470D" w:rsidP="0019470D">
      <w:pPr>
        <w:spacing w:after="256" w:line="259" w:lineRule="auto"/>
        <w:ind w:left="0" w:right="0" w:firstLine="0"/>
      </w:pPr>
      <w:r>
        <w:t xml:space="preserve"> </w:t>
      </w:r>
    </w:p>
    <w:p w14:paraId="48FDFF31" w14:textId="77777777" w:rsidR="0019470D" w:rsidRDefault="0019470D" w:rsidP="0019470D">
      <w:pPr>
        <w:spacing w:after="256" w:line="259" w:lineRule="auto"/>
        <w:ind w:left="0" w:right="0" w:firstLine="0"/>
      </w:pPr>
      <w:r>
        <w:t xml:space="preserve"> </w:t>
      </w:r>
    </w:p>
    <w:p w14:paraId="5333CB20" w14:textId="77777777" w:rsidR="0019470D" w:rsidRDefault="0019470D" w:rsidP="0019470D">
      <w:pPr>
        <w:spacing w:after="252" w:line="259" w:lineRule="auto"/>
        <w:ind w:left="0" w:right="0" w:firstLine="0"/>
      </w:pPr>
      <w:r>
        <w:t xml:space="preserve"> </w:t>
      </w:r>
    </w:p>
    <w:p w14:paraId="050459AE" w14:textId="77777777" w:rsidR="0019470D" w:rsidRDefault="0019470D" w:rsidP="0019470D">
      <w:pPr>
        <w:spacing w:after="256" w:line="259" w:lineRule="auto"/>
        <w:ind w:left="0" w:right="0" w:firstLine="0"/>
      </w:pPr>
      <w:r>
        <w:t xml:space="preserve"> </w:t>
      </w:r>
    </w:p>
    <w:p w14:paraId="12F10D87" w14:textId="77777777" w:rsidR="0019470D" w:rsidRDefault="0019470D" w:rsidP="00035246">
      <w:pPr>
        <w:spacing w:after="256" w:line="259" w:lineRule="auto"/>
        <w:ind w:left="0" w:right="0" w:firstLine="0"/>
        <w:jc w:val="center"/>
      </w:pPr>
    </w:p>
    <w:p w14:paraId="44A0B90D" w14:textId="77777777" w:rsidR="0019470D" w:rsidRDefault="0019470D" w:rsidP="00035246">
      <w:pPr>
        <w:spacing w:after="3" w:line="265" w:lineRule="auto"/>
        <w:ind w:left="2170" w:right="1774" w:firstLine="710"/>
      </w:pPr>
      <w:r>
        <w:t>© Copyright by REDWAN NAZIM 2019</w:t>
      </w:r>
    </w:p>
    <w:p w14:paraId="64E80CB9" w14:textId="77777777" w:rsidR="0078039E" w:rsidRDefault="0019470D" w:rsidP="00035246">
      <w:pPr>
        <w:spacing w:after="261" w:line="248" w:lineRule="auto"/>
        <w:jc w:val="center"/>
        <w:sectPr w:rsidR="0078039E" w:rsidSect="0078039E">
          <w:pgSz w:w="12240" w:h="15840"/>
          <w:pgMar w:top="1440" w:right="1440" w:bottom="1440" w:left="1440" w:header="720" w:footer="720" w:gutter="0"/>
          <w:pgNumType w:fmt="lowerRoman" w:start="4"/>
          <w:cols w:space="720"/>
          <w:docGrid w:linePitch="360"/>
        </w:sectPr>
      </w:pPr>
      <w:r>
        <w:t>All Rights Reserved.</w:t>
      </w:r>
    </w:p>
    <w:p w14:paraId="353D0FB7" w14:textId="77777777" w:rsidR="0019470D" w:rsidRDefault="0019470D" w:rsidP="00035246">
      <w:pPr>
        <w:spacing w:after="261" w:line="248" w:lineRule="auto"/>
        <w:jc w:val="center"/>
      </w:pPr>
    </w:p>
    <w:p w14:paraId="0290B8A6" w14:textId="77777777" w:rsidR="0019470D" w:rsidRPr="00A328FE" w:rsidRDefault="00A9675B" w:rsidP="001A2B36">
      <w:pPr>
        <w:pStyle w:val="Heading1"/>
        <w:numPr>
          <w:ilvl w:val="0"/>
          <w:numId w:val="0"/>
        </w:numPr>
        <w:jc w:val="center"/>
        <w:rPr>
          <w:rFonts w:ascii="Times New Roman" w:hAnsi="Times New Roman" w:cs="Times New Roman"/>
          <w:b/>
          <w:bCs/>
          <w:color w:val="auto"/>
          <w:sz w:val="28"/>
          <w:szCs w:val="28"/>
        </w:rPr>
      </w:pPr>
      <w:bookmarkStart w:id="2" w:name="_Toc14521019"/>
      <w:r w:rsidRPr="00A328FE">
        <w:rPr>
          <w:rFonts w:ascii="Times New Roman" w:hAnsi="Times New Roman" w:cs="Times New Roman"/>
          <w:b/>
          <w:bCs/>
          <w:color w:val="auto"/>
          <w:sz w:val="28"/>
          <w:szCs w:val="28"/>
        </w:rPr>
        <w:t>Dedication</w:t>
      </w:r>
      <w:bookmarkEnd w:id="2"/>
    </w:p>
    <w:p w14:paraId="050871A1" w14:textId="77777777" w:rsidR="00A9675B" w:rsidRDefault="00A9675B" w:rsidP="000F0373">
      <w:pPr>
        <w:jc w:val="center"/>
      </w:pPr>
      <w:r>
        <w:t>This work is dedicated to:</w:t>
      </w:r>
    </w:p>
    <w:p w14:paraId="2FFBDF3F" w14:textId="77777777" w:rsidR="00A9675B" w:rsidRPr="00702919" w:rsidRDefault="00A9675B" w:rsidP="000F0373">
      <w:pPr>
        <w:jc w:val="center"/>
        <w:rPr>
          <w:b/>
          <w:bCs/>
          <w:i/>
          <w:iCs/>
          <w:sz w:val="28"/>
          <w:szCs w:val="28"/>
        </w:rPr>
      </w:pPr>
      <w:r w:rsidRPr="00702919">
        <w:rPr>
          <w:b/>
          <w:bCs/>
          <w:i/>
          <w:iCs/>
          <w:sz w:val="28"/>
          <w:szCs w:val="28"/>
        </w:rPr>
        <w:t>Allah Subhanahu Wa Ta’ala (“The Most Glorified, The Most High”)</w:t>
      </w:r>
    </w:p>
    <w:p w14:paraId="6CB02F5E" w14:textId="77777777" w:rsidR="00A9675B" w:rsidRDefault="00A9675B" w:rsidP="000F0373">
      <w:pPr>
        <w:jc w:val="center"/>
      </w:pPr>
      <w:r>
        <w:t>who said</w:t>
      </w:r>
    </w:p>
    <w:p w14:paraId="3E1622A5" w14:textId="77777777" w:rsidR="000F0373" w:rsidRPr="000F0373" w:rsidRDefault="000F0373" w:rsidP="000F0373">
      <w:pPr>
        <w:shd w:val="clear" w:color="auto" w:fill="FFFFFF"/>
        <w:bidi/>
        <w:spacing w:after="0" w:line="240" w:lineRule="auto"/>
        <w:ind w:left="360" w:right="0" w:firstLine="0"/>
        <w:jc w:val="center"/>
        <w:rPr>
          <w:rFonts w:ascii="Arial" w:hAnsi="Arial" w:cs="Arial"/>
          <w:color w:val="1A1A1A"/>
          <w:sz w:val="30"/>
          <w:szCs w:val="30"/>
        </w:rPr>
      </w:pPr>
      <w:r w:rsidRPr="000F0373">
        <w:rPr>
          <w:rFonts w:ascii="Arial" w:hAnsi="Arial" w:cs="Arial"/>
          <w:color w:val="1A1A1A"/>
          <w:sz w:val="30"/>
          <w:szCs w:val="30"/>
          <w:rtl/>
        </w:rPr>
        <w:t>اقْرَأْ بِاسْمِ رَبِّكَ الَّذِي خَلَقَ</w:t>
      </w:r>
    </w:p>
    <w:p w14:paraId="723BEEFA" w14:textId="77777777" w:rsidR="000F0373" w:rsidRDefault="00702919" w:rsidP="000F0373">
      <w:pPr>
        <w:jc w:val="center"/>
        <w:rPr>
          <w:color w:val="1A1A1A"/>
          <w:szCs w:val="24"/>
          <w:shd w:val="clear" w:color="auto" w:fill="FFFFFF"/>
        </w:rPr>
      </w:pPr>
      <w:r>
        <w:rPr>
          <w:color w:val="1A1A1A"/>
          <w:szCs w:val="24"/>
          <w:shd w:val="clear" w:color="auto" w:fill="FFFFFF"/>
        </w:rPr>
        <w:t>“</w:t>
      </w:r>
      <w:r w:rsidR="000F0373" w:rsidRPr="000F0373">
        <w:rPr>
          <w:color w:val="1A1A1A"/>
          <w:szCs w:val="24"/>
          <w:shd w:val="clear" w:color="auto" w:fill="FFFFFF"/>
        </w:rPr>
        <w:t>Read! In the Name of your Lord, Who has created (all that exists)</w:t>
      </w:r>
      <w:r>
        <w:rPr>
          <w:color w:val="1A1A1A"/>
          <w:szCs w:val="24"/>
          <w:shd w:val="clear" w:color="auto" w:fill="FFFFFF"/>
        </w:rPr>
        <w:t>”</w:t>
      </w:r>
      <w:r w:rsidR="000F0373">
        <w:rPr>
          <w:color w:val="1A1A1A"/>
          <w:szCs w:val="24"/>
          <w:shd w:val="clear" w:color="auto" w:fill="FFFFFF"/>
        </w:rPr>
        <w:t>;</w:t>
      </w:r>
    </w:p>
    <w:p w14:paraId="004BE143" w14:textId="77777777" w:rsidR="000F0373" w:rsidRDefault="000F0373">
      <w:pPr>
        <w:rPr>
          <w:color w:val="1A1A1A"/>
          <w:szCs w:val="24"/>
          <w:shd w:val="clear" w:color="auto" w:fill="FFFFFF"/>
        </w:rPr>
      </w:pPr>
    </w:p>
    <w:p w14:paraId="7A0D854D" w14:textId="77777777" w:rsidR="003874B9" w:rsidRDefault="003874B9">
      <w:pPr>
        <w:rPr>
          <w:color w:val="1A1A1A"/>
          <w:szCs w:val="24"/>
          <w:shd w:val="clear" w:color="auto" w:fill="FFFFFF"/>
        </w:rPr>
      </w:pPr>
    </w:p>
    <w:p w14:paraId="73BFE37E" w14:textId="77777777" w:rsidR="003874B9" w:rsidRDefault="003874B9">
      <w:pPr>
        <w:rPr>
          <w:color w:val="1A1A1A"/>
          <w:szCs w:val="24"/>
          <w:shd w:val="clear" w:color="auto" w:fill="FFFFFF"/>
        </w:rPr>
      </w:pPr>
    </w:p>
    <w:p w14:paraId="23873F0D" w14:textId="77777777" w:rsidR="000F0373" w:rsidRDefault="000F0373" w:rsidP="00702919">
      <w:pPr>
        <w:jc w:val="center"/>
        <w:rPr>
          <w:szCs w:val="24"/>
        </w:rPr>
      </w:pPr>
      <w:r>
        <w:rPr>
          <w:szCs w:val="24"/>
        </w:rPr>
        <w:t xml:space="preserve">My </w:t>
      </w:r>
      <w:r w:rsidR="00702919">
        <w:rPr>
          <w:szCs w:val="24"/>
        </w:rPr>
        <w:t>MOTHER</w:t>
      </w:r>
      <w:r>
        <w:rPr>
          <w:szCs w:val="24"/>
        </w:rPr>
        <w:t xml:space="preserve">- whose love, support, and sacrifices can never be fully repaid, my father - whose encouragement and academic discipline are exemplary, and my brother – whose assistance and sheer belief in me are a gift beyond measure. </w:t>
      </w:r>
      <w:r>
        <w:rPr>
          <w:szCs w:val="24"/>
        </w:rPr>
        <w:br/>
        <w:t>Thank you.</w:t>
      </w:r>
    </w:p>
    <w:p w14:paraId="168AAD51" w14:textId="77777777" w:rsidR="00E529E9" w:rsidRDefault="00E529E9" w:rsidP="00702919">
      <w:pPr>
        <w:jc w:val="center"/>
        <w:rPr>
          <w:szCs w:val="24"/>
        </w:rPr>
      </w:pPr>
    </w:p>
    <w:p w14:paraId="6127BCDD" w14:textId="77777777" w:rsidR="00E529E9" w:rsidRDefault="00E529E9" w:rsidP="00702919">
      <w:pPr>
        <w:jc w:val="center"/>
        <w:rPr>
          <w:szCs w:val="24"/>
        </w:rPr>
      </w:pPr>
    </w:p>
    <w:p w14:paraId="4C854C37" w14:textId="77777777" w:rsidR="00E529E9" w:rsidRDefault="00E529E9" w:rsidP="00702919">
      <w:pPr>
        <w:jc w:val="center"/>
        <w:rPr>
          <w:szCs w:val="24"/>
        </w:rPr>
      </w:pPr>
    </w:p>
    <w:p w14:paraId="30C9C355" w14:textId="77777777" w:rsidR="00E529E9" w:rsidRDefault="00E529E9" w:rsidP="00702919">
      <w:pPr>
        <w:jc w:val="center"/>
        <w:rPr>
          <w:szCs w:val="24"/>
        </w:rPr>
      </w:pPr>
    </w:p>
    <w:p w14:paraId="47575631" w14:textId="77777777" w:rsidR="00E529E9" w:rsidRDefault="00E529E9" w:rsidP="00702919">
      <w:pPr>
        <w:jc w:val="center"/>
        <w:rPr>
          <w:szCs w:val="24"/>
        </w:rPr>
      </w:pPr>
    </w:p>
    <w:p w14:paraId="7C92661F" w14:textId="77777777" w:rsidR="00E529E9" w:rsidRDefault="00E529E9" w:rsidP="00702919">
      <w:pPr>
        <w:jc w:val="center"/>
        <w:rPr>
          <w:szCs w:val="24"/>
        </w:rPr>
      </w:pPr>
    </w:p>
    <w:p w14:paraId="1764A8AD" w14:textId="77777777" w:rsidR="00E529E9" w:rsidRDefault="00E529E9" w:rsidP="00702919">
      <w:pPr>
        <w:jc w:val="center"/>
        <w:rPr>
          <w:szCs w:val="24"/>
        </w:rPr>
      </w:pPr>
    </w:p>
    <w:p w14:paraId="0BA7C09B" w14:textId="77777777" w:rsidR="00E529E9" w:rsidRDefault="00E529E9" w:rsidP="00702919">
      <w:pPr>
        <w:jc w:val="center"/>
        <w:rPr>
          <w:szCs w:val="24"/>
        </w:rPr>
      </w:pPr>
    </w:p>
    <w:p w14:paraId="3D949FEC" w14:textId="77777777" w:rsidR="003874B9" w:rsidRDefault="003874B9" w:rsidP="003874B9">
      <w:pPr>
        <w:ind w:left="0" w:firstLine="0"/>
        <w:rPr>
          <w:szCs w:val="24"/>
        </w:rPr>
      </w:pPr>
    </w:p>
    <w:p w14:paraId="09C8019F" w14:textId="77777777" w:rsidR="00E529E9" w:rsidRPr="002A5915" w:rsidRDefault="00E529E9" w:rsidP="001A2B36">
      <w:pPr>
        <w:pStyle w:val="Heading1"/>
        <w:numPr>
          <w:ilvl w:val="0"/>
          <w:numId w:val="0"/>
        </w:numPr>
        <w:jc w:val="center"/>
        <w:rPr>
          <w:rFonts w:ascii="Times New Roman" w:hAnsi="Times New Roman" w:cs="Times New Roman"/>
          <w:b/>
          <w:bCs/>
          <w:color w:val="auto"/>
          <w:sz w:val="28"/>
          <w:szCs w:val="28"/>
        </w:rPr>
      </w:pPr>
      <w:bookmarkStart w:id="3" w:name="_Toc14521020"/>
      <w:r w:rsidRPr="002A5915">
        <w:rPr>
          <w:rFonts w:ascii="Times New Roman" w:hAnsi="Times New Roman" w:cs="Times New Roman"/>
          <w:b/>
          <w:bCs/>
          <w:color w:val="auto"/>
          <w:sz w:val="28"/>
          <w:szCs w:val="28"/>
        </w:rPr>
        <w:lastRenderedPageBreak/>
        <w:t>Acknowledgements</w:t>
      </w:r>
      <w:bookmarkEnd w:id="3"/>
    </w:p>
    <w:p w14:paraId="58F2DEEB" w14:textId="77777777" w:rsidR="00E529E9" w:rsidRDefault="00E529E9" w:rsidP="005375E3">
      <w:pPr>
        <w:spacing w:line="485" w:lineRule="auto"/>
        <w:ind w:left="0" w:right="58" w:firstLine="720"/>
        <w:jc w:val="both"/>
        <w:rPr>
          <w:szCs w:val="24"/>
        </w:rPr>
      </w:pPr>
      <w:r>
        <w:rPr>
          <w:szCs w:val="24"/>
        </w:rPr>
        <w:t xml:space="preserve">First and foremost, I am eternally grateful to </w:t>
      </w:r>
      <w:r w:rsidRPr="005375E3">
        <w:rPr>
          <w:b/>
          <w:bCs/>
          <w:i/>
          <w:iCs/>
          <w:szCs w:val="24"/>
        </w:rPr>
        <w:t>The One</w:t>
      </w:r>
      <w:r>
        <w:rPr>
          <w:szCs w:val="24"/>
        </w:rPr>
        <w:t xml:space="preserve"> above for gracing me with the opportunity to pursue my graduate studies at the only school I applied to, the University of Oklahoma, and blessing me with enough strength to </w:t>
      </w:r>
      <w:r w:rsidR="001A6873">
        <w:rPr>
          <w:szCs w:val="24"/>
        </w:rPr>
        <w:t>navigate my way</w:t>
      </w:r>
      <w:r>
        <w:rPr>
          <w:szCs w:val="24"/>
        </w:rPr>
        <w:t xml:space="preserve"> through the whole program. </w:t>
      </w:r>
    </w:p>
    <w:p w14:paraId="785EB303" w14:textId="77777777" w:rsidR="001A6873" w:rsidRDefault="001A6873" w:rsidP="005375E3">
      <w:pPr>
        <w:ind w:firstLine="710"/>
        <w:jc w:val="both"/>
        <w:rPr>
          <w:szCs w:val="24"/>
        </w:rPr>
      </w:pPr>
      <w:r>
        <w:rPr>
          <w:szCs w:val="24"/>
        </w:rPr>
        <w:t xml:space="preserve">I would like to place my sincerest and heart felt gratitude to my advisor, </w:t>
      </w:r>
      <w:r w:rsidRPr="005375E3">
        <w:rPr>
          <w:b/>
          <w:bCs/>
          <w:i/>
          <w:iCs/>
          <w:szCs w:val="24"/>
        </w:rPr>
        <w:t>Dr. Lance L. Lobban</w:t>
      </w:r>
      <w:r w:rsidR="005375E3">
        <w:rPr>
          <w:szCs w:val="24"/>
        </w:rPr>
        <w:t>,</w:t>
      </w:r>
      <w:r>
        <w:rPr>
          <w:szCs w:val="24"/>
        </w:rPr>
        <w:t xml:space="preserve"> for his continued guidance, support, and patience throughout my master’s program, and especially for accepting me into such a program where I never thought I had the skill set no</w:t>
      </w:r>
      <w:r w:rsidR="005375E3">
        <w:rPr>
          <w:szCs w:val="24"/>
        </w:rPr>
        <w:t>r</w:t>
      </w:r>
      <w:r>
        <w:rPr>
          <w:szCs w:val="24"/>
        </w:rPr>
        <w:t xml:space="preserve"> the expertise required to be accepted. His willingness to offer a helping hand, in any way, shape, </w:t>
      </w:r>
      <w:r w:rsidR="00AD6217">
        <w:rPr>
          <w:szCs w:val="24"/>
        </w:rPr>
        <w:t>or</w:t>
      </w:r>
      <w:r>
        <w:rPr>
          <w:szCs w:val="24"/>
        </w:rPr>
        <w:t xml:space="preserve"> form in both academic and non-academic related work is commendable. It has been</w:t>
      </w:r>
      <w:r w:rsidR="00AD6217">
        <w:rPr>
          <w:szCs w:val="24"/>
        </w:rPr>
        <w:t xml:space="preserve"> an absolute honor and privilege</w:t>
      </w:r>
      <w:r>
        <w:rPr>
          <w:szCs w:val="24"/>
        </w:rPr>
        <w:t xml:space="preserve"> to have had the opportunity to learn from such an admirable </w:t>
      </w:r>
      <w:r w:rsidR="00AD6217">
        <w:rPr>
          <w:szCs w:val="24"/>
        </w:rPr>
        <w:t xml:space="preserve">person. </w:t>
      </w:r>
    </w:p>
    <w:p w14:paraId="64066B88" w14:textId="77777777" w:rsidR="00AD6217" w:rsidRDefault="00AD6217" w:rsidP="005375E3">
      <w:pPr>
        <w:ind w:firstLine="710"/>
        <w:jc w:val="both"/>
        <w:rPr>
          <w:szCs w:val="24"/>
        </w:rPr>
      </w:pPr>
      <w:r>
        <w:rPr>
          <w:szCs w:val="24"/>
        </w:rPr>
        <w:t xml:space="preserve">I would also like to thank my committee members, </w:t>
      </w:r>
      <w:r w:rsidRPr="005375E3">
        <w:rPr>
          <w:b/>
          <w:bCs/>
          <w:i/>
          <w:iCs/>
          <w:szCs w:val="24"/>
        </w:rPr>
        <w:t>Dr. Daniel Resasco</w:t>
      </w:r>
      <w:r>
        <w:rPr>
          <w:szCs w:val="24"/>
        </w:rPr>
        <w:t xml:space="preserve"> and </w:t>
      </w:r>
      <w:r w:rsidRPr="005375E3">
        <w:rPr>
          <w:b/>
          <w:bCs/>
          <w:i/>
          <w:iCs/>
          <w:szCs w:val="24"/>
        </w:rPr>
        <w:t>Dr. Steven Crossley</w:t>
      </w:r>
      <w:r>
        <w:rPr>
          <w:szCs w:val="24"/>
        </w:rPr>
        <w:t xml:space="preserve">, for their contributions to my work. Over the years, they have helped me maneuver my way through this program and were always at hand to offer insightful suggestions and guidelines whenever asked. </w:t>
      </w:r>
    </w:p>
    <w:p w14:paraId="65581A8B" w14:textId="77777777" w:rsidR="00AD6217" w:rsidRDefault="00AD6217" w:rsidP="005375E3">
      <w:pPr>
        <w:ind w:firstLine="710"/>
        <w:jc w:val="both"/>
        <w:rPr>
          <w:szCs w:val="24"/>
        </w:rPr>
      </w:pPr>
      <w:r>
        <w:rPr>
          <w:szCs w:val="24"/>
        </w:rPr>
        <w:t xml:space="preserve">It is crucial for me to express my gratitude to </w:t>
      </w:r>
      <w:r w:rsidRPr="005375E3">
        <w:rPr>
          <w:b/>
          <w:bCs/>
          <w:i/>
          <w:iCs/>
          <w:szCs w:val="24"/>
        </w:rPr>
        <w:t>Rajiv Janupala</w:t>
      </w:r>
      <w:r>
        <w:rPr>
          <w:szCs w:val="24"/>
        </w:rPr>
        <w:t xml:space="preserve">. Without his teachings, support, and patience, it would not have been possible for me to conduct this work. </w:t>
      </w:r>
      <w:r w:rsidR="009B2883">
        <w:rPr>
          <w:szCs w:val="24"/>
        </w:rPr>
        <w:t xml:space="preserve">From showing me the nitty-gritty, and sometimes trivial, details of how to prepare samples to instructing me how to correctly operate the pyroprobe, his knowledge and wisdom were integral throughout the duration of my stay. </w:t>
      </w:r>
    </w:p>
    <w:p w14:paraId="7FFF340A" w14:textId="77777777" w:rsidR="009B2883" w:rsidRDefault="009B2883" w:rsidP="005375E3">
      <w:pPr>
        <w:ind w:firstLine="710"/>
        <w:jc w:val="both"/>
        <w:rPr>
          <w:szCs w:val="24"/>
        </w:rPr>
      </w:pPr>
      <w:r>
        <w:rPr>
          <w:szCs w:val="24"/>
        </w:rPr>
        <w:t xml:space="preserve">I must also thank </w:t>
      </w:r>
      <w:r w:rsidRPr="005375E3">
        <w:rPr>
          <w:b/>
          <w:bCs/>
          <w:i/>
          <w:iCs/>
          <w:szCs w:val="24"/>
        </w:rPr>
        <w:t>Daniel Dixon</w:t>
      </w:r>
      <w:r>
        <w:rPr>
          <w:szCs w:val="24"/>
        </w:rPr>
        <w:t xml:space="preserve"> – who worked with me when I first started out conducting research as an undergraduate student- for the numerous times he helped me troubleshoot the operating system, and </w:t>
      </w:r>
      <w:r w:rsidRPr="005375E3">
        <w:rPr>
          <w:szCs w:val="24"/>
        </w:rPr>
        <w:t>Charles Crum</w:t>
      </w:r>
      <w:r>
        <w:rPr>
          <w:szCs w:val="24"/>
        </w:rPr>
        <w:t xml:space="preserve"> for offering and sharing his thoughtful insights on my work while sharing the same office space. </w:t>
      </w:r>
    </w:p>
    <w:p w14:paraId="7C7C52E6" w14:textId="31D4B202" w:rsidR="000114D3" w:rsidRDefault="009B2883" w:rsidP="005375E3">
      <w:pPr>
        <w:ind w:firstLine="710"/>
        <w:jc w:val="both"/>
        <w:rPr>
          <w:szCs w:val="24"/>
        </w:rPr>
      </w:pPr>
      <w:r>
        <w:rPr>
          <w:szCs w:val="24"/>
        </w:rPr>
        <w:lastRenderedPageBreak/>
        <w:t xml:space="preserve">I would also like to thank </w:t>
      </w:r>
      <w:r w:rsidR="000114D3">
        <w:rPr>
          <w:szCs w:val="24"/>
        </w:rPr>
        <w:t>my fellow graduate students in the CBME department at the University of Oklahoma: Tram – for never letting me run out of helium cylinders, Tong – for always having food for me when I was hungry, Brandon, Alejandra, Isma</w:t>
      </w:r>
      <w:r w:rsidR="00E433DF">
        <w:rPr>
          <w:szCs w:val="24"/>
        </w:rPr>
        <w:t>ee</w:t>
      </w:r>
      <w:r w:rsidR="000114D3">
        <w:rPr>
          <w:szCs w:val="24"/>
        </w:rPr>
        <w:t>l, Austin, Michael, and Sabrina – for your continued friendship and valuable help with studies and research. I would like to thank my friends</w:t>
      </w:r>
      <w:r w:rsidR="004E0CE9">
        <w:rPr>
          <w:szCs w:val="24"/>
        </w:rPr>
        <w:t xml:space="preserve"> Darius</w:t>
      </w:r>
      <w:r w:rsidR="0099474F">
        <w:rPr>
          <w:szCs w:val="24"/>
        </w:rPr>
        <w:t xml:space="preserve"> (for continued guidance in so many aspects of life)</w:t>
      </w:r>
      <w:r w:rsidR="004E0CE9">
        <w:rPr>
          <w:szCs w:val="24"/>
        </w:rPr>
        <w:t>, Madani, Kashfi, Sheila, Arif, Azmain, Abrar, Naseef, Nafi,</w:t>
      </w:r>
      <w:r w:rsidR="00767783">
        <w:rPr>
          <w:szCs w:val="24"/>
        </w:rPr>
        <w:t xml:space="preserve"> Mueed,</w:t>
      </w:r>
      <w:r w:rsidR="004E0CE9">
        <w:rPr>
          <w:szCs w:val="24"/>
        </w:rPr>
        <w:t xml:space="preserve"> and Sangita for being a tremendous support group and assisting me in various way</w:t>
      </w:r>
      <w:r w:rsidR="005375E3">
        <w:rPr>
          <w:szCs w:val="24"/>
        </w:rPr>
        <w:t>s</w:t>
      </w:r>
      <w:r w:rsidR="004E0CE9">
        <w:rPr>
          <w:szCs w:val="24"/>
        </w:rPr>
        <w:t xml:space="preserve"> at a time that was very difficult and testing for me. </w:t>
      </w:r>
    </w:p>
    <w:p w14:paraId="488537B7" w14:textId="77777777" w:rsidR="004E0CE9" w:rsidRDefault="004E0CE9" w:rsidP="005375E3">
      <w:pPr>
        <w:ind w:firstLine="710"/>
        <w:jc w:val="both"/>
        <w:rPr>
          <w:szCs w:val="24"/>
        </w:rPr>
      </w:pPr>
      <w:r>
        <w:rPr>
          <w:szCs w:val="24"/>
        </w:rPr>
        <w:t xml:space="preserve">It is imperative for me to acknowledge two of my undergraduate friends: </w:t>
      </w:r>
      <w:r w:rsidRPr="005375E3">
        <w:rPr>
          <w:b/>
          <w:bCs/>
          <w:i/>
          <w:iCs/>
          <w:szCs w:val="24"/>
        </w:rPr>
        <w:t>Shing Yue Siew</w:t>
      </w:r>
      <w:r>
        <w:rPr>
          <w:szCs w:val="24"/>
        </w:rPr>
        <w:t xml:space="preserve"> and </w:t>
      </w:r>
      <w:r w:rsidRPr="005375E3">
        <w:rPr>
          <w:b/>
          <w:bCs/>
          <w:i/>
          <w:iCs/>
          <w:szCs w:val="24"/>
        </w:rPr>
        <w:t>Morgen Enright</w:t>
      </w:r>
      <w:r>
        <w:rPr>
          <w:szCs w:val="24"/>
        </w:rPr>
        <w:t xml:space="preserve">. Without their help and all those all-nighters during </w:t>
      </w:r>
      <w:r w:rsidR="00466AEB">
        <w:rPr>
          <w:szCs w:val="24"/>
        </w:rPr>
        <w:t xml:space="preserve">junior and senior year, it would not have been possible for me to excel – to the best of my abilities due to your help- in the undergraduate courses which played a massive role in the application process for the accelerated master’s program here at OU. </w:t>
      </w:r>
    </w:p>
    <w:p w14:paraId="39B7528E" w14:textId="77777777" w:rsidR="00466AEB" w:rsidRDefault="00466AEB" w:rsidP="005375E3">
      <w:pPr>
        <w:ind w:firstLine="710"/>
        <w:jc w:val="both"/>
        <w:rPr>
          <w:szCs w:val="24"/>
        </w:rPr>
      </w:pPr>
      <w:r>
        <w:rPr>
          <w:szCs w:val="24"/>
        </w:rPr>
        <w:t xml:space="preserve">I must also acknowledge the contributions made by my brother, </w:t>
      </w:r>
      <w:r w:rsidRPr="005375E3">
        <w:rPr>
          <w:b/>
          <w:bCs/>
          <w:i/>
          <w:iCs/>
          <w:szCs w:val="24"/>
        </w:rPr>
        <w:t>Raiyan Nazim</w:t>
      </w:r>
      <w:r>
        <w:rPr>
          <w:szCs w:val="24"/>
        </w:rPr>
        <w:t xml:space="preserve">, towards both my undergraduate and graduate studies. His academic dexterity, life experiences, and financial muscle helped alleviate numerous wrong-doings and facilitated my academic journey here in the United States. </w:t>
      </w:r>
    </w:p>
    <w:p w14:paraId="48E6DAB7" w14:textId="77777777" w:rsidR="00466AEB" w:rsidRDefault="00466AEB" w:rsidP="005375E3">
      <w:pPr>
        <w:ind w:firstLine="710"/>
        <w:jc w:val="both"/>
        <w:rPr>
          <w:szCs w:val="24"/>
        </w:rPr>
      </w:pPr>
      <w:r>
        <w:rPr>
          <w:szCs w:val="24"/>
        </w:rPr>
        <w:t xml:space="preserve">I would also like to extend my gratitude to the staff of CBME department, especially Terri, Ginger, and Madena for assisting me whenever I needed help. Last, but not the least, it is my heartfelt wish to acknowledge my </w:t>
      </w:r>
      <w:r w:rsidRPr="005375E3">
        <w:rPr>
          <w:b/>
          <w:bCs/>
          <w:i/>
          <w:iCs/>
          <w:szCs w:val="24"/>
        </w:rPr>
        <w:t>mother</w:t>
      </w:r>
      <w:r>
        <w:rPr>
          <w:szCs w:val="24"/>
        </w:rPr>
        <w:t xml:space="preserve"> for all that she has done, and continues to do, for the sake of my happiness. </w:t>
      </w:r>
    </w:p>
    <w:p w14:paraId="5B61831C" w14:textId="77777777" w:rsidR="00E529E9" w:rsidRDefault="00E529E9" w:rsidP="00E529E9">
      <w:pPr>
        <w:rPr>
          <w:szCs w:val="24"/>
        </w:rPr>
      </w:pPr>
    </w:p>
    <w:p w14:paraId="46EFA0D6" w14:textId="77777777" w:rsidR="003874B9" w:rsidRDefault="003874B9" w:rsidP="00E529E9">
      <w:pPr>
        <w:rPr>
          <w:szCs w:val="24"/>
        </w:rPr>
      </w:pPr>
    </w:p>
    <w:p w14:paraId="71FA1F82" w14:textId="77777777" w:rsidR="003874B9" w:rsidRDefault="003874B9" w:rsidP="003874B9">
      <w:pPr>
        <w:ind w:left="0" w:firstLine="0"/>
        <w:rPr>
          <w:szCs w:val="24"/>
        </w:rPr>
      </w:pPr>
    </w:p>
    <w:sdt>
      <w:sdtPr>
        <w:rPr>
          <w:rFonts w:ascii="Times New Roman" w:eastAsia="Times New Roman" w:hAnsi="Times New Roman" w:cs="Times New Roman"/>
          <w:color w:val="000000"/>
          <w:sz w:val="24"/>
          <w:szCs w:val="24"/>
        </w:rPr>
        <w:id w:val="-1277180085"/>
        <w:docPartObj>
          <w:docPartGallery w:val="Table of Contents"/>
          <w:docPartUnique/>
        </w:docPartObj>
      </w:sdtPr>
      <w:sdtEndPr>
        <w:rPr>
          <w:b/>
          <w:bCs/>
          <w:noProof/>
          <w:szCs w:val="22"/>
        </w:rPr>
      </w:sdtEndPr>
      <w:sdtContent>
        <w:p w14:paraId="2397C267" w14:textId="77777777" w:rsidR="00336F37" w:rsidRPr="00D9716E" w:rsidRDefault="00F16B78" w:rsidP="0081775E">
          <w:pPr>
            <w:pStyle w:val="TOCHeading"/>
            <w:numPr>
              <w:ilvl w:val="0"/>
              <w:numId w:val="0"/>
            </w:numPr>
            <w:tabs>
              <w:tab w:val="center" w:pos="4680"/>
              <w:tab w:val="left" w:pos="6660"/>
            </w:tabs>
            <w:rPr>
              <w:rFonts w:ascii="Times New Roman" w:hAnsi="Times New Roman" w:cs="Times New Roman"/>
              <w:b/>
              <w:bCs/>
              <w:color w:val="auto"/>
              <w:sz w:val="28"/>
              <w:szCs w:val="28"/>
            </w:rPr>
          </w:pPr>
          <w:r>
            <w:rPr>
              <w:rFonts w:ascii="Times New Roman" w:eastAsia="Times New Roman" w:hAnsi="Times New Roman" w:cs="Times New Roman"/>
              <w:color w:val="000000"/>
              <w:sz w:val="24"/>
              <w:szCs w:val="24"/>
            </w:rPr>
            <w:tab/>
          </w:r>
          <w:r w:rsidR="00D9716E" w:rsidRPr="00D9716E">
            <w:rPr>
              <w:rFonts w:ascii="Times New Roman" w:eastAsia="Times New Roman" w:hAnsi="Times New Roman" w:cs="Times New Roman"/>
              <w:b/>
              <w:bCs/>
              <w:color w:val="auto"/>
              <w:sz w:val="28"/>
              <w:szCs w:val="28"/>
            </w:rPr>
            <w:t xml:space="preserve">Table of </w:t>
          </w:r>
          <w:r w:rsidR="00336F37" w:rsidRPr="00D9716E">
            <w:rPr>
              <w:rFonts w:ascii="Times New Roman" w:hAnsi="Times New Roman" w:cs="Times New Roman"/>
              <w:b/>
              <w:bCs/>
              <w:color w:val="auto"/>
              <w:sz w:val="28"/>
              <w:szCs w:val="28"/>
            </w:rPr>
            <w:t>Contents</w:t>
          </w:r>
          <w:r>
            <w:rPr>
              <w:rFonts w:ascii="Times New Roman" w:hAnsi="Times New Roman" w:cs="Times New Roman"/>
              <w:b/>
              <w:bCs/>
              <w:color w:val="auto"/>
              <w:sz w:val="28"/>
              <w:szCs w:val="28"/>
            </w:rPr>
            <w:tab/>
          </w:r>
        </w:p>
        <w:p w14:paraId="1009ACC8" w14:textId="5F1CEB54" w:rsidR="00A46717" w:rsidRPr="00A46717" w:rsidRDefault="00336F37" w:rsidP="00A46717">
          <w:pPr>
            <w:pStyle w:val="TOC1"/>
            <w:tabs>
              <w:tab w:val="right" w:leader="dot" w:pos="9350"/>
            </w:tabs>
            <w:spacing w:line="480" w:lineRule="auto"/>
            <w:rPr>
              <w:rFonts w:ascii="Times New Roman" w:hAnsi="Times New Roman"/>
              <w:noProof/>
              <w:sz w:val="24"/>
              <w:szCs w:val="24"/>
            </w:rPr>
          </w:pPr>
          <w:r w:rsidRPr="00D9716E">
            <w:rPr>
              <w:rFonts w:ascii="Times New Roman" w:hAnsi="Times New Roman"/>
              <w:sz w:val="24"/>
              <w:szCs w:val="24"/>
            </w:rPr>
            <w:fldChar w:fldCharType="begin"/>
          </w:r>
          <w:r w:rsidRPr="00D9716E">
            <w:rPr>
              <w:rFonts w:ascii="Times New Roman" w:hAnsi="Times New Roman"/>
              <w:sz w:val="24"/>
              <w:szCs w:val="24"/>
            </w:rPr>
            <w:instrText xml:space="preserve"> TOC \o "1-3" \h \z \u </w:instrText>
          </w:r>
          <w:r w:rsidRPr="00D9716E">
            <w:rPr>
              <w:rFonts w:ascii="Times New Roman" w:hAnsi="Times New Roman"/>
              <w:sz w:val="24"/>
              <w:szCs w:val="24"/>
            </w:rPr>
            <w:fldChar w:fldCharType="separate"/>
          </w:r>
          <w:hyperlink w:anchor="_Toc14521019" w:history="1">
            <w:r w:rsidR="00A46717" w:rsidRPr="00A46717">
              <w:rPr>
                <w:rStyle w:val="Hyperlink"/>
                <w:rFonts w:ascii="Times New Roman" w:hAnsi="Times New Roman"/>
                <w:noProof/>
                <w:sz w:val="24"/>
                <w:szCs w:val="24"/>
              </w:rPr>
              <w:t>Dedication</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_Toc14521019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iv</w:t>
            </w:r>
            <w:r w:rsidR="00A46717" w:rsidRPr="00A46717">
              <w:rPr>
                <w:rFonts w:ascii="Times New Roman" w:hAnsi="Times New Roman"/>
                <w:noProof/>
                <w:webHidden/>
                <w:sz w:val="24"/>
                <w:szCs w:val="24"/>
              </w:rPr>
              <w:fldChar w:fldCharType="end"/>
            </w:r>
          </w:hyperlink>
        </w:p>
        <w:p w14:paraId="5E363372" w14:textId="7334E089" w:rsidR="00A46717" w:rsidRPr="00A46717" w:rsidRDefault="00DE72B4" w:rsidP="00A46717">
          <w:pPr>
            <w:pStyle w:val="TOC1"/>
            <w:tabs>
              <w:tab w:val="right" w:leader="dot" w:pos="9350"/>
            </w:tabs>
            <w:spacing w:line="480" w:lineRule="auto"/>
            <w:rPr>
              <w:rFonts w:ascii="Times New Roman" w:hAnsi="Times New Roman"/>
              <w:noProof/>
              <w:sz w:val="24"/>
              <w:szCs w:val="24"/>
            </w:rPr>
          </w:pPr>
          <w:hyperlink w:anchor="_Toc14521020" w:history="1">
            <w:r w:rsidR="00A46717" w:rsidRPr="00A46717">
              <w:rPr>
                <w:rStyle w:val="Hyperlink"/>
                <w:rFonts w:ascii="Times New Roman" w:hAnsi="Times New Roman"/>
                <w:noProof/>
                <w:sz w:val="24"/>
                <w:szCs w:val="24"/>
              </w:rPr>
              <w:t>Acknowledgements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_Toc14521020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v</w:t>
            </w:r>
            <w:r w:rsidR="00A46717" w:rsidRPr="00A46717">
              <w:rPr>
                <w:rFonts w:ascii="Times New Roman" w:hAnsi="Times New Roman"/>
                <w:noProof/>
                <w:webHidden/>
                <w:sz w:val="24"/>
                <w:szCs w:val="24"/>
              </w:rPr>
              <w:fldChar w:fldCharType="end"/>
            </w:r>
          </w:hyperlink>
        </w:p>
        <w:p w14:paraId="60607E7E" w14:textId="0F288361" w:rsidR="00A46717" w:rsidRPr="00A46717" w:rsidRDefault="00DE72B4" w:rsidP="00A46717">
          <w:pPr>
            <w:pStyle w:val="TOC1"/>
            <w:tabs>
              <w:tab w:val="right" w:leader="dot" w:pos="9350"/>
            </w:tabs>
            <w:spacing w:line="480" w:lineRule="auto"/>
            <w:rPr>
              <w:rFonts w:ascii="Times New Roman" w:hAnsi="Times New Roman"/>
              <w:noProof/>
              <w:sz w:val="24"/>
              <w:szCs w:val="24"/>
            </w:rPr>
          </w:pPr>
          <w:hyperlink w:anchor="_Toc14521021" w:history="1">
            <w:r w:rsidR="00A46717" w:rsidRPr="00A46717">
              <w:rPr>
                <w:rStyle w:val="Hyperlink"/>
                <w:rFonts w:ascii="Times New Roman" w:hAnsi="Times New Roman"/>
                <w:noProof/>
                <w:sz w:val="24"/>
                <w:szCs w:val="24"/>
              </w:rPr>
              <w:t>List of Tables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_Toc14521021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ix</w:t>
            </w:r>
            <w:r w:rsidR="00A46717" w:rsidRPr="00A46717">
              <w:rPr>
                <w:rFonts w:ascii="Times New Roman" w:hAnsi="Times New Roman"/>
                <w:noProof/>
                <w:webHidden/>
                <w:sz w:val="24"/>
                <w:szCs w:val="24"/>
              </w:rPr>
              <w:fldChar w:fldCharType="end"/>
            </w:r>
          </w:hyperlink>
        </w:p>
        <w:p w14:paraId="70E19F0E" w14:textId="0B8384C5" w:rsidR="00A46717" w:rsidRPr="00A46717" w:rsidRDefault="00DE72B4" w:rsidP="00A46717">
          <w:pPr>
            <w:pStyle w:val="TOC1"/>
            <w:tabs>
              <w:tab w:val="right" w:leader="dot" w:pos="9350"/>
            </w:tabs>
            <w:spacing w:line="480" w:lineRule="auto"/>
            <w:rPr>
              <w:rFonts w:ascii="Times New Roman" w:hAnsi="Times New Roman"/>
              <w:noProof/>
              <w:sz w:val="24"/>
              <w:szCs w:val="24"/>
            </w:rPr>
          </w:pPr>
          <w:hyperlink w:anchor="_Toc14521022" w:history="1">
            <w:r w:rsidR="00A46717" w:rsidRPr="00A46717">
              <w:rPr>
                <w:rStyle w:val="Hyperlink"/>
                <w:rFonts w:ascii="Times New Roman" w:hAnsi="Times New Roman"/>
                <w:noProof/>
                <w:sz w:val="24"/>
                <w:szCs w:val="24"/>
              </w:rPr>
              <w:t>List of Figures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_Toc14521022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x</w:t>
            </w:r>
            <w:r w:rsidR="00A46717" w:rsidRPr="00A46717">
              <w:rPr>
                <w:rFonts w:ascii="Times New Roman" w:hAnsi="Times New Roman"/>
                <w:noProof/>
                <w:webHidden/>
                <w:sz w:val="24"/>
                <w:szCs w:val="24"/>
              </w:rPr>
              <w:fldChar w:fldCharType="end"/>
            </w:r>
          </w:hyperlink>
        </w:p>
        <w:p w14:paraId="1A9FE2E2" w14:textId="5AA646C8" w:rsidR="00A46717" w:rsidRPr="00A46717" w:rsidRDefault="00DE72B4" w:rsidP="00A46717">
          <w:pPr>
            <w:pStyle w:val="TOC1"/>
            <w:tabs>
              <w:tab w:val="right" w:leader="dot" w:pos="9350"/>
            </w:tabs>
            <w:spacing w:line="480" w:lineRule="auto"/>
            <w:rPr>
              <w:rFonts w:ascii="Times New Roman" w:hAnsi="Times New Roman"/>
              <w:noProof/>
              <w:sz w:val="24"/>
              <w:szCs w:val="24"/>
            </w:rPr>
          </w:pPr>
          <w:hyperlink w:anchor="_Toc14521023" w:history="1">
            <w:r w:rsidR="00A46717" w:rsidRPr="00A46717">
              <w:rPr>
                <w:rStyle w:val="Hyperlink"/>
                <w:rFonts w:ascii="Times New Roman" w:hAnsi="Times New Roman"/>
                <w:noProof/>
                <w:sz w:val="24"/>
                <w:szCs w:val="24"/>
              </w:rPr>
              <w:t>Abstract</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_Toc14521023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xiv</w:t>
            </w:r>
            <w:r w:rsidR="00A46717" w:rsidRPr="00A46717">
              <w:rPr>
                <w:rFonts w:ascii="Times New Roman" w:hAnsi="Times New Roman"/>
                <w:noProof/>
                <w:webHidden/>
                <w:sz w:val="24"/>
                <w:szCs w:val="24"/>
              </w:rPr>
              <w:fldChar w:fldCharType="end"/>
            </w:r>
          </w:hyperlink>
        </w:p>
        <w:p w14:paraId="02CFC941" w14:textId="7F232223" w:rsidR="00A46717" w:rsidRPr="00A46717" w:rsidRDefault="00DE72B4" w:rsidP="00A46717">
          <w:pPr>
            <w:pStyle w:val="TOC1"/>
            <w:tabs>
              <w:tab w:val="right" w:leader="dot" w:pos="9350"/>
            </w:tabs>
            <w:spacing w:line="480" w:lineRule="auto"/>
            <w:rPr>
              <w:rFonts w:ascii="Times New Roman" w:hAnsi="Times New Roman"/>
              <w:noProof/>
              <w:sz w:val="24"/>
              <w:szCs w:val="24"/>
            </w:rPr>
          </w:pPr>
          <w:hyperlink w:anchor="_Toc14521024" w:history="1">
            <w:r w:rsidR="00A46717" w:rsidRPr="00A46717">
              <w:rPr>
                <w:rStyle w:val="Hyperlink"/>
                <w:rFonts w:ascii="Times New Roman" w:hAnsi="Times New Roman"/>
                <w:noProof/>
                <w:sz w:val="24"/>
                <w:szCs w:val="24"/>
              </w:rPr>
              <w:t>Chapter 1 : Literature Review</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_Toc14521024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1</w:t>
            </w:r>
            <w:r w:rsidR="00A46717" w:rsidRPr="00A46717">
              <w:rPr>
                <w:rFonts w:ascii="Times New Roman" w:hAnsi="Times New Roman"/>
                <w:noProof/>
                <w:webHidden/>
                <w:sz w:val="24"/>
                <w:szCs w:val="24"/>
              </w:rPr>
              <w:fldChar w:fldCharType="end"/>
            </w:r>
          </w:hyperlink>
        </w:p>
        <w:p w14:paraId="78686B39" w14:textId="489A0B30"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25" w:history="1">
            <w:r w:rsidR="00A46717" w:rsidRPr="00A46717">
              <w:rPr>
                <w:rStyle w:val="Hyperlink"/>
                <w:rFonts w:ascii="Times New Roman" w:hAnsi="Times New Roman"/>
                <w:noProof/>
                <w:sz w:val="24"/>
                <w:szCs w:val="24"/>
              </w:rPr>
              <w:t>1.1 Introduction</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_Toc14521025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1</w:t>
            </w:r>
            <w:r w:rsidR="00A46717" w:rsidRPr="00A46717">
              <w:rPr>
                <w:rFonts w:ascii="Times New Roman" w:hAnsi="Times New Roman"/>
                <w:noProof/>
                <w:webHidden/>
                <w:sz w:val="24"/>
                <w:szCs w:val="24"/>
              </w:rPr>
              <w:fldChar w:fldCharType="end"/>
            </w:r>
          </w:hyperlink>
        </w:p>
        <w:p w14:paraId="58E654C8" w14:textId="5A1ED976"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26" w:history="1">
            <w:r w:rsidR="00A46717" w:rsidRPr="00A46717">
              <w:rPr>
                <w:rStyle w:val="Hyperlink"/>
                <w:rFonts w:ascii="Times New Roman" w:hAnsi="Times New Roman"/>
                <w:noProof/>
                <w:sz w:val="24"/>
                <w:szCs w:val="24"/>
              </w:rPr>
              <w:t>1.2 Structure and thermal stability of biomass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_Toc14521026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2</w:t>
            </w:r>
            <w:r w:rsidR="00A46717" w:rsidRPr="00A46717">
              <w:rPr>
                <w:rFonts w:ascii="Times New Roman" w:hAnsi="Times New Roman"/>
                <w:noProof/>
                <w:webHidden/>
                <w:sz w:val="24"/>
                <w:szCs w:val="24"/>
              </w:rPr>
              <w:fldChar w:fldCharType="end"/>
            </w:r>
          </w:hyperlink>
        </w:p>
        <w:p w14:paraId="174F5CCB" w14:textId="6C30422F"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27" w:history="1">
            <w:r w:rsidR="00A46717" w:rsidRPr="00A46717">
              <w:rPr>
                <w:rStyle w:val="Hyperlink"/>
                <w:rFonts w:ascii="Times New Roman" w:hAnsi="Times New Roman"/>
                <w:noProof/>
                <w:sz w:val="24"/>
                <w:szCs w:val="24"/>
              </w:rPr>
              <w:t>1.3 Thermal conversion technologies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_Toc14521027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4</w:t>
            </w:r>
            <w:r w:rsidR="00A46717" w:rsidRPr="00A46717">
              <w:rPr>
                <w:rFonts w:ascii="Times New Roman" w:hAnsi="Times New Roman"/>
                <w:noProof/>
                <w:webHidden/>
                <w:sz w:val="24"/>
                <w:szCs w:val="24"/>
              </w:rPr>
              <w:fldChar w:fldCharType="end"/>
            </w:r>
          </w:hyperlink>
        </w:p>
        <w:p w14:paraId="5AA78CF2" w14:textId="38636BC9"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28" w:history="1">
            <w:r w:rsidR="00A46717" w:rsidRPr="00A46717">
              <w:rPr>
                <w:rStyle w:val="Hyperlink"/>
                <w:rFonts w:ascii="Times New Roman" w:hAnsi="Times New Roman"/>
                <w:noProof/>
                <w:sz w:val="24"/>
                <w:szCs w:val="24"/>
              </w:rPr>
              <w:t>1.4 Features of Bio-oil</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_Toc14521028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6</w:t>
            </w:r>
            <w:r w:rsidR="00A46717" w:rsidRPr="00A46717">
              <w:rPr>
                <w:rFonts w:ascii="Times New Roman" w:hAnsi="Times New Roman"/>
                <w:noProof/>
                <w:webHidden/>
                <w:sz w:val="24"/>
                <w:szCs w:val="24"/>
              </w:rPr>
              <w:fldChar w:fldCharType="end"/>
            </w:r>
          </w:hyperlink>
        </w:p>
        <w:p w14:paraId="68D6F867" w14:textId="5C45FD7B"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29" w:history="1">
            <w:r w:rsidR="00A46717" w:rsidRPr="00A46717">
              <w:rPr>
                <w:rStyle w:val="Hyperlink"/>
                <w:rFonts w:ascii="Times New Roman" w:hAnsi="Times New Roman"/>
                <w:noProof/>
                <w:sz w:val="24"/>
                <w:szCs w:val="24"/>
              </w:rPr>
              <w:t>1.5 Staged Thermal Fractionation</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_Toc14521029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7</w:t>
            </w:r>
            <w:r w:rsidR="00A46717" w:rsidRPr="00A46717">
              <w:rPr>
                <w:rFonts w:ascii="Times New Roman" w:hAnsi="Times New Roman"/>
                <w:noProof/>
                <w:webHidden/>
                <w:sz w:val="24"/>
                <w:szCs w:val="24"/>
              </w:rPr>
              <w:fldChar w:fldCharType="end"/>
            </w:r>
          </w:hyperlink>
        </w:p>
        <w:p w14:paraId="1A04751E" w14:textId="7C608E0C"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30" w:history="1">
            <w:r w:rsidR="00A46717" w:rsidRPr="00A46717">
              <w:rPr>
                <w:rStyle w:val="Hyperlink"/>
                <w:rFonts w:ascii="Times New Roman" w:hAnsi="Times New Roman"/>
                <w:noProof/>
                <w:sz w:val="24"/>
                <w:szCs w:val="24"/>
              </w:rPr>
              <w:t>1.6 Motivation</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_Toc14521030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8</w:t>
            </w:r>
            <w:r w:rsidR="00A46717" w:rsidRPr="00A46717">
              <w:rPr>
                <w:rFonts w:ascii="Times New Roman" w:hAnsi="Times New Roman"/>
                <w:noProof/>
                <w:webHidden/>
                <w:sz w:val="24"/>
                <w:szCs w:val="24"/>
              </w:rPr>
              <w:fldChar w:fldCharType="end"/>
            </w:r>
          </w:hyperlink>
        </w:p>
        <w:p w14:paraId="380DB061" w14:textId="020BBBAF" w:rsidR="00A46717" w:rsidRPr="00A46717" w:rsidRDefault="00DE72B4" w:rsidP="00A46717">
          <w:pPr>
            <w:pStyle w:val="TOC1"/>
            <w:tabs>
              <w:tab w:val="right" w:leader="dot" w:pos="9350"/>
            </w:tabs>
            <w:spacing w:line="480" w:lineRule="auto"/>
            <w:rPr>
              <w:rFonts w:ascii="Times New Roman" w:hAnsi="Times New Roman"/>
              <w:noProof/>
              <w:sz w:val="24"/>
              <w:szCs w:val="24"/>
            </w:rPr>
          </w:pPr>
          <w:hyperlink w:anchor="_Toc14521031" w:history="1">
            <w:r w:rsidR="00A46717" w:rsidRPr="00A46717">
              <w:rPr>
                <w:rStyle w:val="Hyperlink"/>
                <w:rFonts w:ascii="Times New Roman" w:hAnsi="Times New Roman"/>
                <w:noProof/>
                <w:sz w:val="24"/>
                <w:szCs w:val="24"/>
              </w:rPr>
              <w:t>Chapter 2 : Experimental methods and Analytical techniques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_Toc14521031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10</w:t>
            </w:r>
            <w:r w:rsidR="00A46717" w:rsidRPr="00A46717">
              <w:rPr>
                <w:rFonts w:ascii="Times New Roman" w:hAnsi="Times New Roman"/>
                <w:noProof/>
                <w:webHidden/>
                <w:sz w:val="24"/>
                <w:szCs w:val="24"/>
              </w:rPr>
              <w:fldChar w:fldCharType="end"/>
            </w:r>
          </w:hyperlink>
        </w:p>
        <w:p w14:paraId="003440B9" w14:textId="09FBC103"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32" w:history="1">
            <w:r w:rsidR="00A46717" w:rsidRPr="00A46717">
              <w:rPr>
                <w:rStyle w:val="Hyperlink"/>
                <w:rFonts w:ascii="Times New Roman" w:hAnsi="Times New Roman"/>
                <w:noProof/>
                <w:sz w:val="24"/>
                <w:szCs w:val="24"/>
              </w:rPr>
              <w:t>2.1 Sample preparation</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_Toc14521032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10</w:t>
            </w:r>
            <w:r w:rsidR="00A46717" w:rsidRPr="00A46717">
              <w:rPr>
                <w:rFonts w:ascii="Times New Roman" w:hAnsi="Times New Roman"/>
                <w:noProof/>
                <w:webHidden/>
                <w:sz w:val="24"/>
                <w:szCs w:val="24"/>
              </w:rPr>
              <w:fldChar w:fldCharType="end"/>
            </w:r>
          </w:hyperlink>
        </w:p>
        <w:p w14:paraId="6FA3B79F" w14:textId="14957048"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33" w:history="1">
            <w:r w:rsidR="00A46717" w:rsidRPr="00A46717">
              <w:rPr>
                <w:rStyle w:val="Hyperlink"/>
                <w:rFonts w:ascii="Times New Roman" w:hAnsi="Times New Roman"/>
                <w:noProof/>
                <w:sz w:val="24"/>
                <w:szCs w:val="24"/>
              </w:rPr>
              <w:t>2.2 Torrefaction/Pyrolysis apparatus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_Toc14521033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11</w:t>
            </w:r>
            <w:r w:rsidR="00A46717" w:rsidRPr="00A46717">
              <w:rPr>
                <w:rFonts w:ascii="Times New Roman" w:hAnsi="Times New Roman"/>
                <w:noProof/>
                <w:webHidden/>
                <w:sz w:val="24"/>
                <w:szCs w:val="24"/>
              </w:rPr>
              <w:fldChar w:fldCharType="end"/>
            </w:r>
          </w:hyperlink>
        </w:p>
        <w:p w14:paraId="76C8345D" w14:textId="00738129"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34" w:history="1">
            <w:r w:rsidR="00A46717" w:rsidRPr="00A46717">
              <w:rPr>
                <w:rStyle w:val="Hyperlink"/>
                <w:rFonts w:ascii="Times New Roman" w:hAnsi="Times New Roman"/>
                <w:noProof/>
                <w:sz w:val="24"/>
                <w:szCs w:val="24"/>
              </w:rPr>
              <w:t>2.3 Gas Chromatography</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_Toc14521034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15</w:t>
            </w:r>
            <w:r w:rsidR="00A46717" w:rsidRPr="00A46717">
              <w:rPr>
                <w:rFonts w:ascii="Times New Roman" w:hAnsi="Times New Roman"/>
                <w:noProof/>
                <w:webHidden/>
                <w:sz w:val="24"/>
                <w:szCs w:val="24"/>
              </w:rPr>
              <w:fldChar w:fldCharType="end"/>
            </w:r>
          </w:hyperlink>
        </w:p>
        <w:p w14:paraId="798DC7B2" w14:textId="1BDCDB9A"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35" w:history="1">
            <w:r w:rsidR="00A46717" w:rsidRPr="00A46717">
              <w:rPr>
                <w:rStyle w:val="Hyperlink"/>
                <w:rFonts w:ascii="Times New Roman" w:hAnsi="Times New Roman"/>
                <w:noProof/>
                <w:sz w:val="24"/>
                <w:szCs w:val="24"/>
              </w:rPr>
              <w:t>2.4 Compound identification</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_Toc14521035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16</w:t>
            </w:r>
            <w:r w:rsidR="00A46717" w:rsidRPr="00A46717">
              <w:rPr>
                <w:rFonts w:ascii="Times New Roman" w:hAnsi="Times New Roman"/>
                <w:noProof/>
                <w:webHidden/>
                <w:sz w:val="24"/>
                <w:szCs w:val="24"/>
              </w:rPr>
              <w:fldChar w:fldCharType="end"/>
            </w:r>
          </w:hyperlink>
        </w:p>
        <w:p w14:paraId="4F32F7DE" w14:textId="1D2FB735"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36" w:history="1">
            <w:r w:rsidR="00A46717" w:rsidRPr="00A46717">
              <w:rPr>
                <w:rStyle w:val="Hyperlink"/>
                <w:rFonts w:ascii="Times New Roman" w:hAnsi="Times New Roman"/>
                <w:noProof/>
                <w:sz w:val="24"/>
                <w:szCs w:val="24"/>
              </w:rPr>
              <w:t>2.5 Lumping approach</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_Toc14521036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17</w:t>
            </w:r>
            <w:r w:rsidR="00A46717" w:rsidRPr="00A46717">
              <w:rPr>
                <w:rFonts w:ascii="Times New Roman" w:hAnsi="Times New Roman"/>
                <w:noProof/>
                <w:webHidden/>
                <w:sz w:val="24"/>
                <w:szCs w:val="24"/>
              </w:rPr>
              <w:fldChar w:fldCharType="end"/>
            </w:r>
          </w:hyperlink>
        </w:p>
        <w:p w14:paraId="715BD164" w14:textId="2FA090F7"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37" w:history="1">
            <w:r w:rsidR="00A46717" w:rsidRPr="00A46717">
              <w:rPr>
                <w:rStyle w:val="Hyperlink"/>
                <w:rFonts w:ascii="Times New Roman" w:hAnsi="Times New Roman"/>
                <w:noProof/>
                <w:sz w:val="24"/>
                <w:szCs w:val="24"/>
              </w:rPr>
              <w:t>2.6 FID Quantification</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_Toc14521037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19</w:t>
            </w:r>
            <w:r w:rsidR="00A46717" w:rsidRPr="00A46717">
              <w:rPr>
                <w:rFonts w:ascii="Times New Roman" w:hAnsi="Times New Roman"/>
                <w:noProof/>
                <w:webHidden/>
                <w:sz w:val="24"/>
                <w:szCs w:val="24"/>
              </w:rPr>
              <w:fldChar w:fldCharType="end"/>
            </w:r>
          </w:hyperlink>
        </w:p>
        <w:p w14:paraId="6A7CF00C" w14:textId="3DEB7FB3" w:rsidR="00A46717" w:rsidRPr="00A46717" w:rsidRDefault="00DE72B4" w:rsidP="00A46717">
          <w:pPr>
            <w:pStyle w:val="TOC1"/>
            <w:tabs>
              <w:tab w:val="right" w:leader="dot" w:pos="9350"/>
            </w:tabs>
            <w:spacing w:line="480" w:lineRule="auto"/>
            <w:rPr>
              <w:rFonts w:ascii="Times New Roman" w:hAnsi="Times New Roman"/>
              <w:noProof/>
              <w:sz w:val="24"/>
              <w:szCs w:val="24"/>
            </w:rPr>
          </w:pPr>
          <w:hyperlink w:anchor="_Toc14521038" w:history="1">
            <w:r w:rsidR="00A46717" w:rsidRPr="00A46717">
              <w:rPr>
                <w:rStyle w:val="Hyperlink"/>
                <w:rFonts w:ascii="Times New Roman" w:hAnsi="Times New Roman"/>
                <w:noProof/>
                <w:sz w:val="24"/>
                <w:szCs w:val="24"/>
              </w:rPr>
              <w:t>Chapter 3 : Relationships between biomass composition and their respective thermal degradation products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_Toc14521038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23</w:t>
            </w:r>
            <w:r w:rsidR="00A46717" w:rsidRPr="00A46717">
              <w:rPr>
                <w:rFonts w:ascii="Times New Roman" w:hAnsi="Times New Roman"/>
                <w:noProof/>
                <w:webHidden/>
                <w:sz w:val="24"/>
                <w:szCs w:val="24"/>
              </w:rPr>
              <w:fldChar w:fldCharType="end"/>
            </w:r>
          </w:hyperlink>
        </w:p>
        <w:p w14:paraId="5611ECFA" w14:textId="18C63DF1"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39" w:history="1">
            <w:r w:rsidR="00A46717" w:rsidRPr="00A46717">
              <w:rPr>
                <w:rStyle w:val="Hyperlink"/>
                <w:rFonts w:ascii="Times New Roman" w:hAnsi="Times New Roman"/>
                <w:noProof/>
                <w:sz w:val="24"/>
                <w:szCs w:val="24"/>
              </w:rPr>
              <w:t>3.1 Biomass Composition</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_Toc14521039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23</w:t>
            </w:r>
            <w:r w:rsidR="00A46717" w:rsidRPr="00A46717">
              <w:rPr>
                <w:rFonts w:ascii="Times New Roman" w:hAnsi="Times New Roman"/>
                <w:noProof/>
                <w:webHidden/>
                <w:sz w:val="24"/>
                <w:szCs w:val="24"/>
              </w:rPr>
              <w:fldChar w:fldCharType="end"/>
            </w:r>
          </w:hyperlink>
        </w:p>
        <w:p w14:paraId="08BD0CE3" w14:textId="0F924CC8"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40" w:history="1">
            <w:r w:rsidR="00A46717" w:rsidRPr="00A46717">
              <w:rPr>
                <w:rStyle w:val="Hyperlink"/>
                <w:rFonts w:ascii="Times New Roman" w:hAnsi="Times New Roman"/>
                <w:noProof/>
                <w:sz w:val="24"/>
                <w:szCs w:val="24"/>
              </w:rPr>
              <w:t>3.2 Relationships between biomass components and bio-oil thermal products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_Toc14521040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27</w:t>
            </w:r>
            <w:r w:rsidR="00A46717" w:rsidRPr="00A46717">
              <w:rPr>
                <w:rFonts w:ascii="Times New Roman" w:hAnsi="Times New Roman"/>
                <w:noProof/>
                <w:webHidden/>
                <w:sz w:val="24"/>
                <w:szCs w:val="24"/>
              </w:rPr>
              <w:fldChar w:fldCharType="end"/>
            </w:r>
          </w:hyperlink>
        </w:p>
        <w:p w14:paraId="57A420AD" w14:textId="42446D4C"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41" w:history="1">
            <w:r w:rsidR="00A46717" w:rsidRPr="00A46717">
              <w:rPr>
                <w:rStyle w:val="Hyperlink"/>
                <w:rFonts w:ascii="Times New Roman" w:hAnsi="Times New Roman"/>
                <w:noProof/>
                <w:sz w:val="24"/>
                <w:szCs w:val="24"/>
              </w:rPr>
              <w:t>3.3 Selection of temperature and time parameters for Torrefaction/Pyrolysis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_Toc14521041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34</w:t>
            </w:r>
            <w:r w:rsidR="00A46717" w:rsidRPr="00A46717">
              <w:rPr>
                <w:rFonts w:ascii="Times New Roman" w:hAnsi="Times New Roman"/>
                <w:noProof/>
                <w:webHidden/>
                <w:sz w:val="24"/>
                <w:szCs w:val="24"/>
              </w:rPr>
              <w:fldChar w:fldCharType="end"/>
            </w:r>
          </w:hyperlink>
        </w:p>
        <w:p w14:paraId="4E86803D" w14:textId="6835ED97" w:rsidR="00A46717" w:rsidRPr="00A46717" w:rsidRDefault="00DE72B4" w:rsidP="00A46717">
          <w:pPr>
            <w:pStyle w:val="TOC1"/>
            <w:tabs>
              <w:tab w:val="right" w:leader="dot" w:pos="9350"/>
            </w:tabs>
            <w:spacing w:line="480" w:lineRule="auto"/>
            <w:rPr>
              <w:rFonts w:ascii="Times New Roman" w:hAnsi="Times New Roman"/>
              <w:noProof/>
              <w:sz w:val="24"/>
              <w:szCs w:val="24"/>
            </w:rPr>
          </w:pPr>
          <w:hyperlink w:anchor="_Toc14521042" w:history="1">
            <w:r w:rsidR="00A46717" w:rsidRPr="00A46717">
              <w:rPr>
                <w:rStyle w:val="Hyperlink"/>
                <w:rFonts w:ascii="Times New Roman" w:hAnsi="Times New Roman"/>
                <w:noProof/>
                <w:sz w:val="24"/>
                <w:szCs w:val="24"/>
              </w:rPr>
              <w:t>Chapter 4 : The effect of genetic modification of lignin biosynthesis pathway on torrefaction product yields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_Toc14521042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43</w:t>
            </w:r>
            <w:r w:rsidR="00A46717" w:rsidRPr="00A46717">
              <w:rPr>
                <w:rFonts w:ascii="Times New Roman" w:hAnsi="Times New Roman"/>
                <w:noProof/>
                <w:webHidden/>
                <w:sz w:val="24"/>
                <w:szCs w:val="24"/>
              </w:rPr>
              <w:fldChar w:fldCharType="end"/>
            </w:r>
          </w:hyperlink>
        </w:p>
        <w:p w14:paraId="18F27383" w14:textId="32768E51"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43" w:history="1">
            <w:r w:rsidR="00A46717" w:rsidRPr="00A46717">
              <w:rPr>
                <w:rStyle w:val="Hyperlink"/>
                <w:rFonts w:ascii="Times New Roman" w:hAnsi="Times New Roman"/>
                <w:noProof/>
                <w:sz w:val="24"/>
                <w:szCs w:val="24"/>
              </w:rPr>
              <w:t>4.1 Introduction</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_Toc14521043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43</w:t>
            </w:r>
            <w:r w:rsidR="00A46717" w:rsidRPr="00A46717">
              <w:rPr>
                <w:rFonts w:ascii="Times New Roman" w:hAnsi="Times New Roman"/>
                <w:noProof/>
                <w:webHidden/>
                <w:sz w:val="24"/>
                <w:szCs w:val="24"/>
              </w:rPr>
              <w:fldChar w:fldCharType="end"/>
            </w:r>
          </w:hyperlink>
        </w:p>
        <w:p w14:paraId="284629C7" w14:textId="3FE0F22B"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44" w:history="1">
            <w:r w:rsidR="00A46717" w:rsidRPr="00A46717">
              <w:rPr>
                <w:rStyle w:val="Hyperlink"/>
                <w:rFonts w:ascii="Times New Roman" w:hAnsi="Times New Roman"/>
                <w:noProof/>
                <w:sz w:val="24"/>
                <w:szCs w:val="24"/>
              </w:rPr>
              <w:t>4.2 Lignin Biosynthesis Network</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_Toc14521044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44</w:t>
            </w:r>
            <w:r w:rsidR="00A46717" w:rsidRPr="00A46717">
              <w:rPr>
                <w:rFonts w:ascii="Times New Roman" w:hAnsi="Times New Roman"/>
                <w:noProof/>
                <w:webHidden/>
                <w:sz w:val="24"/>
                <w:szCs w:val="24"/>
              </w:rPr>
              <w:fldChar w:fldCharType="end"/>
            </w:r>
          </w:hyperlink>
        </w:p>
        <w:p w14:paraId="26BD922F" w14:textId="1839EE25"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45" w:history="1">
            <w:r w:rsidR="00A46717" w:rsidRPr="00A46717">
              <w:rPr>
                <w:rStyle w:val="Hyperlink"/>
                <w:rFonts w:ascii="Times New Roman" w:hAnsi="Times New Roman"/>
                <w:noProof/>
                <w:sz w:val="24"/>
                <w:szCs w:val="24"/>
              </w:rPr>
              <w:t>4.3 Experimental</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_Toc14521045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49</w:t>
            </w:r>
            <w:r w:rsidR="00A46717" w:rsidRPr="00A46717">
              <w:rPr>
                <w:rFonts w:ascii="Times New Roman" w:hAnsi="Times New Roman"/>
                <w:noProof/>
                <w:webHidden/>
                <w:sz w:val="24"/>
                <w:szCs w:val="24"/>
              </w:rPr>
              <w:fldChar w:fldCharType="end"/>
            </w:r>
          </w:hyperlink>
        </w:p>
        <w:p w14:paraId="519DD536" w14:textId="017E7553"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46" w:history="1">
            <w:r w:rsidR="00A46717" w:rsidRPr="00A46717">
              <w:rPr>
                <w:rStyle w:val="Hyperlink"/>
                <w:rFonts w:ascii="Times New Roman" w:hAnsi="Times New Roman"/>
                <w:noProof/>
                <w:sz w:val="24"/>
                <w:szCs w:val="24"/>
              </w:rPr>
              <w:t>4.4 Results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_Toc14521046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52</w:t>
            </w:r>
            <w:r w:rsidR="00A46717" w:rsidRPr="00A46717">
              <w:rPr>
                <w:rFonts w:ascii="Times New Roman" w:hAnsi="Times New Roman"/>
                <w:noProof/>
                <w:webHidden/>
                <w:sz w:val="24"/>
                <w:szCs w:val="24"/>
              </w:rPr>
              <w:fldChar w:fldCharType="end"/>
            </w:r>
          </w:hyperlink>
        </w:p>
        <w:p w14:paraId="2F09650A" w14:textId="015A5AB7" w:rsidR="00A46717" w:rsidRPr="00A46717" w:rsidRDefault="00DE72B4" w:rsidP="00A46717">
          <w:pPr>
            <w:pStyle w:val="TOC2"/>
            <w:tabs>
              <w:tab w:val="right" w:leader="dot" w:pos="9350"/>
            </w:tabs>
            <w:spacing w:line="480" w:lineRule="auto"/>
            <w:rPr>
              <w:rFonts w:ascii="Times New Roman" w:hAnsi="Times New Roman"/>
              <w:noProof/>
              <w:sz w:val="24"/>
              <w:szCs w:val="24"/>
            </w:rPr>
          </w:pPr>
          <w:hyperlink w:anchor="_Toc14521047" w:history="1">
            <w:r w:rsidR="00A46717" w:rsidRPr="00A46717">
              <w:rPr>
                <w:rStyle w:val="Hyperlink"/>
                <w:rFonts w:ascii="Times New Roman" w:hAnsi="Times New Roman"/>
                <w:noProof/>
                <w:sz w:val="24"/>
                <w:szCs w:val="24"/>
              </w:rPr>
              <w:t>4.5 Discussion</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_Toc14521047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68</w:t>
            </w:r>
            <w:r w:rsidR="00A46717" w:rsidRPr="00A46717">
              <w:rPr>
                <w:rFonts w:ascii="Times New Roman" w:hAnsi="Times New Roman"/>
                <w:noProof/>
                <w:webHidden/>
                <w:sz w:val="24"/>
                <w:szCs w:val="24"/>
              </w:rPr>
              <w:fldChar w:fldCharType="end"/>
            </w:r>
          </w:hyperlink>
        </w:p>
        <w:p w14:paraId="1676041B" w14:textId="5970A247" w:rsidR="00A46717" w:rsidRPr="00A46717" w:rsidRDefault="00DE72B4" w:rsidP="00A46717">
          <w:pPr>
            <w:pStyle w:val="TOC1"/>
            <w:tabs>
              <w:tab w:val="right" w:leader="dot" w:pos="9350"/>
            </w:tabs>
            <w:spacing w:line="480" w:lineRule="auto"/>
            <w:rPr>
              <w:rFonts w:ascii="Times New Roman" w:hAnsi="Times New Roman"/>
              <w:noProof/>
              <w:sz w:val="24"/>
              <w:szCs w:val="24"/>
            </w:rPr>
          </w:pPr>
          <w:hyperlink w:anchor="_Toc14521048" w:history="1">
            <w:r w:rsidR="00A46717" w:rsidRPr="00A46717">
              <w:rPr>
                <w:rStyle w:val="Hyperlink"/>
                <w:rFonts w:ascii="Times New Roman" w:hAnsi="Times New Roman"/>
                <w:noProof/>
                <w:sz w:val="24"/>
                <w:szCs w:val="24"/>
              </w:rPr>
              <w:t>References: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_Toc14521048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70</w:t>
            </w:r>
            <w:r w:rsidR="00A46717" w:rsidRPr="00A46717">
              <w:rPr>
                <w:rFonts w:ascii="Times New Roman" w:hAnsi="Times New Roman"/>
                <w:noProof/>
                <w:webHidden/>
                <w:sz w:val="24"/>
                <w:szCs w:val="24"/>
              </w:rPr>
              <w:fldChar w:fldCharType="end"/>
            </w:r>
          </w:hyperlink>
        </w:p>
        <w:p w14:paraId="4888409F" w14:textId="2F45E0FC" w:rsidR="00A46717" w:rsidRDefault="00DE72B4" w:rsidP="00A46717">
          <w:pPr>
            <w:pStyle w:val="TOC1"/>
            <w:tabs>
              <w:tab w:val="right" w:leader="dot" w:pos="9350"/>
            </w:tabs>
            <w:spacing w:line="480" w:lineRule="auto"/>
            <w:rPr>
              <w:rFonts w:cstheme="minorBidi"/>
              <w:noProof/>
            </w:rPr>
          </w:pPr>
          <w:hyperlink w:anchor="_Toc14521049" w:history="1">
            <w:r w:rsidR="00A46717" w:rsidRPr="00A46717">
              <w:rPr>
                <w:rStyle w:val="Hyperlink"/>
                <w:rFonts w:ascii="Times New Roman" w:eastAsiaTheme="minorHAnsi" w:hAnsi="Times New Roman"/>
                <w:noProof/>
                <w:sz w:val="24"/>
                <w:szCs w:val="24"/>
              </w:rPr>
              <w:t>Appendix: Supplementary Tables</w:t>
            </w:r>
            <w:r w:rsidR="00A46717" w:rsidRPr="00A46717">
              <w:rPr>
                <w:rFonts w:ascii="Times New Roman" w:hAnsi="Times New Roman"/>
                <w:noProof/>
                <w:webHidden/>
                <w:sz w:val="24"/>
                <w:szCs w:val="24"/>
              </w:rPr>
              <w:tab/>
            </w:r>
            <w:r w:rsidR="00A46717" w:rsidRPr="00A46717">
              <w:rPr>
                <w:rFonts w:ascii="Times New Roman" w:hAnsi="Times New Roman"/>
                <w:noProof/>
                <w:webHidden/>
                <w:sz w:val="24"/>
                <w:szCs w:val="24"/>
              </w:rPr>
              <w:fldChar w:fldCharType="begin"/>
            </w:r>
            <w:r w:rsidR="00A46717" w:rsidRPr="00A46717">
              <w:rPr>
                <w:rFonts w:ascii="Times New Roman" w:hAnsi="Times New Roman"/>
                <w:noProof/>
                <w:webHidden/>
                <w:sz w:val="24"/>
                <w:szCs w:val="24"/>
              </w:rPr>
              <w:instrText xml:space="preserve"> PAGEREF _Toc14521049 \h </w:instrText>
            </w:r>
            <w:r w:rsidR="00A46717" w:rsidRPr="00A46717">
              <w:rPr>
                <w:rFonts w:ascii="Times New Roman" w:hAnsi="Times New Roman"/>
                <w:noProof/>
                <w:webHidden/>
                <w:sz w:val="24"/>
                <w:szCs w:val="24"/>
              </w:rPr>
            </w:r>
            <w:r w:rsidR="00A46717" w:rsidRPr="00A46717">
              <w:rPr>
                <w:rFonts w:ascii="Times New Roman" w:hAnsi="Times New Roman"/>
                <w:noProof/>
                <w:webHidden/>
                <w:sz w:val="24"/>
                <w:szCs w:val="24"/>
              </w:rPr>
              <w:fldChar w:fldCharType="separate"/>
            </w:r>
            <w:r w:rsidR="00815371">
              <w:rPr>
                <w:rFonts w:ascii="Times New Roman" w:hAnsi="Times New Roman"/>
                <w:noProof/>
                <w:webHidden/>
                <w:sz w:val="24"/>
                <w:szCs w:val="24"/>
              </w:rPr>
              <w:t>75</w:t>
            </w:r>
            <w:r w:rsidR="00A46717" w:rsidRPr="00A46717">
              <w:rPr>
                <w:rFonts w:ascii="Times New Roman" w:hAnsi="Times New Roman"/>
                <w:noProof/>
                <w:webHidden/>
                <w:sz w:val="24"/>
                <w:szCs w:val="24"/>
              </w:rPr>
              <w:fldChar w:fldCharType="end"/>
            </w:r>
          </w:hyperlink>
        </w:p>
        <w:p w14:paraId="2E23F22C" w14:textId="77777777" w:rsidR="00A46717" w:rsidRDefault="00336F37" w:rsidP="00A46717">
          <w:pPr>
            <w:pStyle w:val="Heading1"/>
            <w:numPr>
              <w:ilvl w:val="0"/>
              <w:numId w:val="0"/>
            </w:numPr>
            <w:rPr>
              <w:noProof/>
              <w:szCs w:val="24"/>
            </w:rPr>
          </w:pPr>
          <w:r w:rsidRPr="00D9716E">
            <w:rPr>
              <w:noProof/>
              <w:szCs w:val="24"/>
            </w:rPr>
            <w:fldChar w:fldCharType="end"/>
          </w:r>
          <w:bookmarkStart w:id="4" w:name="_Toc14521021"/>
        </w:p>
        <w:p w14:paraId="340E56BB" w14:textId="77777777" w:rsidR="00A46717" w:rsidRDefault="00A46717" w:rsidP="00A46717">
          <w:pPr>
            <w:pStyle w:val="Heading1"/>
            <w:numPr>
              <w:ilvl w:val="0"/>
              <w:numId w:val="0"/>
            </w:numPr>
            <w:jc w:val="center"/>
            <w:rPr>
              <w:rFonts w:ascii="Times New Roman" w:hAnsi="Times New Roman" w:cs="Times New Roman"/>
              <w:b/>
              <w:bCs/>
              <w:color w:val="auto"/>
              <w:sz w:val="28"/>
              <w:szCs w:val="28"/>
            </w:rPr>
          </w:pPr>
        </w:p>
        <w:p w14:paraId="2522081F" w14:textId="77777777" w:rsidR="00A46717" w:rsidRDefault="00A46717" w:rsidP="00DD7981">
          <w:pPr>
            <w:pStyle w:val="Heading1"/>
            <w:numPr>
              <w:ilvl w:val="0"/>
              <w:numId w:val="0"/>
            </w:numPr>
            <w:rPr>
              <w:rFonts w:ascii="Times New Roman" w:hAnsi="Times New Roman" w:cs="Times New Roman"/>
              <w:b/>
              <w:bCs/>
              <w:color w:val="auto"/>
              <w:sz w:val="28"/>
              <w:szCs w:val="28"/>
            </w:rPr>
          </w:pPr>
        </w:p>
        <w:p w14:paraId="259E4BFB" w14:textId="77777777" w:rsidR="00DD7981" w:rsidRPr="00DD7981" w:rsidRDefault="00DD7981" w:rsidP="00DD7981"/>
        <w:p w14:paraId="44D590EF" w14:textId="77777777" w:rsidR="00B22F66" w:rsidRPr="00A46717" w:rsidRDefault="00257D12" w:rsidP="00A46717">
          <w:pPr>
            <w:pStyle w:val="Heading1"/>
            <w:numPr>
              <w:ilvl w:val="0"/>
              <w:numId w:val="0"/>
            </w:numPr>
            <w:jc w:val="center"/>
            <w:rPr>
              <w:noProof/>
              <w:szCs w:val="24"/>
            </w:rPr>
          </w:pPr>
          <w:r w:rsidRPr="00A46717">
            <w:rPr>
              <w:rFonts w:ascii="Times New Roman" w:hAnsi="Times New Roman" w:cs="Times New Roman"/>
              <w:b/>
              <w:bCs/>
              <w:color w:val="auto"/>
              <w:sz w:val="28"/>
              <w:szCs w:val="28"/>
            </w:rPr>
            <w:lastRenderedPageBreak/>
            <w:t>List of</w:t>
          </w:r>
          <w:r w:rsidR="00AA26F6" w:rsidRPr="00A46717">
            <w:rPr>
              <w:rFonts w:ascii="Times New Roman" w:hAnsi="Times New Roman" w:cs="Times New Roman"/>
              <w:b/>
              <w:bCs/>
              <w:color w:val="auto"/>
              <w:sz w:val="28"/>
              <w:szCs w:val="28"/>
            </w:rPr>
            <w:t xml:space="preserve"> Tables</w:t>
          </w:r>
          <w:bookmarkEnd w:id="4"/>
          <w:r w:rsidR="00AA26F6" w:rsidRPr="0082753A">
            <w:rPr>
              <w:rFonts w:ascii="Times New Roman" w:hAnsi="Times New Roman" w:cs="Times New Roman"/>
              <w:b/>
              <w:bCs/>
              <w:sz w:val="28"/>
              <w:szCs w:val="28"/>
            </w:rPr>
            <w:fldChar w:fldCharType="begin"/>
          </w:r>
          <w:r w:rsidR="00AA26F6" w:rsidRPr="00A46717">
            <w:rPr>
              <w:rFonts w:ascii="Times New Roman" w:hAnsi="Times New Roman" w:cs="Times New Roman"/>
              <w:b/>
              <w:bCs/>
              <w:sz w:val="28"/>
              <w:szCs w:val="28"/>
            </w:rPr>
            <w:instrText xml:space="preserve"> TOC \h \z \c "Table" </w:instrText>
          </w:r>
          <w:r w:rsidR="00AA26F6" w:rsidRPr="0082753A">
            <w:rPr>
              <w:rFonts w:ascii="Times New Roman" w:hAnsi="Times New Roman" w:cs="Times New Roman"/>
              <w:b/>
              <w:bCs/>
              <w:sz w:val="28"/>
              <w:szCs w:val="28"/>
            </w:rPr>
            <w:fldChar w:fldCharType="separate"/>
          </w:r>
        </w:p>
        <w:p w14:paraId="5025F5DE" w14:textId="51CB40F9" w:rsidR="00B22F66" w:rsidRPr="0082753A" w:rsidRDefault="00DE72B4" w:rsidP="0082753A">
          <w:pPr>
            <w:pStyle w:val="TableofFigures"/>
            <w:tabs>
              <w:tab w:val="right" w:leader="dot" w:pos="9350"/>
            </w:tabs>
            <w:spacing w:line="480" w:lineRule="auto"/>
            <w:ind w:right="58"/>
            <w:rPr>
              <w:rFonts w:asciiTheme="minorHAnsi" w:eastAsiaTheme="minorEastAsia" w:hAnsiTheme="minorHAnsi" w:cstheme="minorBidi"/>
              <w:b/>
              <w:bCs/>
              <w:noProof/>
              <w:color w:val="auto"/>
              <w:szCs w:val="24"/>
            </w:rPr>
          </w:pPr>
          <w:hyperlink w:anchor="_Toc14519786" w:history="1">
            <w:r w:rsidR="00B22F66" w:rsidRPr="0082753A">
              <w:rPr>
                <w:rStyle w:val="Hyperlink"/>
                <w:b/>
                <w:bCs/>
                <w:noProof/>
                <w:szCs w:val="24"/>
              </w:rPr>
              <w:t xml:space="preserve">Table 4.1: </w:t>
            </w:r>
            <w:r w:rsidR="00B22F66" w:rsidRPr="0082753A">
              <w:rPr>
                <w:rStyle w:val="Hyperlink"/>
                <w:noProof/>
                <w:szCs w:val="24"/>
              </w:rPr>
              <w:t>Torrefaction yield of different compound lumps per milligram of raw biomass</w:t>
            </w:r>
            <w:r w:rsidR="00B22F66" w:rsidRPr="0082753A">
              <w:rPr>
                <w:noProof/>
                <w:webHidden/>
                <w:szCs w:val="24"/>
              </w:rPr>
              <w:tab/>
            </w:r>
            <w:r w:rsidR="00B22F66" w:rsidRPr="0082753A">
              <w:rPr>
                <w:noProof/>
                <w:webHidden/>
                <w:szCs w:val="24"/>
              </w:rPr>
              <w:fldChar w:fldCharType="begin"/>
            </w:r>
            <w:r w:rsidR="00B22F66" w:rsidRPr="0082753A">
              <w:rPr>
                <w:noProof/>
                <w:webHidden/>
                <w:szCs w:val="24"/>
              </w:rPr>
              <w:instrText xml:space="preserve"> PAGEREF _Toc14519786 \h </w:instrText>
            </w:r>
            <w:r w:rsidR="00B22F66" w:rsidRPr="0082753A">
              <w:rPr>
                <w:noProof/>
                <w:webHidden/>
                <w:szCs w:val="24"/>
              </w:rPr>
            </w:r>
            <w:r w:rsidR="00B22F66" w:rsidRPr="0082753A">
              <w:rPr>
                <w:noProof/>
                <w:webHidden/>
                <w:szCs w:val="24"/>
              </w:rPr>
              <w:fldChar w:fldCharType="separate"/>
            </w:r>
            <w:r w:rsidR="00815371">
              <w:rPr>
                <w:noProof/>
                <w:webHidden/>
                <w:szCs w:val="24"/>
              </w:rPr>
              <w:t>54</w:t>
            </w:r>
            <w:r w:rsidR="00B22F66" w:rsidRPr="0082753A">
              <w:rPr>
                <w:noProof/>
                <w:webHidden/>
                <w:szCs w:val="24"/>
              </w:rPr>
              <w:fldChar w:fldCharType="end"/>
            </w:r>
          </w:hyperlink>
        </w:p>
        <w:p w14:paraId="5B5625B5" w14:textId="772EA296" w:rsidR="00B22F66" w:rsidRPr="0082753A" w:rsidRDefault="00DE72B4" w:rsidP="0082753A">
          <w:pPr>
            <w:pStyle w:val="TableofFigures"/>
            <w:tabs>
              <w:tab w:val="right" w:leader="dot" w:pos="9350"/>
            </w:tabs>
            <w:spacing w:line="480" w:lineRule="auto"/>
            <w:ind w:right="58"/>
            <w:rPr>
              <w:rStyle w:val="Hyperlink"/>
              <w:b/>
              <w:bCs/>
              <w:noProof/>
              <w:szCs w:val="24"/>
            </w:rPr>
          </w:pPr>
          <w:hyperlink w:anchor="_Toc14519787" w:history="1">
            <w:r w:rsidR="00B22F66" w:rsidRPr="0082753A">
              <w:rPr>
                <w:rStyle w:val="Hyperlink"/>
                <w:b/>
                <w:bCs/>
                <w:noProof/>
                <w:szCs w:val="24"/>
              </w:rPr>
              <w:t xml:space="preserve">Table 4.2: </w:t>
            </w:r>
            <w:r w:rsidR="00B22F66" w:rsidRPr="0082753A">
              <w:rPr>
                <w:rStyle w:val="Hyperlink"/>
                <w:noProof/>
                <w:szCs w:val="24"/>
              </w:rPr>
              <w:t>Pyrolysis yield of different compound lumps per milligram of raw biomass</w:t>
            </w:r>
            <w:r w:rsidR="00B22F66" w:rsidRPr="0082753A">
              <w:rPr>
                <w:noProof/>
                <w:webHidden/>
                <w:szCs w:val="24"/>
              </w:rPr>
              <w:tab/>
            </w:r>
            <w:r w:rsidR="00B22F66" w:rsidRPr="0082753A">
              <w:rPr>
                <w:noProof/>
                <w:webHidden/>
                <w:szCs w:val="24"/>
              </w:rPr>
              <w:fldChar w:fldCharType="begin"/>
            </w:r>
            <w:r w:rsidR="00B22F66" w:rsidRPr="0082753A">
              <w:rPr>
                <w:noProof/>
                <w:webHidden/>
                <w:szCs w:val="24"/>
              </w:rPr>
              <w:instrText xml:space="preserve"> PAGEREF _Toc14519787 \h </w:instrText>
            </w:r>
            <w:r w:rsidR="00B22F66" w:rsidRPr="0082753A">
              <w:rPr>
                <w:noProof/>
                <w:webHidden/>
                <w:szCs w:val="24"/>
              </w:rPr>
            </w:r>
            <w:r w:rsidR="00B22F66" w:rsidRPr="0082753A">
              <w:rPr>
                <w:noProof/>
                <w:webHidden/>
                <w:szCs w:val="24"/>
              </w:rPr>
              <w:fldChar w:fldCharType="separate"/>
            </w:r>
            <w:r w:rsidR="00815371">
              <w:rPr>
                <w:noProof/>
                <w:webHidden/>
                <w:szCs w:val="24"/>
              </w:rPr>
              <w:t>54</w:t>
            </w:r>
            <w:r w:rsidR="00B22F66" w:rsidRPr="0082753A">
              <w:rPr>
                <w:noProof/>
                <w:webHidden/>
                <w:szCs w:val="24"/>
              </w:rPr>
              <w:fldChar w:fldCharType="end"/>
            </w:r>
          </w:hyperlink>
        </w:p>
        <w:p w14:paraId="12F1655A" w14:textId="583C14DC" w:rsidR="00B22F66" w:rsidRPr="0082753A" w:rsidRDefault="00B22F66" w:rsidP="0082753A">
          <w:pPr>
            <w:spacing w:line="480" w:lineRule="auto"/>
            <w:ind w:right="58"/>
            <w:rPr>
              <w:rFonts w:eastAsiaTheme="minorEastAsia"/>
              <w:b/>
              <w:bCs/>
              <w:szCs w:val="24"/>
            </w:rPr>
          </w:pPr>
          <w:r w:rsidRPr="0082753A">
            <w:rPr>
              <w:rFonts w:eastAsiaTheme="minorEastAsia"/>
              <w:b/>
              <w:bCs/>
              <w:szCs w:val="24"/>
            </w:rPr>
            <w:t xml:space="preserve">Table A.1: </w:t>
          </w:r>
          <w:r w:rsidRPr="0082753A">
            <w:rPr>
              <w:rFonts w:eastAsiaTheme="minorEastAsia"/>
              <w:szCs w:val="24"/>
            </w:rPr>
            <w:t>Individual thermochemical compounds categorized</w:t>
          </w:r>
          <w:r w:rsidR="007C1143">
            <w:rPr>
              <w:rFonts w:eastAsiaTheme="minorEastAsia"/>
              <w:szCs w:val="24"/>
            </w:rPr>
            <w:t xml:space="preserve"> </w:t>
          </w:r>
          <w:r w:rsidRPr="0082753A">
            <w:rPr>
              <w:rFonts w:eastAsiaTheme="minorEastAsia"/>
              <w:szCs w:val="24"/>
            </w:rPr>
            <w:t>in their compound lumps for this study………………………………………………………………………………………</w:t>
          </w:r>
          <w:r w:rsidR="007C1143">
            <w:rPr>
              <w:rFonts w:eastAsiaTheme="minorEastAsia"/>
              <w:szCs w:val="24"/>
            </w:rPr>
            <w:t>……..7</w:t>
          </w:r>
          <w:r w:rsidRPr="0082753A">
            <w:rPr>
              <w:rFonts w:eastAsiaTheme="minorEastAsia"/>
              <w:szCs w:val="24"/>
            </w:rPr>
            <w:t>5</w:t>
          </w:r>
        </w:p>
        <w:p w14:paraId="51C9E3F1" w14:textId="77777777" w:rsidR="00B22F66" w:rsidRPr="0082753A" w:rsidRDefault="00B22F66" w:rsidP="0082753A">
          <w:pPr>
            <w:spacing w:line="480" w:lineRule="auto"/>
            <w:ind w:right="58"/>
            <w:rPr>
              <w:rFonts w:eastAsiaTheme="minorEastAsia"/>
              <w:b/>
              <w:bCs/>
              <w:szCs w:val="24"/>
            </w:rPr>
          </w:pPr>
          <w:r w:rsidRPr="0082753A">
            <w:rPr>
              <w:rFonts w:eastAsiaTheme="minorEastAsia"/>
              <w:b/>
              <w:bCs/>
              <w:szCs w:val="24"/>
            </w:rPr>
            <w:t xml:space="preserve">Table A.2: </w:t>
          </w:r>
          <w:r w:rsidRPr="0082753A">
            <w:rPr>
              <w:rFonts w:eastAsiaTheme="minorEastAsia"/>
              <w:szCs w:val="24"/>
            </w:rPr>
            <w:t>ECN values and their respective response factors for the identified thermochemical compounds used in this study…………………………………………………………………...79</w:t>
          </w:r>
        </w:p>
        <w:p w14:paraId="493A81DF" w14:textId="77777777" w:rsidR="003874B9" w:rsidRPr="00AA26F6" w:rsidRDefault="00AA26F6" w:rsidP="0082753A">
          <w:pPr>
            <w:spacing w:line="480" w:lineRule="auto"/>
            <w:ind w:left="0" w:right="58" w:firstLine="0"/>
          </w:pPr>
          <w:r w:rsidRPr="0082753A">
            <w:rPr>
              <w:b/>
              <w:bCs/>
              <w:szCs w:val="24"/>
            </w:rPr>
            <w:fldChar w:fldCharType="end"/>
          </w:r>
        </w:p>
      </w:sdtContent>
    </w:sdt>
    <w:p w14:paraId="64952260" w14:textId="77777777" w:rsidR="003874B9" w:rsidRDefault="003874B9" w:rsidP="003874B9">
      <w:pPr>
        <w:rPr>
          <w:szCs w:val="24"/>
        </w:rPr>
      </w:pPr>
    </w:p>
    <w:p w14:paraId="485498F6" w14:textId="77777777" w:rsidR="00713596" w:rsidRDefault="00713596" w:rsidP="003874B9">
      <w:pPr>
        <w:rPr>
          <w:szCs w:val="24"/>
        </w:rPr>
      </w:pPr>
    </w:p>
    <w:p w14:paraId="707CF845" w14:textId="77777777" w:rsidR="00713596" w:rsidRDefault="00713596" w:rsidP="003874B9">
      <w:pPr>
        <w:rPr>
          <w:szCs w:val="24"/>
        </w:rPr>
      </w:pPr>
    </w:p>
    <w:p w14:paraId="054D6648" w14:textId="13F911DE" w:rsidR="00713596" w:rsidRDefault="00713596" w:rsidP="003874B9">
      <w:pPr>
        <w:rPr>
          <w:szCs w:val="24"/>
        </w:rPr>
      </w:pPr>
    </w:p>
    <w:p w14:paraId="552F323C" w14:textId="77777777" w:rsidR="007C1143" w:rsidRDefault="007C1143" w:rsidP="003874B9">
      <w:pPr>
        <w:rPr>
          <w:szCs w:val="24"/>
        </w:rPr>
      </w:pPr>
    </w:p>
    <w:p w14:paraId="05598B56" w14:textId="77777777" w:rsidR="00713596" w:rsidRDefault="00713596" w:rsidP="003874B9">
      <w:pPr>
        <w:rPr>
          <w:szCs w:val="24"/>
        </w:rPr>
      </w:pPr>
    </w:p>
    <w:p w14:paraId="5743180A" w14:textId="77777777" w:rsidR="003874B9" w:rsidRDefault="003874B9" w:rsidP="003874B9">
      <w:pPr>
        <w:rPr>
          <w:szCs w:val="24"/>
        </w:rPr>
      </w:pPr>
    </w:p>
    <w:p w14:paraId="43FE2182" w14:textId="77777777" w:rsidR="003874B9" w:rsidRDefault="003874B9" w:rsidP="003874B9">
      <w:pPr>
        <w:rPr>
          <w:szCs w:val="24"/>
        </w:rPr>
      </w:pPr>
    </w:p>
    <w:p w14:paraId="075844F5" w14:textId="77777777" w:rsidR="003874B9" w:rsidRDefault="003874B9" w:rsidP="003874B9">
      <w:pPr>
        <w:rPr>
          <w:szCs w:val="24"/>
        </w:rPr>
      </w:pPr>
    </w:p>
    <w:p w14:paraId="605A1E7A" w14:textId="77777777" w:rsidR="00812C37" w:rsidRPr="00812C37" w:rsidRDefault="00812C37" w:rsidP="00A46717">
      <w:pPr>
        <w:ind w:left="0" w:firstLine="0"/>
      </w:pPr>
    </w:p>
    <w:p w14:paraId="7C50265A" w14:textId="77777777" w:rsidR="00DD7981" w:rsidRDefault="00DD7981" w:rsidP="00DD7981">
      <w:pPr>
        <w:pStyle w:val="Heading1"/>
        <w:numPr>
          <w:ilvl w:val="0"/>
          <w:numId w:val="0"/>
        </w:numPr>
        <w:rPr>
          <w:rFonts w:ascii="Times New Roman" w:hAnsi="Times New Roman" w:cs="Times New Roman"/>
          <w:b/>
          <w:bCs/>
          <w:color w:val="auto"/>
          <w:sz w:val="28"/>
          <w:szCs w:val="28"/>
        </w:rPr>
      </w:pPr>
      <w:bookmarkStart w:id="5" w:name="_Toc14521022"/>
    </w:p>
    <w:p w14:paraId="29DC4A73" w14:textId="77777777" w:rsidR="00DD7981" w:rsidRPr="00DD7981" w:rsidRDefault="00DD7981" w:rsidP="00DD7981"/>
    <w:p w14:paraId="0320EC15" w14:textId="77777777" w:rsidR="00174688" w:rsidRPr="003A11E0" w:rsidRDefault="00174688" w:rsidP="003A11E0">
      <w:pPr>
        <w:pStyle w:val="Heading1"/>
        <w:numPr>
          <w:ilvl w:val="0"/>
          <w:numId w:val="0"/>
        </w:numPr>
        <w:jc w:val="center"/>
        <w:rPr>
          <w:rFonts w:ascii="Times New Roman" w:hAnsi="Times New Roman" w:cs="Times New Roman"/>
          <w:b/>
          <w:bCs/>
          <w:color w:val="auto"/>
          <w:sz w:val="28"/>
          <w:szCs w:val="28"/>
        </w:rPr>
      </w:pPr>
      <w:r w:rsidRPr="003A11E0">
        <w:rPr>
          <w:rFonts w:ascii="Times New Roman" w:hAnsi="Times New Roman" w:cs="Times New Roman"/>
          <w:b/>
          <w:bCs/>
          <w:color w:val="auto"/>
          <w:sz w:val="28"/>
          <w:szCs w:val="28"/>
        </w:rPr>
        <w:lastRenderedPageBreak/>
        <w:t>List of Figures</w:t>
      </w:r>
      <w:bookmarkEnd w:id="5"/>
    </w:p>
    <w:p w14:paraId="210D8DFD" w14:textId="1227CA86" w:rsidR="00713596" w:rsidRDefault="00593B96">
      <w:pPr>
        <w:pStyle w:val="TableofFigures"/>
        <w:tabs>
          <w:tab w:val="right" w:leader="dot" w:pos="9350"/>
        </w:tabs>
        <w:rPr>
          <w:rFonts w:asciiTheme="minorHAnsi" w:eastAsiaTheme="minorEastAsia" w:hAnsiTheme="minorHAnsi" w:cstheme="minorBidi"/>
          <w:noProof/>
          <w:color w:val="auto"/>
          <w:sz w:val="22"/>
        </w:rPr>
      </w:pPr>
      <w:r>
        <w:rPr>
          <w:szCs w:val="24"/>
        </w:rPr>
        <w:fldChar w:fldCharType="begin"/>
      </w:r>
      <w:r>
        <w:rPr>
          <w:szCs w:val="24"/>
        </w:rPr>
        <w:instrText xml:space="preserve"> TOC \h \z \c "Figure" </w:instrText>
      </w:r>
      <w:r>
        <w:rPr>
          <w:szCs w:val="24"/>
        </w:rPr>
        <w:fldChar w:fldCharType="separate"/>
      </w:r>
      <w:hyperlink r:id="rId8" w:anchor="_Toc14520635" w:history="1">
        <w:r w:rsidR="00713596" w:rsidRPr="00304594">
          <w:rPr>
            <w:rStyle w:val="Hyperlink"/>
            <w:b/>
            <w:bCs/>
            <w:noProof/>
          </w:rPr>
          <w:t>Figure 1.1:</w:t>
        </w:r>
        <w:r w:rsidR="00713596" w:rsidRPr="00304594">
          <w:rPr>
            <w:rStyle w:val="Hyperlink"/>
            <w:noProof/>
          </w:rPr>
          <w:t xml:space="preserve">  Structure of lignocellulosic biomass; (a) different monomer units comprising lignin; (b) xylose unit of hemicellulose; (c) cellulose</w:t>
        </w:r>
        <w:r w:rsidR="00713596">
          <w:rPr>
            <w:noProof/>
            <w:webHidden/>
          </w:rPr>
          <w:tab/>
        </w:r>
        <w:r w:rsidR="00713596">
          <w:rPr>
            <w:noProof/>
            <w:webHidden/>
          </w:rPr>
          <w:fldChar w:fldCharType="begin"/>
        </w:r>
        <w:r w:rsidR="00713596">
          <w:rPr>
            <w:noProof/>
            <w:webHidden/>
          </w:rPr>
          <w:instrText xml:space="preserve"> PAGEREF _Toc14520635 \h </w:instrText>
        </w:r>
        <w:r w:rsidR="00713596">
          <w:rPr>
            <w:noProof/>
            <w:webHidden/>
          </w:rPr>
        </w:r>
        <w:r w:rsidR="00713596">
          <w:rPr>
            <w:noProof/>
            <w:webHidden/>
          </w:rPr>
          <w:fldChar w:fldCharType="separate"/>
        </w:r>
        <w:r w:rsidR="00815371">
          <w:rPr>
            <w:noProof/>
            <w:webHidden/>
          </w:rPr>
          <w:t>3</w:t>
        </w:r>
        <w:r w:rsidR="00713596">
          <w:rPr>
            <w:noProof/>
            <w:webHidden/>
          </w:rPr>
          <w:fldChar w:fldCharType="end"/>
        </w:r>
      </w:hyperlink>
    </w:p>
    <w:p w14:paraId="200CEAC5" w14:textId="2D215E2D"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9" w:anchor="_Toc14520636" w:history="1">
        <w:r w:rsidR="00713596" w:rsidRPr="00304594">
          <w:rPr>
            <w:rStyle w:val="Hyperlink"/>
            <w:b/>
            <w:bCs/>
            <w:noProof/>
          </w:rPr>
          <w:t>Figure 1.2:</w:t>
        </w:r>
        <w:r w:rsidR="00713596" w:rsidRPr="00304594">
          <w:rPr>
            <w:rStyle w:val="Hyperlink"/>
            <w:noProof/>
          </w:rPr>
          <w:t xml:space="preserve"> Thermal stability of the different constituents within lignocellulosic biomass</w:t>
        </w:r>
        <w:r w:rsidR="00713596">
          <w:rPr>
            <w:noProof/>
            <w:webHidden/>
          </w:rPr>
          <w:tab/>
        </w:r>
        <w:r w:rsidR="00713596">
          <w:rPr>
            <w:noProof/>
            <w:webHidden/>
          </w:rPr>
          <w:fldChar w:fldCharType="begin"/>
        </w:r>
        <w:r w:rsidR="00713596">
          <w:rPr>
            <w:noProof/>
            <w:webHidden/>
          </w:rPr>
          <w:instrText xml:space="preserve"> PAGEREF _Toc14520636 \h </w:instrText>
        </w:r>
        <w:r w:rsidR="00713596">
          <w:rPr>
            <w:noProof/>
            <w:webHidden/>
          </w:rPr>
        </w:r>
        <w:r w:rsidR="00713596">
          <w:rPr>
            <w:noProof/>
            <w:webHidden/>
          </w:rPr>
          <w:fldChar w:fldCharType="separate"/>
        </w:r>
        <w:r w:rsidR="00815371">
          <w:rPr>
            <w:noProof/>
            <w:webHidden/>
          </w:rPr>
          <w:t>4</w:t>
        </w:r>
        <w:r w:rsidR="00713596">
          <w:rPr>
            <w:noProof/>
            <w:webHidden/>
          </w:rPr>
          <w:fldChar w:fldCharType="end"/>
        </w:r>
      </w:hyperlink>
    </w:p>
    <w:p w14:paraId="2A975977" w14:textId="0ABBD74F"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10" w:anchor="_Toc14520637" w:history="1">
        <w:r w:rsidR="00713596" w:rsidRPr="00304594">
          <w:rPr>
            <w:rStyle w:val="Hyperlink"/>
            <w:b/>
            <w:bCs/>
            <w:noProof/>
          </w:rPr>
          <w:t>Figure 1.3:</w:t>
        </w:r>
        <w:r w:rsidR="00713596" w:rsidRPr="00304594">
          <w:rPr>
            <w:rStyle w:val="Hyperlink"/>
            <w:noProof/>
          </w:rPr>
          <w:t xml:space="preserve"> Different thermal degradation conditions and their respective overall product distribution</w:t>
        </w:r>
        <w:r w:rsidR="00713596">
          <w:rPr>
            <w:noProof/>
            <w:webHidden/>
          </w:rPr>
          <w:tab/>
        </w:r>
        <w:r w:rsidR="00713596">
          <w:rPr>
            <w:noProof/>
            <w:webHidden/>
          </w:rPr>
          <w:fldChar w:fldCharType="begin"/>
        </w:r>
        <w:r w:rsidR="00713596">
          <w:rPr>
            <w:noProof/>
            <w:webHidden/>
          </w:rPr>
          <w:instrText xml:space="preserve"> PAGEREF _Toc14520637 \h </w:instrText>
        </w:r>
        <w:r w:rsidR="00713596">
          <w:rPr>
            <w:noProof/>
            <w:webHidden/>
          </w:rPr>
        </w:r>
        <w:r w:rsidR="00713596">
          <w:rPr>
            <w:noProof/>
            <w:webHidden/>
          </w:rPr>
          <w:fldChar w:fldCharType="separate"/>
        </w:r>
        <w:r w:rsidR="00815371">
          <w:rPr>
            <w:noProof/>
            <w:webHidden/>
          </w:rPr>
          <w:t>6</w:t>
        </w:r>
        <w:r w:rsidR="00713596">
          <w:rPr>
            <w:noProof/>
            <w:webHidden/>
          </w:rPr>
          <w:fldChar w:fldCharType="end"/>
        </w:r>
      </w:hyperlink>
    </w:p>
    <w:p w14:paraId="0B4FF22A" w14:textId="1EFD9B00"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11" w:anchor="_Toc14520638" w:history="1">
        <w:r w:rsidR="00713596" w:rsidRPr="00304594">
          <w:rPr>
            <w:rStyle w:val="Hyperlink"/>
            <w:b/>
            <w:bCs/>
            <w:noProof/>
          </w:rPr>
          <w:t>Figure 1.4:</w:t>
        </w:r>
        <w:r w:rsidR="00713596" w:rsidRPr="00304594">
          <w:rPr>
            <w:rStyle w:val="Hyperlink"/>
            <w:noProof/>
          </w:rPr>
          <w:t xml:space="preserve"> Staged thermal fractionation displaying respective volatile stream products (extracted from a manuscript in preparation)</w:t>
        </w:r>
        <w:r w:rsidR="00713596">
          <w:rPr>
            <w:noProof/>
            <w:webHidden/>
          </w:rPr>
          <w:tab/>
        </w:r>
        <w:r w:rsidR="00713596">
          <w:rPr>
            <w:noProof/>
            <w:webHidden/>
          </w:rPr>
          <w:fldChar w:fldCharType="begin"/>
        </w:r>
        <w:r w:rsidR="00713596">
          <w:rPr>
            <w:noProof/>
            <w:webHidden/>
          </w:rPr>
          <w:instrText xml:space="preserve"> PAGEREF _Toc14520638 \h </w:instrText>
        </w:r>
        <w:r w:rsidR="00713596">
          <w:rPr>
            <w:noProof/>
            <w:webHidden/>
          </w:rPr>
        </w:r>
        <w:r w:rsidR="00713596">
          <w:rPr>
            <w:noProof/>
            <w:webHidden/>
          </w:rPr>
          <w:fldChar w:fldCharType="separate"/>
        </w:r>
        <w:r w:rsidR="00815371">
          <w:rPr>
            <w:noProof/>
            <w:webHidden/>
          </w:rPr>
          <w:t>8</w:t>
        </w:r>
        <w:r w:rsidR="00713596">
          <w:rPr>
            <w:noProof/>
            <w:webHidden/>
          </w:rPr>
          <w:fldChar w:fldCharType="end"/>
        </w:r>
      </w:hyperlink>
    </w:p>
    <w:p w14:paraId="1509F71F" w14:textId="0931B919"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12" w:anchor="_Toc14520639" w:history="1">
        <w:r w:rsidR="00713596" w:rsidRPr="00304594">
          <w:rPr>
            <w:rStyle w:val="Hyperlink"/>
            <w:b/>
            <w:bCs/>
            <w:noProof/>
          </w:rPr>
          <w:t>Figure 2.1:</w:t>
        </w:r>
        <w:r w:rsidR="00713596" w:rsidRPr="00304594">
          <w:rPr>
            <w:rStyle w:val="Hyperlink"/>
            <w:noProof/>
          </w:rPr>
          <w:t xml:space="preserve"> A typical sample tube for thermal degradation experiments</w:t>
        </w:r>
        <w:r w:rsidR="00713596">
          <w:rPr>
            <w:noProof/>
            <w:webHidden/>
          </w:rPr>
          <w:tab/>
        </w:r>
        <w:r w:rsidR="00713596">
          <w:rPr>
            <w:noProof/>
            <w:webHidden/>
          </w:rPr>
          <w:fldChar w:fldCharType="begin"/>
        </w:r>
        <w:r w:rsidR="00713596">
          <w:rPr>
            <w:noProof/>
            <w:webHidden/>
          </w:rPr>
          <w:instrText xml:space="preserve"> PAGEREF _Toc14520639 \h </w:instrText>
        </w:r>
        <w:r w:rsidR="00713596">
          <w:rPr>
            <w:noProof/>
            <w:webHidden/>
          </w:rPr>
        </w:r>
        <w:r w:rsidR="00713596">
          <w:rPr>
            <w:noProof/>
            <w:webHidden/>
          </w:rPr>
          <w:fldChar w:fldCharType="separate"/>
        </w:r>
        <w:r w:rsidR="00815371">
          <w:rPr>
            <w:noProof/>
            <w:webHidden/>
          </w:rPr>
          <w:t>10</w:t>
        </w:r>
        <w:r w:rsidR="00713596">
          <w:rPr>
            <w:noProof/>
            <w:webHidden/>
          </w:rPr>
          <w:fldChar w:fldCharType="end"/>
        </w:r>
      </w:hyperlink>
    </w:p>
    <w:p w14:paraId="3A5A2D24" w14:textId="539BD927"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13" w:anchor="_Toc14520640" w:history="1">
        <w:r w:rsidR="00713596" w:rsidRPr="00304594">
          <w:rPr>
            <w:rStyle w:val="Hyperlink"/>
            <w:b/>
            <w:bCs/>
            <w:noProof/>
          </w:rPr>
          <w:t>Figure 2.2:</w:t>
        </w:r>
        <w:r w:rsidR="00713596" w:rsidRPr="00304594">
          <w:rPr>
            <w:rStyle w:val="Hyperlink"/>
            <w:noProof/>
          </w:rPr>
          <w:t>Schematic of 5250T pyroprobe system with autosampler</w:t>
        </w:r>
        <w:r w:rsidR="00713596">
          <w:rPr>
            <w:noProof/>
            <w:webHidden/>
          </w:rPr>
          <w:tab/>
        </w:r>
        <w:r w:rsidR="00713596">
          <w:rPr>
            <w:noProof/>
            <w:webHidden/>
          </w:rPr>
          <w:fldChar w:fldCharType="begin"/>
        </w:r>
        <w:r w:rsidR="00713596">
          <w:rPr>
            <w:noProof/>
            <w:webHidden/>
          </w:rPr>
          <w:instrText xml:space="preserve"> PAGEREF _Toc14520640 \h </w:instrText>
        </w:r>
        <w:r w:rsidR="00713596">
          <w:rPr>
            <w:noProof/>
            <w:webHidden/>
          </w:rPr>
        </w:r>
        <w:r w:rsidR="00713596">
          <w:rPr>
            <w:noProof/>
            <w:webHidden/>
          </w:rPr>
          <w:fldChar w:fldCharType="separate"/>
        </w:r>
        <w:r w:rsidR="00815371">
          <w:rPr>
            <w:noProof/>
            <w:webHidden/>
          </w:rPr>
          <w:t>11</w:t>
        </w:r>
        <w:r w:rsidR="00713596">
          <w:rPr>
            <w:noProof/>
            <w:webHidden/>
          </w:rPr>
          <w:fldChar w:fldCharType="end"/>
        </w:r>
      </w:hyperlink>
    </w:p>
    <w:p w14:paraId="30827F7E" w14:textId="52494FBC"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14" w:anchor="_Toc14520641" w:history="1">
        <w:r w:rsidR="00713596" w:rsidRPr="00304594">
          <w:rPr>
            <w:rStyle w:val="Hyperlink"/>
            <w:b/>
            <w:bCs/>
            <w:noProof/>
          </w:rPr>
          <w:t>Figure 2.3:</w:t>
        </w:r>
        <w:r w:rsidR="00713596" w:rsidRPr="00304594">
          <w:rPr>
            <w:rStyle w:val="Hyperlink"/>
            <w:noProof/>
          </w:rPr>
          <w:t>Pathway of a sample tube through the pyrolysis chamber</w:t>
        </w:r>
        <w:r w:rsidR="00713596">
          <w:rPr>
            <w:noProof/>
            <w:webHidden/>
          </w:rPr>
          <w:tab/>
        </w:r>
        <w:r w:rsidR="00713596">
          <w:rPr>
            <w:noProof/>
            <w:webHidden/>
          </w:rPr>
          <w:fldChar w:fldCharType="begin"/>
        </w:r>
        <w:r w:rsidR="00713596">
          <w:rPr>
            <w:noProof/>
            <w:webHidden/>
          </w:rPr>
          <w:instrText xml:space="preserve"> PAGEREF _Toc14520641 \h </w:instrText>
        </w:r>
        <w:r w:rsidR="00713596">
          <w:rPr>
            <w:noProof/>
            <w:webHidden/>
          </w:rPr>
        </w:r>
        <w:r w:rsidR="00713596">
          <w:rPr>
            <w:noProof/>
            <w:webHidden/>
          </w:rPr>
          <w:fldChar w:fldCharType="separate"/>
        </w:r>
        <w:r w:rsidR="00815371">
          <w:rPr>
            <w:noProof/>
            <w:webHidden/>
          </w:rPr>
          <w:t>13</w:t>
        </w:r>
        <w:r w:rsidR="00713596">
          <w:rPr>
            <w:noProof/>
            <w:webHidden/>
          </w:rPr>
          <w:fldChar w:fldCharType="end"/>
        </w:r>
      </w:hyperlink>
    </w:p>
    <w:p w14:paraId="1961CE35" w14:textId="3D3214B4"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15" w:anchor="_Toc14520642" w:history="1">
        <w:r w:rsidR="00713596" w:rsidRPr="00304594">
          <w:rPr>
            <w:rStyle w:val="Hyperlink"/>
            <w:b/>
            <w:bCs/>
            <w:noProof/>
          </w:rPr>
          <w:t>Figure 2.4:</w:t>
        </w:r>
        <w:r w:rsidR="00713596" w:rsidRPr="00304594">
          <w:rPr>
            <w:rStyle w:val="Hyperlink"/>
            <w:noProof/>
          </w:rPr>
          <w:t>Valve oven within the pyroprobe system</w:t>
        </w:r>
        <w:r w:rsidR="00713596">
          <w:rPr>
            <w:noProof/>
            <w:webHidden/>
          </w:rPr>
          <w:tab/>
        </w:r>
        <w:r w:rsidR="00713596">
          <w:rPr>
            <w:noProof/>
            <w:webHidden/>
          </w:rPr>
          <w:fldChar w:fldCharType="begin"/>
        </w:r>
        <w:r w:rsidR="00713596">
          <w:rPr>
            <w:noProof/>
            <w:webHidden/>
          </w:rPr>
          <w:instrText xml:space="preserve"> PAGEREF _Toc14520642 \h </w:instrText>
        </w:r>
        <w:r w:rsidR="00713596">
          <w:rPr>
            <w:noProof/>
            <w:webHidden/>
          </w:rPr>
        </w:r>
        <w:r w:rsidR="00713596">
          <w:rPr>
            <w:noProof/>
            <w:webHidden/>
          </w:rPr>
          <w:fldChar w:fldCharType="separate"/>
        </w:r>
        <w:r w:rsidR="00815371">
          <w:rPr>
            <w:noProof/>
            <w:webHidden/>
          </w:rPr>
          <w:t>14</w:t>
        </w:r>
        <w:r w:rsidR="00713596">
          <w:rPr>
            <w:noProof/>
            <w:webHidden/>
          </w:rPr>
          <w:fldChar w:fldCharType="end"/>
        </w:r>
      </w:hyperlink>
    </w:p>
    <w:p w14:paraId="58307B07" w14:textId="53B59B71"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16" w:anchor="_Toc14520643" w:history="1">
        <w:r w:rsidR="00713596" w:rsidRPr="00304594">
          <w:rPr>
            <w:rStyle w:val="Hyperlink"/>
            <w:b/>
            <w:bCs/>
            <w:noProof/>
          </w:rPr>
          <w:t>Figure 2.5:</w:t>
        </w:r>
        <w:r w:rsidR="00713596" w:rsidRPr="00304594">
          <w:rPr>
            <w:rStyle w:val="Hyperlink"/>
            <w:noProof/>
          </w:rPr>
          <w:t>Pathway of evolved vapors going directly into the transfer line (green arrow) once they leave the pyrolysis chamber (red arrow)</w:t>
        </w:r>
        <w:r w:rsidR="00713596">
          <w:rPr>
            <w:noProof/>
            <w:webHidden/>
          </w:rPr>
          <w:tab/>
        </w:r>
        <w:r w:rsidR="00713596">
          <w:rPr>
            <w:noProof/>
            <w:webHidden/>
          </w:rPr>
          <w:fldChar w:fldCharType="begin"/>
        </w:r>
        <w:r w:rsidR="00713596">
          <w:rPr>
            <w:noProof/>
            <w:webHidden/>
          </w:rPr>
          <w:instrText xml:space="preserve"> PAGEREF _Toc14520643 \h </w:instrText>
        </w:r>
        <w:r w:rsidR="00713596">
          <w:rPr>
            <w:noProof/>
            <w:webHidden/>
          </w:rPr>
        </w:r>
        <w:r w:rsidR="00713596">
          <w:rPr>
            <w:noProof/>
            <w:webHidden/>
          </w:rPr>
          <w:fldChar w:fldCharType="separate"/>
        </w:r>
        <w:r w:rsidR="00815371">
          <w:rPr>
            <w:noProof/>
            <w:webHidden/>
          </w:rPr>
          <w:t>15</w:t>
        </w:r>
        <w:r w:rsidR="00713596">
          <w:rPr>
            <w:noProof/>
            <w:webHidden/>
          </w:rPr>
          <w:fldChar w:fldCharType="end"/>
        </w:r>
      </w:hyperlink>
    </w:p>
    <w:p w14:paraId="56ECA916" w14:textId="5182C556"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17" w:anchor="_Toc14520644" w:history="1">
        <w:r w:rsidR="00713596" w:rsidRPr="00304594">
          <w:rPr>
            <w:rStyle w:val="Hyperlink"/>
            <w:b/>
            <w:bCs/>
            <w:noProof/>
          </w:rPr>
          <w:t xml:space="preserve">Figure 2.6: </w:t>
        </w:r>
        <w:r w:rsidR="00713596" w:rsidRPr="00304594">
          <w:rPr>
            <w:rStyle w:val="Hyperlink"/>
            <w:noProof/>
          </w:rPr>
          <w:t>Methodology for compound identification being illustrated through a flowchart; landmark peaks include, but are not limited to, acetic acid, furfurals, levoglucosan (anhydrous sugars) (7)</w:t>
        </w:r>
        <w:r w:rsidR="00713596">
          <w:rPr>
            <w:noProof/>
            <w:webHidden/>
          </w:rPr>
          <w:tab/>
        </w:r>
        <w:r w:rsidR="00713596">
          <w:rPr>
            <w:noProof/>
            <w:webHidden/>
          </w:rPr>
          <w:fldChar w:fldCharType="begin"/>
        </w:r>
        <w:r w:rsidR="00713596">
          <w:rPr>
            <w:noProof/>
            <w:webHidden/>
          </w:rPr>
          <w:instrText xml:space="preserve"> PAGEREF _Toc14520644 \h </w:instrText>
        </w:r>
        <w:r w:rsidR="00713596">
          <w:rPr>
            <w:noProof/>
            <w:webHidden/>
          </w:rPr>
        </w:r>
        <w:r w:rsidR="00713596">
          <w:rPr>
            <w:noProof/>
            <w:webHidden/>
          </w:rPr>
          <w:fldChar w:fldCharType="separate"/>
        </w:r>
        <w:r w:rsidR="00815371">
          <w:rPr>
            <w:noProof/>
            <w:webHidden/>
          </w:rPr>
          <w:t>17</w:t>
        </w:r>
        <w:r w:rsidR="00713596">
          <w:rPr>
            <w:noProof/>
            <w:webHidden/>
          </w:rPr>
          <w:fldChar w:fldCharType="end"/>
        </w:r>
      </w:hyperlink>
    </w:p>
    <w:p w14:paraId="501FA043" w14:textId="4E5E2D3A" w:rsidR="00713596" w:rsidRDefault="00DE72B4">
      <w:pPr>
        <w:pStyle w:val="TableofFigures"/>
        <w:tabs>
          <w:tab w:val="right" w:leader="dot" w:pos="9350"/>
        </w:tabs>
        <w:rPr>
          <w:rFonts w:asciiTheme="minorHAnsi" w:eastAsiaTheme="minorEastAsia" w:hAnsiTheme="minorHAnsi" w:cstheme="minorBidi"/>
          <w:noProof/>
          <w:color w:val="auto"/>
          <w:sz w:val="22"/>
        </w:rPr>
      </w:pPr>
      <w:hyperlink w:anchor="_Toc14520645" w:history="1">
        <w:r w:rsidR="00713596" w:rsidRPr="00304594">
          <w:rPr>
            <w:rStyle w:val="Hyperlink"/>
            <w:b/>
            <w:bCs/>
            <w:noProof/>
          </w:rPr>
          <w:t>Figure 2.7:</w:t>
        </w:r>
        <w:r w:rsidR="00713596" w:rsidRPr="00304594">
          <w:rPr>
            <w:rStyle w:val="Hyperlink"/>
            <w:noProof/>
          </w:rPr>
          <w:t xml:space="preserve"> ECN contributions of different functionalities from OU developed model</w:t>
        </w:r>
        <w:r w:rsidR="00713596">
          <w:rPr>
            <w:noProof/>
            <w:webHidden/>
          </w:rPr>
          <w:tab/>
        </w:r>
        <w:r w:rsidR="00713596">
          <w:rPr>
            <w:noProof/>
            <w:webHidden/>
          </w:rPr>
          <w:fldChar w:fldCharType="begin"/>
        </w:r>
        <w:r w:rsidR="00713596">
          <w:rPr>
            <w:noProof/>
            <w:webHidden/>
          </w:rPr>
          <w:instrText xml:space="preserve"> PAGEREF _Toc14520645 \h </w:instrText>
        </w:r>
        <w:r w:rsidR="00713596">
          <w:rPr>
            <w:noProof/>
            <w:webHidden/>
          </w:rPr>
        </w:r>
        <w:r w:rsidR="00713596">
          <w:rPr>
            <w:noProof/>
            <w:webHidden/>
          </w:rPr>
          <w:fldChar w:fldCharType="separate"/>
        </w:r>
        <w:r w:rsidR="00815371">
          <w:rPr>
            <w:noProof/>
            <w:webHidden/>
          </w:rPr>
          <w:t>22</w:t>
        </w:r>
        <w:r w:rsidR="00713596">
          <w:rPr>
            <w:noProof/>
            <w:webHidden/>
          </w:rPr>
          <w:fldChar w:fldCharType="end"/>
        </w:r>
      </w:hyperlink>
    </w:p>
    <w:p w14:paraId="6853FA10" w14:textId="48A8DC4C"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18" w:anchor="_Toc14520646" w:history="1">
        <w:r w:rsidR="00713596" w:rsidRPr="00304594">
          <w:rPr>
            <w:rStyle w:val="Hyperlink"/>
            <w:b/>
            <w:bCs/>
            <w:noProof/>
          </w:rPr>
          <w:t>Figure 3.1:</w:t>
        </w:r>
        <w:r w:rsidR="00713596" w:rsidRPr="00304594">
          <w:rPr>
            <w:rStyle w:val="Hyperlink"/>
            <w:noProof/>
          </w:rPr>
          <w:t xml:space="preserve"> Distribution of individual biomass components within vascular plants (7)</w:t>
        </w:r>
        <w:r w:rsidR="00713596">
          <w:rPr>
            <w:noProof/>
            <w:webHidden/>
          </w:rPr>
          <w:tab/>
        </w:r>
        <w:r w:rsidR="00713596">
          <w:rPr>
            <w:noProof/>
            <w:webHidden/>
          </w:rPr>
          <w:fldChar w:fldCharType="begin"/>
        </w:r>
        <w:r w:rsidR="00713596">
          <w:rPr>
            <w:noProof/>
            <w:webHidden/>
          </w:rPr>
          <w:instrText xml:space="preserve"> PAGEREF _Toc14520646 \h </w:instrText>
        </w:r>
        <w:r w:rsidR="00713596">
          <w:rPr>
            <w:noProof/>
            <w:webHidden/>
          </w:rPr>
        </w:r>
        <w:r w:rsidR="00713596">
          <w:rPr>
            <w:noProof/>
            <w:webHidden/>
          </w:rPr>
          <w:fldChar w:fldCharType="separate"/>
        </w:r>
        <w:r w:rsidR="00815371">
          <w:rPr>
            <w:noProof/>
            <w:webHidden/>
          </w:rPr>
          <w:t>24</w:t>
        </w:r>
        <w:r w:rsidR="00713596">
          <w:rPr>
            <w:noProof/>
            <w:webHidden/>
          </w:rPr>
          <w:fldChar w:fldCharType="end"/>
        </w:r>
      </w:hyperlink>
    </w:p>
    <w:p w14:paraId="78AD1BD7" w14:textId="66377B3E"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19" w:anchor="_Toc14520647" w:history="1">
        <w:r w:rsidR="00713596" w:rsidRPr="00304594">
          <w:rPr>
            <w:rStyle w:val="Hyperlink"/>
            <w:b/>
            <w:bCs/>
            <w:noProof/>
          </w:rPr>
          <w:t>Figure 3.2:</w:t>
        </w:r>
        <w:r w:rsidR="00713596" w:rsidRPr="00304594">
          <w:rPr>
            <w:rStyle w:val="Hyperlink"/>
            <w:noProof/>
          </w:rPr>
          <w:t xml:space="preserve"> Chemical structures highlighting the carbon atoms of major basic units present within biomass polymers and related thermal degradation products (7)</w:t>
        </w:r>
        <w:r w:rsidR="00713596">
          <w:rPr>
            <w:noProof/>
            <w:webHidden/>
          </w:rPr>
          <w:tab/>
        </w:r>
        <w:r w:rsidR="00713596">
          <w:rPr>
            <w:noProof/>
            <w:webHidden/>
          </w:rPr>
          <w:fldChar w:fldCharType="begin"/>
        </w:r>
        <w:r w:rsidR="00713596">
          <w:rPr>
            <w:noProof/>
            <w:webHidden/>
          </w:rPr>
          <w:instrText xml:space="preserve"> PAGEREF _Toc14520647 \h </w:instrText>
        </w:r>
        <w:r w:rsidR="00713596">
          <w:rPr>
            <w:noProof/>
            <w:webHidden/>
          </w:rPr>
        </w:r>
        <w:r w:rsidR="00713596">
          <w:rPr>
            <w:noProof/>
            <w:webHidden/>
          </w:rPr>
          <w:fldChar w:fldCharType="separate"/>
        </w:r>
        <w:r w:rsidR="00815371">
          <w:rPr>
            <w:noProof/>
            <w:webHidden/>
          </w:rPr>
          <w:t>24</w:t>
        </w:r>
        <w:r w:rsidR="00713596">
          <w:rPr>
            <w:noProof/>
            <w:webHidden/>
          </w:rPr>
          <w:fldChar w:fldCharType="end"/>
        </w:r>
      </w:hyperlink>
    </w:p>
    <w:p w14:paraId="2411F3C1" w14:textId="398B950F"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20" w:anchor="_Toc14520648" w:history="1">
        <w:r w:rsidR="00713596" w:rsidRPr="00304594">
          <w:rPr>
            <w:rStyle w:val="Hyperlink"/>
            <w:b/>
            <w:bCs/>
            <w:noProof/>
          </w:rPr>
          <w:t>Figure 3.3:</w:t>
        </w:r>
        <w:r w:rsidR="00713596" w:rsidRPr="00304594">
          <w:rPr>
            <w:rStyle w:val="Hyperlink"/>
            <w:noProof/>
          </w:rPr>
          <w:t xml:space="preserve"> A model depicting how primary biomass components interact to form certain thermal degradation products (7)</w:t>
        </w:r>
        <w:r w:rsidR="00713596">
          <w:rPr>
            <w:noProof/>
            <w:webHidden/>
          </w:rPr>
          <w:tab/>
        </w:r>
        <w:r w:rsidR="00713596">
          <w:rPr>
            <w:noProof/>
            <w:webHidden/>
          </w:rPr>
          <w:fldChar w:fldCharType="begin"/>
        </w:r>
        <w:r w:rsidR="00713596">
          <w:rPr>
            <w:noProof/>
            <w:webHidden/>
          </w:rPr>
          <w:instrText xml:space="preserve"> PAGEREF _Toc14520648 \h </w:instrText>
        </w:r>
        <w:r w:rsidR="00713596">
          <w:rPr>
            <w:noProof/>
            <w:webHidden/>
          </w:rPr>
        </w:r>
        <w:r w:rsidR="00713596">
          <w:rPr>
            <w:noProof/>
            <w:webHidden/>
          </w:rPr>
          <w:fldChar w:fldCharType="separate"/>
        </w:r>
        <w:r w:rsidR="00815371">
          <w:rPr>
            <w:noProof/>
            <w:webHidden/>
          </w:rPr>
          <w:t>28</w:t>
        </w:r>
        <w:r w:rsidR="00713596">
          <w:rPr>
            <w:noProof/>
            <w:webHidden/>
          </w:rPr>
          <w:fldChar w:fldCharType="end"/>
        </w:r>
      </w:hyperlink>
    </w:p>
    <w:p w14:paraId="5FC0F546" w14:textId="132B02D6"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21" w:anchor="_Toc14520649" w:history="1">
        <w:r w:rsidR="00713596" w:rsidRPr="00304594">
          <w:rPr>
            <w:rStyle w:val="Hyperlink"/>
            <w:b/>
            <w:bCs/>
            <w:noProof/>
          </w:rPr>
          <w:t>Figure 3.4:</w:t>
        </w:r>
        <w:r w:rsidR="00713596" w:rsidRPr="00304594">
          <w:rPr>
            <w:rStyle w:val="Hyperlink"/>
            <w:noProof/>
          </w:rPr>
          <w:t xml:space="preserve"> A model showing how biomass components and their interaction influence thermal degradation product formation. Here, (HA) refers to Hydroxyacetone and (HAA) refers to Hydroxyacetaldehyde (7)</w:t>
        </w:r>
        <w:r w:rsidR="00713596">
          <w:rPr>
            <w:noProof/>
            <w:webHidden/>
          </w:rPr>
          <w:tab/>
        </w:r>
        <w:r w:rsidR="00713596">
          <w:rPr>
            <w:noProof/>
            <w:webHidden/>
          </w:rPr>
          <w:fldChar w:fldCharType="begin"/>
        </w:r>
        <w:r w:rsidR="00713596">
          <w:rPr>
            <w:noProof/>
            <w:webHidden/>
          </w:rPr>
          <w:instrText xml:space="preserve"> PAGEREF _Toc14520649 \h </w:instrText>
        </w:r>
        <w:r w:rsidR="00713596">
          <w:rPr>
            <w:noProof/>
            <w:webHidden/>
          </w:rPr>
        </w:r>
        <w:r w:rsidR="00713596">
          <w:rPr>
            <w:noProof/>
            <w:webHidden/>
          </w:rPr>
          <w:fldChar w:fldCharType="separate"/>
        </w:r>
        <w:r w:rsidR="00815371">
          <w:rPr>
            <w:noProof/>
            <w:webHidden/>
          </w:rPr>
          <w:t>30</w:t>
        </w:r>
        <w:r w:rsidR="00713596">
          <w:rPr>
            <w:noProof/>
            <w:webHidden/>
          </w:rPr>
          <w:fldChar w:fldCharType="end"/>
        </w:r>
      </w:hyperlink>
    </w:p>
    <w:p w14:paraId="088E672F" w14:textId="6A0C2211"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22" w:anchor="_Toc14520650" w:history="1">
        <w:r w:rsidR="00713596" w:rsidRPr="00304594">
          <w:rPr>
            <w:rStyle w:val="Hyperlink"/>
            <w:b/>
            <w:bCs/>
            <w:noProof/>
          </w:rPr>
          <w:t>Figure 3.5:</w:t>
        </w:r>
        <w:r w:rsidR="00713596" w:rsidRPr="00304594">
          <w:rPr>
            <w:rStyle w:val="Hyperlink"/>
            <w:noProof/>
          </w:rPr>
          <w:t xml:space="preserve"> Yield showing different composition streams of AP13 Switchgrass upon torrefaction with a residence time of 120 seconds</w:t>
        </w:r>
        <w:r w:rsidR="00713596">
          <w:rPr>
            <w:noProof/>
            <w:webHidden/>
          </w:rPr>
          <w:tab/>
        </w:r>
        <w:r w:rsidR="00713596">
          <w:rPr>
            <w:noProof/>
            <w:webHidden/>
          </w:rPr>
          <w:fldChar w:fldCharType="begin"/>
        </w:r>
        <w:r w:rsidR="00713596">
          <w:rPr>
            <w:noProof/>
            <w:webHidden/>
          </w:rPr>
          <w:instrText xml:space="preserve"> PAGEREF _Toc14520650 \h </w:instrText>
        </w:r>
        <w:r w:rsidR="00713596">
          <w:rPr>
            <w:noProof/>
            <w:webHidden/>
          </w:rPr>
        </w:r>
        <w:r w:rsidR="00713596">
          <w:rPr>
            <w:noProof/>
            <w:webHidden/>
          </w:rPr>
          <w:fldChar w:fldCharType="separate"/>
        </w:r>
        <w:r w:rsidR="00815371">
          <w:rPr>
            <w:noProof/>
            <w:webHidden/>
          </w:rPr>
          <w:t>36</w:t>
        </w:r>
        <w:r w:rsidR="00713596">
          <w:rPr>
            <w:noProof/>
            <w:webHidden/>
          </w:rPr>
          <w:fldChar w:fldCharType="end"/>
        </w:r>
      </w:hyperlink>
    </w:p>
    <w:p w14:paraId="5A192700" w14:textId="52558980"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23" w:anchor="_Toc14520651" w:history="1">
        <w:r w:rsidR="00713596" w:rsidRPr="00304594">
          <w:rPr>
            <w:rStyle w:val="Hyperlink"/>
            <w:b/>
            <w:bCs/>
            <w:noProof/>
          </w:rPr>
          <w:t>Figure 3.6:</w:t>
        </w:r>
        <w:r w:rsidR="00713596" w:rsidRPr="00304594">
          <w:rPr>
            <w:rStyle w:val="Hyperlink"/>
            <w:noProof/>
          </w:rPr>
          <w:t xml:space="preserve"> Yield showing different composition streams of torrefied AP13 Switchgrass upon pyrolysis with a residence time of 60 seconds</w:t>
        </w:r>
        <w:r w:rsidR="00713596">
          <w:rPr>
            <w:noProof/>
            <w:webHidden/>
          </w:rPr>
          <w:tab/>
        </w:r>
        <w:r w:rsidR="00713596">
          <w:rPr>
            <w:noProof/>
            <w:webHidden/>
          </w:rPr>
          <w:fldChar w:fldCharType="begin"/>
        </w:r>
        <w:r w:rsidR="00713596">
          <w:rPr>
            <w:noProof/>
            <w:webHidden/>
          </w:rPr>
          <w:instrText xml:space="preserve"> PAGEREF _Toc14520651 \h </w:instrText>
        </w:r>
        <w:r w:rsidR="00713596">
          <w:rPr>
            <w:noProof/>
            <w:webHidden/>
          </w:rPr>
        </w:r>
        <w:r w:rsidR="00713596">
          <w:rPr>
            <w:noProof/>
            <w:webHidden/>
          </w:rPr>
          <w:fldChar w:fldCharType="separate"/>
        </w:r>
        <w:r w:rsidR="00815371">
          <w:rPr>
            <w:noProof/>
            <w:webHidden/>
          </w:rPr>
          <w:t>36</w:t>
        </w:r>
        <w:r w:rsidR="00713596">
          <w:rPr>
            <w:noProof/>
            <w:webHidden/>
          </w:rPr>
          <w:fldChar w:fldCharType="end"/>
        </w:r>
      </w:hyperlink>
    </w:p>
    <w:p w14:paraId="11FA1C4B" w14:textId="39965024"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24" w:anchor="_Toc14520652" w:history="1">
        <w:r w:rsidR="00713596" w:rsidRPr="00304594">
          <w:rPr>
            <w:rStyle w:val="Hyperlink"/>
            <w:b/>
            <w:bCs/>
            <w:noProof/>
          </w:rPr>
          <w:t>Figure 3.7:</w:t>
        </w:r>
        <w:r w:rsidR="00713596" w:rsidRPr="00304594">
          <w:rPr>
            <w:rStyle w:val="Hyperlink"/>
            <w:noProof/>
          </w:rPr>
          <w:t xml:space="preserve"> Yield showing different composition streams of AP13 Switchgrass upon torrefaction with a residence time of 60 seconds</w:t>
        </w:r>
        <w:r w:rsidR="00713596">
          <w:rPr>
            <w:noProof/>
            <w:webHidden/>
          </w:rPr>
          <w:tab/>
        </w:r>
        <w:r w:rsidR="00713596">
          <w:rPr>
            <w:noProof/>
            <w:webHidden/>
          </w:rPr>
          <w:fldChar w:fldCharType="begin"/>
        </w:r>
        <w:r w:rsidR="00713596">
          <w:rPr>
            <w:noProof/>
            <w:webHidden/>
          </w:rPr>
          <w:instrText xml:space="preserve"> PAGEREF _Toc14520652 \h </w:instrText>
        </w:r>
        <w:r w:rsidR="00713596">
          <w:rPr>
            <w:noProof/>
            <w:webHidden/>
          </w:rPr>
        </w:r>
        <w:r w:rsidR="00713596">
          <w:rPr>
            <w:noProof/>
            <w:webHidden/>
          </w:rPr>
          <w:fldChar w:fldCharType="separate"/>
        </w:r>
        <w:r w:rsidR="00815371">
          <w:rPr>
            <w:noProof/>
            <w:webHidden/>
          </w:rPr>
          <w:t>38</w:t>
        </w:r>
        <w:r w:rsidR="00713596">
          <w:rPr>
            <w:noProof/>
            <w:webHidden/>
          </w:rPr>
          <w:fldChar w:fldCharType="end"/>
        </w:r>
      </w:hyperlink>
    </w:p>
    <w:p w14:paraId="431C354C" w14:textId="03843CCB"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25" w:anchor="_Toc14520653" w:history="1">
        <w:r w:rsidR="00713596" w:rsidRPr="00304594">
          <w:rPr>
            <w:rStyle w:val="Hyperlink"/>
            <w:b/>
            <w:bCs/>
            <w:noProof/>
          </w:rPr>
          <w:t>Figure 3.8:</w:t>
        </w:r>
        <w:r w:rsidR="00713596" w:rsidRPr="00304594">
          <w:rPr>
            <w:rStyle w:val="Hyperlink"/>
            <w:noProof/>
          </w:rPr>
          <w:t xml:space="preserve"> Yield showing different composition streams of torrefied AP13 switchgrass upon pyrolysis with a residence time of 60 seconds</w:t>
        </w:r>
        <w:r w:rsidR="00713596">
          <w:rPr>
            <w:noProof/>
            <w:webHidden/>
          </w:rPr>
          <w:tab/>
        </w:r>
        <w:r w:rsidR="00713596">
          <w:rPr>
            <w:noProof/>
            <w:webHidden/>
          </w:rPr>
          <w:fldChar w:fldCharType="begin"/>
        </w:r>
        <w:r w:rsidR="00713596">
          <w:rPr>
            <w:noProof/>
            <w:webHidden/>
          </w:rPr>
          <w:instrText xml:space="preserve"> PAGEREF _Toc14520653 \h </w:instrText>
        </w:r>
        <w:r w:rsidR="00713596">
          <w:rPr>
            <w:noProof/>
            <w:webHidden/>
          </w:rPr>
        </w:r>
        <w:r w:rsidR="00713596">
          <w:rPr>
            <w:noProof/>
            <w:webHidden/>
          </w:rPr>
          <w:fldChar w:fldCharType="separate"/>
        </w:r>
        <w:r w:rsidR="00815371">
          <w:rPr>
            <w:noProof/>
            <w:webHidden/>
          </w:rPr>
          <w:t>38</w:t>
        </w:r>
        <w:r w:rsidR="00713596">
          <w:rPr>
            <w:noProof/>
            <w:webHidden/>
          </w:rPr>
          <w:fldChar w:fldCharType="end"/>
        </w:r>
      </w:hyperlink>
    </w:p>
    <w:p w14:paraId="2C358C76" w14:textId="05B84F8F"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26" w:anchor="_Toc14520654" w:history="1">
        <w:r w:rsidR="00713596" w:rsidRPr="00304594">
          <w:rPr>
            <w:rStyle w:val="Hyperlink"/>
            <w:b/>
            <w:bCs/>
            <w:noProof/>
          </w:rPr>
          <w:t>Figure 3.9:</w:t>
        </w:r>
        <w:r w:rsidR="00713596" w:rsidRPr="00304594">
          <w:rPr>
            <w:rStyle w:val="Hyperlink"/>
            <w:noProof/>
          </w:rPr>
          <w:t xml:space="preserve"> Yield showing different composition streams of AP13 Switchgrass upon torrefaction at 270 degrees Celsius with a residence time of 120 seconds</w:t>
        </w:r>
        <w:r w:rsidR="00713596">
          <w:rPr>
            <w:noProof/>
            <w:webHidden/>
          </w:rPr>
          <w:tab/>
        </w:r>
        <w:r w:rsidR="00713596">
          <w:rPr>
            <w:noProof/>
            <w:webHidden/>
          </w:rPr>
          <w:fldChar w:fldCharType="begin"/>
        </w:r>
        <w:r w:rsidR="00713596">
          <w:rPr>
            <w:noProof/>
            <w:webHidden/>
          </w:rPr>
          <w:instrText xml:space="preserve"> PAGEREF _Toc14520654 \h </w:instrText>
        </w:r>
        <w:r w:rsidR="00713596">
          <w:rPr>
            <w:noProof/>
            <w:webHidden/>
          </w:rPr>
        </w:r>
        <w:r w:rsidR="00713596">
          <w:rPr>
            <w:noProof/>
            <w:webHidden/>
          </w:rPr>
          <w:fldChar w:fldCharType="separate"/>
        </w:r>
        <w:r w:rsidR="00815371">
          <w:rPr>
            <w:noProof/>
            <w:webHidden/>
          </w:rPr>
          <w:t>40</w:t>
        </w:r>
        <w:r w:rsidR="00713596">
          <w:rPr>
            <w:noProof/>
            <w:webHidden/>
          </w:rPr>
          <w:fldChar w:fldCharType="end"/>
        </w:r>
      </w:hyperlink>
    </w:p>
    <w:p w14:paraId="1D5A5B45" w14:textId="06FC9314"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27" w:anchor="_Toc14520655" w:history="1">
        <w:r w:rsidR="00713596" w:rsidRPr="00304594">
          <w:rPr>
            <w:rStyle w:val="Hyperlink"/>
            <w:b/>
            <w:bCs/>
            <w:noProof/>
          </w:rPr>
          <w:t>Figure 3.10:</w:t>
        </w:r>
        <w:r w:rsidR="00713596" w:rsidRPr="00304594">
          <w:rPr>
            <w:rStyle w:val="Hyperlink"/>
            <w:noProof/>
          </w:rPr>
          <w:t xml:space="preserve"> Yield showing different composition streams of torrefied AP13 Switchgrass upon pyrolysis with a residence time of 60 seconds</w:t>
        </w:r>
        <w:r w:rsidR="00713596">
          <w:rPr>
            <w:noProof/>
            <w:webHidden/>
          </w:rPr>
          <w:tab/>
        </w:r>
        <w:r w:rsidR="00713596">
          <w:rPr>
            <w:noProof/>
            <w:webHidden/>
          </w:rPr>
          <w:fldChar w:fldCharType="begin"/>
        </w:r>
        <w:r w:rsidR="00713596">
          <w:rPr>
            <w:noProof/>
            <w:webHidden/>
          </w:rPr>
          <w:instrText xml:space="preserve"> PAGEREF _Toc14520655 \h </w:instrText>
        </w:r>
        <w:r w:rsidR="00713596">
          <w:rPr>
            <w:noProof/>
            <w:webHidden/>
          </w:rPr>
        </w:r>
        <w:r w:rsidR="00713596">
          <w:rPr>
            <w:noProof/>
            <w:webHidden/>
          </w:rPr>
          <w:fldChar w:fldCharType="separate"/>
        </w:r>
        <w:r w:rsidR="00815371">
          <w:rPr>
            <w:noProof/>
            <w:webHidden/>
          </w:rPr>
          <w:t>40</w:t>
        </w:r>
        <w:r w:rsidR="00713596">
          <w:rPr>
            <w:noProof/>
            <w:webHidden/>
          </w:rPr>
          <w:fldChar w:fldCharType="end"/>
        </w:r>
      </w:hyperlink>
    </w:p>
    <w:p w14:paraId="2E6C15B9" w14:textId="67F4FE91"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28" w:anchor="_Toc14520656" w:history="1">
        <w:r w:rsidR="00713596" w:rsidRPr="00304594">
          <w:rPr>
            <w:rStyle w:val="Hyperlink"/>
            <w:noProof/>
          </w:rPr>
          <w:t>F</w:t>
        </w:r>
        <w:r w:rsidR="00713596" w:rsidRPr="00304594">
          <w:rPr>
            <w:rStyle w:val="Hyperlink"/>
            <w:b/>
            <w:bCs/>
            <w:noProof/>
          </w:rPr>
          <w:t>igure 3.11:</w:t>
        </w:r>
        <w:r w:rsidR="00713596" w:rsidRPr="00304594">
          <w:rPr>
            <w:rStyle w:val="Hyperlink"/>
            <w:noProof/>
          </w:rPr>
          <w:t xml:space="preserve"> Yield showing different composition streams of AP13 Switchgrass upon torrefaction at 270 degrees Celsius with a residence time of 120 seconds</w:t>
        </w:r>
        <w:r w:rsidR="00713596">
          <w:rPr>
            <w:noProof/>
            <w:webHidden/>
          </w:rPr>
          <w:tab/>
        </w:r>
        <w:r w:rsidR="00713596">
          <w:rPr>
            <w:noProof/>
            <w:webHidden/>
          </w:rPr>
          <w:fldChar w:fldCharType="begin"/>
        </w:r>
        <w:r w:rsidR="00713596">
          <w:rPr>
            <w:noProof/>
            <w:webHidden/>
          </w:rPr>
          <w:instrText xml:space="preserve"> PAGEREF _Toc14520656 \h </w:instrText>
        </w:r>
        <w:r w:rsidR="00713596">
          <w:rPr>
            <w:noProof/>
            <w:webHidden/>
          </w:rPr>
        </w:r>
        <w:r w:rsidR="00713596">
          <w:rPr>
            <w:noProof/>
            <w:webHidden/>
          </w:rPr>
          <w:fldChar w:fldCharType="separate"/>
        </w:r>
        <w:r w:rsidR="00815371">
          <w:rPr>
            <w:noProof/>
            <w:webHidden/>
          </w:rPr>
          <w:t>41</w:t>
        </w:r>
        <w:r w:rsidR="00713596">
          <w:rPr>
            <w:noProof/>
            <w:webHidden/>
          </w:rPr>
          <w:fldChar w:fldCharType="end"/>
        </w:r>
      </w:hyperlink>
    </w:p>
    <w:p w14:paraId="038A21C4" w14:textId="19E73763"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29" w:anchor="_Toc14520657" w:history="1">
        <w:r w:rsidR="00713596" w:rsidRPr="00304594">
          <w:rPr>
            <w:rStyle w:val="Hyperlink"/>
            <w:b/>
            <w:bCs/>
            <w:noProof/>
          </w:rPr>
          <w:t>Figure 3.12</w:t>
        </w:r>
        <w:r w:rsidR="00713596" w:rsidRPr="00304594">
          <w:rPr>
            <w:rStyle w:val="Hyperlink"/>
            <w:noProof/>
          </w:rPr>
          <w:t>: Yield showing different composition streams of torrefied AP13 Switchgrass upon pyrolysis with a residence time of 60 seconds</w:t>
        </w:r>
        <w:r w:rsidR="00713596">
          <w:rPr>
            <w:noProof/>
            <w:webHidden/>
          </w:rPr>
          <w:tab/>
        </w:r>
        <w:r w:rsidR="00713596">
          <w:rPr>
            <w:noProof/>
            <w:webHidden/>
          </w:rPr>
          <w:fldChar w:fldCharType="begin"/>
        </w:r>
        <w:r w:rsidR="00713596">
          <w:rPr>
            <w:noProof/>
            <w:webHidden/>
          </w:rPr>
          <w:instrText xml:space="preserve"> PAGEREF _Toc14520657 \h </w:instrText>
        </w:r>
        <w:r w:rsidR="00713596">
          <w:rPr>
            <w:noProof/>
            <w:webHidden/>
          </w:rPr>
        </w:r>
        <w:r w:rsidR="00713596">
          <w:rPr>
            <w:noProof/>
            <w:webHidden/>
          </w:rPr>
          <w:fldChar w:fldCharType="separate"/>
        </w:r>
        <w:r w:rsidR="00815371">
          <w:rPr>
            <w:noProof/>
            <w:webHidden/>
          </w:rPr>
          <w:t>42</w:t>
        </w:r>
        <w:r w:rsidR="00713596">
          <w:rPr>
            <w:noProof/>
            <w:webHidden/>
          </w:rPr>
          <w:fldChar w:fldCharType="end"/>
        </w:r>
      </w:hyperlink>
    </w:p>
    <w:p w14:paraId="653E2196" w14:textId="1FEF99D3"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30" w:anchor="_Toc14520658" w:history="1">
        <w:r w:rsidR="00713596" w:rsidRPr="00304594">
          <w:rPr>
            <w:rStyle w:val="Hyperlink"/>
            <w:b/>
            <w:bCs/>
            <w:noProof/>
          </w:rPr>
          <w:t>Figure 4.1:</w:t>
        </w:r>
        <w:r w:rsidR="00713596" w:rsidRPr="00304594">
          <w:rPr>
            <w:rStyle w:val="Hyperlink"/>
            <w:noProof/>
          </w:rPr>
          <w:t xml:space="preserve"> Lignin monomers and structures within the polymer; lignins derive primarily from three monolignols – the hydroxycinnamyl alcohols: M1H, M1G, and M1S (29)</w:t>
        </w:r>
        <w:r w:rsidR="00713596">
          <w:rPr>
            <w:noProof/>
            <w:webHidden/>
          </w:rPr>
          <w:tab/>
        </w:r>
        <w:r w:rsidR="00713596">
          <w:rPr>
            <w:noProof/>
            <w:webHidden/>
          </w:rPr>
          <w:fldChar w:fldCharType="begin"/>
        </w:r>
        <w:r w:rsidR="00713596">
          <w:rPr>
            <w:noProof/>
            <w:webHidden/>
          </w:rPr>
          <w:instrText xml:space="preserve"> PAGEREF _Toc14520658 \h </w:instrText>
        </w:r>
        <w:r w:rsidR="00713596">
          <w:rPr>
            <w:noProof/>
            <w:webHidden/>
          </w:rPr>
        </w:r>
        <w:r w:rsidR="00713596">
          <w:rPr>
            <w:noProof/>
            <w:webHidden/>
          </w:rPr>
          <w:fldChar w:fldCharType="separate"/>
        </w:r>
        <w:r w:rsidR="00815371">
          <w:rPr>
            <w:noProof/>
            <w:webHidden/>
          </w:rPr>
          <w:t>45</w:t>
        </w:r>
        <w:r w:rsidR="00713596">
          <w:rPr>
            <w:noProof/>
            <w:webHidden/>
          </w:rPr>
          <w:fldChar w:fldCharType="end"/>
        </w:r>
      </w:hyperlink>
    </w:p>
    <w:p w14:paraId="1B9B58FA" w14:textId="302043FC"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31" w:anchor="_Toc14520659" w:history="1">
        <w:r w:rsidR="00713596" w:rsidRPr="00304594">
          <w:rPr>
            <w:rStyle w:val="Hyperlink"/>
            <w:b/>
            <w:bCs/>
            <w:noProof/>
          </w:rPr>
          <w:t>Figure 4.2:</w:t>
        </w:r>
        <w:r w:rsidR="00713596" w:rsidRPr="00304594">
          <w:rPr>
            <w:rStyle w:val="Hyperlink"/>
            <w:noProof/>
          </w:rPr>
          <w:t xml:space="preserve"> Enthalpy of dissociation measurements for the six most frequently occurring lignin crosslinks (7)</w:t>
        </w:r>
        <w:r w:rsidR="00713596">
          <w:rPr>
            <w:noProof/>
            <w:webHidden/>
          </w:rPr>
          <w:tab/>
        </w:r>
        <w:r w:rsidR="00713596">
          <w:rPr>
            <w:noProof/>
            <w:webHidden/>
          </w:rPr>
          <w:fldChar w:fldCharType="begin"/>
        </w:r>
        <w:r w:rsidR="00713596">
          <w:rPr>
            <w:noProof/>
            <w:webHidden/>
          </w:rPr>
          <w:instrText xml:space="preserve"> PAGEREF _Toc14520659 \h </w:instrText>
        </w:r>
        <w:r w:rsidR="00713596">
          <w:rPr>
            <w:noProof/>
            <w:webHidden/>
          </w:rPr>
        </w:r>
        <w:r w:rsidR="00713596">
          <w:rPr>
            <w:noProof/>
            <w:webHidden/>
          </w:rPr>
          <w:fldChar w:fldCharType="separate"/>
        </w:r>
        <w:r w:rsidR="00815371">
          <w:rPr>
            <w:noProof/>
            <w:webHidden/>
          </w:rPr>
          <w:t>47</w:t>
        </w:r>
        <w:r w:rsidR="00713596">
          <w:rPr>
            <w:noProof/>
            <w:webHidden/>
          </w:rPr>
          <w:fldChar w:fldCharType="end"/>
        </w:r>
      </w:hyperlink>
    </w:p>
    <w:p w14:paraId="31B12E5C" w14:textId="14F1EA29"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32" w:anchor="_Toc14520660" w:history="1">
        <w:r w:rsidR="00713596" w:rsidRPr="00304594">
          <w:rPr>
            <w:rStyle w:val="Hyperlink"/>
            <w:b/>
            <w:bCs/>
            <w:noProof/>
          </w:rPr>
          <w:t>Figure 4.3</w:t>
        </w:r>
        <w:r w:rsidR="00713596" w:rsidRPr="00304594">
          <w:rPr>
            <w:rStyle w:val="Hyperlink"/>
            <w:noProof/>
          </w:rPr>
          <w:t>: Monolignol and Phenylpropanoid biosynthetic pathways with the enzymes responsible for multiple steps (29)</w:t>
        </w:r>
        <w:r w:rsidR="00713596">
          <w:rPr>
            <w:noProof/>
            <w:webHidden/>
          </w:rPr>
          <w:tab/>
        </w:r>
        <w:r w:rsidR="00713596">
          <w:rPr>
            <w:noProof/>
            <w:webHidden/>
          </w:rPr>
          <w:fldChar w:fldCharType="begin"/>
        </w:r>
        <w:r w:rsidR="00713596">
          <w:rPr>
            <w:noProof/>
            <w:webHidden/>
          </w:rPr>
          <w:instrText xml:space="preserve"> PAGEREF _Toc14520660 \h </w:instrText>
        </w:r>
        <w:r w:rsidR="00713596">
          <w:rPr>
            <w:noProof/>
            <w:webHidden/>
          </w:rPr>
        </w:r>
        <w:r w:rsidR="00713596">
          <w:rPr>
            <w:noProof/>
            <w:webHidden/>
          </w:rPr>
          <w:fldChar w:fldCharType="separate"/>
        </w:r>
        <w:r w:rsidR="00815371">
          <w:rPr>
            <w:noProof/>
            <w:webHidden/>
          </w:rPr>
          <w:t>48</w:t>
        </w:r>
        <w:r w:rsidR="00713596">
          <w:rPr>
            <w:noProof/>
            <w:webHidden/>
          </w:rPr>
          <w:fldChar w:fldCharType="end"/>
        </w:r>
      </w:hyperlink>
    </w:p>
    <w:p w14:paraId="754C5A75" w14:textId="60AA69AE"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33" w:anchor="_Toc14520661" w:history="1">
        <w:r w:rsidR="00713596" w:rsidRPr="00304594">
          <w:rPr>
            <w:rStyle w:val="Hyperlink"/>
            <w:b/>
            <w:bCs/>
            <w:noProof/>
          </w:rPr>
          <w:t>Figure 4.4:</w:t>
        </w:r>
        <w:r w:rsidR="00713596" w:rsidRPr="00304594">
          <w:rPr>
            <w:rStyle w:val="Hyperlink"/>
            <w:noProof/>
          </w:rPr>
          <w:t xml:space="preserve"> Compound yield of different variants of switchgrass upon torrefaction at 270 degrees Celsius for 120 seconds</w:t>
        </w:r>
        <w:r w:rsidR="00713596">
          <w:rPr>
            <w:noProof/>
            <w:webHidden/>
          </w:rPr>
          <w:tab/>
        </w:r>
        <w:r w:rsidR="00713596">
          <w:rPr>
            <w:noProof/>
            <w:webHidden/>
          </w:rPr>
          <w:fldChar w:fldCharType="begin"/>
        </w:r>
        <w:r w:rsidR="00713596">
          <w:rPr>
            <w:noProof/>
            <w:webHidden/>
          </w:rPr>
          <w:instrText xml:space="preserve"> PAGEREF _Toc14520661 \h </w:instrText>
        </w:r>
        <w:r w:rsidR="00713596">
          <w:rPr>
            <w:noProof/>
            <w:webHidden/>
          </w:rPr>
        </w:r>
        <w:r w:rsidR="00713596">
          <w:rPr>
            <w:noProof/>
            <w:webHidden/>
          </w:rPr>
          <w:fldChar w:fldCharType="separate"/>
        </w:r>
        <w:r w:rsidR="00815371">
          <w:rPr>
            <w:noProof/>
            <w:webHidden/>
          </w:rPr>
          <w:t>52</w:t>
        </w:r>
        <w:r w:rsidR="00713596">
          <w:rPr>
            <w:noProof/>
            <w:webHidden/>
          </w:rPr>
          <w:fldChar w:fldCharType="end"/>
        </w:r>
      </w:hyperlink>
    </w:p>
    <w:p w14:paraId="0D372EF2" w14:textId="4D673ABD"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34" w:anchor="_Toc14520662" w:history="1">
        <w:r w:rsidR="00713596" w:rsidRPr="00304594">
          <w:rPr>
            <w:rStyle w:val="Hyperlink"/>
            <w:b/>
            <w:bCs/>
            <w:noProof/>
          </w:rPr>
          <w:t>Figure 4.5:</w:t>
        </w:r>
        <w:r w:rsidR="00713596" w:rsidRPr="00304594">
          <w:rPr>
            <w:rStyle w:val="Hyperlink"/>
            <w:noProof/>
          </w:rPr>
          <w:t xml:space="preserve"> Compound yield of different variants of switchgrass upon pyrolysis at 500 degrees Celsius for 60 seconds</w:t>
        </w:r>
        <w:r w:rsidR="00713596">
          <w:rPr>
            <w:noProof/>
            <w:webHidden/>
          </w:rPr>
          <w:tab/>
        </w:r>
        <w:r w:rsidR="00713596">
          <w:rPr>
            <w:noProof/>
            <w:webHidden/>
          </w:rPr>
          <w:fldChar w:fldCharType="begin"/>
        </w:r>
        <w:r w:rsidR="00713596">
          <w:rPr>
            <w:noProof/>
            <w:webHidden/>
          </w:rPr>
          <w:instrText xml:space="preserve"> PAGEREF _Toc14520662 \h </w:instrText>
        </w:r>
        <w:r w:rsidR="00713596">
          <w:rPr>
            <w:noProof/>
            <w:webHidden/>
          </w:rPr>
        </w:r>
        <w:r w:rsidR="00713596">
          <w:rPr>
            <w:noProof/>
            <w:webHidden/>
          </w:rPr>
          <w:fldChar w:fldCharType="separate"/>
        </w:r>
        <w:r w:rsidR="00815371">
          <w:rPr>
            <w:noProof/>
            <w:webHidden/>
          </w:rPr>
          <w:t>53</w:t>
        </w:r>
        <w:r w:rsidR="00713596">
          <w:rPr>
            <w:noProof/>
            <w:webHidden/>
          </w:rPr>
          <w:fldChar w:fldCharType="end"/>
        </w:r>
      </w:hyperlink>
    </w:p>
    <w:p w14:paraId="1910B7E2" w14:textId="55875CAC" w:rsidR="00713596" w:rsidRDefault="00DE72B4">
      <w:pPr>
        <w:pStyle w:val="TableofFigures"/>
        <w:tabs>
          <w:tab w:val="right" w:leader="dot" w:pos="9350"/>
        </w:tabs>
        <w:rPr>
          <w:rFonts w:asciiTheme="minorHAnsi" w:eastAsiaTheme="minorEastAsia" w:hAnsiTheme="minorHAnsi" w:cstheme="minorBidi"/>
          <w:noProof/>
          <w:color w:val="auto"/>
          <w:sz w:val="22"/>
        </w:rPr>
      </w:pPr>
      <w:hyperlink w:anchor="_Toc14520663" w:history="1">
        <w:r w:rsidR="00713596" w:rsidRPr="00304594">
          <w:rPr>
            <w:rStyle w:val="Hyperlink"/>
            <w:b/>
            <w:bCs/>
            <w:noProof/>
          </w:rPr>
          <w:t>Figure 4.6:</w:t>
        </w:r>
        <w:r w:rsidR="00713596" w:rsidRPr="00304594">
          <w:rPr>
            <w:rStyle w:val="Hyperlink"/>
            <w:noProof/>
          </w:rPr>
          <w:t xml:space="preserve"> Yield of the phenolic species upon torrefaction of different variants of switchgrass</w:t>
        </w:r>
        <w:r w:rsidR="00713596">
          <w:rPr>
            <w:noProof/>
            <w:webHidden/>
          </w:rPr>
          <w:tab/>
        </w:r>
        <w:r w:rsidR="00713596">
          <w:rPr>
            <w:noProof/>
            <w:webHidden/>
          </w:rPr>
          <w:fldChar w:fldCharType="begin"/>
        </w:r>
        <w:r w:rsidR="00713596">
          <w:rPr>
            <w:noProof/>
            <w:webHidden/>
          </w:rPr>
          <w:instrText xml:space="preserve"> PAGEREF _Toc14520663 \h </w:instrText>
        </w:r>
        <w:r w:rsidR="00713596">
          <w:rPr>
            <w:noProof/>
            <w:webHidden/>
          </w:rPr>
        </w:r>
        <w:r w:rsidR="00713596">
          <w:rPr>
            <w:noProof/>
            <w:webHidden/>
          </w:rPr>
          <w:fldChar w:fldCharType="separate"/>
        </w:r>
        <w:r w:rsidR="00815371">
          <w:rPr>
            <w:noProof/>
            <w:webHidden/>
          </w:rPr>
          <w:t>55</w:t>
        </w:r>
        <w:r w:rsidR="00713596">
          <w:rPr>
            <w:noProof/>
            <w:webHidden/>
          </w:rPr>
          <w:fldChar w:fldCharType="end"/>
        </w:r>
      </w:hyperlink>
    </w:p>
    <w:p w14:paraId="316B14E5" w14:textId="71FCF0D1" w:rsidR="00713596" w:rsidRDefault="00DE72B4">
      <w:pPr>
        <w:pStyle w:val="TableofFigures"/>
        <w:tabs>
          <w:tab w:val="right" w:leader="dot" w:pos="9350"/>
        </w:tabs>
        <w:rPr>
          <w:rFonts w:asciiTheme="minorHAnsi" w:eastAsiaTheme="minorEastAsia" w:hAnsiTheme="minorHAnsi" w:cstheme="minorBidi"/>
          <w:noProof/>
          <w:color w:val="auto"/>
          <w:sz w:val="22"/>
        </w:rPr>
      </w:pPr>
      <w:hyperlink w:anchor="_Toc14520664" w:history="1">
        <w:r w:rsidR="00713596" w:rsidRPr="00304594">
          <w:rPr>
            <w:rStyle w:val="Hyperlink"/>
            <w:b/>
            <w:bCs/>
            <w:noProof/>
          </w:rPr>
          <w:t>Figure 4.7:</w:t>
        </w:r>
        <w:r w:rsidR="00713596" w:rsidRPr="00304594">
          <w:rPr>
            <w:rStyle w:val="Hyperlink"/>
            <w:noProof/>
          </w:rPr>
          <w:t xml:space="preserve"> Yield of phenolic species upon pyrolysis of different variants of switchgrass</w:t>
        </w:r>
        <w:r w:rsidR="00713596">
          <w:rPr>
            <w:noProof/>
            <w:webHidden/>
          </w:rPr>
          <w:tab/>
        </w:r>
        <w:r w:rsidR="00713596">
          <w:rPr>
            <w:noProof/>
            <w:webHidden/>
          </w:rPr>
          <w:fldChar w:fldCharType="begin"/>
        </w:r>
        <w:r w:rsidR="00713596">
          <w:rPr>
            <w:noProof/>
            <w:webHidden/>
          </w:rPr>
          <w:instrText xml:space="preserve"> PAGEREF _Toc14520664 \h </w:instrText>
        </w:r>
        <w:r w:rsidR="00713596">
          <w:rPr>
            <w:noProof/>
            <w:webHidden/>
          </w:rPr>
        </w:r>
        <w:r w:rsidR="00713596">
          <w:rPr>
            <w:noProof/>
            <w:webHidden/>
          </w:rPr>
          <w:fldChar w:fldCharType="separate"/>
        </w:r>
        <w:r w:rsidR="00815371">
          <w:rPr>
            <w:noProof/>
            <w:webHidden/>
          </w:rPr>
          <w:t>55</w:t>
        </w:r>
        <w:r w:rsidR="00713596">
          <w:rPr>
            <w:noProof/>
            <w:webHidden/>
          </w:rPr>
          <w:fldChar w:fldCharType="end"/>
        </w:r>
      </w:hyperlink>
    </w:p>
    <w:p w14:paraId="740D6D14" w14:textId="58DB57DC"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35" w:anchor="_Toc14520665" w:history="1">
        <w:r w:rsidR="00713596" w:rsidRPr="00304594">
          <w:rPr>
            <w:rStyle w:val="Hyperlink"/>
            <w:b/>
            <w:bCs/>
            <w:noProof/>
          </w:rPr>
          <w:t>Figure 4.8:</w:t>
        </w:r>
        <w:r w:rsidR="00713596" w:rsidRPr="00304594">
          <w:rPr>
            <w:rStyle w:val="Hyperlink"/>
            <w:noProof/>
          </w:rPr>
          <w:t xml:space="preserve"> List of phenolic compounds identified during analysis of thermal degradation experiments for this study</w:t>
        </w:r>
        <w:r w:rsidR="00713596">
          <w:rPr>
            <w:noProof/>
            <w:webHidden/>
          </w:rPr>
          <w:tab/>
        </w:r>
        <w:r w:rsidR="00713596">
          <w:rPr>
            <w:noProof/>
            <w:webHidden/>
          </w:rPr>
          <w:fldChar w:fldCharType="begin"/>
        </w:r>
        <w:r w:rsidR="00713596">
          <w:rPr>
            <w:noProof/>
            <w:webHidden/>
          </w:rPr>
          <w:instrText xml:space="preserve"> PAGEREF _Toc14520665 \h </w:instrText>
        </w:r>
        <w:r w:rsidR="00713596">
          <w:rPr>
            <w:noProof/>
            <w:webHidden/>
          </w:rPr>
        </w:r>
        <w:r w:rsidR="00713596">
          <w:rPr>
            <w:noProof/>
            <w:webHidden/>
          </w:rPr>
          <w:fldChar w:fldCharType="separate"/>
        </w:r>
        <w:r w:rsidR="00815371">
          <w:rPr>
            <w:noProof/>
            <w:webHidden/>
          </w:rPr>
          <w:t>56</w:t>
        </w:r>
        <w:r w:rsidR="00713596">
          <w:rPr>
            <w:noProof/>
            <w:webHidden/>
          </w:rPr>
          <w:fldChar w:fldCharType="end"/>
        </w:r>
      </w:hyperlink>
    </w:p>
    <w:p w14:paraId="421E9AF1" w14:textId="6386AF2D" w:rsidR="00713596" w:rsidRDefault="00DE72B4">
      <w:pPr>
        <w:pStyle w:val="TableofFigures"/>
        <w:tabs>
          <w:tab w:val="right" w:leader="dot" w:pos="9350"/>
        </w:tabs>
        <w:rPr>
          <w:rFonts w:asciiTheme="minorHAnsi" w:eastAsiaTheme="minorEastAsia" w:hAnsiTheme="minorHAnsi" w:cstheme="minorBidi"/>
          <w:noProof/>
          <w:color w:val="auto"/>
          <w:sz w:val="22"/>
        </w:rPr>
      </w:pPr>
      <w:hyperlink r:id="rId36" w:anchor="_Toc14520666" w:history="1">
        <w:r w:rsidR="00713596" w:rsidRPr="00304594">
          <w:rPr>
            <w:rStyle w:val="Hyperlink"/>
            <w:b/>
            <w:bCs/>
            <w:noProof/>
          </w:rPr>
          <w:t>Figure 4.9:</w:t>
        </w:r>
        <w:r w:rsidR="00713596" w:rsidRPr="00304594">
          <w:rPr>
            <w:rStyle w:val="Hyperlink"/>
            <w:noProof/>
          </w:rPr>
          <w:t xml:space="preserve"> List of organic phenolic species identified through their originating monomer units as used in this study</w:t>
        </w:r>
        <w:r w:rsidR="00713596">
          <w:rPr>
            <w:noProof/>
            <w:webHidden/>
          </w:rPr>
          <w:tab/>
        </w:r>
        <w:r w:rsidR="00713596">
          <w:rPr>
            <w:noProof/>
            <w:webHidden/>
          </w:rPr>
          <w:fldChar w:fldCharType="begin"/>
        </w:r>
        <w:r w:rsidR="00713596">
          <w:rPr>
            <w:noProof/>
            <w:webHidden/>
          </w:rPr>
          <w:instrText xml:space="preserve"> PAGEREF _Toc14520666 \h </w:instrText>
        </w:r>
        <w:r w:rsidR="00713596">
          <w:rPr>
            <w:noProof/>
            <w:webHidden/>
          </w:rPr>
        </w:r>
        <w:r w:rsidR="00713596">
          <w:rPr>
            <w:noProof/>
            <w:webHidden/>
          </w:rPr>
          <w:fldChar w:fldCharType="separate"/>
        </w:r>
        <w:r w:rsidR="00815371">
          <w:rPr>
            <w:noProof/>
            <w:webHidden/>
          </w:rPr>
          <w:t>62</w:t>
        </w:r>
        <w:r w:rsidR="00713596">
          <w:rPr>
            <w:noProof/>
            <w:webHidden/>
          </w:rPr>
          <w:fldChar w:fldCharType="end"/>
        </w:r>
      </w:hyperlink>
    </w:p>
    <w:p w14:paraId="2B2AE100" w14:textId="7FC895B1" w:rsidR="00713596" w:rsidRDefault="00DE72B4">
      <w:pPr>
        <w:pStyle w:val="TableofFigures"/>
        <w:tabs>
          <w:tab w:val="right" w:leader="dot" w:pos="9350"/>
        </w:tabs>
        <w:rPr>
          <w:rFonts w:asciiTheme="minorHAnsi" w:eastAsiaTheme="minorEastAsia" w:hAnsiTheme="minorHAnsi" w:cstheme="minorBidi"/>
          <w:noProof/>
          <w:color w:val="auto"/>
          <w:sz w:val="22"/>
        </w:rPr>
      </w:pPr>
      <w:hyperlink w:anchor="_Toc14520667" w:history="1">
        <w:r w:rsidR="00713596" w:rsidRPr="00304594">
          <w:rPr>
            <w:rStyle w:val="Hyperlink"/>
            <w:b/>
            <w:bCs/>
            <w:noProof/>
          </w:rPr>
          <w:t>Figure 4.10:</w:t>
        </w:r>
        <w:r w:rsidR="00713596" w:rsidRPr="00304594">
          <w:rPr>
            <w:rStyle w:val="Hyperlink"/>
            <w:noProof/>
          </w:rPr>
          <w:t xml:space="preserve"> Distribution of phenolic compounds displayed through their originating monomer unit upon torrefaction of COMT2 mutant switchgrass</w:t>
        </w:r>
        <w:r w:rsidR="00713596">
          <w:rPr>
            <w:noProof/>
            <w:webHidden/>
          </w:rPr>
          <w:tab/>
        </w:r>
        <w:r w:rsidR="00713596">
          <w:rPr>
            <w:noProof/>
            <w:webHidden/>
          </w:rPr>
          <w:fldChar w:fldCharType="begin"/>
        </w:r>
        <w:r w:rsidR="00713596">
          <w:rPr>
            <w:noProof/>
            <w:webHidden/>
          </w:rPr>
          <w:instrText xml:space="preserve"> PAGEREF _Toc14520667 \h </w:instrText>
        </w:r>
        <w:r w:rsidR="00713596">
          <w:rPr>
            <w:noProof/>
            <w:webHidden/>
          </w:rPr>
        </w:r>
        <w:r w:rsidR="00713596">
          <w:rPr>
            <w:noProof/>
            <w:webHidden/>
          </w:rPr>
          <w:fldChar w:fldCharType="separate"/>
        </w:r>
        <w:r w:rsidR="00815371">
          <w:rPr>
            <w:noProof/>
            <w:webHidden/>
          </w:rPr>
          <w:t>63</w:t>
        </w:r>
        <w:r w:rsidR="00713596">
          <w:rPr>
            <w:noProof/>
            <w:webHidden/>
          </w:rPr>
          <w:fldChar w:fldCharType="end"/>
        </w:r>
      </w:hyperlink>
    </w:p>
    <w:p w14:paraId="2706817C" w14:textId="6A00A713" w:rsidR="00713596" w:rsidRDefault="00DE72B4">
      <w:pPr>
        <w:pStyle w:val="TableofFigures"/>
        <w:tabs>
          <w:tab w:val="right" w:leader="dot" w:pos="9350"/>
        </w:tabs>
        <w:rPr>
          <w:rFonts w:asciiTheme="minorHAnsi" w:eastAsiaTheme="minorEastAsia" w:hAnsiTheme="minorHAnsi" w:cstheme="minorBidi"/>
          <w:noProof/>
          <w:color w:val="auto"/>
          <w:sz w:val="22"/>
        </w:rPr>
      </w:pPr>
      <w:hyperlink w:anchor="_Toc14520668" w:history="1">
        <w:r w:rsidR="00713596" w:rsidRPr="00304594">
          <w:rPr>
            <w:rStyle w:val="Hyperlink"/>
            <w:b/>
            <w:bCs/>
            <w:noProof/>
          </w:rPr>
          <w:t>Figure 4.11:</w:t>
        </w:r>
        <w:r w:rsidR="00713596" w:rsidRPr="00304594">
          <w:rPr>
            <w:rStyle w:val="Hyperlink"/>
            <w:noProof/>
          </w:rPr>
          <w:t xml:space="preserve"> Distribution of phenolic compounds displayed through their originating monomer unit upon torrefaction of COMT2 isogenic, wildtype switchgrass</w:t>
        </w:r>
        <w:r w:rsidR="00713596">
          <w:rPr>
            <w:noProof/>
            <w:webHidden/>
          </w:rPr>
          <w:tab/>
        </w:r>
        <w:r w:rsidR="00713596">
          <w:rPr>
            <w:noProof/>
            <w:webHidden/>
          </w:rPr>
          <w:fldChar w:fldCharType="begin"/>
        </w:r>
        <w:r w:rsidR="00713596">
          <w:rPr>
            <w:noProof/>
            <w:webHidden/>
          </w:rPr>
          <w:instrText xml:space="preserve"> PAGEREF _Toc14520668 \h </w:instrText>
        </w:r>
        <w:r w:rsidR="00713596">
          <w:rPr>
            <w:noProof/>
            <w:webHidden/>
          </w:rPr>
        </w:r>
        <w:r w:rsidR="00713596">
          <w:rPr>
            <w:noProof/>
            <w:webHidden/>
          </w:rPr>
          <w:fldChar w:fldCharType="separate"/>
        </w:r>
        <w:r w:rsidR="00815371">
          <w:rPr>
            <w:noProof/>
            <w:webHidden/>
          </w:rPr>
          <w:t>63</w:t>
        </w:r>
        <w:r w:rsidR="00713596">
          <w:rPr>
            <w:noProof/>
            <w:webHidden/>
          </w:rPr>
          <w:fldChar w:fldCharType="end"/>
        </w:r>
      </w:hyperlink>
    </w:p>
    <w:p w14:paraId="3FA24CA3" w14:textId="18D9B15B" w:rsidR="00713596" w:rsidRDefault="00DE72B4">
      <w:pPr>
        <w:pStyle w:val="TableofFigures"/>
        <w:tabs>
          <w:tab w:val="right" w:leader="dot" w:pos="9350"/>
        </w:tabs>
        <w:rPr>
          <w:rFonts w:asciiTheme="minorHAnsi" w:eastAsiaTheme="minorEastAsia" w:hAnsiTheme="minorHAnsi" w:cstheme="minorBidi"/>
          <w:noProof/>
          <w:color w:val="auto"/>
          <w:sz w:val="22"/>
        </w:rPr>
      </w:pPr>
      <w:hyperlink w:anchor="_Toc14520669" w:history="1">
        <w:r w:rsidR="00713596" w:rsidRPr="00304594">
          <w:rPr>
            <w:rStyle w:val="Hyperlink"/>
            <w:b/>
            <w:bCs/>
            <w:noProof/>
          </w:rPr>
          <w:t>Figure 4.12:</w:t>
        </w:r>
        <w:r w:rsidR="00713596" w:rsidRPr="00304594">
          <w:rPr>
            <w:rStyle w:val="Hyperlink"/>
            <w:noProof/>
          </w:rPr>
          <w:t xml:space="preserve"> Distribution of phenolic compounds displayed through their originating monomer unit upon pyrolysis of COMT2 mutant switchgrass</w:t>
        </w:r>
        <w:r w:rsidR="00713596">
          <w:rPr>
            <w:noProof/>
            <w:webHidden/>
          </w:rPr>
          <w:tab/>
        </w:r>
        <w:r w:rsidR="00713596">
          <w:rPr>
            <w:noProof/>
            <w:webHidden/>
          </w:rPr>
          <w:fldChar w:fldCharType="begin"/>
        </w:r>
        <w:r w:rsidR="00713596">
          <w:rPr>
            <w:noProof/>
            <w:webHidden/>
          </w:rPr>
          <w:instrText xml:space="preserve"> PAGEREF _Toc14520669 \h </w:instrText>
        </w:r>
        <w:r w:rsidR="00713596">
          <w:rPr>
            <w:noProof/>
            <w:webHidden/>
          </w:rPr>
        </w:r>
        <w:r w:rsidR="00713596">
          <w:rPr>
            <w:noProof/>
            <w:webHidden/>
          </w:rPr>
          <w:fldChar w:fldCharType="separate"/>
        </w:r>
        <w:r w:rsidR="00815371">
          <w:rPr>
            <w:noProof/>
            <w:webHidden/>
          </w:rPr>
          <w:t>64</w:t>
        </w:r>
        <w:r w:rsidR="00713596">
          <w:rPr>
            <w:noProof/>
            <w:webHidden/>
          </w:rPr>
          <w:fldChar w:fldCharType="end"/>
        </w:r>
      </w:hyperlink>
    </w:p>
    <w:p w14:paraId="5062D3D8" w14:textId="25603855" w:rsidR="00713596" w:rsidRDefault="00DE72B4">
      <w:pPr>
        <w:pStyle w:val="TableofFigures"/>
        <w:tabs>
          <w:tab w:val="right" w:leader="dot" w:pos="9350"/>
        </w:tabs>
        <w:rPr>
          <w:rFonts w:asciiTheme="minorHAnsi" w:eastAsiaTheme="minorEastAsia" w:hAnsiTheme="minorHAnsi" w:cstheme="minorBidi"/>
          <w:noProof/>
          <w:color w:val="auto"/>
          <w:sz w:val="22"/>
        </w:rPr>
      </w:pPr>
      <w:hyperlink w:anchor="_Toc14520670" w:history="1">
        <w:r w:rsidR="00713596" w:rsidRPr="00304594">
          <w:rPr>
            <w:rStyle w:val="Hyperlink"/>
            <w:b/>
            <w:bCs/>
            <w:noProof/>
          </w:rPr>
          <w:t>Figure 4.13:</w:t>
        </w:r>
        <w:r w:rsidR="00713596" w:rsidRPr="00304594">
          <w:rPr>
            <w:rStyle w:val="Hyperlink"/>
            <w:noProof/>
          </w:rPr>
          <w:t xml:space="preserve"> Distribution of phenolic compounds displayed through their originating monomer unit upon pyrolysis of COMT2 isogenic, wildtype switchgrass</w:t>
        </w:r>
        <w:r w:rsidR="00713596">
          <w:rPr>
            <w:noProof/>
            <w:webHidden/>
          </w:rPr>
          <w:tab/>
        </w:r>
        <w:r w:rsidR="00713596">
          <w:rPr>
            <w:noProof/>
            <w:webHidden/>
          </w:rPr>
          <w:fldChar w:fldCharType="begin"/>
        </w:r>
        <w:r w:rsidR="00713596">
          <w:rPr>
            <w:noProof/>
            <w:webHidden/>
          </w:rPr>
          <w:instrText xml:space="preserve"> PAGEREF _Toc14520670 \h </w:instrText>
        </w:r>
        <w:r w:rsidR="00713596">
          <w:rPr>
            <w:noProof/>
            <w:webHidden/>
          </w:rPr>
        </w:r>
        <w:r w:rsidR="00713596">
          <w:rPr>
            <w:noProof/>
            <w:webHidden/>
          </w:rPr>
          <w:fldChar w:fldCharType="separate"/>
        </w:r>
        <w:r w:rsidR="00815371">
          <w:rPr>
            <w:noProof/>
            <w:webHidden/>
          </w:rPr>
          <w:t>64</w:t>
        </w:r>
        <w:r w:rsidR="00713596">
          <w:rPr>
            <w:noProof/>
            <w:webHidden/>
          </w:rPr>
          <w:fldChar w:fldCharType="end"/>
        </w:r>
      </w:hyperlink>
    </w:p>
    <w:p w14:paraId="7A65DC02" w14:textId="66FB38C7" w:rsidR="00713596" w:rsidRDefault="00DE72B4">
      <w:pPr>
        <w:pStyle w:val="TableofFigures"/>
        <w:tabs>
          <w:tab w:val="right" w:leader="dot" w:pos="9350"/>
        </w:tabs>
        <w:rPr>
          <w:rFonts w:asciiTheme="minorHAnsi" w:eastAsiaTheme="minorEastAsia" w:hAnsiTheme="minorHAnsi" w:cstheme="minorBidi"/>
          <w:noProof/>
          <w:color w:val="auto"/>
          <w:sz w:val="22"/>
        </w:rPr>
      </w:pPr>
      <w:hyperlink w:anchor="_Toc14520671" w:history="1">
        <w:r w:rsidR="00713596" w:rsidRPr="00304594">
          <w:rPr>
            <w:rStyle w:val="Hyperlink"/>
            <w:b/>
            <w:bCs/>
            <w:noProof/>
          </w:rPr>
          <w:t>Figure 4.14:</w:t>
        </w:r>
        <w:r w:rsidR="00713596" w:rsidRPr="00304594">
          <w:rPr>
            <w:rStyle w:val="Hyperlink"/>
            <w:noProof/>
          </w:rPr>
          <w:t xml:space="preserve"> Distribution of phenolic compounds displayed through their originating monomer unit upon torrefaction of natural diversity switchgrass</w:t>
        </w:r>
        <w:r w:rsidR="00713596">
          <w:rPr>
            <w:noProof/>
            <w:webHidden/>
          </w:rPr>
          <w:tab/>
        </w:r>
        <w:r w:rsidR="00713596">
          <w:rPr>
            <w:noProof/>
            <w:webHidden/>
          </w:rPr>
          <w:fldChar w:fldCharType="begin"/>
        </w:r>
        <w:r w:rsidR="00713596">
          <w:rPr>
            <w:noProof/>
            <w:webHidden/>
          </w:rPr>
          <w:instrText xml:space="preserve"> PAGEREF _Toc14520671 \h </w:instrText>
        </w:r>
        <w:r w:rsidR="00713596">
          <w:rPr>
            <w:noProof/>
            <w:webHidden/>
          </w:rPr>
        </w:r>
        <w:r w:rsidR="00713596">
          <w:rPr>
            <w:noProof/>
            <w:webHidden/>
          </w:rPr>
          <w:fldChar w:fldCharType="separate"/>
        </w:r>
        <w:r w:rsidR="00815371">
          <w:rPr>
            <w:noProof/>
            <w:webHidden/>
          </w:rPr>
          <w:t>66</w:t>
        </w:r>
        <w:r w:rsidR="00713596">
          <w:rPr>
            <w:noProof/>
            <w:webHidden/>
          </w:rPr>
          <w:fldChar w:fldCharType="end"/>
        </w:r>
      </w:hyperlink>
    </w:p>
    <w:p w14:paraId="30B63110" w14:textId="6B6955BF" w:rsidR="00713596" w:rsidRDefault="00DE72B4">
      <w:pPr>
        <w:pStyle w:val="TableofFigures"/>
        <w:tabs>
          <w:tab w:val="right" w:leader="dot" w:pos="9350"/>
        </w:tabs>
        <w:rPr>
          <w:rFonts w:asciiTheme="minorHAnsi" w:eastAsiaTheme="minorEastAsia" w:hAnsiTheme="minorHAnsi" w:cstheme="minorBidi"/>
          <w:noProof/>
          <w:color w:val="auto"/>
          <w:sz w:val="22"/>
        </w:rPr>
      </w:pPr>
      <w:hyperlink w:anchor="_Toc14520672" w:history="1">
        <w:r w:rsidR="00713596" w:rsidRPr="00304594">
          <w:rPr>
            <w:rStyle w:val="Hyperlink"/>
            <w:b/>
            <w:bCs/>
            <w:noProof/>
          </w:rPr>
          <w:t>Figure 4.15:</w:t>
        </w:r>
        <w:r w:rsidR="00713596" w:rsidRPr="00304594">
          <w:rPr>
            <w:rStyle w:val="Hyperlink"/>
            <w:noProof/>
          </w:rPr>
          <w:t xml:space="preserve"> Distribution of phenolic compounds displayed through their originating monomer unit upon pyrolysis of natural diversity switchgrass</w:t>
        </w:r>
        <w:r w:rsidR="00713596">
          <w:rPr>
            <w:noProof/>
            <w:webHidden/>
          </w:rPr>
          <w:tab/>
        </w:r>
        <w:r w:rsidR="00713596">
          <w:rPr>
            <w:noProof/>
            <w:webHidden/>
          </w:rPr>
          <w:fldChar w:fldCharType="begin"/>
        </w:r>
        <w:r w:rsidR="00713596">
          <w:rPr>
            <w:noProof/>
            <w:webHidden/>
          </w:rPr>
          <w:instrText xml:space="preserve"> PAGEREF _Toc14520672 \h </w:instrText>
        </w:r>
        <w:r w:rsidR="00713596">
          <w:rPr>
            <w:noProof/>
            <w:webHidden/>
          </w:rPr>
        </w:r>
        <w:r w:rsidR="00713596">
          <w:rPr>
            <w:noProof/>
            <w:webHidden/>
          </w:rPr>
          <w:fldChar w:fldCharType="separate"/>
        </w:r>
        <w:r w:rsidR="00815371">
          <w:rPr>
            <w:noProof/>
            <w:webHidden/>
          </w:rPr>
          <w:t>66</w:t>
        </w:r>
        <w:r w:rsidR="00713596">
          <w:rPr>
            <w:noProof/>
            <w:webHidden/>
          </w:rPr>
          <w:fldChar w:fldCharType="end"/>
        </w:r>
      </w:hyperlink>
    </w:p>
    <w:p w14:paraId="588501DC" w14:textId="2637ED51" w:rsidR="00713596" w:rsidRDefault="00DE72B4">
      <w:pPr>
        <w:pStyle w:val="TableofFigures"/>
        <w:tabs>
          <w:tab w:val="right" w:leader="dot" w:pos="9350"/>
        </w:tabs>
        <w:rPr>
          <w:rFonts w:asciiTheme="minorHAnsi" w:eastAsiaTheme="minorEastAsia" w:hAnsiTheme="minorHAnsi" w:cstheme="minorBidi"/>
          <w:noProof/>
          <w:color w:val="auto"/>
          <w:sz w:val="22"/>
        </w:rPr>
      </w:pPr>
      <w:hyperlink w:anchor="_Toc14520673" w:history="1">
        <w:r w:rsidR="00713596" w:rsidRPr="00304594">
          <w:rPr>
            <w:rStyle w:val="Hyperlink"/>
            <w:b/>
            <w:bCs/>
            <w:noProof/>
          </w:rPr>
          <w:t>Figure 4.16:</w:t>
        </w:r>
        <w:r w:rsidR="00713596" w:rsidRPr="00304594">
          <w:rPr>
            <w:rStyle w:val="Hyperlink"/>
            <w:noProof/>
          </w:rPr>
          <w:t xml:space="preserve"> Distribution of phenolic compounds displayed through their originating monomer unit upon torrefaction of AP13 switchgrass</w:t>
        </w:r>
        <w:r w:rsidR="00713596">
          <w:rPr>
            <w:noProof/>
            <w:webHidden/>
          </w:rPr>
          <w:tab/>
        </w:r>
        <w:r w:rsidR="00713596">
          <w:rPr>
            <w:noProof/>
            <w:webHidden/>
          </w:rPr>
          <w:fldChar w:fldCharType="begin"/>
        </w:r>
        <w:r w:rsidR="00713596">
          <w:rPr>
            <w:noProof/>
            <w:webHidden/>
          </w:rPr>
          <w:instrText xml:space="preserve"> PAGEREF _Toc14520673 \h </w:instrText>
        </w:r>
        <w:r w:rsidR="00713596">
          <w:rPr>
            <w:noProof/>
            <w:webHidden/>
          </w:rPr>
        </w:r>
        <w:r w:rsidR="00713596">
          <w:rPr>
            <w:noProof/>
            <w:webHidden/>
          </w:rPr>
          <w:fldChar w:fldCharType="separate"/>
        </w:r>
        <w:r w:rsidR="00815371">
          <w:rPr>
            <w:noProof/>
            <w:webHidden/>
          </w:rPr>
          <w:t>67</w:t>
        </w:r>
        <w:r w:rsidR="00713596">
          <w:rPr>
            <w:noProof/>
            <w:webHidden/>
          </w:rPr>
          <w:fldChar w:fldCharType="end"/>
        </w:r>
      </w:hyperlink>
    </w:p>
    <w:p w14:paraId="01A546F8" w14:textId="4741E462" w:rsidR="00713596" w:rsidRDefault="00DE72B4">
      <w:pPr>
        <w:pStyle w:val="TableofFigures"/>
        <w:tabs>
          <w:tab w:val="right" w:leader="dot" w:pos="9350"/>
        </w:tabs>
        <w:rPr>
          <w:rFonts w:asciiTheme="minorHAnsi" w:eastAsiaTheme="minorEastAsia" w:hAnsiTheme="minorHAnsi" w:cstheme="minorBidi"/>
          <w:noProof/>
          <w:color w:val="auto"/>
          <w:sz w:val="22"/>
        </w:rPr>
      </w:pPr>
      <w:hyperlink w:anchor="_Toc14520674" w:history="1">
        <w:r w:rsidR="00713596" w:rsidRPr="00304594">
          <w:rPr>
            <w:rStyle w:val="Hyperlink"/>
            <w:b/>
            <w:bCs/>
            <w:noProof/>
          </w:rPr>
          <w:t>Figure 4.17:</w:t>
        </w:r>
        <w:r w:rsidR="00713596" w:rsidRPr="00304594">
          <w:rPr>
            <w:rStyle w:val="Hyperlink"/>
            <w:noProof/>
          </w:rPr>
          <w:t xml:space="preserve"> Distribution of phenolic compounds displayed through their originating monomer unit upon pyrolysis of AP13 switchgrass</w:t>
        </w:r>
        <w:r w:rsidR="00713596">
          <w:rPr>
            <w:noProof/>
            <w:webHidden/>
          </w:rPr>
          <w:tab/>
        </w:r>
        <w:r w:rsidR="00713596">
          <w:rPr>
            <w:noProof/>
            <w:webHidden/>
          </w:rPr>
          <w:fldChar w:fldCharType="begin"/>
        </w:r>
        <w:r w:rsidR="00713596">
          <w:rPr>
            <w:noProof/>
            <w:webHidden/>
          </w:rPr>
          <w:instrText xml:space="preserve"> PAGEREF _Toc14520674 \h </w:instrText>
        </w:r>
        <w:r w:rsidR="00713596">
          <w:rPr>
            <w:noProof/>
            <w:webHidden/>
          </w:rPr>
        </w:r>
        <w:r w:rsidR="00713596">
          <w:rPr>
            <w:noProof/>
            <w:webHidden/>
          </w:rPr>
          <w:fldChar w:fldCharType="separate"/>
        </w:r>
        <w:r w:rsidR="00815371">
          <w:rPr>
            <w:noProof/>
            <w:webHidden/>
          </w:rPr>
          <w:t>67</w:t>
        </w:r>
        <w:r w:rsidR="00713596">
          <w:rPr>
            <w:noProof/>
            <w:webHidden/>
          </w:rPr>
          <w:fldChar w:fldCharType="end"/>
        </w:r>
      </w:hyperlink>
    </w:p>
    <w:p w14:paraId="3CA036BD" w14:textId="77777777" w:rsidR="003874B9" w:rsidRDefault="00593B96" w:rsidP="003874B9">
      <w:pPr>
        <w:rPr>
          <w:szCs w:val="24"/>
        </w:rPr>
      </w:pPr>
      <w:r>
        <w:rPr>
          <w:szCs w:val="24"/>
        </w:rPr>
        <w:fldChar w:fldCharType="end"/>
      </w:r>
    </w:p>
    <w:p w14:paraId="6960D5AA" w14:textId="77777777" w:rsidR="003874B9" w:rsidRDefault="003874B9" w:rsidP="003874B9">
      <w:pPr>
        <w:ind w:left="0" w:firstLine="0"/>
        <w:rPr>
          <w:szCs w:val="24"/>
        </w:rPr>
      </w:pPr>
    </w:p>
    <w:p w14:paraId="42F1BA5E" w14:textId="77777777" w:rsidR="003874B9" w:rsidRDefault="003874B9" w:rsidP="003874B9">
      <w:pPr>
        <w:spacing w:line="480" w:lineRule="auto"/>
        <w:rPr>
          <w:szCs w:val="24"/>
        </w:rPr>
      </w:pPr>
    </w:p>
    <w:p w14:paraId="4E87794C" w14:textId="77777777" w:rsidR="003874B9" w:rsidRDefault="003874B9" w:rsidP="003874B9">
      <w:pPr>
        <w:spacing w:line="480" w:lineRule="auto"/>
        <w:rPr>
          <w:szCs w:val="24"/>
        </w:rPr>
      </w:pPr>
    </w:p>
    <w:p w14:paraId="3E452796" w14:textId="77777777" w:rsidR="003874B9" w:rsidRDefault="003874B9" w:rsidP="003874B9">
      <w:pPr>
        <w:spacing w:line="480" w:lineRule="auto"/>
        <w:rPr>
          <w:szCs w:val="24"/>
        </w:rPr>
      </w:pPr>
    </w:p>
    <w:p w14:paraId="7E0C6A33" w14:textId="77777777" w:rsidR="003874B9" w:rsidRDefault="003874B9" w:rsidP="003874B9">
      <w:pPr>
        <w:spacing w:line="480" w:lineRule="auto"/>
        <w:ind w:left="0" w:firstLine="0"/>
        <w:rPr>
          <w:szCs w:val="24"/>
        </w:rPr>
      </w:pPr>
    </w:p>
    <w:p w14:paraId="3D531605" w14:textId="77777777" w:rsidR="00812C37" w:rsidRDefault="00812C37" w:rsidP="003874B9">
      <w:pPr>
        <w:spacing w:line="480" w:lineRule="auto"/>
        <w:ind w:left="0" w:firstLine="0"/>
        <w:rPr>
          <w:szCs w:val="24"/>
        </w:rPr>
      </w:pPr>
    </w:p>
    <w:p w14:paraId="3780A272" w14:textId="77777777" w:rsidR="00812C37" w:rsidRDefault="00812C37" w:rsidP="003874B9">
      <w:pPr>
        <w:spacing w:line="480" w:lineRule="auto"/>
        <w:ind w:left="0" w:firstLine="0"/>
        <w:rPr>
          <w:szCs w:val="24"/>
        </w:rPr>
      </w:pPr>
    </w:p>
    <w:p w14:paraId="5CE4C714" w14:textId="77777777" w:rsidR="00812C37" w:rsidRDefault="00812C37" w:rsidP="003874B9">
      <w:pPr>
        <w:spacing w:line="480" w:lineRule="auto"/>
        <w:ind w:left="0" w:firstLine="0"/>
        <w:rPr>
          <w:szCs w:val="24"/>
        </w:rPr>
      </w:pPr>
    </w:p>
    <w:p w14:paraId="4FB63809" w14:textId="77777777" w:rsidR="00812C37" w:rsidRDefault="00812C37" w:rsidP="003874B9">
      <w:pPr>
        <w:spacing w:line="480" w:lineRule="auto"/>
        <w:ind w:left="0" w:firstLine="0"/>
        <w:rPr>
          <w:szCs w:val="24"/>
        </w:rPr>
      </w:pPr>
    </w:p>
    <w:p w14:paraId="1C908F15" w14:textId="77777777" w:rsidR="00812C37" w:rsidRDefault="00812C37" w:rsidP="003874B9">
      <w:pPr>
        <w:spacing w:line="480" w:lineRule="auto"/>
        <w:ind w:left="0" w:firstLine="0"/>
        <w:rPr>
          <w:szCs w:val="24"/>
        </w:rPr>
      </w:pPr>
    </w:p>
    <w:p w14:paraId="70CDDBFD" w14:textId="77777777" w:rsidR="00812C37" w:rsidRDefault="00812C37" w:rsidP="003874B9">
      <w:pPr>
        <w:spacing w:line="480" w:lineRule="auto"/>
        <w:ind w:left="0" w:firstLine="0"/>
        <w:rPr>
          <w:szCs w:val="24"/>
        </w:rPr>
      </w:pPr>
    </w:p>
    <w:p w14:paraId="247D5E11" w14:textId="77777777" w:rsidR="00812C37" w:rsidRDefault="00812C37" w:rsidP="003874B9">
      <w:pPr>
        <w:spacing w:line="480" w:lineRule="auto"/>
        <w:ind w:left="0" w:firstLine="0"/>
        <w:rPr>
          <w:szCs w:val="24"/>
        </w:rPr>
      </w:pPr>
    </w:p>
    <w:p w14:paraId="788E6E0A" w14:textId="77777777" w:rsidR="00812C37" w:rsidRDefault="00812C37" w:rsidP="003874B9">
      <w:pPr>
        <w:spacing w:line="480" w:lineRule="auto"/>
        <w:ind w:left="0" w:firstLine="0"/>
        <w:rPr>
          <w:szCs w:val="24"/>
        </w:rPr>
      </w:pPr>
    </w:p>
    <w:p w14:paraId="0B207ADC" w14:textId="77777777" w:rsidR="00812C37" w:rsidRDefault="00812C37" w:rsidP="003874B9">
      <w:pPr>
        <w:spacing w:line="480" w:lineRule="auto"/>
        <w:ind w:left="0" w:firstLine="0"/>
        <w:rPr>
          <w:szCs w:val="24"/>
        </w:rPr>
      </w:pPr>
    </w:p>
    <w:p w14:paraId="7815FBE5" w14:textId="77777777" w:rsidR="003874B9" w:rsidRPr="002A5915" w:rsidRDefault="003874B9" w:rsidP="001A2B36">
      <w:pPr>
        <w:pStyle w:val="Heading1"/>
        <w:numPr>
          <w:ilvl w:val="0"/>
          <w:numId w:val="0"/>
        </w:numPr>
        <w:jc w:val="center"/>
        <w:rPr>
          <w:rFonts w:ascii="Times New Roman" w:hAnsi="Times New Roman" w:cs="Times New Roman"/>
          <w:b/>
          <w:bCs/>
          <w:color w:val="auto"/>
          <w:sz w:val="28"/>
          <w:szCs w:val="28"/>
        </w:rPr>
      </w:pPr>
      <w:bookmarkStart w:id="6" w:name="_Toc14521023"/>
      <w:r w:rsidRPr="002A5915">
        <w:rPr>
          <w:rFonts w:ascii="Times New Roman" w:hAnsi="Times New Roman" w:cs="Times New Roman"/>
          <w:b/>
          <w:bCs/>
          <w:color w:val="auto"/>
          <w:sz w:val="28"/>
          <w:szCs w:val="28"/>
        </w:rPr>
        <w:lastRenderedPageBreak/>
        <w:t>Abstract</w:t>
      </w:r>
      <w:bookmarkEnd w:id="6"/>
    </w:p>
    <w:p w14:paraId="7E6D864F" w14:textId="77777777" w:rsidR="003874B9" w:rsidRDefault="003874B9" w:rsidP="003874B9">
      <w:pPr>
        <w:spacing w:line="480" w:lineRule="auto"/>
        <w:ind w:firstLine="720"/>
        <w:jc w:val="both"/>
        <w:rPr>
          <w:szCs w:val="24"/>
        </w:rPr>
      </w:pPr>
      <w:r>
        <w:rPr>
          <w:szCs w:val="24"/>
        </w:rPr>
        <w:t xml:space="preserve">Modern industrialization has resulted in an ever-increasing demand for petroleum-based fuel production and electricity generation. Exploitation of fossil fuel reserves have, however, raised grave environmental concerns due to rising carbon dioxide emissions in the atmosphere. While there is existing technology to generate electricity without having to combust coal or natural gas, there are severe engineering challenges at stake that hinder the production of a “carbon neutral” energy source capable of displacing petroleum-based fuels. </w:t>
      </w:r>
    </w:p>
    <w:p w14:paraId="4AC68A4C" w14:textId="77777777" w:rsidR="003874B9" w:rsidRDefault="003874B9" w:rsidP="003874B9">
      <w:pPr>
        <w:spacing w:line="480" w:lineRule="auto"/>
        <w:ind w:firstLine="720"/>
        <w:jc w:val="both"/>
        <w:rPr>
          <w:szCs w:val="24"/>
        </w:rPr>
      </w:pPr>
      <w:r>
        <w:rPr>
          <w:szCs w:val="24"/>
        </w:rPr>
        <w:t xml:space="preserve">One option to counter act the engineering challenges to some extent is the thermochemical conversion of lignocellulosic biomass to produce biofuels. Due to its vast abundance in the Earth’s surface, lignocellulosic biomass is a promising source of renewable energy source that is considered carbon neutral which can help dwindle the dependence on fossil fuels. Torrefaction/Pyrolysis of biomass is one thermochemical strategy with the ability to produce high yields of bio-oil; however, few unfavorable properties of bio-oils produced in such manner raise economic viability concerns due to the increasing costs associated with the upgrading/refining of the bio-oil and the resulting infrastructure required for such purification. </w:t>
      </w:r>
    </w:p>
    <w:p w14:paraId="3DB45A5B" w14:textId="77777777" w:rsidR="0078039E" w:rsidRDefault="003874B9" w:rsidP="003874B9">
      <w:pPr>
        <w:spacing w:line="480" w:lineRule="auto"/>
        <w:ind w:firstLine="720"/>
        <w:jc w:val="both"/>
        <w:rPr>
          <w:szCs w:val="24"/>
        </w:rPr>
        <w:sectPr w:rsidR="0078039E" w:rsidSect="0078039E">
          <w:footerReference w:type="default" r:id="rId37"/>
          <w:pgSz w:w="12240" w:h="15840"/>
          <w:pgMar w:top="1440" w:right="1440" w:bottom="1440" w:left="1440" w:header="720" w:footer="720" w:gutter="0"/>
          <w:pgNumType w:fmt="lowerRoman" w:start="4"/>
          <w:cols w:space="720"/>
          <w:docGrid w:linePitch="360"/>
        </w:sectPr>
      </w:pPr>
      <w:r>
        <w:rPr>
          <w:szCs w:val="24"/>
        </w:rPr>
        <w:t xml:space="preserve">In this contribution, we consider the effects of heritable traits achieved on the thermochemical product streams of mutant and wild type (i.e. unmodified) switchgrass samples. This study incorporates genetic modification to understand and examine the broad thermal stability of lignin. It is hypothesized that mutant switchgrass samples exhibiting low </w:t>
      </w:r>
      <w:r w:rsidRPr="0078652B">
        <w:rPr>
          <w:b/>
          <w:bCs/>
          <w:i/>
          <w:iCs/>
          <w:szCs w:val="24"/>
        </w:rPr>
        <w:t>S/G</w:t>
      </w:r>
      <w:r>
        <w:rPr>
          <w:szCs w:val="24"/>
        </w:rPr>
        <w:t xml:space="preserve"> ratio will result in lower phenolic yields at low temperature thermal treatments without altering the total lignin content present within the biomass. By changing various process conditions (temperature and time) and calculating the cumulative yield of phenolic products per milligram of the raw biomass upon torrefaction and pyrolysis, it was observed that the hypothesis held its </w:t>
      </w:r>
      <w:r>
        <w:rPr>
          <w:szCs w:val="24"/>
        </w:rPr>
        <w:lastRenderedPageBreak/>
        <w:t xml:space="preserve">ground. This approach helped develop a more thorough comprehension of which compositional features of the biomass are responsible for resulting thermochemical product distribution; such understanding will, in turn, allow catalytic valorization techniques to be customized for each specific product stream, thus making the process more economically viable.  </w:t>
      </w:r>
    </w:p>
    <w:p w14:paraId="4AFB193E" w14:textId="77777777" w:rsidR="003874B9" w:rsidRPr="0081775E" w:rsidRDefault="003874B9" w:rsidP="00336F37">
      <w:pPr>
        <w:pStyle w:val="Heading1"/>
        <w:rPr>
          <w:rFonts w:ascii="Times New Roman" w:hAnsi="Times New Roman" w:cs="Times New Roman"/>
          <w:b/>
          <w:bCs/>
          <w:color w:val="auto"/>
          <w:sz w:val="28"/>
          <w:szCs w:val="28"/>
        </w:rPr>
      </w:pPr>
      <w:bookmarkStart w:id="7" w:name="_Toc14521024"/>
      <w:r w:rsidRPr="0081775E">
        <w:rPr>
          <w:rFonts w:ascii="Times New Roman" w:hAnsi="Times New Roman" w:cs="Times New Roman"/>
          <w:b/>
          <w:bCs/>
          <w:color w:val="auto"/>
          <w:sz w:val="28"/>
          <w:szCs w:val="28"/>
        </w:rPr>
        <w:lastRenderedPageBreak/>
        <w:t>: Literature Review</w:t>
      </w:r>
      <w:bookmarkEnd w:id="7"/>
    </w:p>
    <w:p w14:paraId="1E04449B" w14:textId="77777777" w:rsidR="003874B9" w:rsidRPr="009F12CB" w:rsidRDefault="003874B9" w:rsidP="00336F37">
      <w:pPr>
        <w:pStyle w:val="Heading2"/>
        <w:rPr>
          <w:rFonts w:ascii="Times New Roman" w:hAnsi="Times New Roman" w:cs="Times New Roman"/>
          <w:b/>
          <w:bCs/>
          <w:color w:val="auto"/>
          <w:sz w:val="24"/>
          <w:szCs w:val="24"/>
        </w:rPr>
      </w:pPr>
      <w:bookmarkStart w:id="8" w:name="_Toc14521025"/>
      <w:r w:rsidRPr="009F12CB">
        <w:rPr>
          <w:rFonts w:ascii="Times New Roman" w:hAnsi="Times New Roman" w:cs="Times New Roman"/>
          <w:b/>
          <w:bCs/>
          <w:color w:val="auto"/>
          <w:sz w:val="24"/>
          <w:szCs w:val="24"/>
        </w:rPr>
        <w:t>1.1 I</w:t>
      </w:r>
      <w:r w:rsidR="009F12CB">
        <w:rPr>
          <w:rFonts w:ascii="Times New Roman" w:hAnsi="Times New Roman" w:cs="Times New Roman"/>
          <w:b/>
          <w:bCs/>
          <w:color w:val="auto"/>
          <w:sz w:val="24"/>
          <w:szCs w:val="24"/>
        </w:rPr>
        <w:t>ntroduction</w:t>
      </w:r>
      <w:bookmarkEnd w:id="8"/>
    </w:p>
    <w:p w14:paraId="24C8A30F" w14:textId="77777777" w:rsidR="003874B9" w:rsidRPr="006874F3" w:rsidRDefault="003874B9" w:rsidP="003874B9">
      <w:pPr>
        <w:spacing w:line="480" w:lineRule="auto"/>
        <w:ind w:firstLine="720"/>
        <w:jc w:val="both"/>
        <w:rPr>
          <w:b/>
          <w:szCs w:val="24"/>
        </w:rPr>
      </w:pPr>
      <w:r w:rsidRPr="006874F3">
        <w:rPr>
          <w:szCs w:val="24"/>
        </w:rPr>
        <w:t xml:space="preserve">Modern industrialization, in conjunction with the emergence of crude oil as a cheap energy source, have heavily exploited fossil fuel reserves to satisfy the needs of fuel production and electricity generation. However, with increasing demand for non-renewable hydrocarbons in various industries, the focus has been turned to develop a sustainable energy source to ensure eradication of the dependence on fossil fuels. This objective has grown in impetus when major environmental consequences and political concerns (i.e. global carbon footprint) are considered; the burning of fossil fuels leads to the emission of carbon dioxide- among other detrimental gases- which is primarily responsible for global warming (1). </w:t>
      </w:r>
    </w:p>
    <w:p w14:paraId="40244B7E" w14:textId="77777777" w:rsidR="003874B9" w:rsidRPr="006874F3" w:rsidRDefault="003874B9" w:rsidP="003874B9">
      <w:pPr>
        <w:spacing w:line="480" w:lineRule="auto"/>
        <w:ind w:firstLine="720"/>
        <w:jc w:val="both"/>
        <w:rPr>
          <w:szCs w:val="24"/>
        </w:rPr>
      </w:pPr>
      <w:r w:rsidRPr="006874F3">
        <w:rPr>
          <w:szCs w:val="24"/>
        </w:rPr>
        <w:t>Considering the global energy consumption and growing environmental concerns, a conversion from non-renewable energy banks to renewable energy sources seem like the only rational choice; solar, wind, biomass, tide, wave, and geothermal energy reserves, therefore, become an attractive prospect. Of the renewable energy sources highlighted, energy derived from biomass has a unique advantage over other sources: it is the only energy source which is a sustainable carbon carrier (2). The Earth’s surface harbors abundant biomass which makes it a tantalizing potential energy reserve; in addition to that, lignocellulosic biomass is considered to be carbon neutral since all the carbon within biomass comes from carbon dioxide in the atmosphere (which happens to be gaseous emission resulting from the burning of fuels); this atmospheric carbon dioxide is a raw material for biomass growth through photosynthesis, hence the net amount of atmospheric CO</w:t>
      </w:r>
      <w:r w:rsidRPr="006874F3">
        <w:rPr>
          <w:szCs w:val="24"/>
          <w:vertAlign w:val="subscript"/>
        </w:rPr>
        <w:t>2</w:t>
      </w:r>
      <w:r w:rsidRPr="006874F3">
        <w:rPr>
          <w:szCs w:val="24"/>
        </w:rPr>
        <w:t xml:space="preserve"> is neutralized  as a result of the carbon cycle (3).</w:t>
      </w:r>
    </w:p>
    <w:p w14:paraId="4B7100D5" w14:textId="77777777" w:rsidR="003874B9" w:rsidRDefault="003874B9" w:rsidP="003874B9">
      <w:pPr>
        <w:spacing w:line="480" w:lineRule="auto"/>
        <w:rPr>
          <w:b/>
          <w:szCs w:val="24"/>
          <w:u w:val="single"/>
        </w:rPr>
      </w:pPr>
    </w:p>
    <w:p w14:paraId="4939BFF9" w14:textId="77777777" w:rsidR="003874B9" w:rsidRDefault="003874B9" w:rsidP="002A5915">
      <w:pPr>
        <w:pStyle w:val="Heading2"/>
      </w:pPr>
    </w:p>
    <w:p w14:paraId="47869011" w14:textId="77777777" w:rsidR="003874B9" w:rsidRPr="009F12CB" w:rsidRDefault="003874B9" w:rsidP="002A5915">
      <w:pPr>
        <w:pStyle w:val="Heading2"/>
        <w:rPr>
          <w:rFonts w:ascii="Times New Roman" w:hAnsi="Times New Roman" w:cs="Times New Roman"/>
          <w:b/>
          <w:bCs/>
          <w:color w:val="auto"/>
          <w:sz w:val="24"/>
          <w:szCs w:val="24"/>
        </w:rPr>
      </w:pPr>
      <w:bookmarkStart w:id="9" w:name="_Toc14521026"/>
      <w:r w:rsidRPr="009F12CB">
        <w:rPr>
          <w:rFonts w:ascii="Times New Roman" w:hAnsi="Times New Roman" w:cs="Times New Roman"/>
          <w:b/>
          <w:bCs/>
          <w:color w:val="auto"/>
          <w:sz w:val="24"/>
          <w:szCs w:val="24"/>
        </w:rPr>
        <w:t>1.2 S</w:t>
      </w:r>
      <w:r w:rsidR="009F12CB">
        <w:rPr>
          <w:rFonts w:ascii="Times New Roman" w:hAnsi="Times New Roman" w:cs="Times New Roman"/>
          <w:b/>
          <w:bCs/>
          <w:color w:val="auto"/>
          <w:sz w:val="24"/>
          <w:szCs w:val="24"/>
        </w:rPr>
        <w:t>tructure and thermal stability of biomass</w:t>
      </w:r>
      <w:bookmarkEnd w:id="9"/>
    </w:p>
    <w:p w14:paraId="1051C980" w14:textId="77777777" w:rsidR="003874B9" w:rsidRPr="006874F3" w:rsidRDefault="003874B9" w:rsidP="003874B9">
      <w:pPr>
        <w:spacing w:line="480" w:lineRule="auto"/>
        <w:ind w:firstLine="720"/>
        <w:jc w:val="both"/>
        <w:rPr>
          <w:b/>
          <w:szCs w:val="24"/>
        </w:rPr>
      </w:pPr>
      <w:r w:rsidRPr="006874F3">
        <w:rPr>
          <w:szCs w:val="24"/>
        </w:rPr>
        <w:t>Cellulose, hemicellulose, and lignin constitute the major segments of biomass. Cellulose and hemicellulose contribute anywhere from 60-90% of the biomass, while the remaining portion is majorly taken up by lignin (4,5). In addition to these components, organic extractives, inorganic minerals (ash), and water are also minor constituents of biomass (3,5). Cellulose is a crystalline glucose polysaccharide consisting of D-glucopyranose monomers units; these units are bonded through β-1,4 glycosidic linkages, as shown in Figure 1.1 (c). Hemicellulose, unlike cellulose, is a polysaccharide consisting of five different sugars; the most abundant constituent is a xylose polymer called xylan bonded at the 1 and 4 positions. Lignin, on the other hand, is a different type of polymer whose production is commenced by enzyme driven free-radical polymerization of alcohol precursors. Numerous “hydroxy-“ and “methoxy-“ substituted phenylpropane units make up the highly branched polyphenolic substance within the lignin molecule.  Most lignin has coniferyl (</w:t>
      </w:r>
      <w:r w:rsidRPr="006874F3">
        <w:rPr>
          <w:b/>
          <w:bCs/>
          <w:i/>
          <w:iCs/>
          <w:szCs w:val="24"/>
        </w:rPr>
        <w:t>G</w:t>
      </w:r>
      <w:r w:rsidRPr="006874F3">
        <w:rPr>
          <w:szCs w:val="24"/>
        </w:rPr>
        <w:t>), sinapyl (</w:t>
      </w:r>
      <w:r w:rsidRPr="006874F3">
        <w:rPr>
          <w:b/>
          <w:bCs/>
          <w:i/>
          <w:iCs/>
          <w:szCs w:val="24"/>
        </w:rPr>
        <w:t>S</w:t>
      </w:r>
      <w:r w:rsidRPr="006874F3">
        <w:rPr>
          <w:szCs w:val="24"/>
        </w:rPr>
        <w:t>), and p-coumaryl (</w:t>
      </w:r>
      <w:r w:rsidRPr="006874F3">
        <w:rPr>
          <w:b/>
          <w:bCs/>
          <w:i/>
          <w:iCs/>
          <w:szCs w:val="24"/>
        </w:rPr>
        <w:t>H</w:t>
      </w:r>
      <w:r w:rsidRPr="006874F3">
        <w:rPr>
          <w:szCs w:val="24"/>
        </w:rPr>
        <w:t>) alcohol as their monomer units (3,4,5).</w:t>
      </w:r>
    </w:p>
    <w:p w14:paraId="2CABE780" w14:textId="77777777" w:rsidR="003874B9" w:rsidRPr="006874F3" w:rsidRDefault="003874B9" w:rsidP="003874B9">
      <w:pPr>
        <w:spacing w:line="480" w:lineRule="auto"/>
        <w:ind w:firstLine="720"/>
        <w:jc w:val="both"/>
        <w:rPr>
          <w:szCs w:val="24"/>
        </w:rPr>
      </w:pPr>
      <w:r w:rsidRPr="006874F3">
        <w:rPr>
          <w:noProof/>
          <w:szCs w:val="24"/>
        </w:rPr>
        <w:lastRenderedPageBreak/>
        <w:drawing>
          <wp:anchor distT="0" distB="0" distL="114300" distR="114300" simplePos="0" relativeHeight="251659264" behindDoc="0" locked="0" layoutInCell="1" allowOverlap="1" wp14:anchorId="12907C8C" wp14:editId="4C06BB75">
            <wp:simplePos x="0" y="0"/>
            <wp:positionH relativeFrom="margin">
              <wp:align>center</wp:align>
            </wp:positionH>
            <wp:positionV relativeFrom="paragraph">
              <wp:posOffset>10160</wp:posOffset>
            </wp:positionV>
            <wp:extent cx="3752850" cy="37147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752850" cy="3714750"/>
                    </a:xfrm>
                    <a:prstGeom prst="rect">
                      <a:avLst/>
                    </a:prstGeom>
                  </pic:spPr>
                </pic:pic>
              </a:graphicData>
            </a:graphic>
            <wp14:sizeRelH relativeFrom="margin">
              <wp14:pctWidth>0</wp14:pctWidth>
            </wp14:sizeRelH>
            <wp14:sizeRelV relativeFrom="margin">
              <wp14:pctHeight>0</wp14:pctHeight>
            </wp14:sizeRelV>
          </wp:anchor>
        </w:drawing>
      </w:r>
    </w:p>
    <w:p w14:paraId="59DCF596" w14:textId="77777777" w:rsidR="003874B9" w:rsidRPr="006874F3" w:rsidRDefault="003874B9" w:rsidP="003874B9">
      <w:pPr>
        <w:spacing w:line="480" w:lineRule="auto"/>
        <w:ind w:firstLine="720"/>
        <w:jc w:val="both"/>
        <w:rPr>
          <w:szCs w:val="24"/>
        </w:rPr>
      </w:pPr>
    </w:p>
    <w:p w14:paraId="0CC65E67" w14:textId="77777777" w:rsidR="003874B9" w:rsidRPr="006874F3" w:rsidRDefault="003874B9" w:rsidP="003874B9">
      <w:pPr>
        <w:spacing w:line="480" w:lineRule="auto"/>
        <w:ind w:firstLine="720"/>
        <w:jc w:val="both"/>
        <w:rPr>
          <w:szCs w:val="24"/>
        </w:rPr>
      </w:pPr>
    </w:p>
    <w:p w14:paraId="31203FE7" w14:textId="77777777" w:rsidR="003874B9" w:rsidRPr="006874F3" w:rsidRDefault="003874B9" w:rsidP="003874B9">
      <w:pPr>
        <w:spacing w:line="480" w:lineRule="auto"/>
        <w:ind w:firstLine="720"/>
        <w:jc w:val="both"/>
        <w:rPr>
          <w:szCs w:val="24"/>
        </w:rPr>
      </w:pPr>
    </w:p>
    <w:p w14:paraId="3D405A62" w14:textId="77777777" w:rsidR="003874B9" w:rsidRPr="006874F3" w:rsidRDefault="003874B9" w:rsidP="003874B9">
      <w:pPr>
        <w:spacing w:line="480" w:lineRule="auto"/>
        <w:ind w:firstLine="720"/>
        <w:jc w:val="both"/>
        <w:rPr>
          <w:szCs w:val="24"/>
        </w:rPr>
      </w:pPr>
    </w:p>
    <w:p w14:paraId="68D836CB" w14:textId="77777777" w:rsidR="003874B9" w:rsidRPr="006874F3" w:rsidRDefault="003874B9" w:rsidP="003874B9">
      <w:pPr>
        <w:spacing w:line="480" w:lineRule="auto"/>
        <w:ind w:firstLine="720"/>
        <w:jc w:val="both"/>
        <w:rPr>
          <w:szCs w:val="24"/>
        </w:rPr>
      </w:pPr>
    </w:p>
    <w:p w14:paraId="49BAF7BE" w14:textId="77777777" w:rsidR="003874B9" w:rsidRPr="006874F3" w:rsidRDefault="003874B9" w:rsidP="003874B9">
      <w:pPr>
        <w:spacing w:line="480" w:lineRule="auto"/>
        <w:ind w:firstLine="720"/>
        <w:jc w:val="both"/>
        <w:rPr>
          <w:szCs w:val="24"/>
        </w:rPr>
      </w:pPr>
    </w:p>
    <w:p w14:paraId="24BF0061" w14:textId="77777777" w:rsidR="003874B9" w:rsidRPr="006874F3" w:rsidRDefault="003874B9" w:rsidP="003874B9">
      <w:pPr>
        <w:spacing w:line="480" w:lineRule="auto"/>
        <w:ind w:firstLine="720"/>
        <w:jc w:val="both"/>
        <w:rPr>
          <w:szCs w:val="24"/>
        </w:rPr>
      </w:pPr>
    </w:p>
    <w:p w14:paraId="4E7E403C" w14:textId="77777777" w:rsidR="003874B9" w:rsidRDefault="003874B9" w:rsidP="003874B9">
      <w:pPr>
        <w:spacing w:line="480" w:lineRule="auto"/>
        <w:ind w:firstLine="720"/>
        <w:jc w:val="both"/>
        <w:rPr>
          <w:szCs w:val="24"/>
        </w:rPr>
      </w:pPr>
    </w:p>
    <w:p w14:paraId="5C732413" w14:textId="77777777" w:rsidR="00F76255" w:rsidRDefault="00174688" w:rsidP="00174688">
      <w:pPr>
        <w:spacing w:line="480" w:lineRule="auto"/>
        <w:ind w:firstLine="720"/>
        <w:jc w:val="both"/>
        <w:rPr>
          <w:szCs w:val="24"/>
        </w:rPr>
      </w:pPr>
      <w:r>
        <w:rPr>
          <w:noProof/>
        </w:rPr>
        <mc:AlternateContent>
          <mc:Choice Requires="wps">
            <w:drawing>
              <wp:anchor distT="0" distB="0" distL="114300" distR="114300" simplePos="0" relativeHeight="251751424" behindDoc="0" locked="0" layoutInCell="1" allowOverlap="1" wp14:anchorId="395264FA" wp14:editId="28F88CC2">
                <wp:simplePos x="0" y="0"/>
                <wp:positionH relativeFrom="margin">
                  <wp:align>right</wp:align>
                </wp:positionH>
                <wp:positionV relativeFrom="paragraph">
                  <wp:posOffset>512445</wp:posOffset>
                </wp:positionV>
                <wp:extent cx="5934075" cy="419100"/>
                <wp:effectExtent l="0" t="0" r="9525" b="0"/>
                <wp:wrapSquare wrapText="bothSides"/>
                <wp:docPr id="243" name="Text Box 243"/>
                <wp:cNvGraphicFramePr/>
                <a:graphic xmlns:a="http://schemas.openxmlformats.org/drawingml/2006/main">
                  <a:graphicData uri="http://schemas.microsoft.com/office/word/2010/wordprocessingShape">
                    <wps:wsp>
                      <wps:cNvSpPr txBox="1"/>
                      <wps:spPr>
                        <a:xfrm>
                          <a:off x="0" y="0"/>
                          <a:ext cx="5934075" cy="419100"/>
                        </a:xfrm>
                        <a:prstGeom prst="rect">
                          <a:avLst/>
                        </a:prstGeom>
                        <a:solidFill>
                          <a:prstClr val="white"/>
                        </a:solidFill>
                        <a:ln>
                          <a:noFill/>
                        </a:ln>
                      </wps:spPr>
                      <wps:txbx>
                        <w:txbxContent>
                          <w:p w14:paraId="2E5E1F60" w14:textId="6F736DC6" w:rsidR="00AA26F6" w:rsidRPr="00174688" w:rsidRDefault="00AA26F6" w:rsidP="00593B96">
                            <w:pPr>
                              <w:pStyle w:val="Caption"/>
                              <w:rPr>
                                <w:i w:val="0"/>
                                <w:iCs w:val="0"/>
                                <w:noProof/>
                                <w:color w:val="auto"/>
                                <w:sz w:val="24"/>
                                <w:szCs w:val="24"/>
                              </w:rPr>
                            </w:pPr>
                            <w:bookmarkStart w:id="10" w:name="_Toc14520635"/>
                            <w:r w:rsidRPr="00174688">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sidRPr="00174688">
                              <w:rPr>
                                <w:b/>
                                <w:bCs/>
                                <w:i w:val="0"/>
                                <w:iCs w:val="0"/>
                                <w:color w:val="auto"/>
                                <w:sz w:val="24"/>
                                <w:szCs w:val="24"/>
                              </w:rPr>
                              <w:t>:</w:t>
                            </w:r>
                            <w:r w:rsidRPr="00174688">
                              <w:rPr>
                                <w:i w:val="0"/>
                                <w:iCs w:val="0"/>
                                <w:color w:val="auto"/>
                                <w:sz w:val="24"/>
                                <w:szCs w:val="24"/>
                              </w:rPr>
                              <w:t xml:space="preserve">  Structure of lignocellulosic biomass; (a) different monomer units comprising lignin; (b) xylose unit of hemicellulose; (c) cellulose</w:t>
                            </w:r>
                            <w:bookmarkEnd w:id="10"/>
                            <w:r w:rsidR="00A863B9">
                              <w:rPr>
                                <w:i w:val="0"/>
                                <w:iCs w:val="0"/>
                                <w:color w:val="auto"/>
                                <w:sz w:val="24"/>
                                <w:szCs w:val="24"/>
                              </w:rPr>
                              <w:t xml:space="preserve"> (4)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264FA" id="_x0000_t202" coordsize="21600,21600" o:spt="202" path="m,l,21600r21600,l21600,xe">
                <v:stroke joinstyle="miter"/>
                <v:path gradientshapeok="t" o:connecttype="rect"/>
              </v:shapetype>
              <v:shape id="Text Box 243" o:spid="_x0000_s1026" type="#_x0000_t202" style="position:absolute;left:0;text-align:left;margin-left:416.05pt;margin-top:40.35pt;width:467.25pt;height:33pt;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" stroked="f">
                <v:textbox inset="0,0,0,0">
                  <w:txbxContent>
                    <w:p w14:paraId="2E5E1F60" w14:textId="6F736DC6" w:rsidR="00AA26F6" w:rsidRPr="00174688" w:rsidRDefault="00AA26F6" w:rsidP="00593B96">
                      <w:pPr>
                        <w:pStyle w:val="Caption"/>
                        <w:rPr>
                          <w:i w:val="0"/>
                          <w:iCs w:val="0"/>
                          <w:noProof/>
                          <w:color w:val="auto"/>
                          <w:sz w:val="24"/>
                          <w:szCs w:val="24"/>
                        </w:rPr>
                      </w:pPr>
                      <w:bookmarkStart w:id="11" w:name="_Toc14520635"/>
                      <w:r w:rsidRPr="00174688">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sidRPr="00174688">
                        <w:rPr>
                          <w:b/>
                          <w:bCs/>
                          <w:i w:val="0"/>
                          <w:iCs w:val="0"/>
                          <w:color w:val="auto"/>
                          <w:sz w:val="24"/>
                          <w:szCs w:val="24"/>
                        </w:rPr>
                        <w:t>:</w:t>
                      </w:r>
                      <w:r w:rsidRPr="00174688">
                        <w:rPr>
                          <w:i w:val="0"/>
                          <w:iCs w:val="0"/>
                          <w:color w:val="auto"/>
                          <w:sz w:val="24"/>
                          <w:szCs w:val="24"/>
                        </w:rPr>
                        <w:t xml:space="preserve">  Structure of lignocellulosic biomass; (a) different monomer units comprising lignin; (b) xylose unit of hemicellulose; (c) cellulose</w:t>
                      </w:r>
                      <w:bookmarkEnd w:id="11"/>
                      <w:r w:rsidR="00A863B9">
                        <w:rPr>
                          <w:i w:val="0"/>
                          <w:iCs w:val="0"/>
                          <w:color w:val="auto"/>
                          <w:sz w:val="24"/>
                          <w:szCs w:val="24"/>
                        </w:rPr>
                        <w:t xml:space="preserve"> (4)</w:t>
                      </w:r>
                    </w:p>
                  </w:txbxContent>
                </v:textbox>
                <w10:wrap type="square" anchorx="margin"/>
              </v:shape>
            </w:pict>
          </mc:Fallback>
        </mc:AlternateContent>
      </w:r>
    </w:p>
    <w:p w14:paraId="483BC46B" w14:textId="77777777" w:rsidR="00174688" w:rsidRDefault="00174688" w:rsidP="00174688">
      <w:pPr>
        <w:spacing w:line="480" w:lineRule="auto"/>
        <w:ind w:firstLine="720"/>
        <w:jc w:val="both"/>
        <w:rPr>
          <w:szCs w:val="24"/>
        </w:rPr>
      </w:pPr>
    </w:p>
    <w:p w14:paraId="37EB1CB5" w14:textId="77777777" w:rsidR="003874B9" w:rsidRPr="006874F3" w:rsidRDefault="003874B9" w:rsidP="003874B9">
      <w:pPr>
        <w:spacing w:line="480" w:lineRule="auto"/>
        <w:ind w:left="0" w:firstLine="720"/>
        <w:jc w:val="both"/>
        <w:rPr>
          <w:rFonts w:eastAsiaTheme="minorEastAsia"/>
          <w:bCs/>
          <w:szCs w:val="24"/>
        </w:rPr>
      </w:pPr>
      <w:r w:rsidRPr="006874F3">
        <w:rPr>
          <w:szCs w:val="24"/>
        </w:rPr>
        <w:t xml:space="preserve">Taking into consideration the different monomer units and their respective structures, each major constituent of biomass possesses different thermal decomposition features, which can be carefully exploited to extract valuable chemical compounds. Hemicellulose displays the lowest thermal decomposition temperature, and mainly degrades at temperatures ranging between 150 </w:t>
      </w:r>
      <m:oMath>
        <m:r>
          <w:rPr>
            <w:rFonts w:ascii="Cambria Math" w:hAnsi="Cambria Math"/>
            <w:szCs w:val="24"/>
          </w:rPr>
          <m:t>℃</m:t>
        </m:r>
      </m:oMath>
      <w:r w:rsidRPr="006874F3">
        <w:rPr>
          <w:rFonts w:eastAsiaTheme="minorEastAsia"/>
          <w:szCs w:val="24"/>
        </w:rPr>
        <w:t xml:space="preserve"> and 315 </w:t>
      </w:r>
      <m:oMath>
        <m:r>
          <w:rPr>
            <w:rFonts w:ascii="Cambria Math" w:hAnsi="Cambria Math"/>
            <w:szCs w:val="24"/>
          </w:rPr>
          <m:t>℃</m:t>
        </m:r>
      </m:oMath>
      <w:r w:rsidRPr="006874F3">
        <w:rPr>
          <w:rFonts w:eastAsiaTheme="minorEastAsia"/>
          <w:szCs w:val="24"/>
        </w:rPr>
        <w:t xml:space="preserve">. Cellulose degrades between 315 </w:t>
      </w:r>
      <m:oMath>
        <m:r>
          <w:rPr>
            <w:rFonts w:ascii="Cambria Math" w:hAnsi="Cambria Math"/>
            <w:szCs w:val="24"/>
          </w:rPr>
          <m:t>℃</m:t>
        </m:r>
      </m:oMath>
      <w:r w:rsidRPr="006874F3">
        <w:rPr>
          <w:rFonts w:eastAsiaTheme="minorEastAsia"/>
          <w:szCs w:val="24"/>
        </w:rPr>
        <w:t xml:space="preserve">  and 400 </w:t>
      </w:r>
      <m:oMath>
        <m:r>
          <w:rPr>
            <w:rFonts w:ascii="Cambria Math" w:hAnsi="Cambria Math"/>
            <w:szCs w:val="24"/>
          </w:rPr>
          <m:t>℃</m:t>
        </m:r>
      </m:oMath>
      <w:r w:rsidRPr="006874F3">
        <w:rPr>
          <w:rFonts w:eastAsiaTheme="minorEastAsia"/>
          <w:szCs w:val="24"/>
        </w:rPr>
        <w:t xml:space="preserve">, whereas lignin undergoes decomposition for temperatures ranging between 250 </w:t>
      </w:r>
      <m:oMath>
        <m:r>
          <w:rPr>
            <w:rFonts w:ascii="Cambria Math" w:hAnsi="Cambria Math"/>
            <w:szCs w:val="24"/>
          </w:rPr>
          <m:t>℃</m:t>
        </m:r>
      </m:oMath>
      <w:r w:rsidRPr="006874F3">
        <w:rPr>
          <w:rFonts w:eastAsiaTheme="minorEastAsia"/>
          <w:szCs w:val="24"/>
        </w:rPr>
        <w:t xml:space="preserve"> and 500 </w:t>
      </w:r>
      <m:oMath>
        <m:r>
          <w:rPr>
            <w:rFonts w:ascii="Cambria Math" w:hAnsi="Cambria Math"/>
            <w:szCs w:val="24"/>
          </w:rPr>
          <m:t>℃</m:t>
        </m:r>
      </m:oMath>
      <w:r w:rsidRPr="006874F3">
        <w:rPr>
          <w:rFonts w:eastAsiaTheme="minorEastAsia"/>
          <w:szCs w:val="24"/>
        </w:rPr>
        <w:t>(3,6).</w:t>
      </w:r>
      <w:r w:rsidRPr="006874F3">
        <w:rPr>
          <w:rFonts w:eastAsiaTheme="minorEastAsia"/>
          <w:b/>
          <w:szCs w:val="24"/>
        </w:rPr>
        <w:t xml:space="preserve"> </w:t>
      </w:r>
      <w:r w:rsidRPr="006874F3">
        <w:rPr>
          <w:rFonts w:eastAsiaTheme="minorEastAsia"/>
          <w:bCs/>
          <w:szCs w:val="24"/>
        </w:rPr>
        <w:t xml:space="preserve">The thermal decomposition ranges of each constituent of biomass is displayed in Figure 1.2. </w:t>
      </w:r>
    </w:p>
    <w:p w14:paraId="51B90B71" w14:textId="77777777" w:rsidR="003874B9" w:rsidRPr="009F12CB" w:rsidRDefault="003874B9" w:rsidP="002A5915">
      <w:pPr>
        <w:pStyle w:val="Heading2"/>
        <w:rPr>
          <w:rFonts w:ascii="Times New Roman" w:eastAsiaTheme="minorEastAsia" w:hAnsi="Times New Roman" w:cs="Times New Roman"/>
          <w:b/>
          <w:bCs/>
          <w:color w:val="auto"/>
          <w:sz w:val="24"/>
          <w:szCs w:val="24"/>
        </w:rPr>
      </w:pPr>
      <w:bookmarkStart w:id="12" w:name="_Toc14521027"/>
      <w:r w:rsidRPr="009F12CB">
        <w:rPr>
          <w:rFonts w:ascii="Times New Roman" w:eastAsiaTheme="minorEastAsia" w:hAnsi="Times New Roman" w:cs="Times New Roman"/>
          <w:b/>
          <w:bCs/>
          <w:noProof/>
          <w:color w:val="auto"/>
          <w:sz w:val="24"/>
          <w:szCs w:val="24"/>
        </w:rPr>
        <w:lastRenderedPageBreak/>
        <mc:AlternateContent>
          <mc:Choice Requires="wps">
            <w:drawing>
              <wp:anchor distT="45720" distB="45720" distL="114300" distR="114300" simplePos="0" relativeHeight="251661312" behindDoc="0" locked="0" layoutInCell="1" allowOverlap="1" wp14:anchorId="623CC252" wp14:editId="4FF7A771">
                <wp:simplePos x="0" y="0"/>
                <wp:positionH relativeFrom="margin">
                  <wp:posOffset>161925</wp:posOffset>
                </wp:positionH>
                <wp:positionV relativeFrom="paragraph">
                  <wp:posOffset>1561465</wp:posOffset>
                </wp:positionV>
                <wp:extent cx="5924550" cy="42862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428625"/>
                        </a:xfrm>
                        <a:prstGeom prst="rect">
                          <a:avLst/>
                        </a:prstGeom>
                        <a:solidFill>
                          <a:srgbClr val="FFFFFF"/>
                        </a:solidFill>
                        <a:ln w="9525">
                          <a:noFill/>
                          <a:miter lim="800000"/>
                          <a:headEnd/>
                          <a:tailEnd/>
                        </a:ln>
                      </wps:spPr>
                      <wps:txbx>
                        <w:txbxContent>
                          <w:p w14:paraId="01D302C8" w14:textId="77777777" w:rsidR="00AA26F6" w:rsidRPr="008C4499" w:rsidRDefault="00AA26F6" w:rsidP="00ED4E6F">
                            <w:pPr>
                              <w:jc w:val="center"/>
                              <w:rPr>
                                <w:szCs w:val="24"/>
                              </w:rPr>
                            </w:pPr>
                            <w:r w:rsidRPr="008C4499">
                              <w:rPr>
                                <w:b/>
                                <w:szCs w:val="24"/>
                              </w:rPr>
                              <w:t>Figure 1.2:</w:t>
                            </w:r>
                            <w:r w:rsidRPr="008C4499">
                              <w:rPr>
                                <w:szCs w:val="24"/>
                              </w:rPr>
                              <w:t xml:space="preserve"> Thermal stability of the different constituents within lignocellulosic biomass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CC252" id="Text Box 2" o:spid="_x0000_s1027" type="#_x0000_t202" style="position:absolute;left:0;text-align:left;margin-left:12.75pt;margin-top:122.95pt;width:466.5pt;height:33.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" stroked="f">
                <v:textbox>
                  <w:txbxContent>
                    <w:p w14:paraId="01D302C8" w14:textId="77777777" w:rsidR="00AA26F6" w:rsidRPr="008C4499" w:rsidRDefault="00AA26F6" w:rsidP="00ED4E6F">
                      <w:pPr>
                        <w:jc w:val="center"/>
                        <w:rPr>
                          <w:szCs w:val="24"/>
                        </w:rPr>
                      </w:pPr>
                      <w:r w:rsidRPr="008C4499">
                        <w:rPr>
                          <w:b/>
                          <w:szCs w:val="24"/>
                        </w:rPr>
                        <w:t>Figure 1.2:</w:t>
                      </w:r>
                      <w:r w:rsidRPr="008C4499">
                        <w:rPr>
                          <w:szCs w:val="24"/>
                        </w:rPr>
                        <w:t xml:space="preserve"> Thermal stability of the different constituents within lignocellulosic biomass (6)</w:t>
                      </w:r>
                    </w:p>
                  </w:txbxContent>
                </v:textbox>
                <w10:wrap type="square" anchorx="margin"/>
              </v:shape>
            </w:pict>
          </mc:Fallback>
        </mc:AlternateContent>
      </w:r>
      <w:r w:rsidR="00D26D5B" w:rsidRPr="009F12CB">
        <w:rPr>
          <w:rFonts w:ascii="Times New Roman" w:hAnsi="Times New Roman" w:cs="Times New Roman"/>
          <w:b/>
          <w:bCs/>
          <w:noProof/>
          <w:color w:val="auto"/>
          <w:sz w:val="24"/>
          <w:szCs w:val="24"/>
        </w:rPr>
        <mc:AlternateContent>
          <mc:Choice Requires="wps">
            <w:drawing>
              <wp:anchor distT="0" distB="0" distL="114300" distR="114300" simplePos="0" relativeHeight="251753472" behindDoc="0" locked="0" layoutInCell="1" allowOverlap="1" wp14:anchorId="6ADF8A37" wp14:editId="1CC65CF7">
                <wp:simplePos x="0" y="0"/>
                <wp:positionH relativeFrom="column">
                  <wp:posOffset>0</wp:posOffset>
                </wp:positionH>
                <wp:positionV relativeFrom="paragraph">
                  <wp:posOffset>1544955</wp:posOffset>
                </wp:positionV>
                <wp:extent cx="5934075" cy="635"/>
                <wp:effectExtent l="0" t="0" r="0" b="0"/>
                <wp:wrapSquare wrapText="bothSides"/>
                <wp:docPr id="249" name="Text Box 249"/>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03CDFD34" w14:textId="7375F948" w:rsidR="00AA26F6" w:rsidRPr="00174688" w:rsidRDefault="00AA26F6" w:rsidP="00D26D5B">
                            <w:pPr>
                              <w:pStyle w:val="Caption"/>
                              <w:rPr>
                                <w:i w:val="0"/>
                                <w:iCs w:val="0"/>
                                <w:noProof/>
                                <w:color w:val="auto"/>
                                <w:sz w:val="24"/>
                                <w:szCs w:val="24"/>
                              </w:rPr>
                            </w:pPr>
                            <w:bookmarkStart w:id="13" w:name="_Toc14520636"/>
                            <w:r w:rsidRPr="00174688">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sidRPr="00174688">
                              <w:rPr>
                                <w:b/>
                                <w:bCs/>
                                <w:i w:val="0"/>
                                <w:iCs w:val="0"/>
                                <w:color w:val="auto"/>
                                <w:sz w:val="24"/>
                                <w:szCs w:val="24"/>
                              </w:rPr>
                              <w:t>:</w:t>
                            </w:r>
                            <w:r w:rsidRPr="00174688">
                              <w:rPr>
                                <w:i w:val="0"/>
                                <w:iCs w:val="0"/>
                                <w:color w:val="auto"/>
                                <w:sz w:val="24"/>
                                <w:szCs w:val="24"/>
                              </w:rPr>
                              <w:t xml:space="preserve"> Thermal stability of the different constituents within lignocellulosic biomass</w:t>
                            </w:r>
                            <w:bookmarkEnd w:id="13"/>
                            <w:r w:rsidR="00852E23">
                              <w:rPr>
                                <w:i w:val="0"/>
                                <w:iCs w:val="0"/>
                                <w:color w:val="auto"/>
                                <w:sz w:val="24"/>
                                <w:szCs w:val="24"/>
                              </w:rPr>
                              <w:t xml:space="preserve"> (6)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DF8A37" id="Text Box 249" o:spid="_x0000_s1028" type="#_x0000_t202" style="position:absolute;left:0;text-align:left;margin-left:0;margin-top:121.65pt;width:467.25pt;height:.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" stroked="f">
                <v:textbox style="mso-fit-shape-to-text:t" inset="0,0,0,0">
                  <w:txbxContent>
                    <w:p w14:paraId="03CDFD34" w14:textId="7375F948" w:rsidR="00AA26F6" w:rsidRPr="00174688" w:rsidRDefault="00AA26F6" w:rsidP="00D26D5B">
                      <w:pPr>
                        <w:pStyle w:val="Caption"/>
                        <w:rPr>
                          <w:i w:val="0"/>
                          <w:iCs w:val="0"/>
                          <w:noProof/>
                          <w:color w:val="auto"/>
                          <w:sz w:val="24"/>
                          <w:szCs w:val="24"/>
                        </w:rPr>
                      </w:pPr>
                      <w:bookmarkStart w:id="14" w:name="_Toc14520636"/>
                      <w:r w:rsidRPr="00174688">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sidRPr="00174688">
                        <w:rPr>
                          <w:b/>
                          <w:bCs/>
                          <w:i w:val="0"/>
                          <w:iCs w:val="0"/>
                          <w:color w:val="auto"/>
                          <w:sz w:val="24"/>
                          <w:szCs w:val="24"/>
                        </w:rPr>
                        <w:t>:</w:t>
                      </w:r>
                      <w:r w:rsidRPr="00174688">
                        <w:rPr>
                          <w:i w:val="0"/>
                          <w:iCs w:val="0"/>
                          <w:color w:val="auto"/>
                          <w:sz w:val="24"/>
                          <w:szCs w:val="24"/>
                        </w:rPr>
                        <w:t xml:space="preserve"> Thermal stability of the different constituents within lignocellulosic biomass</w:t>
                      </w:r>
                      <w:bookmarkEnd w:id="14"/>
                      <w:r w:rsidR="00852E23">
                        <w:rPr>
                          <w:i w:val="0"/>
                          <w:iCs w:val="0"/>
                          <w:color w:val="auto"/>
                          <w:sz w:val="24"/>
                          <w:szCs w:val="24"/>
                        </w:rPr>
                        <w:t xml:space="preserve"> (6)</w:t>
                      </w:r>
                    </w:p>
                  </w:txbxContent>
                </v:textbox>
                <w10:wrap type="square"/>
              </v:shape>
            </w:pict>
          </mc:Fallback>
        </mc:AlternateContent>
      </w:r>
      <w:r w:rsidRPr="009F12CB">
        <w:rPr>
          <w:rFonts w:ascii="Times New Roman" w:hAnsi="Times New Roman" w:cs="Times New Roman"/>
          <w:b/>
          <w:bCs/>
          <w:noProof/>
          <w:color w:val="auto"/>
          <w:sz w:val="24"/>
          <w:szCs w:val="24"/>
        </w:rPr>
        <w:drawing>
          <wp:anchor distT="0" distB="0" distL="114300" distR="114300" simplePos="0" relativeHeight="251662336" behindDoc="0" locked="0" layoutInCell="1" allowOverlap="1" wp14:anchorId="00E92250" wp14:editId="0AD5FB7B">
            <wp:simplePos x="0" y="0"/>
            <wp:positionH relativeFrom="margin">
              <wp:align>right</wp:align>
            </wp:positionH>
            <wp:positionV relativeFrom="paragraph">
              <wp:posOffset>116205</wp:posOffset>
            </wp:positionV>
            <wp:extent cx="5934075" cy="137160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5934075" cy="1371600"/>
                    </a:xfrm>
                    <a:prstGeom prst="rect">
                      <a:avLst/>
                    </a:prstGeom>
                  </pic:spPr>
                </pic:pic>
              </a:graphicData>
            </a:graphic>
            <wp14:sizeRelH relativeFrom="margin">
              <wp14:pctWidth>0</wp14:pctWidth>
            </wp14:sizeRelH>
          </wp:anchor>
        </w:drawing>
      </w:r>
      <w:r w:rsidRPr="009F12CB">
        <w:rPr>
          <w:rFonts w:ascii="Times New Roman" w:eastAsiaTheme="minorEastAsia" w:hAnsi="Times New Roman" w:cs="Times New Roman"/>
          <w:b/>
          <w:bCs/>
          <w:color w:val="auto"/>
          <w:sz w:val="24"/>
          <w:szCs w:val="24"/>
        </w:rPr>
        <w:t>1.3 T</w:t>
      </w:r>
      <w:r w:rsidR="00F16B78">
        <w:rPr>
          <w:rFonts w:ascii="Times New Roman" w:eastAsiaTheme="minorEastAsia" w:hAnsi="Times New Roman" w:cs="Times New Roman"/>
          <w:b/>
          <w:bCs/>
          <w:color w:val="auto"/>
          <w:sz w:val="24"/>
          <w:szCs w:val="24"/>
        </w:rPr>
        <w:t>hermal conversion technologies</w:t>
      </w:r>
      <w:bookmarkEnd w:id="12"/>
    </w:p>
    <w:p w14:paraId="42F8D707" w14:textId="77777777" w:rsidR="003874B9" w:rsidRPr="006874F3" w:rsidRDefault="003874B9" w:rsidP="003874B9">
      <w:pPr>
        <w:spacing w:line="480" w:lineRule="auto"/>
        <w:ind w:firstLine="720"/>
        <w:jc w:val="both"/>
        <w:rPr>
          <w:rFonts w:eastAsiaTheme="minorEastAsia"/>
          <w:b/>
          <w:szCs w:val="24"/>
        </w:rPr>
      </w:pPr>
      <w:r w:rsidRPr="006874F3">
        <w:rPr>
          <w:rFonts w:eastAsiaTheme="minorEastAsia"/>
          <w:szCs w:val="24"/>
        </w:rPr>
        <w:t xml:space="preserve">Thermochemical and biochemical conversion of biomass are two strategies that have been explored as viable options to displace petroleum-based fuels with the industrial production of liquid fuels. Thermochemical conversion involves the degradation of biomass in the absence of oxygen, and its subsequent condensation of organic products to manufacture bio-oil (which can then be refined and upgraded through various methods to produce liquid fuels similar in characteristics to diesel or gasoline). Biochemical conversion, on the other hand, entails the influence of enzymes to convert biomass contents into sugars followed by the usage of microbes to produce ethanol or other fuel molecules. Considering the two processes, thermochemical conversion has the potential ability to make use of all carbon-containing biomass components which would allow already existing industrial infrastructure to be utilized in the production for biomass derived fuels (7).  </w:t>
      </w:r>
    </w:p>
    <w:p w14:paraId="5F5DED60" w14:textId="77777777" w:rsidR="003874B9" w:rsidRPr="006874F3" w:rsidRDefault="003874B9" w:rsidP="003874B9">
      <w:pPr>
        <w:spacing w:line="480" w:lineRule="auto"/>
        <w:ind w:firstLine="720"/>
        <w:jc w:val="both"/>
        <w:rPr>
          <w:rFonts w:eastAsiaTheme="minorEastAsia"/>
          <w:szCs w:val="24"/>
        </w:rPr>
      </w:pPr>
      <w:r w:rsidRPr="006874F3">
        <w:rPr>
          <w:rFonts w:eastAsiaTheme="minorEastAsia"/>
          <w:szCs w:val="24"/>
        </w:rPr>
        <w:t xml:space="preserve">However, bio-oil derived from lignocellulosic biomass has high oxygen content, low energy density and low calorific value (relative to fossil fuels), and high moisture content. Biomass’s hydrophilic and hygroscopic nature adds an additional layer of difficulty when it comes to biomass storage; moreover, comminuting the biomass into small, evenly sized particles is a difficult process which increases the cost of production (3,6). As a result, deploying biomass resources as chemical feedstocks faces adversities and the challenge is to determine a technology </w:t>
      </w:r>
      <w:r w:rsidRPr="006874F3">
        <w:rPr>
          <w:rFonts w:eastAsiaTheme="minorEastAsia"/>
          <w:szCs w:val="24"/>
        </w:rPr>
        <w:lastRenderedPageBreak/>
        <w:t xml:space="preserve">which can be economically sustained (i.e. decreasing processing and upgrading costs, and improving fuel production while maintaining high carbon yield) for biomass conversion into fuels (and hence can compete with existing fossil fuel technologies). </w:t>
      </w:r>
    </w:p>
    <w:p w14:paraId="316860CE" w14:textId="77777777" w:rsidR="003874B9" w:rsidRPr="006874F3" w:rsidRDefault="003874B9" w:rsidP="003874B9">
      <w:pPr>
        <w:spacing w:line="480" w:lineRule="auto"/>
        <w:ind w:firstLine="720"/>
        <w:jc w:val="both"/>
        <w:rPr>
          <w:szCs w:val="24"/>
        </w:rPr>
      </w:pPr>
      <w:r w:rsidRPr="006874F3">
        <w:rPr>
          <w:rFonts w:eastAsiaTheme="minorEastAsia"/>
          <w:szCs w:val="24"/>
        </w:rPr>
        <w:t>Thermochemical conversion of lignocellulosic biomass has been touted as a possible strategy to manufacture biofuels (3,8). The two most heavily researched thermal degradation treatment processes are pyrolysis and torrefaction</w:t>
      </w:r>
      <w:r w:rsidRPr="006874F3">
        <w:rPr>
          <w:szCs w:val="24"/>
        </w:rPr>
        <w:t xml:space="preserve">. Pyrolysis is the thermal decomposition of organic substances in the absence of oxidizing agents, while torrefaction is termed as a milder form of pyrolysis (i.e. carried out at lower temperatures). Depending on the type of product desired, the thermal treatment can be carried out at different temperatures for varying amounts of time (as depicted in the Figure 1.3) (8). </w:t>
      </w:r>
    </w:p>
    <w:p w14:paraId="0C568C04" w14:textId="77777777" w:rsidR="003874B9" w:rsidRPr="006874F3" w:rsidRDefault="003874B9" w:rsidP="003874B9">
      <w:pPr>
        <w:spacing w:line="480" w:lineRule="auto"/>
        <w:ind w:firstLine="720"/>
        <w:jc w:val="both"/>
        <w:rPr>
          <w:szCs w:val="24"/>
        </w:rPr>
      </w:pPr>
      <w:r w:rsidRPr="006874F3">
        <w:rPr>
          <w:szCs w:val="24"/>
        </w:rPr>
        <w:t>At pyrolysis temperatures, the majority of solid biomass is rapidly converted to liquid biofuels (up to 75%); the remaining portion of the biomass is converted to non-condensable gases such as CO, CO</w:t>
      </w:r>
      <w:r w:rsidRPr="006874F3">
        <w:rPr>
          <w:szCs w:val="24"/>
          <w:vertAlign w:val="subscript"/>
        </w:rPr>
        <w:t>2</w:t>
      </w:r>
      <w:r w:rsidRPr="006874F3">
        <w:rPr>
          <w:szCs w:val="24"/>
        </w:rPr>
        <w:t>, and H</w:t>
      </w:r>
      <w:r w:rsidRPr="006874F3">
        <w:rPr>
          <w:szCs w:val="24"/>
          <w:vertAlign w:val="subscript"/>
        </w:rPr>
        <w:t>2</w:t>
      </w:r>
      <w:r w:rsidRPr="006874F3">
        <w:rPr>
          <w:szCs w:val="24"/>
        </w:rPr>
        <w:t xml:space="preserve">, and solid carbonaceous char. The immediate vapor products upon thermal degradation are carried away from the reactor with the help of a carrier gas to ensure minimal secondary reactions taking place, which could be catalyzed by particles within the leftover char (6,8). A lower temperature thermal degradation – otherwise known as torrefaction – associates the thermal degradation of biomass at a reactor temperature of approximately 290 ℃ (with a residence time ranging from a couple of minutes to even hours). The overwhelming result of torrefaction (which removes water, carbon dioxide, and light oxygenates) is a solid product (up to 77%) that has a higher energy density and lower moisture retaining capability than the original </w:t>
      </w:r>
      <w:r w:rsidRPr="006874F3">
        <w:rPr>
          <w:szCs w:val="24"/>
        </w:rPr>
        <w:lastRenderedPageBreak/>
        <w:t xml:space="preserve">biomass sent into the reactor (8). During this process, the partial de-volatilization of the biomass </w:t>
      </w:r>
      <w:r w:rsidRPr="006874F3">
        <w:rPr>
          <w:noProof/>
          <w:szCs w:val="24"/>
        </w:rPr>
        <w:drawing>
          <wp:anchor distT="0" distB="0" distL="114300" distR="114300" simplePos="0" relativeHeight="251663360" behindDoc="0" locked="0" layoutInCell="1" allowOverlap="1" wp14:anchorId="4E1D5BCD" wp14:editId="57579CB4">
            <wp:simplePos x="0" y="0"/>
            <wp:positionH relativeFrom="margin">
              <wp:posOffset>285750</wp:posOffset>
            </wp:positionH>
            <wp:positionV relativeFrom="paragraph">
              <wp:posOffset>628650</wp:posOffset>
            </wp:positionV>
            <wp:extent cx="5133975" cy="27241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133975" cy="2724150"/>
                    </a:xfrm>
                    <a:prstGeom prst="rect">
                      <a:avLst/>
                    </a:prstGeom>
                  </pic:spPr>
                </pic:pic>
              </a:graphicData>
            </a:graphic>
          </wp:anchor>
        </w:drawing>
      </w:r>
      <w:r w:rsidRPr="006874F3">
        <w:rPr>
          <w:szCs w:val="24"/>
        </w:rPr>
        <w:t xml:space="preserve">reduces its weight and decreases the O/C ratio of the biomass. </w:t>
      </w:r>
    </w:p>
    <w:p w14:paraId="6F462C5F" w14:textId="77777777" w:rsidR="003874B9" w:rsidRPr="006874F3" w:rsidRDefault="003874B9" w:rsidP="003874B9">
      <w:pPr>
        <w:spacing w:line="480" w:lineRule="auto"/>
        <w:jc w:val="both"/>
        <w:rPr>
          <w:szCs w:val="24"/>
        </w:rPr>
      </w:pPr>
    </w:p>
    <w:p w14:paraId="72213E2E" w14:textId="77777777" w:rsidR="003874B9" w:rsidRDefault="003874B9" w:rsidP="003874B9">
      <w:pPr>
        <w:spacing w:line="480" w:lineRule="auto"/>
        <w:rPr>
          <w:b/>
          <w:szCs w:val="24"/>
          <w:u w:val="single"/>
        </w:rPr>
      </w:pPr>
    </w:p>
    <w:p w14:paraId="005B6CB7" w14:textId="77777777" w:rsidR="003874B9" w:rsidRDefault="003874B9" w:rsidP="003874B9">
      <w:pPr>
        <w:spacing w:line="480" w:lineRule="auto"/>
        <w:rPr>
          <w:b/>
          <w:szCs w:val="24"/>
          <w:u w:val="single"/>
        </w:rPr>
      </w:pPr>
    </w:p>
    <w:p w14:paraId="4E6661A6" w14:textId="77777777" w:rsidR="003874B9" w:rsidRDefault="003874B9" w:rsidP="003874B9">
      <w:pPr>
        <w:spacing w:line="480" w:lineRule="auto"/>
        <w:rPr>
          <w:b/>
          <w:szCs w:val="24"/>
          <w:u w:val="single"/>
        </w:rPr>
      </w:pPr>
    </w:p>
    <w:p w14:paraId="48BD0DD9" w14:textId="77777777" w:rsidR="003874B9" w:rsidRDefault="003874B9" w:rsidP="003874B9">
      <w:pPr>
        <w:spacing w:line="480" w:lineRule="auto"/>
        <w:rPr>
          <w:b/>
          <w:szCs w:val="24"/>
          <w:u w:val="single"/>
        </w:rPr>
      </w:pPr>
    </w:p>
    <w:p w14:paraId="17C91F51" w14:textId="77777777" w:rsidR="003874B9" w:rsidRDefault="003874B9" w:rsidP="003874B9">
      <w:pPr>
        <w:spacing w:line="480" w:lineRule="auto"/>
        <w:rPr>
          <w:b/>
          <w:szCs w:val="24"/>
          <w:u w:val="single"/>
        </w:rPr>
      </w:pPr>
    </w:p>
    <w:p w14:paraId="19C325F8" w14:textId="77777777" w:rsidR="001F0E2F" w:rsidRDefault="001F0E2F" w:rsidP="003874B9">
      <w:pPr>
        <w:spacing w:line="480" w:lineRule="auto"/>
        <w:rPr>
          <w:b/>
          <w:szCs w:val="24"/>
          <w:u w:val="single"/>
        </w:rPr>
      </w:pPr>
    </w:p>
    <w:p w14:paraId="6E944FC4" w14:textId="77777777" w:rsidR="009A7DF7" w:rsidRDefault="00174688" w:rsidP="001F0E2F">
      <w:pPr>
        <w:spacing w:line="480" w:lineRule="auto"/>
        <w:ind w:left="0" w:firstLine="0"/>
        <w:rPr>
          <w:b/>
          <w:szCs w:val="24"/>
          <w:u w:val="single"/>
        </w:rPr>
      </w:pPr>
      <w:r>
        <w:rPr>
          <w:noProof/>
        </w:rPr>
        <mc:AlternateContent>
          <mc:Choice Requires="wps">
            <w:drawing>
              <wp:anchor distT="0" distB="0" distL="114300" distR="114300" simplePos="0" relativeHeight="251755520" behindDoc="0" locked="0" layoutInCell="1" allowOverlap="1" wp14:anchorId="572383A6" wp14:editId="087E647B">
                <wp:simplePos x="0" y="0"/>
                <wp:positionH relativeFrom="column">
                  <wp:posOffset>285750</wp:posOffset>
                </wp:positionH>
                <wp:positionV relativeFrom="paragraph">
                  <wp:posOffset>229870</wp:posOffset>
                </wp:positionV>
                <wp:extent cx="5133975" cy="390525"/>
                <wp:effectExtent l="0" t="0" r="9525" b="9525"/>
                <wp:wrapSquare wrapText="bothSides"/>
                <wp:docPr id="250" name="Text Box 250"/>
                <wp:cNvGraphicFramePr/>
                <a:graphic xmlns:a="http://schemas.openxmlformats.org/drawingml/2006/main">
                  <a:graphicData uri="http://schemas.microsoft.com/office/word/2010/wordprocessingShape">
                    <wps:wsp>
                      <wps:cNvSpPr txBox="1"/>
                      <wps:spPr>
                        <a:xfrm>
                          <a:off x="0" y="0"/>
                          <a:ext cx="5133975" cy="390525"/>
                        </a:xfrm>
                        <a:prstGeom prst="rect">
                          <a:avLst/>
                        </a:prstGeom>
                        <a:solidFill>
                          <a:prstClr val="white"/>
                        </a:solidFill>
                        <a:ln>
                          <a:noFill/>
                        </a:ln>
                      </wps:spPr>
                      <wps:txbx>
                        <w:txbxContent>
                          <w:p w14:paraId="4F1BBA73" w14:textId="747AA1CD" w:rsidR="00AA26F6" w:rsidRPr="00174688" w:rsidRDefault="00AA26F6" w:rsidP="002C7BDF">
                            <w:pPr>
                              <w:pStyle w:val="Caption"/>
                              <w:rPr>
                                <w:i w:val="0"/>
                                <w:iCs w:val="0"/>
                                <w:color w:val="auto"/>
                                <w:sz w:val="24"/>
                                <w:szCs w:val="24"/>
                              </w:rPr>
                            </w:pPr>
                            <w:bookmarkStart w:id="15" w:name="_Toc14520637"/>
                            <w:r w:rsidRPr="00174688">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sidRPr="00174688">
                              <w:rPr>
                                <w:b/>
                                <w:bCs/>
                                <w:i w:val="0"/>
                                <w:iCs w:val="0"/>
                                <w:color w:val="auto"/>
                                <w:sz w:val="24"/>
                                <w:szCs w:val="24"/>
                              </w:rPr>
                              <w:t>:</w:t>
                            </w:r>
                            <w:r w:rsidRPr="00174688">
                              <w:rPr>
                                <w:i w:val="0"/>
                                <w:iCs w:val="0"/>
                                <w:color w:val="auto"/>
                                <w:sz w:val="24"/>
                                <w:szCs w:val="24"/>
                              </w:rPr>
                              <w:t xml:space="preserve"> Different thermal degradation conditions and their respective overall product distribution</w:t>
                            </w:r>
                            <w:bookmarkEnd w:id="15"/>
                            <w:r w:rsidR="00B038BE">
                              <w:rPr>
                                <w:i w:val="0"/>
                                <w:iCs w:val="0"/>
                                <w:color w:val="auto"/>
                                <w:sz w:val="24"/>
                                <w:szCs w:val="24"/>
                              </w:rPr>
                              <w:t xml:space="preserve"> (8)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2383A6" id="Text Box 250" o:spid="_x0000_s1029" type="#_x0000_t202" style="position:absolute;margin-left:22.5pt;margin-top:18.1pt;width:404.25pt;height:30.7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" stroked="f">
                <v:textbox inset="0,0,0,0">
                  <w:txbxContent>
                    <w:p w14:paraId="4F1BBA73" w14:textId="747AA1CD" w:rsidR="00AA26F6" w:rsidRPr="00174688" w:rsidRDefault="00AA26F6" w:rsidP="002C7BDF">
                      <w:pPr>
                        <w:pStyle w:val="Caption"/>
                        <w:rPr>
                          <w:i w:val="0"/>
                          <w:iCs w:val="0"/>
                          <w:color w:val="auto"/>
                          <w:sz w:val="24"/>
                          <w:szCs w:val="24"/>
                        </w:rPr>
                      </w:pPr>
                      <w:bookmarkStart w:id="16" w:name="_Toc14520637"/>
                      <w:r w:rsidRPr="00174688">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sidRPr="00174688">
                        <w:rPr>
                          <w:b/>
                          <w:bCs/>
                          <w:i w:val="0"/>
                          <w:iCs w:val="0"/>
                          <w:color w:val="auto"/>
                          <w:sz w:val="24"/>
                          <w:szCs w:val="24"/>
                        </w:rPr>
                        <w:t>:</w:t>
                      </w:r>
                      <w:r w:rsidRPr="00174688">
                        <w:rPr>
                          <w:i w:val="0"/>
                          <w:iCs w:val="0"/>
                          <w:color w:val="auto"/>
                          <w:sz w:val="24"/>
                          <w:szCs w:val="24"/>
                        </w:rPr>
                        <w:t xml:space="preserve"> Different thermal degradation conditions and their respective overall product distribution</w:t>
                      </w:r>
                      <w:bookmarkEnd w:id="16"/>
                      <w:r w:rsidR="00B038BE">
                        <w:rPr>
                          <w:i w:val="0"/>
                          <w:iCs w:val="0"/>
                          <w:color w:val="auto"/>
                          <w:sz w:val="24"/>
                          <w:szCs w:val="24"/>
                        </w:rPr>
                        <w:t xml:space="preserve"> (8)</w:t>
                      </w:r>
                    </w:p>
                  </w:txbxContent>
                </v:textbox>
                <w10:wrap type="square"/>
              </v:shape>
            </w:pict>
          </mc:Fallback>
        </mc:AlternateContent>
      </w:r>
    </w:p>
    <w:p w14:paraId="4AC506A4" w14:textId="77777777" w:rsidR="009A7DF7" w:rsidRDefault="009A7DF7" w:rsidP="001F0E2F">
      <w:pPr>
        <w:spacing w:line="480" w:lineRule="auto"/>
        <w:ind w:left="0" w:firstLine="0"/>
        <w:rPr>
          <w:b/>
          <w:szCs w:val="24"/>
          <w:u w:val="single"/>
        </w:rPr>
      </w:pPr>
    </w:p>
    <w:p w14:paraId="039CA5E9" w14:textId="77777777" w:rsidR="003874B9" w:rsidRPr="009F12CB" w:rsidRDefault="003874B9" w:rsidP="002A5915">
      <w:pPr>
        <w:pStyle w:val="Heading2"/>
        <w:rPr>
          <w:rFonts w:ascii="Times New Roman" w:hAnsi="Times New Roman" w:cs="Times New Roman"/>
          <w:b/>
          <w:bCs/>
          <w:color w:val="auto"/>
          <w:sz w:val="24"/>
          <w:szCs w:val="24"/>
        </w:rPr>
      </w:pPr>
      <w:bookmarkStart w:id="17" w:name="_Toc14521028"/>
      <w:r w:rsidRPr="009F12CB">
        <w:rPr>
          <w:rFonts w:ascii="Times New Roman" w:hAnsi="Times New Roman" w:cs="Times New Roman"/>
          <w:b/>
          <w:bCs/>
          <w:color w:val="auto"/>
          <w:sz w:val="24"/>
          <w:szCs w:val="24"/>
        </w:rPr>
        <w:t xml:space="preserve">1.4 </w:t>
      </w:r>
      <w:r w:rsidR="00F16B78">
        <w:rPr>
          <w:rFonts w:ascii="Times New Roman" w:hAnsi="Times New Roman" w:cs="Times New Roman"/>
          <w:b/>
          <w:bCs/>
          <w:color w:val="auto"/>
          <w:sz w:val="24"/>
          <w:szCs w:val="24"/>
        </w:rPr>
        <w:t>Features of Bio-oil</w:t>
      </w:r>
      <w:bookmarkEnd w:id="17"/>
    </w:p>
    <w:p w14:paraId="2B959770" w14:textId="77777777" w:rsidR="003874B9" w:rsidRPr="006874F3" w:rsidRDefault="003874B9" w:rsidP="003874B9">
      <w:pPr>
        <w:spacing w:line="480" w:lineRule="auto"/>
        <w:ind w:firstLine="720"/>
        <w:rPr>
          <w:b/>
          <w:szCs w:val="24"/>
        </w:rPr>
      </w:pPr>
      <w:r w:rsidRPr="006874F3">
        <w:rPr>
          <w:szCs w:val="24"/>
        </w:rPr>
        <w:t xml:space="preserve">The bio-oil produced through thermal degradation has high carbon content and can be utilized for heat and power generation, or the torrefied biomass can be used as chemical feedstock (i.e. improved biomass) for further pyrolysis (6,8). However, there are some drawbacks to the bio-oil which hinders its usage as a transportation fuel. Firstly, these bio-oils have high oxygen content which makes them highly reactive; the carboxylic groups can interact readily to form esters and oligomers – these lead to increased processing costs during storage, and such reactions increase the molecular weight and viscosity of the oil which ultimately results in phase separation. In addition to this, bio-oils have high moisture and acid content, which result in low heating values and corrosion of industrial pipelines and vessels respectively (6). Due to such characteristics, bio-oils are immiscible with hydrocarbon fuels, hence its viable integration with existing refinery systems is not possible. </w:t>
      </w:r>
    </w:p>
    <w:p w14:paraId="24DF7B95" w14:textId="77777777" w:rsidR="003874B9" w:rsidRPr="006874F3" w:rsidRDefault="003874B9" w:rsidP="003874B9">
      <w:pPr>
        <w:spacing w:line="480" w:lineRule="auto"/>
        <w:ind w:firstLine="720"/>
        <w:jc w:val="both"/>
        <w:rPr>
          <w:szCs w:val="24"/>
        </w:rPr>
      </w:pPr>
      <w:r w:rsidRPr="006874F3">
        <w:rPr>
          <w:szCs w:val="24"/>
        </w:rPr>
        <w:lastRenderedPageBreak/>
        <w:t xml:space="preserve">The above concerns can be addressed through catalytic conversion of bio-oils in refineries. Hydrotreating the bio-oil is a possible strategy to decrease the oxygen content; however, hydrotreating is associated with increased hydrogen input costs and decreased carbon efficiency. An alternative to hydrotreating is the use of zeolite catalysts for bio-oil upgrading. However, the carbon efficiency challenge is not necessarily resolved through this route due to the rapid deactivation of the catalyst as a result of coke formation (6). Therefore, it is critical to think of a bio-oil upgrading method which minimizes hydrogen consumption and maximizes carbon retention. </w:t>
      </w:r>
    </w:p>
    <w:p w14:paraId="2C94B914" w14:textId="77777777" w:rsidR="003874B9" w:rsidRPr="009F12CB" w:rsidRDefault="003874B9" w:rsidP="002A5915">
      <w:pPr>
        <w:pStyle w:val="Heading2"/>
        <w:rPr>
          <w:rFonts w:ascii="Times New Roman" w:hAnsi="Times New Roman" w:cs="Times New Roman"/>
          <w:b/>
          <w:bCs/>
          <w:color w:val="auto"/>
          <w:sz w:val="24"/>
          <w:szCs w:val="24"/>
        </w:rPr>
      </w:pPr>
      <w:bookmarkStart w:id="18" w:name="_Toc14521029"/>
      <w:r w:rsidRPr="009F12CB">
        <w:rPr>
          <w:rFonts w:ascii="Times New Roman" w:hAnsi="Times New Roman" w:cs="Times New Roman"/>
          <w:b/>
          <w:bCs/>
          <w:color w:val="auto"/>
          <w:sz w:val="24"/>
          <w:szCs w:val="24"/>
        </w:rPr>
        <w:t>1.5 S</w:t>
      </w:r>
      <w:r w:rsidR="00F16B78">
        <w:rPr>
          <w:rFonts w:ascii="Times New Roman" w:hAnsi="Times New Roman" w:cs="Times New Roman"/>
          <w:b/>
          <w:bCs/>
          <w:color w:val="auto"/>
          <w:sz w:val="24"/>
          <w:szCs w:val="24"/>
        </w:rPr>
        <w:t>taged Thermal Fractionation</w:t>
      </w:r>
      <w:bookmarkEnd w:id="18"/>
    </w:p>
    <w:p w14:paraId="608D05B6" w14:textId="77777777" w:rsidR="003874B9" w:rsidRPr="006874F3" w:rsidRDefault="003874B9" w:rsidP="003874B9">
      <w:pPr>
        <w:spacing w:line="480" w:lineRule="auto"/>
        <w:ind w:firstLine="720"/>
        <w:jc w:val="both"/>
        <w:rPr>
          <w:b/>
          <w:noProof/>
          <w:szCs w:val="24"/>
          <w:u w:val="single"/>
        </w:rPr>
      </w:pPr>
      <w:r w:rsidRPr="006874F3">
        <w:rPr>
          <w:szCs w:val="24"/>
        </w:rPr>
        <w:t xml:space="preserve"> One method which has been explored is the segregation of intermediate streams of thermal degradation products with enhanced purity compared to pyrolysis product streams through staged thermal fractionation. This process exploits the thermal stability of each main constituent of biomass and produces decomposition products at different temperatures; the disruption to the structures/properties of the different biopolymers present within the biomass at those temperatures is minimal. One example of a staged strategy is to deploy an initial low temperature thermal degradation step (stage 1) targeting hemicellulose decomposition, followed by an intermediate temperature degradation (stage 2) for cellulose decomposition, and finally a high temperature thermal treatment (stage 3) – mimicking fast pyrolysis conditions- to decompose the remaining lignin within the biomass (Figure 1.4). The logic behind such a move is the expected enhanced purity volatile products of each main biopolymer, which could then be subsequently subjected to catalytic treatments for economical upgrading process.</w:t>
      </w:r>
    </w:p>
    <w:p w14:paraId="1D2101F8" w14:textId="77777777" w:rsidR="003874B9" w:rsidRPr="006874F3" w:rsidRDefault="003874B9" w:rsidP="003874B9">
      <w:pPr>
        <w:spacing w:line="480" w:lineRule="auto"/>
        <w:ind w:firstLine="720"/>
        <w:jc w:val="both"/>
        <w:rPr>
          <w:noProof/>
          <w:szCs w:val="24"/>
        </w:rPr>
      </w:pPr>
      <w:r w:rsidRPr="006874F3">
        <w:rPr>
          <w:noProof/>
          <w:szCs w:val="24"/>
        </w:rPr>
        <w:lastRenderedPageBreak/>
        <w:drawing>
          <wp:anchor distT="0" distB="0" distL="114300" distR="114300" simplePos="0" relativeHeight="251665408" behindDoc="0" locked="0" layoutInCell="1" allowOverlap="1" wp14:anchorId="73E168BF" wp14:editId="297C4BB8">
            <wp:simplePos x="0" y="0"/>
            <wp:positionH relativeFrom="margin">
              <wp:posOffset>1457325</wp:posOffset>
            </wp:positionH>
            <wp:positionV relativeFrom="paragraph">
              <wp:posOffset>13335</wp:posOffset>
            </wp:positionV>
            <wp:extent cx="2476500" cy="3370580"/>
            <wp:effectExtent l="0" t="0" r="0"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76500" cy="3370580"/>
                    </a:xfrm>
                    <a:prstGeom prst="rect">
                      <a:avLst/>
                    </a:prstGeom>
                  </pic:spPr>
                </pic:pic>
              </a:graphicData>
            </a:graphic>
            <wp14:sizeRelH relativeFrom="margin">
              <wp14:pctWidth>0</wp14:pctWidth>
            </wp14:sizeRelH>
            <wp14:sizeRelV relativeFrom="margin">
              <wp14:pctHeight>0</wp14:pctHeight>
            </wp14:sizeRelV>
          </wp:anchor>
        </w:drawing>
      </w:r>
    </w:p>
    <w:p w14:paraId="16553B52" w14:textId="77777777" w:rsidR="003874B9" w:rsidRPr="006874F3" w:rsidRDefault="003874B9" w:rsidP="003874B9">
      <w:pPr>
        <w:spacing w:line="480" w:lineRule="auto"/>
        <w:ind w:firstLine="720"/>
        <w:jc w:val="both"/>
        <w:rPr>
          <w:noProof/>
          <w:szCs w:val="24"/>
        </w:rPr>
      </w:pPr>
    </w:p>
    <w:p w14:paraId="5ED1836B" w14:textId="77777777" w:rsidR="003874B9" w:rsidRPr="006874F3" w:rsidRDefault="003874B9" w:rsidP="003874B9">
      <w:pPr>
        <w:spacing w:line="480" w:lineRule="auto"/>
        <w:ind w:firstLine="720"/>
        <w:jc w:val="both"/>
        <w:rPr>
          <w:noProof/>
          <w:szCs w:val="24"/>
        </w:rPr>
      </w:pPr>
    </w:p>
    <w:p w14:paraId="26AB766A" w14:textId="77777777" w:rsidR="003874B9" w:rsidRPr="006874F3" w:rsidRDefault="003874B9" w:rsidP="003874B9">
      <w:pPr>
        <w:spacing w:line="480" w:lineRule="auto"/>
        <w:ind w:firstLine="720"/>
        <w:jc w:val="both"/>
        <w:rPr>
          <w:noProof/>
          <w:szCs w:val="24"/>
        </w:rPr>
      </w:pPr>
    </w:p>
    <w:p w14:paraId="1AEA927B" w14:textId="77777777" w:rsidR="003874B9" w:rsidRPr="006874F3" w:rsidRDefault="003874B9" w:rsidP="003874B9">
      <w:pPr>
        <w:spacing w:line="480" w:lineRule="auto"/>
        <w:ind w:firstLine="720"/>
        <w:jc w:val="both"/>
        <w:rPr>
          <w:noProof/>
          <w:szCs w:val="24"/>
        </w:rPr>
      </w:pPr>
    </w:p>
    <w:p w14:paraId="34024796" w14:textId="77777777" w:rsidR="003874B9" w:rsidRPr="006874F3" w:rsidRDefault="003874B9" w:rsidP="003874B9">
      <w:pPr>
        <w:spacing w:line="480" w:lineRule="auto"/>
        <w:ind w:firstLine="720"/>
        <w:jc w:val="both"/>
        <w:rPr>
          <w:noProof/>
          <w:szCs w:val="24"/>
        </w:rPr>
      </w:pPr>
    </w:p>
    <w:p w14:paraId="5681033B" w14:textId="77777777" w:rsidR="003874B9" w:rsidRPr="006874F3" w:rsidRDefault="003874B9" w:rsidP="003874B9">
      <w:pPr>
        <w:spacing w:line="480" w:lineRule="auto"/>
        <w:ind w:firstLine="720"/>
        <w:jc w:val="both"/>
        <w:rPr>
          <w:noProof/>
          <w:szCs w:val="24"/>
        </w:rPr>
      </w:pPr>
    </w:p>
    <w:p w14:paraId="2E65E20D" w14:textId="77777777" w:rsidR="003874B9" w:rsidRPr="006874F3" w:rsidRDefault="003874B9" w:rsidP="003874B9">
      <w:pPr>
        <w:spacing w:line="480" w:lineRule="auto"/>
        <w:ind w:firstLine="720"/>
        <w:jc w:val="both"/>
        <w:rPr>
          <w:noProof/>
          <w:szCs w:val="24"/>
        </w:rPr>
      </w:pPr>
    </w:p>
    <w:p w14:paraId="159DCA9E" w14:textId="77777777" w:rsidR="001F0E2F" w:rsidRDefault="001F0E2F" w:rsidP="001F0E2F">
      <w:pPr>
        <w:spacing w:line="480" w:lineRule="auto"/>
        <w:ind w:firstLine="720"/>
        <w:jc w:val="both"/>
        <w:rPr>
          <w:noProof/>
          <w:szCs w:val="24"/>
        </w:rPr>
      </w:pPr>
    </w:p>
    <w:p w14:paraId="6172C439" w14:textId="77777777" w:rsidR="00887BDE" w:rsidRDefault="00887BDE" w:rsidP="00174688">
      <w:pPr>
        <w:spacing w:line="480" w:lineRule="auto"/>
        <w:ind w:firstLine="720"/>
        <w:jc w:val="both"/>
        <w:rPr>
          <w:noProof/>
          <w:szCs w:val="24"/>
        </w:rPr>
      </w:pPr>
      <w:r>
        <w:rPr>
          <w:noProof/>
        </w:rPr>
        <mc:AlternateContent>
          <mc:Choice Requires="wps">
            <w:drawing>
              <wp:anchor distT="0" distB="0" distL="114300" distR="114300" simplePos="0" relativeHeight="251757568" behindDoc="0" locked="0" layoutInCell="1" allowOverlap="1" wp14:anchorId="20718DB7" wp14:editId="3F565DFA">
                <wp:simplePos x="0" y="0"/>
                <wp:positionH relativeFrom="margin">
                  <wp:align>right</wp:align>
                </wp:positionH>
                <wp:positionV relativeFrom="paragraph">
                  <wp:posOffset>255270</wp:posOffset>
                </wp:positionV>
                <wp:extent cx="5943600" cy="561975"/>
                <wp:effectExtent l="0" t="0" r="0" b="9525"/>
                <wp:wrapSquare wrapText="bothSides"/>
                <wp:docPr id="251" name="Text Box 251"/>
                <wp:cNvGraphicFramePr/>
                <a:graphic xmlns:a="http://schemas.openxmlformats.org/drawingml/2006/main">
                  <a:graphicData uri="http://schemas.microsoft.com/office/word/2010/wordprocessingShape">
                    <wps:wsp>
                      <wps:cNvSpPr txBox="1"/>
                      <wps:spPr>
                        <a:xfrm>
                          <a:off x="0" y="0"/>
                          <a:ext cx="5943600" cy="561975"/>
                        </a:xfrm>
                        <a:prstGeom prst="rect">
                          <a:avLst/>
                        </a:prstGeom>
                        <a:solidFill>
                          <a:prstClr val="white"/>
                        </a:solidFill>
                        <a:ln>
                          <a:noFill/>
                        </a:ln>
                      </wps:spPr>
                      <wps:txbx>
                        <w:txbxContent>
                          <w:p w14:paraId="49273479" w14:textId="058FE150" w:rsidR="00AA26F6" w:rsidRPr="00174688" w:rsidRDefault="00AA26F6" w:rsidP="00887BDE">
                            <w:pPr>
                              <w:pStyle w:val="Caption"/>
                              <w:rPr>
                                <w:i w:val="0"/>
                                <w:iCs w:val="0"/>
                                <w:noProof/>
                                <w:color w:val="auto"/>
                                <w:sz w:val="24"/>
                                <w:szCs w:val="24"/>
                              </w:rPr>
                            </w:pPr>
                            <w:bookmarkStart w:id="19" w:name="_Toc14520638"/>
                            <w:r w:rsidRPr="00174688">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sidRPr="00174688">
                              <w:rPr>
                                <w:b/>
                                <w:bCs/>
                                <w:i w:val="0"/>
                                <w:iCs w:val="0"/>
                                <w:color w:val="auto"/>
                                <w:sz w:val="24"/>
                                <w:szCs w:val="24"/>
                              </w:rPr>
                              <w:t>:</w:t>
                            </w:r>
                            <w:r w:rsidRPr="00174688">
                              <w:rPr>
                                <w:i w:val="0"/>
                                <w:iCs w:val="0"/>
                                <w:color w:val="auto"/>
                                <w:sz w:val="24"/>
                                <w:szCs w:val="24"/>
                              </w:rPr>
                              <w:t xml:space="preserve"> Staged thermal fractionation displaying respective volatile stream products (extracted from a manuscript in preparation)</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18DB7" id="Text Box 251" o:spid="_x0000_s1030" type="#_x0000_t202" style="position:absolute;left:0;text-align:left;margin-left:416.8pt;margin-top:20.1pt;width:468pt;height:44.25pt;z-index:251757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" stroked="f">
                <v:textbox inset="0,0,0,0">
                  <w:txbxContent>
                    <w:p w14:paraId="49273479" w14:textId="058FE150" w:rsidR="00AA26F6" w:rsidRPr="00174688" w:rsidRDefault="00AA26F6" w:rsidP="00887BDE">
                      <w:pPr>
                        <w:pStyle w:val="Caption"/>
                        <w:rPr>
                          <w:i w:val="0"/>
                          <w:iCs w:val="0"/>
                          <w:noProof/>
                          <w:color w:val="auto"/>
                          <w:sz w:val="24"/>
                          <w:szCs w:val="24"/>
                        </w:rPr>
                      </w:pPr>
                      <w:bookmarkStart w:id="20" w:name="_Toc14520638"/>
                      <w:r w:rsidRPr="00174688">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sidRPr="00174688">
                        <w:rPr>
                          <w:b/>
                          <w:bCs/>
                          <w:i w:val="0"/>
                          <w:iCs w:val="0"/>
                          <w:color w:val="auto"/>
                          <w:sz w:val="24"/>
                          <w:szCs w:val="24"/>
                        </w:rPr>
                        <w:t>:</w:t>
                      </w:r>
                      <w:r w:rsidRPr="00174688">
                        <w:rPr>
                          <w:i w:val="0"/>
                          <w:iCs w:val="0"/>
                          <w:color w:val="auto"/>
                          <w:sz w:val="24"/>
                          <w:szCs w:val="24"/>
                        </w:rPr>
                        <w:t xml:space="preserve"> Staged thermal fractionation displaying respective volatile stream products (extracted from a manuscript in preparation)</w:t>
                      </w:r>
                      <w:bookmarkEnd w:id="20"/>
                    </w:p>
                  </w:txbxContent>
                </v:textbox>
                <w10:wrap type="square" anchorx="margin"/>
              </v:shape>
            </w:pict>
          </mc:Fallback>
        </mc:AlternateContent>
      </w:r>
    </w:p>
    <w:p w14:paraId="0ADE9AB9" w14:textId="64B205E7" w:rsidR="003874B9" w:rsidRPr="006874F3" w:rsidRDefault="003874B9" w:rsidP="003874B9">
      <w:pPr>
        <w:spacing w:line="480" w:lineRule="auto"/>
        <w:ind w:firstLine="720"/>
        <w:jc w:val="both"/>
        <w:rPr>
          <w:b/>
          <w:noProof/>
          <w:szCs w:val="24"/>
          <w:u w:val="single"/>
        </w:rPr>
      </w:pPr>
      <w:r w:rsidRPr="006874F3">
        <w:rPr>
          <w:noProof/>
          <w:szCs w:val="24"/>
        </w:rPr>
        <w:t xml:space="preserve">Segregation of thermochemical degradation products of lignocellulosic biomass (specifically switchgrass for the purposes of this thesis) can be improved via process and feedstock compositional factors. This thesis, in particular, will focus on determining how alterations in starting biomass feedstock composition (specifically changes in the lignin biosynthesis pathway) influence decomposition products at low temperature thermal treatments. The purpose of this research is to study the effects of heritable traits (achieved via genetic modification) within switchgrass samples on low temperature thermal degradation products. </w:t>
      </w:r>
    </w:p>
    <w:p w14:paraId="18E260C9" w14:textId="77777777" w:rsidR="003874B9" w:rsidRPr="009F12CB" w:rsidRDefault="003874B9" w:rsidP="002A5915">
      <w:pPr>
        <w:pStyle w:val="Heading2"/>
        <w:rPr>
          <w:rFonts w:ascii="Times New Roman" w:hAnsi="Times New Roman" w:cs="Times New Roman"/>
          <w:b/>
          <w:bCs/>
          <w:noProof/>
          <w:color w:val="auto"/>
          <w:sz w:val="24"/>
          <w:szCs w:val="24"/>
        </w:rPr>
      </w:pPr>
      <w:bookmarkStart w:id="21" w:name="_Toc14521030"/>
      <w:r w:rsidRPr="009F12CB">
        <w:rPr>
          <w:rFonts w:ascii="Times New Roman" w:hAnsi="Times New Roman" w:cs="Times New Roman"/>
          <w:b/>
          <w:bCs/>
          <w:noProof/>
          <w:color w:val="auto"/>
          <w:sz w:val="24"/>
          <w:szCs w:val="24"/>
        </w:rPr>
        <w:t>1.6 M</w:t>
      </w:r>
      <w:r w:rsidR="00F16B78">
        <w:rPr>
          <w:rFonts w:ascii="Times New Roman" w:hAnsi="Times New Roman" w:cs="Times New Roman"/>
          <w:b/>
          <w:bCs/>
          <w:noProof/>
          <w:color w:val="auto"/>
          <w:sz w:val="24"/>
          <w:szCs w:val="24"/>
        </w:rPr>
        <w:t>otivation</w:t>
      </w:r>
      <w:bookmarkEnd w:id="21"/>
    </w:p>
    <w:p w14:paraId="3FA7ADA0" w14:textId="77777777" w:rsidR="003874B9" w:rsidRDefault="003874B9" w:rsidP="003874B9">
      <w:pPr>
        <w:spacing w:line="480" w:lineRule="auto"/>
        <w:ind w:firstLine="720"/>
        <w:jc w:val="both"/>
        <w:rPr>
          <w:szCs w:val="24"/>
        </w:rPr>
      </w:pPr>
      <w:r w:rsidRPr="006874F3">
        <w:rPr>
          <w:noProof/>
          <w:szCs w:val="24"/>
        </w:rPr>
        <w:t>A desirable separation to accomplish is the “clean” removal of hemicellulose via a low-temperature staged thermal fractionation treatment (stage 1). While previous studies have shown that such segregation can be achieved using temperature and time constraints (270</w:t>
      </w:r>
      <w:r w:rsidRPr="006874F3">
        <w:rPr>
          <w:szCs w:val="24"/>
        </w:rPr>
        <w:t xml:space="preserve"> ℃ with a residence time of 20 minutes), cellulose-derived and lignin-derived volatiles were also present </w:t>
      </w:r>
      <w:r w:rsidRPr="006874F3">
        <w:rPr>
          <w:szCs w:val="24"/>
        </w:rPr>
        <w:lastRenderedPageBreak/>
        <w:t xml:space="preserve">(7). This stage 1 treatment could potentially be altered to minimize cellulose degradation through the exploitation of temperature and residence time parameters; however, TGA studies have indicated that it is impossible to suppress lignin decomposition at lower temperatures suited for hemicellulose degradation (7,9). One option to minimize lignin-derived thermal products at low-temperature treatment is to utilize a biomass feedstock with a low-lignin content. Such a move would, however, decrease the total lignin-derived phenolics from the overall thermal treatment procedure. Instead, genetic modification might alter the thermal stability of lignin to minimize its degradation at lower temperatures (without reducing the total amount of lignin in the starting biomass feedstock. In this research, the differences in the compositional product streams upon various thermal treatments of raw (i.e. unmodified) and genetically modified switchgrass will be studied. The study hypothesizes that genetically modified switchgrass will exhibit lower phenolic yields due to suppression of lignin decomposition at low temperature thermal treatments.    </w:t>
      </w:r>
    </w:p>
    <w:p w14:paraId="1EBCAC38" w14:textId="77777777" w:rsidR="001F0E2F" w:rsidRDefault="001F0E2F" w:rsidP="003874B9">
      <w:pPr>
        <w:spacing w:line="480" w:lineRule="auto"/>
        <w:ind w:firstLine="720"/>
        <w:jc w:val="both"/>
        <w:rPr>
          <w:szCs w:val="24"/>
        </w:rPr>
      </w:pPr>
    </w:p>
    <w:p w14:paraId="472792B2" w14:textId="77777777" w:rsidR="001F0E2F" w:rsidRDefault="001F0E2F" w:rsidP="003874B9">
      <w:pPr>
        <w:spacing w:line="480" w:lineRule="auto"/>
        <w:ind w:firstLine="720"/>
        <w:jc w:val="both"/>
        <w:rPr>
          <w:szCs w:val="24"/>
        </w:rPr>
      </w:pPr>
    </w:p>
    <w:p w14:paraId="543392E6" w14:textId="77777777" w:rsidR="001F0E2F" w:rsidRDefault="001F0E2F" w:rsidP="001F0E2F">
      <w:pPr>
        <w:spacing w:line="480" w:lineRule="auto"/>
        <w:ind w:left="0" w:firstLine="0"/>
        <w:jc w:val="both"/>
        <w:rPr>
          <w:szCs w:val="24"/>
        </w:rPr>
      </w:pPr>
    </w:p>
    <w:p w14:paraId="59977265" w14:textId="77777777" w:rsidR="001F0E2F" w:rsidRDefault="001F0E2F" w:rsidP="001F0E2F">
      <w:pPr>
        <w:spacing w:line="480" w:lineRule="auto"/>
        <w:ind w:left="0" w:firstLine="0"/>
        <w:jc w:val="both"/>
        <w:rPr>
          <w:szCs w:val="24"/>
        </w:rPr>
      </w:pPr>
    </w:p>
    <w:p w14:paraId="220C7BAA" w14:textId="77777777" w:rsidR="001F0E2F" w:rsidRDefault="001F0E2F" w:rsidP="001F0E2F">
      <w:pPr>
        <w:spacing w:line="480" w:lineRule="auto"/>
        <w:ind w:left="0" w:firstLine="0"/>
        <w:jc w:val="both"/>
        <w:rPr>
          <w:szCs w:val="24"/>
        </w:rPr>
      </w:pPr>
    </w:p>
    <w:p w14:paraId="53F0DC9B" w14:textId="77777777" w:rsidR="001F0E2F" w:rsidRDefault="001F0E2F" w:rsidP="001F0E2F">
      <w:pPr>
        <w:spacing w:line="480" w:lineRule="auto"/>
        <w:ind w:left="0" w:firstLine="0"/>
        <w:jc w:val="both"/>
        <w:rPr>
          <w:szCs w:val="24"/>
        </w:rPr>
      </w:pPr>
    </w:p>
    <w:p w14:paraId="5A4C1AD2" w14:textId="77777777" w:rsidR="001F0E2F" w:rsidRDefault="001F0E2F" w:rsidP="001F0E2F">
      <w:pPr>
        <w:spacing w:line="480" w:lineRule="auto"/>
        <w:ind w:left="0" w:firstLine="0"/>
        <w:jc w:val="both"/>
        <w:rPr>
          <w:szCs w:val="24"/>
        </w:rPr>
      </w:pPr>
    </w:p>
    <w:p w14:paraId="34ADD570" w14:textId="77777777" w:rsidR="001F0E2F" w:rsidRDefault="001F0E2F" w:rsidP="001F0E2F">
      <w:pPr>
        <w:spacing w:line="480" w:lineRule="auto"/>
        <w:ind w:left="0" w:firstLine="0"/>
        <w:jc w:val="both"/>
        <w:rPr>
          <w:szCs w:val="24"/>
        </w:rPr>
      </w:pPr>
    </w:p>
    <w:p w14:paraId="0BE1F9CA" w14:textId="77777777" w:rsidR="001F0E2F" w:rsidRDefault="001F0E2F" w:rsidP="001F0E2F">
      <w:pPr>
        <w:spacing w:line="480" w:lineRule="auto"/>
        <w:ind w:left="0" w:firstLine="0"/>
        <w:jc w:val="both"/>
        <w:rPr>
          <w:szCs w:val="24"/>
        </w:rPr>
      </w:pPr>
    </w:p>
    <w:p w14:paraId="77387486" w14:textId="77777777" w:rsidR="001F0E2F" w:rsidRDefault="001F0E2F" w:rsidP="001F0E2F">
      <w:pPr>
        <w:spacing w:line="480" w:lineRule="auto"/>
        <w:ind w:left="0" w:firstLine="0"/>
        <w:jc w:val="both"/>
        <w:rPr>
          <w:szCs w:val="24"/>
        </w:rPr>
      </w:pPr>
    </w:p>
    <w:p w14:paraId="4BDB3715" w14:textId="77777777" w:rsidR="00D234E1" w:rsidRPr="0081775E" w:rsidRDefault="00D234E1" w:rsidP="001A2B36">
      <w:pPr>
        <w:pStyle w:val="Heading1"/>
        <w:rPr>
          <w:rFonts w:ascii="Times New Roman" w:hAnsi="Times New Roman" w:cs="Times New Roman"/>
          <w:b/>
          <w:bCs/>
          <w:color w:val="auto"/>
          <w:sz w:val="28"/>
          <w:szCs w:val="28"/>
        </w:rPr>
      </w:pPr>
      <w:bookmarkStart w:id="22" w:name="_Toc14521031"/>
      <w:r w:rsidRPr="0081775E">
        <w:rPr>
          <w:rFonts w:ascii="Times New Roman" w:hAnsi="Times New Roman" w:cs="Times New Roman"/>
          <w:b/>
          <w:bCs/>
          <w:color w:val="auto"/>
          <w:sz w:val="28"/>
          <w:szCs w:val="28"/>
        </w:rPr>
        <w:lastRenderedPageBreak/>
        <w:t>: Experimental methods and Analytical techniques</w:t>
      </w:r>
      <w:bookmarkEnd w:id="22"/>
      <w:r w:rsidRPr="0081775E">
        <w:rPr>
          <w:rFonts w:ascii="Times New Roman" w:hAnsi="Times New Roman" w:cs="Times New Roman"/>
          <w:b/>
          <w:bCs/>
          <w:color w:val="auto"/>
          <w:sz w:val="28"/>
          <w:szCs w:val="28"/>
        </w:rPr>
        <w:t xml:space="preserve"> </w:t>
      </w:r>
    </w:p>
    <w:p w14:paraId="33DD0AF4" w14:textId="77777777" w:rsidR="00D234E1" w:rsidRPr="00F16B78" w:rsidRDefault="00D234E1" w:rsidP="002A5915">
      <w:pPr>
        <w:pStyle w:val="Heading2"/>
        <w:rPr>
          <w:rFonts w:ascii="Times New Roman" w:hAnsi="Times New Roman" w:cs="Times New Roman"/>
          <w:b/>
          <w:bCs/>
          <w:color w:val="auto"/>
          <w:sz w:val="24"/>
          <w:szCs w:val="24"/>
        </w:rPr>
      </w:pPr>
      <w:bookmarkStart w:id="23" w:name="_Toc14521032"/>
      <w:r w:rsidRPr="00F16B78">
        <w:rPr>
          <w:rFonts w:ascii="Times New Roman" w:hAnsi="Times New Roman" w:cs="Times New Roman"/>
          <w:b/>
          <w:bCs/>
          <w:color w:val="auto"/>
          <w:sz w:val="24"/>
          <w:szCs w:val="24"/>
        </w:rPr>
        <w:t>2.1 S</w:t>
      </w:r>
      <w:r w:rsidR="00F16B78">
        <w:rPr>
          <w:rFonts w:ascii="Times New Roman" w:hAnsi="Times New Roman" w:cs="Times New Roman"/>
          <w:b/>
          <w:bCs/>
          <w:color w:val="auto"/>
          <w:sz w:val="24"/>
          <w:szCs w:val="24"/>
        </w:rPr>
        <w:t>ample preparation</w:t>
      </w:r>
      <w:bookmarkEnd w:id="23"/>
    </w:p>
    <w:p w14:paraId="41FA02D0" w14:textId="77777777" w:rsidR="00D234E1" w:rsidRPr="00D7685A" w:rsidRDefault="00D234E1" w:rsidP="00D234E1">
      <w:pPr>
        <w:spacing w:line="480" w:lineRule="auto"/>
        <w:ind w:firstLine="720"/>
        <w:jc w:val="both"/>
        <w:rPr>
          <w:szCs w:val="24"/>
        </w:rPr>
      </w:pPr>
      <w:r w:rsidRPr="00D7685A">
        <w:rPr>
          <w:szCs w:val="24"/>
        </w:rPr>
        <w:t xml:space="preserve">For the thermal degradation experiments (i.e. torrefaction and/or pyrolysis), biomass samples were prepared by loading a certain amount of the biomass (ranging between 0.50 mg and 2.20 mg) into a fire polished quartz tube </w:t>
      </w:r>
      <w:r w:rsidRPr="00D7685A">
        <w:rPr>
          <w:i/>
          <w:szCs w:val="24"/>
        </w:rPr>
        <w:t>(CDS Analytical, Oxford PA, Part No. 10A1-3015)</w:t>
      </w:r>
      <w:r w:rsidRPr="00D7685A">
        <w:rPr>
          <w:szCs w:val="24"/>
        </w:rPr>
        <w:t xml:space="preserve">. The quartz tube used in the experiments were open ended on both sides; hence, a filler rod </w:t>
      </w:r>
      <w:r w:rsidRPr="00D7685A">
        <w:rPr>
          <w:i/>
          <w:szCs w:val="24"/>
        </w:rPr>
        <w:t>(CDS Analytical, Oxford PA, Part No. 10A1-3016S)</w:t>
      </w:r>
      <w:r w:rsidRPr="00D7685A">
        <w:rPr>
          <w:szCs w:val="24"/>
        </w:rPr>
        <w:t xml:space="preserve"> is inserted within the quartz tube to seal the bottom end. To further consolidate the placement of the biomass, and to prevent any loss of the biomass through the sides and bottom of the quartz tube, a small amount of quartz wool </w:t>
      </w:r>
      <w:r w:rsidRPr="00D7685A">
        <w:rPr>
          <w:i/>
          <w:szCs w:val="24"/>
        </w:rPr>
        <w:t>(CDS Analytical, Oxford PA, Part No. 0100-9014)</w:t>
      </w:r>
      <w:r w:rsidRPr="00D7685A">
        <w:rPr>
          <w:szCs w:val="24"/>
        </w:rPr>
        <w:t xml:space="preserve"> is placed on top of the filler rod where the biomass sample rests. Biomass sample is sucked into the tube using vacuum. The figure below illustrates a typical biomass sample tube</w:t>
      </w:r>
      <w:r w:rsidR="0081775E">
        <w:rPr>
          <w:szCs w:val="24"/>
        </w:rPr>
        <w:t xml:space="preserve"> (7)</w:t>
      </w:r>
      <w:r w:rsidRPr="00D7685A">
        <w:rPr>
          <w:szCs w:val="24"/>
        </w:rPr>
        <w:t xml:space="preserve">. The quartz tubes are weighed before and after the loading of biomass, and the difference between the weights is taken as the mass of biomass within the tube. The weighing measurements are done on a Mettler Toledo XS105 Dual Range balance (maximum weighing capacity of 120g with a linearity of ±0.2 mg). </w:t>
      </w:r>
    </w:p>
    <w:p w14:paraId="2F4ACD0A" w14:textId="77777777" w:rsidR="00D234E1" w:rsidRDefault="00D234E1" w:rsidP="00D234E1">
      <w:pPr>
        <w:spacing w:line="480" w:lineRule="auto"/>
      </w:pPr>
      <w:r>
        <w:rPr>
          <w:noProof/>
        </w:rPr>
        <w:drawing>
          <wp:anchor distT="0" distB="0" distL="114300" distR="114300" simplePos="0" relativeHeight="251669504" behindDoc="0" locked="0" layoutInCell="1" allowOverlap="1" wp14:anchorId="6F601802" wp14:editId="5485FCE9">
            <wp:simplePos x="0" y="0"/>
            <wp:positionH relativeFrom="margin">
              <wp:align>center</wp:align>
            </wp:positionH>
            <wp:positionV relativeFrom="paragraph">
              <wp:posOffset>8890</wp:posOffset>
            </wp:positionV>
            <wp:extent cx="3638550" cy="22225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3638550" cy="2222500"/>
                    </a:xfrm>
                    <a:prstGeom prst="rect">
                      <a:avLst/>
                    </a:prstGeom>
                  </pic:spPr>
                </pic:pic>
              </a:graphicData>
            </a:graphic>
            <wp14:sizeRelH relativeFrom="margin">
              <wp14:pctWidth>0</wp14:pctWidth>
            </wp14:sizeRelH>
            <wp14:sizeRelV relativeFrom="margin">
              <wp14:pctHeight>0</wp14:pctHeight>
            </wp14:sizeRelV>
          </wp:anchor>
        </w:drawing>
      </w:r>
    </w:p>
    <w:p w14:paraId="63A8CC8D" w14:textId="77777777" w:rsidR="00D234E1" w:rsidRPr="00E208EA" w:rsidRDefault="00D234E1" w:rsidP="00D234E1">
      <w:pPr>
        <w:spacing w:line="480" w:lineRule="auto"/>
      </w:pPr>
    </w:p>
    <w:p w14:paraId="5DBC27D8" w14:textId="77777777" w:rsidR="00D234E1" w:rsidRPr="00E208EA" w:rsidRDefault="00D234E1" w:rsidP="00D234E1">
      <w:pPr>
        <w:spacing w:line="480" w:lineRule="auto"/>
      </w:pPr>
    </w:p>
    <w:p w14:paraId="16517585" w14:textId="77777777" w:rsidR="00D234E1" w:rsidRPr="00E208EA" w:rsidRDefault="00D234E1" w:rsidP="00D234E1">
      <w:pPr>
        <w:spacing w:line="480" w:lineRule="auto"/>
      </w:pPr>
    </w:p>
    <w:p w14:paraId="4E161FF2" w14:textId="77777777" w:rsidR="00D234E1" w:rsidRPr="00E208EA" w:rsidRDefault="00D234E1" w:rsidP="00D234E1">
      <w:pPr>
        <w:spacing w:line="480" w:lineRule="auto"/>
      </w:pPr>
    </w:p>
    <w:p w14:paraId="41D45C55" w14:textId="77777777" w:rsidR="00D234E1" w:rsidRPr="00E208EA" w:rsidRDefault="00D234E1" w:rsidP="00D234E1">
      <w:pPr>
        <w:spacing w:line="480" w:lineRule="auto"/>
      </w:pPr>
    </w:p>
    <w:p w14:paraId="0AE7056B" w14:textId="77777777" w:rsidR="00D234E1" w:rsidRDefault="00927505" w:rsidP="00D234E1">
      <w:pPr>
        <w:spacing w:line="480" w:lineRule="auto"/>
      </w:pPr>
      <w:r>
        <w:rPr>
          <w:noProof/>
        </w:rPr>
        <mc:AlternateContent>
          <mc:Choice Requires="wps">
            <w:drawing>
              <wp:anchor distT="0" distB="0" distL="114300" distR="114300" simplePos="0" relativeHeight="251759616" behindDoc="0" locked="0" layoutInCell="1" allowOverlap="1" wp14:anchorId="33445DF9" wp14:editId="3F1DA8A2">
                <wp:simplePos x="0" y="0"/>
                <wp:positionH relativeFrom="margin">
                  <wp:posOffset>466725</wp:posOffset>
                </wp:positionH>
                <wp:positionV relativeFrom="paragraph">
                  <wp:posOffset>318770</wp:posOffset>
                </wp:positionV>
                <wp:extent cx="4781550" cy="635"/>
                <wp:effectExtent l="0" t="0" r="0" b="2540"/>
                <wp:wrapSquare wrapText="bothSides"/>
                <wp:docPr id="252" name="Text Box 252"/>
                <wp:cNvGraphicFramePr/>
                <a:graphic xmlns:a="http://schemas.openxmlformats.org/drawingml/2006/main">
                  <a:graphicData uri="http://schemas.microsoft.com/office/word/2010/wordprocessingShape">
                    <wps:wsp>
                      <wps:cNvSpPr txBox="1"/>
                      <wps:spPr>
                        <a:xfrm>
                          <a:off x="0" y="0"/>
                          <a:ext cx="4781550" cy="635"/>
                        </a:xfrm>
                        <a:prstGeom prst="rect">
                          <a:avLst/>
                        </a:prstGeom>
                        <a:solidFill>
                          <a:prstClr val="white"/>
                        </a:solidFill>
                        <a:ln>
                          <a:noFill/>
                        </a:ln>
                      </wps:spPr>
                      <wps:txbx>
                        <w:txbxContent>
                          <w:p w14:paraId="3C25236B" w14:textId="2F6B5DFD" w:rsidR="00AA26F6" w:rsidRPr="00927505" w:rsidRDefault="00AA26F6" w:rsidP="00927505">
                            <w:pPr>
                              <w:pStyle w:val="Caption"/>
                              <w:jc w:val="center"/>
                              <w:rPr>
                                <w:i w:val="0"/>
                                <w:iCs w:val="0"/>
                                <w:noProof/>
                                <w:color w:val="auto"/>
                                <w:sz w:val="24"/>
                                <w:szCs w:val="24"/>
                              </w:rPr>
                            </w:pPr>
                            <w:bookmarkStart w:id="24" w:name="_Toc14520639"/>
                            <w:r w:rsidRPr="00927505">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sidRPr="00927505">
                              <w:rPr>
                                <w:b/>
                                <w:bCs/>
                                <w:i w:val="0"/>
                                <w:iCs w:val="0"/>
                                <w:color w:val="auto"/>
                                <w:sz w:val="24"/>
                                <w:szCs w:val="24"/>
                              </w:rPr>
                              <w:t>:</w:t>
                            </w:r>
                            <w:r w:rsidRPr="00927505">
                              <w:rPr>
                                <w:i w:val="0"/>
                                <w:iCs w:val="0"/>
                                <w:color w:val="auto"/>
                                <w:sz w:val="24"/>
                                <w:szCs w:val="24"/>
                              </w:rPr>
                              <w:t xml:space="preserve"> A typical sample tube for thermal degradation experiments</w:t>
                            </w:r>
                            <w:bookmarkEnd w:id="24"/>
                            <w:r w:rsidR="00715846">
                              <w:rPr>
                                <w:i w:val="0"/>
                                <w:iCs w:val="0"/>
                                <w:color w:val="auto"/>
                                <w:sz w:val="24"/>
                                <w:szCs w:val="24"/>
                              </w:rPr>
                              <w:t xml:space="preserve"> (7)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445DF9" id="Text Box 252" o:spid="_x0000_s1031" type="#_x0000_t202" style="position:absolute;left:0;text-align:left;margin-left:36.75pt;margin-top:25.1pt;width:376.5pt;height:.05pt;z-index:2517596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" stroked="f">
                <v:textbox style="mso-fit-shape-to-text:t" inset="0,0,0,0">
                  <w:txbxContent>
                    <w:p w14:paraId="3C25236B" w14:textId="2F6B5DFD" w:rsidR="00AA26F6" w:rsidRPr="00927505" w:rsidRDefault="00AA26F6" w:rsidP="00927505">
                      <w:pPr>
                        <w:pStyle w:val="Caption"/>
                        <w:jc w:val="center"/>
                        <w:rPr>
                          <w:i w:val="0"/>
                          <w:iCs w:val="0"/>
                          <w:noProof/>
                          <w:color w:val="auto"/>
                          <w:sz w:val="24"/>
                          <w:szCs w:val="24"/>
                        </w:rPr>
                      </w:pPr>
                      <w:bookmarkStart w:id="25" w:name="_Toc14520639"/>
                      <w:r w:rsidRPr="00927505">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sidRPr="00927505">
                        <w:rPr>
                          <w:b/>
                          <w:bCs/>
                          <w:i w:val="0"/>
                          <w:iCs w:val="0"/>
                          <w:color w:val="auto"/>
                          <w:sz w:val="24"/>
                          <w:szCs w:val="24"/>
                        </w:rPr>
                        <w:t>:</w:t>
                      </w:r>
                      <w:r w:rsidRPr="00927505">
                        <w:rPr>
                          <w:i w:val="0"/>
                          <w:iCs w:val="0"/>
                          <w:color w:val="auto"/>
                          <w:sz w:val="24"/>
                          <w:szCs w:val="24"/>
                        </w:rPr>
                        <w:t xml:space="preserve"> A typical sample tube for thermal degradation experiments</w:t>
                      </w:r>
                      <w:bookmarkEnd w:id="25"/>
                      <w:r w:rsidR="00715846">
                        <w:rPr>
                          <w:i w:val="0"/>
                          <w:iCs w:val="0"/>
                          <w:color w:val="auto"/>
                          <w:sz w:val="24"/>
                          <w:szCs w:val="24"/>
                        </w:rPr>
                        <w:t xml:space="preserve"> (7)</w:t>
                      </w:r>
                    </w:p>
                  </w:txbxContent>
                </v:textbox>
                <w10:wrap type="square" anchorx="margin"/>
              </v:shape>
            </w:pict>
          </mc:Fallback>
        </mc:AlternateContent>
      </w:r>
    </w:p>
    <w:p w14:paraId="5BC799DC" w14:textId="77777777" w:rsidR="00D234E1" w:rsidRDefault="00D234E1" w:rsidP="00D234E1">
      <w:pPr>
        <w:spacing w:line="480" w:lineRule="auto"/>
        <w:rPr>
          <w:b/>
          <w:bCs/>
          <w:szCs w:val="24"/>
          <w:u w:val="single"/>
        </w:rPr>
      </w:pPr>
    </w:p>
    <w:p w14:paraId="13666B69" w14:textId="77777777" w:rsidR="00D234E1" w:rsidRPr="00F16B78" w:rsidRDefault="00D234E1" w:rsidP="002A5915">
      <w:pPr>
        <w:pStyle w:val="Heading2"/>
        <w:rPr>
          <w:rFonts w:ascii="Times New Roman" w:hAnsi="Times New Roman" w:cs="Times New Roman"/>
          <w:b/>
          <w:bCs/>
          <w:color w:val="auto"/>
          <w:sz w:val="24"/>
          <w:szCs w:val="24"/>
        </w:rPr>
      </w:pPr>
      <w:bookmarkStart w:id="26" w:name="_Toc14521033"/>
      <w:r w:rsidRPr="00F16B78">
        <w:rPr>
          <w:rFonts w:ascii="Times New Roman" w:hAnsi="Times New Roman" w:cs="Times New Roman"/>
          <w:b/>
          <w:bCs/>
          <w:color w:val="auto"/>
          <w:sz w:val="24"/>
          <w:szCs w:val="24"/>
        </w:rPr>
        <w:lastRenderedPageBreak/>
        <w:t>2.2 T</w:t>
      </w:r>
      <w:r w:rsidR="00F16B78">
        <w:rPr>
          <w:rFonts w:ascii="Times New Roman" w:hAnsi="Times New Roman" w:cs="Times New Roman"/>
          <w:b/>
          <w:bCs/>
          <w:color w:val="auto"/>
          <w:sz w:val="24"/>
          <w:szCs w:val="24"/>
        </w:rPr>
        <w:t>orrefaction/Pyrolysis apparatus</w:t>
      </w:r>
      <w:bookmarkEnd w:id="26"/>
      <w:r w:rsidRPr="00F16B78">
        <w:rPr>
          <w:rFonts w:ascii="Times New Roman" w:hAnsi="Times New Roman" w:cs="Times New Roman"/>
          <w:b/>
          <w:bCs/>
          <w:color w:val="auto"/>
          <w:sz w:val="24"/>
          <w:szCs w:val="24"/>
        </w:rPr>
        <w:t xml:space="preserve"> </w:t>
      </w:r>
    </w:p>
    <w:p w14:paraId="5B33507E" w14:textId="77777777" w:rsidR="00D234E1" w:rsidRPr="00D7685A" w:rsidRDefault="00D234E1" w:rsidP="00ED4E6F">
      <w:pPr>
        <w:spacing w:line="480" w:lineRule="auto"/>
        <w:ind w:left="0" w:firstLine="720"/>
        <w:jc w:val="both"/>
        <w:rPr>
          <w:szCs w:val="24"/>
        </w:rPr>
      </w:pPr>
      <w:r w:rsidRPr="00D7685A">
        <w:rPr>
          <w:szCs w:val="24"/>
        </w:rPr>
        <w:t xml:space="preserve">The thermal decomposition of biomass was carried out in a CDS Analytical Pyroprobe 5250T. The top portion of the pyrolysis autosampler contains a revolving carousel; the carousel incorporates multiple slits/holes where the biomass samples are loaded onto. The quartz tubes, which contain the biomass, are positioned vertically in the carousel. A collection tray is located beneath the torrefaction/pyrolysis system, and it collects tubes after they are “spent” in the pyrolysis chamber. Figure 2.2 shows a schematic diagram of the system. </w:t>
      </w:r>
    </w:p>
    <w:p w14:paraId="5AA3D833" w14:textId="77777777" w:rsidR="00D234E1" w:rsidRPr="00D7685A" w:rsidRDefault="00D234E1" w:rsidP="00D234E1">
      <w:pPr>
        <w:spacing w:line="480" w:lineRule="auto"/>
        <w:ind w:left="0" w:firstLine="0"/>
        <w:rPr>
          <w:szCs w:val="24"/>
        </w:rPr>
      </w:pPr>
    </w:p>
    <w:p w14:paraId="5AAA01FB" w14:textId="77777777" w:rsidR="00D234E1" w:rsidRDefault="00D234E1" w:rsidP="00D234E1">
      <w:pPr>
        <w:spacing w:line="480" w:lineRule="auto"/>
        <w:ind w:left="0" w:firstLine="0"/>
      </w:pPr>
      <w:r>
        <w:rPr>
          <w:noProof/>
        </w:rPr>
        <w:drawing>
          <wp:anchor distT="0" distB="0" distL="114300" distR="114300" simplePos="0" relativeHeight="251670528" behindDoc="0" locked="0" layoutInCell="1" allowOverlap="1" wp14:anchorId="07E9BE8E" wp14:editId="2D401285">
            <wp:simplePos x="0" y="0"/>
            <wp:positionH relativeFrom="margin">
              <wp:posOffset>1076325</wp:posOffset>
            </wp:positionH>
            <wp:positionV relativeFrom="paragraph">
              <wp:posOffset>5080</wp:posOffset>
            </wp:positionV>
            <wp:extent cx="3787140" cy="3771900"/>
            <wp:effectExtent l="0" t="0" r="381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3787140" cy="3771900"/>
                    </a:xfrm>
                    <a:prstGeom prst="rect">
                      <a:avLst/>
                    </a:prstGeom>
                  </pic:spPr>
                </pic:pic>
              </a:graphicData>
            </a:graphic>
            <wp14:sizeRelH relativeFrom="margin">
              <wp14:pctWidth>0</wp14:pctWidth>
            </wp14:sizeRelH>
            <wp14:sizeRelV relativeFrom="margin">
              <wp14:pctHeight>0</wp14:pctHeight>
            </wp14:sizeRelV>
          </wp:anchor>
        </w:drawing>
      </w:r>
    </w:p>
    <w:p w14:paraId="471AD1C6" w14:textId="77777777" w:rsidR="00D234E1" w:rsidRDefault="00D234E1" w:rsidP="00D234E1">
      <w:pPr>
        <w:spacing w:line="480" w:lineRule="auto"/>
        <w:ind w:left="0" w:firstLine="0"/>
      </w:pPr>
    </w:p>
    <w:p w14:paraId="6AEE7FBB" w14:textId="77777777" w:rsidR="00D234E1" w:rsidRDefault="00D234E1" w:rsidP="00D234E1">
      <w:pPr>
        <w:spacing w:line="480" w:lineRule="auto"/>
        <w:ind w:left="0" w:firstLine="0"/>
      </w:pPr>
    </w:p>
    <w:p w14:paraId="5AA70ADD" w14:textId="77777777" w:rsidR="00D234E1" w:rsidRDefault="00D234E1" w:rsidP="00D234E1">
      <w:pPr>
        <w:spacing w:line="480" w:lineRule="auto"/>
        <w:ind w:left="0" w:firstLine="0"/>
      </w:pPr>
    </w:p>
    <w:p w14:paraId="5558A9B5" w14:textId="77777777" w:rsidR="00D234E1" w:rsidRDefault="00D234E1" w:rsidP="00D234E1">
      <w:pPr>
        <w:spacing w:line="480" w:lineRule="auto"/>
        <w:ind w:left="0" w:firstLine="0"/>
      </w:pPr>
    </w:p>
    <w:p w14:paraId="45737466" w14:textId="77777777" w:rsidR="00D234E1" w:rsidRDefault="00D234E1" w:rsidP="00D234E1">
      <w:pPr>
        <w:spacing w:line="480" w:lineRule="auto"/>
        <w:ind w:left="0" w:firstLine="0"/>
      </w:pPr>
    </w:p>
    <w:p w14:paraId="79453941" w14:textId="77777777" w:rsidR="00D234E1" w:rsidRDefault="00D234E1" w:rsidP="00D234E1">
      <w:pPr>
        <w:spacing w:line="480" w:lineRule="auto"/>
        <w:ind w:left="0" w:firstLine="0"/>
      </w:pPr>
    </w:p>
    <w:p w14:paraId="6FB26866" w14:textId="77777777" w:rsidR="00D234E1" w:rsidRDefault="00D234E1" w:rsidP="00D234E1">
      <w:pPr>
        <w:spacing w:line="480" w:lineRule="auto"/>
        <w:ind w:left="0" w:firstLine="0"/>
      </w:pPr>
    </w:p>
    <w:p w14:paraId="2A5BFF93" w14:textId="77777777" w:rsidR="00D234E1" w:rsidRDefault="00D234E1" w:rsidP="00D234E1">
      <w:pPr>
        <w:spacing w:line="480" w:lineRule="auto"/>
        <w:ind w:left="0" w:firstLine="0"/>
      </w:pPr>
    </w:p>
    <w:p w14:paraId="2668813F" w14:textId="77777777" w:rsidR="00D234E1" w:rsidRDefault="00D234E1" w:rsidP="00D234E1">
      <w:pPr>
        <w:spacing w:line="480" w:lineRule="auto"/>
        <w:ind w:left="0" w:firstLine="0"/>
      </w:pPr>
    </w:p>
    <w:p w14:paraId="1233155F" w14:textId="77777777" w:rsidR="001A2572" w:rsidRDefault="00940111" w:rsidP="00D234E1">
      <w:pPr>
        <w:spacing w:line="480" w:lineRule="auto"/>
        <w:ind w:left="0" w:firstLine="0"/>
        <w:jc w:val="both"/>
        <w:rPr>
          <w:szCs w:val="24"/>
        </w:rPr>
      </w:pPr>
      <w:r>
        <w:rPr>
          <w:noProof/>
        </w:rPr>
        <mc:AlternateContent>
          <mc:Choice Requires="wps">
            <w:drawing>
              <wp:anchor distT="0" distB="0" distL="114300" distR="114300" simplePos="0" relativeHeight="251761664" behindDoc="0" locked="0" layoutInCell="1" allowOverlap="1" wp14:anchorId="0E13565B" wp14:editId="16E492F7">
                <wp:simplePos x="0" y="0"/>
                <wp:positionH relativeFrom="column">
                  <wp:posOffset>1075690</wp:posOffset>
                </wp:positionH>
                <wp:positionV relativeFrom="paragraph">
                  <wp:posOffset>298450</wp:posOffset>
                </wp:positionV>
                <wp:extent cx="4333875" cy="635"/>
                <wp:effectExtent l="0" t="0" r="9525" b="2540"/>
                <wp:wrapSquare wrapText="bothSides"/>
                <wp:docPr id="253" name="Text Box 253"/>
                <wp:cNvGraphicFramePr/>
                <a:graphic xmlns:a="http://schemas.openxmlformats.org/drawingml/2006/main">
                  <a:graphicData uri="http://schemas.microsoft.com/office/word/2010/wordprocessingShape">
                    <wps:wsp>
                      <wps:cNvSpPr txBox="1"/>
                      <wps:spPr>
                        <a:xfrm>
                          <a:off x="0" y="0"/>
                          <a:ext cx="4333875" cy="635"/>
                        </a:xfrm>
                        <a:prstGeom prst="rect">
                          <a:avLst/>
                        </a:prstGeom>
                        <a:solidFill>
                          <a:prstClr val="white"/>
                        </a:solidFill>
                        <a:ln>
                          <a:noFill/>
                        </a:ln>
                      </wps:spPr>
                      <wps:txbx>
                        <w:txbxContent>
                          <w:p w14:paraId="00512D7F" w14:textId="3F682094" w:rsidR="00AA26F6" w:rsidRPr="00940111" w:rsidRDefault="00AA26F6" w:rsidP="00940111">
                            <w:pPr>
                              <w:pStyle w:val="Caption"/>
                              <w:jc w:val="center"/>
                              <w:rPr>
                                <w:i w:val="0"/>
                                <w:iCs w:val="0"/>
                                <w:noProof/>
                                <w:color w:val="auto"/>
                                <w:sz w:val="24"/>
                                <w:szCs w:val="24"/>
                              </w:rPr>
                            </w:pPr>
                            <w:bookmarkStart w:id="27" w:name="_Toc14520640"/>
                            <w:r w:rsidRPr="00940111">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sidRPr="00940111">
                              <w:rPr>
                                <w:b/>
                                <w:bCs/>
                                <w:i w:val="0"/>
                                <w:iCs w:val="0"/>
                                <w:color w:val="auto"/>
                                <w:sz w:val="24"/>
                                <w:szCs w:val="24"/>
                              </w:rPr>
                              <w:t>:</w:t>
                            </w:r>
                            <w:r w:rsidRPr="00940111">
                              <w:rPr>
                                <w:i w:val="0"/>
                                <w:iCs w:val="0"/>
                                <w:color w:val="auto"/>
                                <w:sz w:val="24"/>
                                <w:szCs w:val="24"/>
                              </w:rPr>
                              <w:t>Schematic of 5250T pyroprobe system with autosampler</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13565B" id="Text Box 253" o:spid="_x0000_s1032" type="#_x0000_t202" style="position:absolute;left:0;text-align:left;margin-left:84.7pt;margin-top:23.5pt;width:341.25pt;height:.05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" stroked="f">
                <v:textbox style="mso-fit-shape-to-text:t" inset="0,0,0,0">
                  <w:txbxContent>
                    <w:p w14:paraId="00512D7F" w14:textId="3F682094" w:rsidR="00AA26F6" w:rsidRPr="00940111" w:rsidRDefault="00AA26F6" w:rsidP="00940111">
                      <w:pPr>
                        <w:pStyle w:val="Caption"/>
                        <w:jc w:val="center"/>
                        <w:rPr>
                          <w:i w:val="0"/>
                          <w:iCs w:val="0"/>
                          <w:noProof/>
                          <w:color w:val="auto"/>
                          <w:sz w:val="24"/>
                          <w:szCs w:val="24"/>
                        </w:rPr>
                      </w:pPr>
                      <w:bookmarkStart w:id="28" w:name="_Toc14520640"/>
                      <w:r w:rsidRPr="00940111">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sidRPr="00940111">
                        <w:rPr>
                          <w:b/>
                          <w:bCs/>
                          <w:i w:val="0"/>
                          <w:iCs w:val="0"/>
                          <w:color w:val="auto"/>
                          <w:sz w:val="24"/>
                          <w:szCs w:val="24"/>
                        </w:rPr>
                        <w:t>:</w:t>
                      </w:r>
                      <w:r w:rsidRPr="00940111">
                        <w:rPr>
                          <w:i w:val="0"/>
                          <w:iCs w:val="0"/>
                          <w:color w:val="auto"/>
                          <w:sz w:val="24"/>
                          <w:szCs w:val="24"/>
                        </w:rPr>
                        <w:t>Schematic of 5250T pyroprobe system with autosampler</w:t>
                      </w:r>
                      <w:bookmarkEnd w:id="28"/>
                    </w:p>
                  </w:txbxContent>
                </v:textbox>
                <w10:wrap type="square"/>
              </v:shape>
            </w:pict>
          </mc:Fallback>
        </mc:AlternateContent>
      </w:r>
    </w:p>
    <w:p w14:paraId="4CC79BED" w14:textId="77777777" w:rsidR="001A2572" w:rsidRDefault="001A2572" w:rsidP="001A2572">
      <w:pPr>
        <w:spacing w:line="480" w:lineRule="auto"/>
        <w:ind w:left="0" w:firstLine="0"/>
        <w:jc w:val="both"/>
        <w:rPr>
          <w:szCs w:val="24"/>
        </w:rPr>
      </w:pPr>
    </w:p>
    <w:p w14:paraId="20B5B8B4" w14:textId="77777777" w:rsidR="00ED4E6F" w:rsidRDefault="00ED4E6F" w:rsidP="00D234E1">
      <w:pPr>
        <w:spacing w:line="480" w:lineRule="auto"/>
        <w:ind w:left="0" w:firstLine="0"/>
        <w:jc w:val="both"/>
        <w:rPr>
          <w:szCs w:val="24"/>
        </w:rPr>
      </w:pPr>
    </w:p>
    <w:p w14:paraId="767B908D" w14:textId="77777777" w:rsidR="00940111" w:rsidRDefault="00940111" w:rsidP="00ED4E6F">
      <w:pPr>
        <w:spacing w:line="480" w:lineRule="auto"/>
        <w:ind w:left="0" w:firstLine="720"/>
        <w:jc w:val="both"/>
        <w:rPr>
          <w:szCs w:val="24"/>
        </w:rPr>
      </w:pPr>
    </w:p>
    <w:p w14:paraId="7D657624" w14:textId="77777777" w:rsidR="00D234E1" w:rsidRPr="00ED4E6F" w:rsidRDefault="00D234E1" w:rsidP="00ED4E6F">
      <w:pPr>
        <w:spacing w:line="480" w:lineRule="auto"/>
        <w:ind w:left="0" w:firstLine="720"/>
        <w:jc w:val="both"/>
        <w:rPr>
          <w:szCs w:val="24"/>
        </w:rPr>
      </w:pPr>
      <w:r w:rsidRPr="00D7685A">
        <w:rPr>
          <w:szCs w:val="24"/>
        </w:rPr>
        <w:lastRenderedPageBreak/>
        <w:t>Once the “GC ready” signal is activated in the software, the autosampler carousel advances, and drops the sample tube on top of an inlet valve. This inlet valve rotates to allow the sample tube to further drop into the pyrolysis chamber – which rests on top of an outlet valve. Once the tube is within the chamber, the top valve closes, and the pyrolysis chamber is purged with helium gas for 20 seconds; this removes any air that might have been introduced into the chamber while samples were being dropped. This purge is subsequently followed by the heating of the pyrolysis chamber; platinum filament wires are wrapped around the surface of the glass pyrolysis chamber, and it is resistively heated to the configured set point of the instrument using a 1000</w:t>
      </w:r>
      <m:oMath>
        <m:r>
          <w:rPr>
            <w:rFonts w:ascii="Cambria Math" w:hAnsi="Cambria Math"/>
            <w:szCs w:val="24"/>
          </w:rPr>
          <m:t>℃/s</m:t>
        </m:r>
      </m:oMath>
      <w:r w:rsidRPr="00D7685A">
        <w:rPr>
          <w:rFonts w:eastAsiaTheme="minorEastAsia"/>
          <w:szCs w:val="24"/>
        </w:rPr>
        <w:t xml:space="preserve"> temperature ramp. After the residence time of the biomass sample has elapsed, the platinum filament gets deactivated, and the outlet valve beneath the chamber opens to allow the sample quartz tube to drop into the collection tray. The picture below (Figure 2.3) depicts the pathway taken by the sample tube (which is otherwise obscured by a protective insulating cover) once it has been dropped from the autosampler carousel. For same samples which undergo various successive thermal treatments, the sample tube is left within the pyrolysis chamber after it undergoes first thermal treatment; once the gas chromatography program is completed (which takes approximately 100 minutes), the sequence of steps resumes from the purge step since no new tube has been dropped from the carousel. The tube is only dropped into the collection tray once all thermal treatments have been completed within the pyrolysis chamber. Once a tube is dropped into the collection tray, the chamber is cleaned via the reactivation of the platinum filament; the chamber is held at a temperature of 1200 </w:t>
      </w:r>
      <m:oMath>
        <m:r>
          <w:rPr>
            <w:rFonts w:ascii="Cambria Math" w:eastAsiaTheme="minorEastAsia" w:hAnsi="Cambria Math"/>
            <w:szCs w:val="24"/>
          </w:rPr>
          <m:t>℃</m:t>
        </m:r>
      </m:oMath>
      <w:r w:rsidRPr="00D7685A">
        <w:rPr>
          <w:rFonts w:eastAsiaTheme="minorEastAsia"/>
          <w:szCs w:val="24"/>
        </w:rPr>
        <w:t xml:space="preserve"> for 20 seconds while a sweeping flow of helium gas is purged through the chamber at around 30 </w:t>
      </w:r>
      <m:oMath>
        <m:f>
          <m:fPr>
            <m:ctrlPr>
              <w:rPr>
                <w:rFonts w:ascii="Cambria Math" w:eastAsiaTheme="minorEastAsia" w:hAnsi="Cambria Math"/>
                <w:i/>
                <w:szCs w:val="24"/>
              </w:rPr>
            </m:ctrlPr>
          </m:fPr>
          <m:num>
            <m:r>
              <w:rPr>
                <w:rFonts w:ascii="Cambria Math" w:eastAsiaTheme="minorEastAsia" w:hAnsi="Cambria Math"/>
                <w:szCs w:val="24"/>
              </w:rPr>
              <m:t>ml</m:t>
            </m:r>
          </m:num>
          <m:den>
            <m:r>
              <w:rPr>
                <w:rFonts w:ascii="Cambria Math" w:eastAsiaTheme="minorEastAsia" w:hAnsi="Cambria Math"/>
                <w:szCs w:val="24"/>
              </w:rPr>
              <m:t>minute</m:t>
            </m:r>
          </m:den>
        </m:f>
      </m:oMath>
      <w:r w:rsidRPr="00D7685A">
        <w:rPr>
          <w:rFonts w:eastAsiaTheme="minorEastAsia"/>
          <w:szCs w:val="24"/>
        </w:rPr>
        <w:t xml:space="preserve">.  </w:t>
      </w:r>
    </w:p>
    <w:p w14:paraId="38724C46" w14:textId="77777777" w:rsidR="00D234E1" w:rsidRDefault="00D234E1" w:rsidP="00D234E1">
      <w:pPr>
        <w:spacing w:line="480" w:lineRule="auto"/>
        <w:ind w:left="0" w:firstLine="0"/>
        <w:rPr>
          <w:rFonts w:eastAsiaTheme="minorEastAsia"/>
        </w:rPr>
      </w:pPr>
    </w:p>
    <w:p w14:paraId="13E4E363" w14:textId="77777777" w:rsidR="00D234E1" w:rsidRDefault="00D234E1" w:rsidP="00D234E1">
      <w:pPr>
        <w:spacing w:line="480" w:lineRule="auto"/>
        <w:ind w:left="0" w:firstLine="0"/>
        <w:rPr>
          <w:rFonts w:eastAsiaTheme="minorEastAsia"/>
        </w:rPr>
      </w:pPr>
    </w:p>
    <w:p w14:paraId="4EF40B28" w14:textId="77777777" w:rsidR="00D234E1" w:rsidRDefault="00D234E1" w:rsidP="00D234E1">
      <w:pPr>
        <w:spacing w:line="480" w:lineRule="auto"/>
        <w:ind w:left="0" w:firstLine="0"/>
        <w:rPr>
          <w:rFonts w:eastAsiaTheme="minorEastAsia"/>
        </w:rPr>
      </w:pPr>
    </w:p>
    <w:p w14:paraId="035CCE3C" w14:textId="77777777" w:rsidR="00D234E1" w:rsidRDefault="00D234E1" w:rsidP="00D234E1">
      <w:pPr>
        <w:spacing w:line="480" w:lineRule="auto"/>
        <w:ind w:left="0" w:firstLine="0"/>
        <w:rPr>
          <w:rFonts w:eastAsiaTheme="minorEastAsia"/>
        </w:rPr>
      </w:pPr>
      <w:r>
        <w:rPr>
          <w:noProof/>
        </w:rPr>
        <w:drawing>
          <wp:anchor distT="0" distB="0" distL="114300" distR="114300" simplePos="0" relativeHeight="251672576" behindDoc="1" locked="0" layoutInCell="1" allowOverlap="1" wp14:anchorId="59E6C028" wp14:editId="0466A1BE">
            <wp:simplePos x="0" y="0"/>
            <wp:positionH relativeFrom="margin">
              <wp:posOffset>1524000</wp:posOffset>
            </wp:positionH>
            <wp:positionV relativeFrom="paragraph">
              <wp:posOffset>0</wp:posOffset>
            </wp:positionV>
            <wp:extent cx="2733675" cy="3543300"/>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733675" cy="3543300"/>
                    </a:xfrm>
                    <a:prstGeom prst="rect">
                      <a:avLst/>
                    </a:prstGeom>
                  </pic:spPr>
                </pic:pic>
              </a:graphicData>
            </a:graphic>
            <wp14:sizeRelH relativeFrom="margin">
              <wp14:pctWidth>0</wp14:pctWidth>
            </wp14:sizeRelH>
            <wp14:sizeRelV relativeFrom="margin">
              <wp14:pctHeight>0</wp14:pctHeight>
            </wp14:sizeRelV>
          </wp:anchor>
        </w:drawing>
      </w:r>
    </w:p>
    <w:p w14:paraId="1A6078F7" w14:textId="77777777" w:rsidR="00D234E1" w:rsidRDefault="00D234E1" w:rsidP="00D234E1">
      <w:pPr>
        <w:spacing w:line="480" w:lineRule="auto"/>
        <w:ind w:left="0" w:firstLine="0"/>
        <w:rPr>
          <w:rFonts w:eastAsiaTheme="minorEastAsia"/>
        </w:rPr>
      </w:pPr>
    </w:p>
    <w:p w14:paraId="020D52CF" w14:textId="77777777" w:rsidR="00D234E1" w:rsidRDefault="00D234E1" w:rsidP="00D234E1">
      <w:pPr>
        <w:spacing w:line="480" w:lineRule="auto"/>
        <w:ind w:left="0" w:firstLine="0"/>
        <w:rPr>
          <w:rFonts w:eastAsiaTheme="minorEastAsia"/>
        </w:rPr>
      </w:pPr>
    </w:p>
    <w:p w14:paraId="542E6FB8" w14:textId="77777777" w:rsidR="00D234E1" w:rsidRDefault="00D234E1" w:rsidP="00D234E1">
      <w:pPr>
        <w:spacing w:line="480" w:lineRule="auto"/>
        <w:ind w:left="0" w:firstLine="0"/>
      </w:pPr>
    </w:p>
    <w:p w14:paraId="1480B93F" w14:textId="77777777" w:rsidR="00D234E1" w:rsidRPr="001E4BAD" w:rsidRDefault="00D234E1" w:rsidP="00D234E1">
      <w:pPr>
        <w:spacing w:line="480" w:lineRule="auto"/>
        <w:ind w:left="0" w:firstLine="0"/>
      </w:pPr>
    </w:p>
    <w:p w14:paraId="294F505F" w14:textId="77777777" w:rsidR="00D234E1" w:rsidRPr="001E4BAD" w:rsidRDefault="00D234E1" w:rsidP="00D234E1">
      <w:pPr>
        <w:spacing w:line="480" w:lineRule="auto"/>
        <w:ind w:left="0" w:firstLine="0"/>
      </w:pPr>
    </w:p>
    <w:p w14:paraId="62CB25F9" w14:textId="77777777" w:rsidR="00D234E1" w:rsidRPr="001E4BAD" w:rsidRDefault="00D234E1" w:rsidP="00D234E1">
      <w:pPr>
        <w:spacing w:line="480" w:lineRule="auto"/>
        <w:ind w:left="0" w:firstLine="0"/>
      </w:pPr>
    </w:p>
    <w:p w14:paraId="267CBD04" w14:textId="77777777" w:rsidR="00D234E1" w:rsidRPr="001E4BAD" w:rsidRDefault="00D234E1" w:rsidP="00D234E1">
      <w:pPr>
        <w:spacing w:line="480" w:lineRule="auto"/>
        <w:ind w:left="0" w:firstLine="0"/>
      </w:pPr>
    </w:p>
    <w:p w14:paraId="1A6C0A16" w14:textId="77777777" w:rsidR="00D234E1" w:rsidRPr="001E4BAD" w:rsidRDefault="00D234E1" w:rsidP="00D234E1">
      <w:pPr>
        <w:spacing w:line="480" w:lineRule="auto"/>
        <w:ind w:left="0" w:firstLine="0"/>
      </w:pPr>
    </w:p>
    <w:p w14:paraId="3DCBBA58" w14:textId="77777777" w:rsidR="001A2572" w:rsidRDefault="00B22A42" w:rsidP="001A2572">
      <w:pPr>
        <w:spacing w:line="480" w:lineRule="auto"/>
        <w:ind w:left="0" w:firstLine="0"/>
        <w:jc w:val="both"/>
        <w:rPr>
          <w:szCs w:val="24"/>
        </w:rPr>
      </w:pPr>
      <w:r>
        <w:rPr>
          <w:noProof/>
        </w:rPr>
        <mc:AlternateContent>
          <mc:Choice Requires="wps">
            <w:drawing>
              <wp:anchor distT="0" distB="0" distL="114300" distR="114300" simplePos="0" relativeHeight="251763712" behindDoc="0" locked="0" layoutInCell="1" allowOverlap="1" wp14:anchorId="70579604" wp14:editId="6B2306CB">
                <wp:simplePos x="0" y="0"/>
                <wp:positionH relativeFrom="margin">
                  <wp:align>right</wp:align>
                </wp:positionH>
                <wp:positionV relativeFrom="paragraph">
                  <wp:posOffset>415925</wp:posOffset>
                </wp:positionV>
                <wp:extent cx="5934075" cy="635"/>
                <wp:effectExtent l="0" t="0" r="9525" b="2540"/>
                <wp:wrapSquare wrapText="bothSides"/>
                <wp:docPr id="254" name="Text Box 254"/>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6E230888" w14:textId="3BF9BF9C" w:rsidR="00AA26F6" w:rsidRPr="00B22A42" w:rsidRDefault="00AA26F6" w:rsidP="00B22A42">
                            <w:pPr>
                              <w:pStyle w:val="Caption"/>
                              <w:jc w:val="center"/>
                              <w:rPr>
                                <w:i w:val="0"/>
                                <w:iCs w:val="0"/>
                                <w:noProof/>
                                <w:color w:val="auto"/>
                                <w:sz w:val="24"/>
                                <w:szCs w:val="24"/>
                              </w:rPr>
                            </w:pPr>
                            <w:bookmarkStart w:id="29" w:name="_Toc14520641"/>
                            <w:r w:rsidRPr="00B22A42">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sidRPr="00B22A42">
                              <w:rPr>
                                <w:b/>
                                <w:bCs/>
                                <w:i w:val="0"/>
                                <w:iCs w:val="0"/>
                                <w:color w:val="auto"/>
                                <w:sz w:val="24"/>
                                <w:szCs w:val="24"/>
                              </w:rPr>
                              <w:t>:</w:t>
                            </w:r>
                            <w:r w:rsidRPr="00B22A42">
                              <w:rPr>
                                <w:i w:val="0"/>
                                <w:iCs w:val="0"/>
                                <w:color w:val="auto"/>
                                <w:sz w:val="24"/>
                                <w:szCs w:val="24"/>
                              </w:rPr>
                              <w:t>Pathway of a sample tube through the pyrolysis chamber</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579604" id="Text Box 254" o:spid="_x0000_s1033" type="#_x0000_t202" style="position:absolute;left:0;text-align:left;margin-left:416.05pt;margin-top:32.75pt;width:467.25pt;height:.05pt;z-index:2517637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" stroked="f">
                <v:textbox style="mso-fit-shape-to-text:t" inset="0,0,0,0">
                  <w:txbxContent>
                    <w:p w14:paraId="6E230888" w14:textId="3BF9BF9C" w:rsidR="00AA26F6" w:rsidRPr="00B22A42" w:rsidRDefault="00AA26F6" w:rsidP="00B22A42">
                      <w:pPr>
                        <w:pStyle w:val="Caption"/>
                        <w:jc w:val="center"/>
                        <w:rPr>
                          <w:i w:val="0"/>
                          <w:iCs w:val="0"/>
                          <w:noProof/>
                          <w:color w:val="auto"/>
                          <w:sz w:val="24"/>
                          <w:szCs w:val="24"/>
                        </w:rPr>
                      </w:pPr>
                      <w:bookmarkStart w:id="30" w:name="_Toc14520641"/>
                      <w:r w:rsidRPr="00B22A42">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sidRPr="00B22A42">
                        <w:rPr>
                          <w:b/>
                          <w:bCs/>
                          <w:i w:val="0"/>
                          <w:iCs w:val="0"/>
                          <w:color w:val="auto"/>
                          <w:sz w:val="24"/>
                          <w:szCs w:val="24"/>
                        </w:rPr>
                        <w:t>:</w:t>
                      </w:r>
                      <w:r w:rsidRPr="00B22A42">
                        <w:rPr>
                          <w:i w:val="0"/>
                          <w:iCs w:val="0"/>
                          <w:color w:val="auto"/>
                          <w:sz w:val="24"/>
                          <w:szCs w:val="24"/>
                        </w:rPr>
                        <w:t>Pathway of a sample tube through the pyrolysis chamber</w:t>
                      </w:r>
                      <w:bookmarkEnd w:id="30"/>
                    </w:p>
                  </w:txbxContent>
                </v:textbox>
                <w10:wrap type="square" anchorx="margin"/>
              </v:shape>
            </w:pict>
          </mc:Fallback>
        </mc:AlternateContent>
      </w:r>
    </w:p>
    <w:p w14:paraId="4BB89F54" w14:textId="77777777" w:rsidR="00B22A42" w:rsidRDefault="00B22A42" w:rsidP="001A2572">
      <w:pPr>
        <w:spacing w:line="480" w:lineRule="auto"/>
        <w:ind w:left="0" w:firstLine="0"/>
        <w:jc w:val="both"/>
        <w:rPr>
          <w:szCs w:val="24"/>
        </w:rPr>
      </w:pPr>
    </w:p>
    <w:p w14:paraId="04C53FCC" w14:textId="77777777" w:rsidR="00D234E1" w:rsidRPr="00D7685A" w:rsidRDefault="00D234E1" w:rsidP="00ED4E6F">
      <w:pPr>
        <w:spacing w:line="480" w:lineRule="auto"/>
        <w:ind w:left="0" w:firstLine="720"/>
        <w:jc w:val="both"/>
        <w:rPr>
          <w:rFonts w:eastAsiaTheme="minorEastAsia"/>
          <w:szCs w:val="24"/>
        </w:rPr>
      </w:pPr>
      <w:r w:rsidRPr="00D7685A">
        <w:rPr>
          <w:szCs w:val="24"/>
        </w:rPr>
        <w:t xml:space="preserve">All thermal degradation experiments (i.e. torrefaction and pyrolysis steps) utilized helium as a carrier gas at one atmosphere. This flow is monitored and regulated by the gas chromatograph (GC) attached to the CDS Analytical 5250T pyroprobe system. For all experiments carried out, the total flow rate of helium through the system was maintained at 14 </w:t>
      </w:r>
      <m:oMath>
        <m:f>
          <m:fPr>
            <m:ctrlPr>
              <w:rPr>
                <w:rFonts w:ascii="Cambria Math" w:hAnsi="Cambria Math"/>
                <w:i/>
                <w:szCs w:val="24"/>
              </w:rPr>
            </m:ctrlPr>
          </m:fPr>
          <m:num>
            <m:r>
              <w:rPr>
                <w:rFonts w:ascii="Cambria Math" w:hAnsi="Cambria Math"/>
                <w:szCs w:val="24"/>
              </w:rPr>
              <m:t>ml</m:t>
            </m:r>
          </m:num>
          <m:den>
            <m:r>
              <w:rPr>
                <w:rFonts w:ascii="Cambria Math" w:hAnsi="Cambria Math"/>
                <w:szCs w:val="24"/>
              </w:rPr>
              <m:t>minute</m:t>
            </m:r>
          </m:den>
        </m:f>
      </m:oMath>
      <w:r w:rsidRPr="00D7685A">
        <w:rPr>
          <w:rFonts w:eastAsiaTheme="minorEastAsia"/>
          <w:szCs w:val="24"/>
        </w:rPr>
        <w:t>. This flow rate was a direct result of the split ratio within the GC column being maintained at 10:1 for all thermal degradation experiments; it was determined that regulating the split ratio at this level ensured a sufficient amount of thermochemical products being detected by the GC.</w:t>
      </w:r>
    </w:p>
    <w:p w14:paraId="1E2D2644" w14:textId="77777777" w:rsidR="00D234E1" w:rsidRPr="00D7685A" w:rsidRDefault="00D234E1" w:rsidP="00ED4E6F">
      <w:pPr>
        <w:spacing w:line="480" w:lineRule="auto"/>
        <w:ind w:left="0" w:firstLine="720"/>
        <w:jc w:val="both"/>
        <w:rPr>
          <w:rFonts w:eastAsiaTheme="minorEastAsia"/>
          <w:szCs w:val="24"/>
        </w:rPr>
      </w:pPr>
      <w:r w:rsidRPr="00D7685A">
        <w:rPr>
          <w:rFonts w:eastAsiaTheme="minorEastAsia"/>
          <w:szCs w:val="24"/>
        </w:rPr>
        <w:t xml:space="preserve">A side view of the tubing within the pyroprobe valve oven (which is otherwise obscured by an insulating cover) shows the possible paths that evolved vapors of thermochemical products can take once the biomass has been torrefied or pyrolyzed (i.e. exits the pyrolysis chamber). Figure </w:t>
      </w:r>
      <w:r w:rsidRPr="00D7685A">
        <w:rPr>
          <w:rFonts w:eastAsiaTheme="minorEastAsia"/>
          <w:szCs w:val="24"/>
        </w:rPr>
        <w:lastRenderedPageBreak/>
        <w:t>2.4 displays the network of tubing within the valve oven – which is held at 350</w:t>
      </w:r>
      <m:oMath>
        <m:r>
          <w:rPr>
            <w:rFonts w:ascii="Cambria Math" w:eastAsiaTheme="minorEastAsia" w:hAnsi="Cambria Math"/>
            <w:szCs w:val="24"/>
          </w:rPr>
          <m:t>℃</m:t>
        </m:r>
      </m:oMath>
      <w:r w:rsidRPr="00D7685A">
        <w:rPr>
          <w:rFonts w:eastAsiaTheme="minorEastAsia"/>
          <w:szCs w:val="24"/>
        </w:rPr>
        <w:t xml:space="preserve"> during pyroprobe operation. Torrefaction/Pyrolysis vapors can directly be carried to the GC via a transfer line (depicted by the green arrow in Figure 2.5) or the evolved volatiles can first be trapped in the hydrocarbon trap (the hydrocarbon trap is the white box on the top left of the instrument as can be seen in Figure 2.4) – which is cooled with liquid nitrogen- before being transferred to the GC. For the purposes of this thesis, the trap option was never utilized. </w:t>
      </w:r>
    </w:p>
    <w:p w14:paraId="4521B82C" w14:textId="77777777" w:rsidR="00D234E1" w:rsidRDefault="00D234E1" w:rsidP="00D234E1">
      <w:pPr>
        <w:spacing w:line="480" w:lineRule="auto"/>
        <w:ind w:left="0" w:firstLine="0"/>
        <w:rPr>
          <w:rFonts w:eastAsiaTheme="minorEastAsia"/>
        </w:rPr>
      </w:pPr>
      <w:r>
        <w:rPr>
          <w:noProof/>
        </w:rPr>
        <w:drawing>
          <wp:anchor distT="0" distB="0" distL="114300" distR="114300" simplePos="0" relativeHeight="251674624" behindDoc="0" locked="0" layoutInCell="1" allowOverlap="1" wp14:anchorId="39C896F4" wp14:editId="5F53D632">
            <wp:simplePos x="0" y="0"/>
            <wp:positionH relativeFrom="margin">
              <wp:align>center</wp:align>
            </wp:positionH>
            <wp:positionV relativeFrom="paragraph">
              <wp:posOffset>6350</wp:posOffset>
            </wp:positionV>
            <wp:extent cx="2800350" cy="309372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2800350" cy="3093720"/>
                    </a:xfrm>
                    <a:prstGeom prst="rect">
                      <a:avLst/>
                    </a:prstGeom>
                  </pic:spPr>
                </pic:pic>
              </a:graphicData>
            </a:graphic>
            <wp14:sizeRelH relativeFrom="margin">
              <wp14:pctWidth>0</wp14:pctWidth>
            </wp14:sizeRelH>
            <wp14:sizeRelV relativeFrom="margin">
              <wp14:pctHeight>0</wp14:pctHeight>
            </wp14:sizeRelV>
          </wp:anchor>
        </w:drawing>
      </w:r>
    </w:p>
    <w:p w14:paraId="39A3560A" w14:textId="77777777" w:rsidR="00D234E1" w:rsidRDefault="00D234E1" w:rsidP="00D234E1">
      <w:pPr>
        <w:spacing w:line="480" w:lineRule="auto"/>
        <w:ind w:left="0" w:firstLine="0"/>
        <w:rPr>
          <w:rFonts w:eastAsiaTheme="minorEastAsia"/>
        </w:rPr>
      </w:pPr>
    </w:p>
    <w:p w14:paraId="4A28803E" w14:textId="77777777" w:rsidR="00D234E1" w:rsidRDefault="00D234E1" w:rsidP="00D234E1">
      <w:pPr>
        <w:spacing w:line="480" w:lineRule="auto"/>
        <w:ind w:left="0" w:firstLine="0"/>
        <w:rPr>
          <w:rFonts w:eastAsiaTheme="minorEastAsia"/>
        </w:rPr>
      </w:pPr>
    </w:p>
    <w:p w14:paraId="0ECCB6B9" w14:textId="77777777" w:rsidR="00D234E1" w:rsidRDefault="00D234E1" w:rsidP="00D234E1">
      <w:pPr>
        <w:spacing w:line="480" w:lineRule="auto"/>
        <w:ind w:left="0" w:firstLine="0"/>
        <w:rPr>
          <w:rFonts w:eastAsiaTheme="minorEastAsia"/>
        </w:rPr>
      </w:pPr>
    </w:p>
    <w:p w14:paraId="5E8A95C5" w14:textId="77777777" w:rsidR="00D234E1" w:rsidRDefault="00D234E1" w:rsidP="00D234E1">
      <w:pPr>
        <w:spacing w:line="480" w:lineRule="auto"/>
        <w:ind w:left="0" w:firstLine="0"/>
        <w:rPr>
          <w:rFonts w:eastAsiaTheme="minorEastAsia"/>
        </w:rPr>
      </w:pPr>
      <w:r>
        <w:rPr>
          <w:rFonts w:eastAsiaTheme="minorEastAsia"/>
        </w:rPr>
        <w:t xml:space="preserve"> </w:t>
      </w:r>
    </w:p>
    <w:p w14:paraId="05A09A1C" w14:textId="77777777" w:rsidR="00D234E1" w:rsidRPr="00E505AF" w:rsidRDefault="00D234E1" w:rsidP="00D234E1">
      <w:pPr>
        <w:spacing w:line="480" w:lineRule="auto"/>
        <w:ind w:left="0" w:firstLine="0"/>
      </w:pPr>
    </w:p>
    <w:p w14:paraId="7D44DB17" w14:textId="77777777" w:rsidR="00D234E1" w:rsidRPr="00E505AF" w:rsidRDefault="00D234E1" w:rsidP="00D234E1">
      <w:pPr>
        <w:spacing w:line="480" w:lineRule="auto"/>
        <w:ind w:left="0" w:firstLine="0"/>
      </w:pPr>
    </w:p>
    <w:p w14:paraId="55960707" w14:textId="77777777" w:rsidR="00D234E1" w:rsidRPr="00E505AF" w:rsidRDefault="00D234E1" w:rsidP="00D234E1">
      <w:pPr>
        <w:spacing w:line="480" w:lineRule="auto"/>
        <w:ind w:left="0" w:firstLine="0"/>
      </w:pPr>
    </w:p>
    <w:p w14:paraId="7798732D" w14:textId="77777777" w:rsidR="00D234E1" w:rsidRPr="00E505AF" w:rsidRDefault="00D234E1" w:rsidP="00D234E1">
      <w:pPr>
        <w:spacing w:line="480" w:lineRule="auto"/>
        <w:ind w:left="0" w:firstLine="0"/>
      </w:pPr>
    </w:p>
    <w:p w14:paraId="2E878B2C" w14:textId="77777777" w:rsidR="00D234E1" w:rsidRPr="00E505AF" w:rsidRDefault="00B22A42" w:rsidP="00D234E1">
      <w:pPr>
        <w:spacing w:line="480" w:lineRule="auto"/>
        <w:ind w:left="0" w:firstLine="0"/>
      </w:pPr>
      <w:r>
        <w:rPr>
          <w:noProof/>
        </w:rPr>
        <mc:AlternateContent>
          <mc:Choice Requires="wps">
            <w:drawing>
              <wp:anchor distT="0" distB="0" distL="114300" distR="114300" simplePos="0" relativeHeight="251765760" behindDoc="0" locked="0" layoutInCell="1" allowOverlap="1" wp14:anchorId="2E4D27EA" wp14:editId="6100F720">
                <wp:simplePos x="0" y="0"/>
                <wp:positionH relativeFrom="margin">
                  <wp:align>center</wp:align>
                </wp:positionH>
                <wp:positionV relativeFrom="paragraph">
                  <wp:posOffset>114300</wp:posOffset>
                </wp:positionV>
                <wp:extent cx="3657600" cy="635"/>
                <wp:effectExtent l="0" t="0" r="0" b="2540"/>
                <wp:wrapSquare wrapText="bothSides"/>
                <wp:docPr id="255" name="Text Box 255"/>
                <wp:cNvGraphicFramePr/>
                <a:graphic xmlns:a="http://schemas.openxmlformats.org/drawingml/2006/main">
                  <a:graphicData uri="http://schemas.microsoft.com/office/word/2010/wordprocessingShape">
                    <wps:wsp>
                      <wps:cNvSpPr txBox="1"/>
                      <wps:spPr>
                        <a:xfrm>
                          <a:off x="0" y="0"/>
                          <a:ext cx="3657600" cy="635"/>
                        </a:xfrm>
                        <a:prstGeom prst="rect">
                          <a:avLst/>
                        </a:prstGeom>
                        <a:solidFill>
                          <a:prstClr val="white"/>
                        </a:solidFill>
                        <a:ln>
                          <a:noFill/>
                        </a:ln>
                      </wps:spPr>
                      <wps:txbx>
                        <w:txbxContent>
                          <w:p w14:paraId="36CF118B" w14:textId="162BC886" w:rsidR="00AA26F6" w:rsidRPr="00B22A42" w:rsidRDefault="00AA26F6" w:rsidP="00B22A42">
                            <w:pPr>
                              <w:pStyle w:val="Caption"/>
                              <w:jc w:val="center"/>
                              <w:rPr>
                                <w:i w:val="0"/>
                                <w:iCs w:val="0"/>
                                <w:noProof/>
                                <w:color w:val="auto"/>
                                <w:sz w:val="24"/>
                                <w:szCs w:val="24"/>
                              </w:rPr>
                            </w:pPr>
                            <w:bookmarkStart w:id="31" w:name="_Toc14520642"/>
                            <w:r w:rsidRPr="00B22A42">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sidRPr="00B22A42">
                              <w:rPr>
                                <w:b/>
                                <w:bCs/>
                                <w:i w:val="0"/>
                                <w:iCs w:val="0"/>
                                <w:color w:val="auto"/>
                                <w:sz w:val="24"/>
                                <w:szCs w:val="24"/>
                              </w:rPr>
                              <w:t>:</w:t>
                            </w:r>
                            <w:r w:rsidRPr="00B22A42">
                              <w:rPr>
                                <w:i w:val="0"/>
                                <w:iCs w:val="0"/>
                                <w:color w:val="auto"/>
                                <w:sz w:val="24"/>
                                <w:szCs w:val="24"/>
                              </w:rPr>
                              <w:t>Valve oven within the pyroprobe system</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4D27EA" id="Text Box 255" o:spid="_x0000_s1034" type="#_x0000_t202" style="position:absolute;margin-left:0;margin-top:9pt;width:4in;height:.05pt;z-index:2517657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" stroked="f">
                <v:textbox style="mso-fit-shape-to-text:t" inset="0,0,0,0">
                  <w:txbxContent>
                    <w:p w14:paraId="36CF118B" w14:textId="162BC886" w:rsidR="00AA26F6" w:rsidRPr="00B22A42" w:rsidRDefault="00AA26F6" w:rsidP="00B22A42">
                      <w:pPr>
                        <w:pStyle w:val="Caption"/>
                        <w:jc w:val="center"/>
                        <w:rPr>
                          <w:i w:val="0"/>
                          <w:iCs w:val="0"/>
                          <w:noProof/>
                          <w:color w:val="auto"/>
                          <w:sz w:val="24"/>
                          <w:szCs w:val="24"/>
                        </w:rPr>
                      </w:pPr>
                      <w:bookmarkStart w:id="32" w:name="_Toc14520642"/>
                      <w:r w:rsidRPr="00B22A42">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sidRPr="00B22A42">
                        <w:rPr>
                          <w:b/>
                          <w:bCs/>
                          <w:i w:val="0"/>
                          <w:iCs w:val="0"/>
                          <w:color w:val="auto"/>
                          <w:sz w:val="24"/>
                          <w:szCs w:val="24"/>
                        </w:rPr>
                        <w:t>:</w:t>
                      </w:r>
                      <w:r w:rsidRPr="00B22A42">
                        <w:rPr>
                          <w:i w:val="0"/>
                          <w:iCs w:val="0"/>
                          <w:color w:val="auto"/>
                          <w:sz w:val="24"/>
                          <w:szCs w:val="24"/>
                        </w:rPr>
                        <w:t>Valve oven within the pyroprobe system</w:t>
                      </w:r>
                      <w:bookmarkEnd w:id="32"/>
                    </w:p>
                  </w:txbxContent>
                </v:textbox>
                <w10:wrap type="square" anchorx="margin"/>
              </v:shape>
            </w:pict>
          </mc:Fallback>
        </mc:AlternateContent>
      </w:r>
    </w:p>
    <w:p w14:paraId="20F2DA59" w14:textId="77777777" w:rsidR="00D234E1" w:rsidRDefault="00D234E1" w:rsidP="00D234E1">
      <w:pPr>
        <w:spacing w:line="480" w:lineRule="auto"/>
        <w:ind w:left="0" w:firstLine="0"/>
        <w:rPr>
          <w:rFonts w:eastAsiaTheme="minorEastAsia"/>
        </w:rPr>
      </w:pPr>
    </w:p>
    <w:p w14:paraId="1FAF4720" w14:textId="77777777" w:rsidR="00D234E1" w:rsidRDefault="00D234E1" w:rsidP="00D234E1">
      <w:pPr>
        <w:spacing w:line="480" w:lineRule="auto"/>
        <w:ind w:left="0" w:firstLine="0"/>
      </w:pPr>
    </w:p>
    <w:p w14:paraId="22485258" w14:textId="77777777" w:rsidR="00D234E1" w:rsidRDefault="00D234E1" w:rsidP="00D234E1">
      <w:pPr>
        <w:spacing w:line="480" w:lineRule="auto"/>
        <w:ind w:left="0" w:firstLine="0"/>
      </w:pPr>
    </w:p>
    <w:p w14:paraId="4B8BCAE4" w14:textId="77777777" w:rsidR="00D234E1" w:rsidRDefault="00D234E1" w:rsidP="00D234E1">
      <w:pPr>
        <w:spacing w:line="480" w:lineRule="auto"/>
        <w:ind w:left="0" w:firstLine="0"/>
      </w:pPr>
      <w:r>
        <w:rPr>
          <w:noProof/>
        </w:rPr>
        <w:lastRenderedPageBreak/>
        <w:drawing>
          <wp:anchor distT="0" distB="0" distL="114300" distR="114300" simplePos="0" relativeHeight="251676672" behindDoc="0" locked="0" layoutInCell="1" allowOverlap="1" wp14:anchorId="7D156C86" wp14:editId="39F15215">
            <wp:simplePos x="0" y="0"/>
            <wp:positionH relativeFrom="margin">
              <wp:align>center</wp:align>
            </wp:positionH>
            <wp:positionV relativeFrom="paragraph">
              <wp:posOffset>115570</wp:posOffset>
            </wp:positionV>
            <wp:extent cx="4295775" cy="4562475"/>
            <wp:effectExtent l="0" t="0" r="9525"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4295775" cy="4562475"/>
                    </a:xfrm>
                    <a:prstGeom prst="rect">
                      <a:avLst/>
                    </a:prstGeom>
                  </pic:spPr>
                </pic:pic>
              </a:graphicData>
            </a:graphic>
          </wp:anchor>
        </w:drawing>
      </w:r>
    </w:p>
    <w:p w14:paraId="4CF36D43" w14:textId="77777777" w:rsidR="00D234E1" w:rsidRPr="00E505AF" w:rsidRDefault="00D234E1" w:rsidP="00D234E1">
      <w:pPr>
        <w:spacing w:line="480" w:lineRule="auto"/>
        <w:ind w:left="0" w:firstLine="0"/>
      </w:pPr>
    </w:p>
    <w:p w14:paraId="31B3746A" w14:textId="77777777" w:rsidR="00D234E1" w:rsidRPr="00E505AF" w:rsidRDefault="00D234E1" w:rsidP="00D234E1">
      <w:pPr>
        <w:spacing w:line="480" w:lineRule="auto"/>
        <w:ind w:left="0" w:firstLine="0"/>
      </w:pPr>
    </w:p>
    <w:p w14:paraId="4C85CE83" w14:textId="77777777" w:rsidR="00D234E1" w:rsidRPr="00E505AF" w:rsidRDefault="00D234E1" w:rsidP="00D234E1">
      <w:pPr>
        <w:spacing w:line="480" w:lineRule="auto"/>
        <w:ind w:left="0" w:firstLine="0"/>
      </w:pPr>
    </w:p>
    <w:p w14:paraId="445066C9" w14:textId="77777777" w:rsidR="00D234E1" w:rsidRPr="00E505AF" w:rsidRDefault="00D234E1" w:rsidP="00D234E1">
      <w:pPr>
        <w:spacing w:line="480" w:lineRule="auto"/>
        <w:ind w:left="0" w:firstLine="0"/>
      </w:pPr>
    </w:p>
    <w:p w14:paraId="5B83F5C6" w14:textId="77777777" w:rsidR="00D234E1" w:rsidRPr="00E505AF" w:rsidRDefault="00D234E1" w:rsidP="00D234E1">
      <w:pPr>
        <w:spacing w:line="480" w:lineRule="auto"/>
        <w:ind w:left="0" w:firstLine="0"/>
      </w:pPr>
    </w:p>
    <w:p w14:paraId="70789514" w14:textId="77777777" w:rsidR="00D234E1" w:rsidRPr="00E505AF" w:rsidRDefault="00D234E1" w:rsidP="00D234E1">
      <w:pPr>
        <w:spacing w:line="480" w:lineRule="auto"/>
        <w:ind w:left="0" w:firstLine="0"/>
      </w:pPr>
    </w:p>
    <w:p w14:paraId="5CFC0C89" w14:textId="77777777" w:rsidR="00D234E1" w:rsidRPr="00E505AF" w:rsidRDefault="00D234E1" w:rsidP="00D234E1">
      <w:pPr>
        <w:spacing w:line="480" w:lineRule="auto"/>
        <w:ind w:left="0" w:firstLine="0"/>
      </w:pPr>
    </w:p>
    <w:p w14:paraId="4C79CFBE" w14:textId="77777777" w:rsidR="00D234E1" w:rsidRPr="00E505AF" w:rsidRDefault="00D234E1" w:rsidP="00D234E1">
      <w:pPr>
        <w:spacing w:line="480" w:lineRule="auto"/>
        <w:ind w:left="0" w:firstLine="0"/>
      </w:pPr>
    </w:p>
    <w:p w14:paraId="78237C0B" w14:textId="77777777" w:rsidR="00D234E1" w:rsidRPr="00E505AF" w:rsidRDefault="00D234E1" w:rsidP="00D234E1">
      <w:pPr>
        <w:spacing w:line="480" w:lineRule="auto"/>
        <w:ind w:left="0" w:firstLine="0"/>
      </w:pPr>
    </w:p>
    <w:p w14:paraId="045AB1E7" w14:textId="77777777" w:rsidR="00D234E1" w:rsidRDefault="00D234E1" w:rsidP="00D234E1">
      <w:pPr>
        <w:spacing w:line="480" w:lineRule="auto"/>
        <w:ind w:left="0" w:firstLine="0"/>
        <w:rPr>
          <w:b/>
          <w:bCs/>
          <w:u w:val="single"/>
        </w:rPr>
      </w:pPr>
      <w:r>
        <w:rPr>
          <w:b/>
          <w:bCs/>
        </w:rPr>
        <w:br/>
      </w:r>
    </w:p>
    <w:p w14:paraId="2667A0CB" w14:textId="77777777" w:rsidR="001A2572" w:rsidRDefault="001A2572" w:rsidP="00D234E1">
      <w:pPr>
        <w:spacing w:line="480" w:lineRule="auto"/>
        <w:ind w:left="0" w:firstLine="0"/>
        <w:rPr>
          <w:b/>
          <w:bCs/>
          <w:szCs w:val="24"/>
          <w:u w:val="single"/>
        </w:rPr>
      </w:pPr>
    </w:p>
    <w:p w14:paraId="70905639" w14:textId="77777777" w:rsidR="002A5915" w:rsidRDefault="002A5915" w:rsidP="001A2572">
      <w:pPr>
        <w:spacing w:line="480" w:lineRule="auto"/>
        <w:ind w:left="0" w:firstLine="0"/>
        <w:rPr>
          <w:b/>
          <w:bCs/>
          <w:szCs w:val="24"/>
          <w:u w:val="single"/>
        </w:rPr>
      </w:pPr>
    </w:p>
    <w:p w14:paraId="6C48B7AC" w14:textId="77777777" w:rsidR="00612762" w:rsidRDefault="00612762" w:rsidP="001A2572">
      <w:pPr>
        <w:spacing w:line="480" w:lineRule="auto"/>
        <w:ind w:left="0" w:firstLine="0"/>
        <w:rPr>
          <w:b/>
          <w:bCs/>
          <w:szCs w:val="24"/>
          <w:u w:val="single"/>
        </w:rPr>
      </w:pPr>
      <w:r>
        <w:rPr>
          <w:noProof/>
        </w:rPr>
        <mc:AlternateContent>
          <mc:Choice Requires="wps">
            <w:drawing>
              <wp:anchor distT="0" distB="0" distL="114300" distR="114300" simplePos="0" relativeHeight="251767808" behindDoc="0" locked="0" layoutInCell="1" allowOverlap="1" wp14:anchorId="79E6BDC7" wp14:editId="240B6671">
                <wp:simplePos x="0" y="0"/>
                <wp:positionH relativeFrom="margin">
                  <wp:align>left</wp:align>
                </wp:positionH>
                <wp:positionV relativeFrom="paragraph">
                  <wp:posOffset>260350</wp:posOffset>
                </wp:positionV>
                <wp:extent cx="6229350" cy="457200"/>
                <wp:effectExtent l="0" t="0" r="0" b="0"/>
                <wp:wrapSquare wrapText="bothSides"/>
                <wp:docPr id="215" name="Text Box 215"/>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prstClr val="white"/>
                        </a:solidFill>
                        <a:ln>
                          <a:noFill/>
                        </a:ln>
                      </wps:spPr>
                      <wps:txbx>
                        <w:txbxContent>
                          <w:p w14:paraId="0C8AAC95" w14:textId="5DA0D86C" w:rsidR="00AA26F6" w:rsidRPr="00612762" w:rsidRDefault="00AA26F6" w:rsidP="00612762">
                            <w:pPr>
                              <w:pStyle w:val="Caption"/>
                              <w:rPr>
                                <w:i w:val="0"/>
                                <w:iCs w:val="0"/>
                                <w:noProof/>
                                <w:color w:val="auto"/>
                                <w:sz w:val="24"/>
                                <w:szCs w:val="24"/>
                              </w:rPr>
                            </w:pPr>
                            <w:bookmarkStart w:id="33" w:name="_Toc14520643"/>
                            <w:r w:rsidRPr="00612762">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5</w:t>
                            </w:r>
                            <w:r>
                              <w:rPr>
                                <w:b/>
                                <w:bCs/>
                                <w:i w:val="0"/>
                                <w:iCs w:val="0"/>
                                <w:color w:val="auto"/>
                                <w:sz w:val="24"/>
                                <w:szCs w:val="24"/>
                              </w:rPr>
                              <w:fldChar w:fldCharType="end"/>
                            </w:r>
                            <w:r w:rsidRPr="00612762">
                              <w:rPr>
                                <w:b/>
                                <w:bCs/>
                                <w:i w:val="0"/>
                                <w:iCs w:val="0"/>
                                <w:color w:val="auto"/>
                                <w:sz w:val="24"/>
                                <w:szCs w:val="24"/>
                              </w:rPr>
                              <w:t>:</w:t>
                            </w:r>
                            <w:r w:rsidRPr="00612762">
                              <w:rPr>
                                <w:i w:val="0"/>
                                <w:iCs w:val="0"/>
                                <w:color w:val="auto"/>
                                <w:sz w:val="24"/>
                                <w:szCs w:val="24"/>
                              </w:rPr>
                              <w:t>Pathway of evolved vapors going directly into the transfer line (green arrow) once they leave the pyrolysis chamber (red arrow)</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6BDC7" id="Text Box 215" o:spid="_x0000_s1035" type="#_x0000_t202" style="position:absolute;margin-left:0;margin-top:20.5pt;width:490.5pt;height:36pt;z-index:251767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" stroked="f">
                <v:textbox inset="0,0,0,0">
                  <w:txbxContent>
                    <w:p w14:paraId="0C8AAC95" w14:textId="5DA0D86C" w:rsidR="00AA26F6" w:rsidRPr="00612762" w:rsidRDefault="00AA26F6" w:rsidP="00612762">
                      <w:pPr>
                        <w:pStyle w:val="Caption"/>
                        <w:rPr>
                          <w:i w:val="0"/>
                          <w:iCs w:val="0"/>
                          <w:noProof/>
                          <w:color w:val="auto"/>
                          <w:sz w:val="24"/>
                          <w:szCs w:val="24"/>
                        </w:rPr>
                      </w:pPr>
                      <w:bookmarkStart w:id="34" w:name="_Toc14520643"/>
                      <w:r w:rsidRPr="00612762">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5</w:t>
                      </w:r>
                      <w:r>
                        <w:rPr>
                          <w:b/>
                          <w:bCs/>
                          <w:i w:val="0"/>
                          <w:iCs w:val="0"/>
                          <w:color w:val="auto"/>
                          <w:sz w:val="24"/>
                          <w:szCs w:val="24"/>
                        </w:rPr>
                        <w:fldChar w:fldCharType="end"/>
                      </w:r>
                      <w:r w:rsidRPr="00612762">
                        <w:rPr>
                          <w:b/>
                          <w:bCs/>
                          <w:i w:val="0"/>
                          <w:iCs w:val="0"/>
                          <w:color w:val="auto"/>
                          <w:sz w:val="24"/>
                          <w:szCs w:val="24"/>
                        </w:rPr>
                        <w:t>:</w:t>
                      </w:r>
                      <w:r w:rsidRPr="00612762">
                        <w:rPr>
                          <w:i w:val="0"/>
                          <w:iCs w:val="0"/>
                          <w:color w:val="auto"/>
                          <w:sz w:val="24"/>
                          <w:szCs w:val="24"/>
                        </w:rPr>
                        <w:t>Pathway of evolved vapors going directly into the transfer line (green arrow) once they leave the pyrolysis chamber (red arrow)</w:t>
                      </w:r>
                      <w:bookmarkEnd w:id="34"/>
                    </w:p>
                  </w:txbxContent>
                </v:textbox>
                <w10:wrap type="square" anchorx="margin"/>
              </v:shape>
            </w:pict>
          </mc:Fallback>
        </mc:AlternateContent>
      </w:r>
    </w:p>
    <w:p w14:paraId="3CBB4223" w14:textId="77777777" w:rsidR="00D234E1" w:rsidRPr="00F16B78" w:rsidRDefault="00D234E1" w:rsidP="002A5915">
      <w:pPr>
        <w:pStyle w:val="Heading2"/>
        <w:rPr>
          <w:rFonts w:ascii="Times New Roman" w:hAnsi="Times New Roman" w:cs="Times New Roman"/>
          <w:b/>
          <w:bCs/>
          <w:color w:val="auto"/>
          <w:sz w:val="24"/>
          <w:szCs w:val="24"/>
        </w:rPr>
      </w:pPr>
      <w:bookmarkStart w:id="35" w:name="_Toc14521034"/>
      <w:r w:rsidRPr="00F16B78">
        <w:rPr>
          <w:rFonts w:ascii="Times New Roman" w:hAnsi="Times New Roman" w:cs="Times New Roman"/>
          <w:b/>
          <w:bCs/>
          <w:color w:val="auto"/>
          <w:sz w:val="24"/>
          <w:szCs w:val="24"/>
        </w:rPr>
        <w:t>2.3 G</w:t>
      </w:r>
      <w:r w:rsidR="00F16B78">
        <w:rPr>
          <w:rFonts w:ascii="Times New Roman" w:hAnsi="Times New Roman" w:cs="Times New Roman"/>
          <w:b/>
          <w:bCs/>
          <w:color w:val="auto"/>
          <w:sz w:val="24"/>
          <w:szCs w:val="24"/>
        </w:rPr>
        <w:t>as Chromatography</w:t>
      </w:r>
      <w:bookmarkEnd w:id="35"/>
    </w:p>
    <w:p w14:paraId="76E50DE8" w14:textId="77777777" w:rsidR="00D234E1" w:rsidRPr="00D7685A" w:rsidRDefault="00D234E1" w:rsidP="00ED4E6F">
      <w:pPr>
        <w:spacing w:line="480" w:lineRule="auto"/>
        <w:ind w:left="0" w:firstLine="720"/>
        <w:jc w:val="both"/>
        <w:rPr>
          <w:rFonts w:eastAsiaTheme="minorEastAsia"/>
          <w:szCs w:val="24"/>
        </w:rPr>
      </w:pPr>
      <w:r w:rsidRPr="00D7685A">
        <w:rPr>
          <w:szCs w:val="24"/>
        </w:rPr>
        <w:t xml:space="preserve">The thermochemical volatiles exiting the pyrolysis chamber travel to the GC column via a 1/16 inch Silco Steel transfer line; the temperature of the transfer line is maintained at 350 </w:t>
      </w:r>
      <m:oMath>
        <m:r>
          <w:rPr>
            <w:rFonts w:ascii="Cambria Math" w:hAnsi="Cambria Math"/>
            <w:szCs w:val="24"/>
          </w:rPr>
          <m:t>℃</m:t>
        </m:r>
      </m:oMath>
      <w:r w:rsidRPr="00D7685A">
        <w:rPr>
          <w:rFonts w:eastAsiaTheme="minorEastAsia"/>
          <w:szCs w:val="24"/>
        </w:rPr>
        <w:t xml:space="preserve">, and it is connected to the injection port of a Shimadzu QP2010S + GC/MS-FID system </w:t>
      </w:r>
      <w:r w:rsidRPr="00D7685A">
        <w:rPr>
          <w:rFonts w:eastAsiaTheme="minorEastAsia"/>
          <w:i/>
          <w:szCs w:val="24"/>
        </w:rPr>
        <w:t>(Shimadzu Corporation, Kyoto, Japan)</w:t>
      </w:r>
      <w:r w:rsidRPr="00D7685A">
        <w:rPr>
          <w:rFonts w:eastAsiaTheme="minorEastAsia"/>
          <w:szCs w:val="24"/>
        </w:rPr>
        <w:t xml:space="preserve">. The GC/MS-FID system is equipped with a 60-meter semi-polar Restek </w:t>
      </w:r>
      <w:r w:rsidRPr="00D7685A">
        <w:rPr>
          <w:rFonts w:eastAsiaTheme="minorEastAsia"/>
          <w:i/>
          <w:szCs w:val="24"/>
        </w:rPr>
        <w:t>(Restek Corporation, U.S., Bellefonte, PA)</w:t>
      </w:r>
      <w:r w:rsidRPr="00D7685A">
        <w:rPr>
          <w:rFonts w:eastAsiaTheme="minorEastAsia"/>
          <w:szCs w:val="24"/>
        </w:rPr>
        <w:t xml:space="preserve"> RTX-1701 column; the column’s thickness and diameter are both 0.25 µm. The temperature at the injection port is maintained at 280</w:t>
      </w:r>
      <m:oMath>
        <m:r>
          <w:rPr>
            <w:rFonts w:ascii="Cambria Math" w:eastAsiaTheme="minorEastAsia" w:hAnsi="Cambria Math"/>
            <w:szCs w:val="24"/>
          </w:rPr>
          <m:t>℃</m:t>
        </m:r>
      </m:oMath>
      <w:r w:rsidRPr="00D7685A">
        <w:rPr>
          <w:rFonts w:eastAsiaTheme="minorEastAsia"/>
          <w:szCs w:val="24"/>
        </w:rPr>
        <w:t>. The temperature program in the column begins at 45</w:t>
      </w:r>
      <m:oMath>
        <m:r>
          <w:rPr>
            <w:rFonts w:ascii="Cambria Math" w:eastAsiaTheme="minorEastAsia" w:hAnsi="Cambria Math"/>
            <w:szCs w:val="24"/>
          </w:rPr>
          <m:t>℃</m:t>
        </m:r>
      </m:oMath>
      <w:r w:rsidRPr="00D7685A">
        <w:rPr>
          <w:rFonts w:eastAsiaTheme="minorEastAsia"/>
          <w:szCs w:val="24"/>
        </w:rPr>
        <w:t xml:space="preserve"> for 2 minutes. The temperature is then </w:t>
      </w:r>
      <w:r w:rsidRPr="00D7685A">
        <w:rPr>
          <w:rFonts w:eastAsiaTheme="minorEastAsia"/>
          <w:szCs w:val="24"/>
        </w:rPr>
        <w:lastRenderedPageBreak/>
        <w:t>increased at a rate of 3K per minute for approximately 78.33 minutes to a final temperature of 280</w:t>
      </w:r>
      <m:oMath>
        <m:r>
          <w:rPr>
            <w:rFonts w:ascii="Cambria Math" w:eastAsiaTheme="minorEastAsia" w:hAnsi="Cambria Math"/>
            <w:szCs w:val="24"/>
          </w:rPr>
          <m:t>℃</m:t>
        </m:r>
      </m:oMath>
      <w:r w:rsidRPr="00D7685A">
        <w:rPr>
          <w:rFonts w:eastAsiaTheme="minorEastAsia"/>
          <w:szCs w:val="24"/>
        </w:rPr>
        <w:t xml:space="preserve">. It is kept at this temperature for 20 minutes (the total program time comes out to be 100.33 minutes). The pressure at the injection port is set at 16.7 psi, while the column flow is strictly maintained at 1 </w:t>
      </w:r>
      <m:oMath>
        <m:r>
          <w:rPr>
            <w:rFonts w:ascii="Cambria Math" w:eastAsiaTheme="minorEastAsia" w:hAnsi="Cambria Math"/>
            <w:szCs w:val="24"/>
          </w:rPr>
          <m:t>ml/minute</m:t>
        </m:r>
      </m:oMath>
      <w:r w:rsidRPr="00D7685A">
        <w:rPr>
          <w:rFonts w:eastAsiaTheme="minorEastAsia"/>
          <w:szCs w:val="24"/>
        </w:rPr>
        <w:t>. The mass spectrometer starts scanning masses at 35.00 m/z and ends scanning masses at 250 m/z at 0.5 seconds per scan. The start time of the mass spectrometer is 4.58 minutes and end time is 94.33 minutes. The ion source temperature within the mass spectrometer is kept at 200</w:t>
      </w:r>
      <m:oMath>
        <m:r>
          <w:rPr>
            <w:rFonts w:ascii="Cambria Math" w:eastAsiaTheme="minorEastAsia" w:hAnsi="Cambria Math"/>
            <w:szCs w:val="24"/>
          </w:rPr>
          <m:t>℃</m:t>
        </m:r>
      </m:oMath>
      <w:r w:rsidRPr="00D7685A">
        <w:rPr>
          <w:rFonts w:eastAsiaTheme="minorEastAsia"/>
          <w:szCs w:val="24"/>
        </w:rPr>
        <w:t>, while the interface temperature is kept at 250</w:t>
      </w:r>
      <m:oMath>
        <m:r>
          <w:rPr>
            <w:rFonts w:ascii="Cambria Math" w:eastAsiaTheme="minorEastAsia" w:hAnsi="Cambria Math"/>
            <w:szCs w:val="24"/>
          </w:rPr>
          <m:t>℃</m:t>
        </m:r>
      </m:oMath>
      <w:r w:rsidRPr="00D7685A">
        <w:rPr>
          <w:rFonts w:eastAsiaTheme="minorEastAsia"/>
          <w:szCs w:val="24"/>
        </w:rPr>
        <w:t xml:space="preserve">. All the analysis presented in this thesis has utilized the same GC column temperature program, mass spectrometer settings, and FID settings. The resulting ion chromatograms from MS and FID are used to identify and quantify significant peaks within the respective chromatograms. </w:t>
      </w:r>
    </w:p>
    <w:p w14:paraId="4C536B47" w14:textId="77777777" w:rsidR="00D234E1" w:rsidRPr="00F16B78" w:rsidRDefault="00D234E1" w:rsidP="00876ECE">
      <w:pPr>
        <w:pStyle w:val="Heading2"/>
        <w:rPr>
          <w:rFonts w:ascii="Times New Roman" w:eastAsiaTheme="minorEastAsia" w:hAnsi="Times New Roman" w:cs="Times New Roman"/>
          <w:b/>
          <w:bCs/>
          <w:color w:val="auto"/>
          <w:sz w:val="24"/>
          <w:szCs w:val="24"/>
        </w:rPr>
      </w:pPr>
      <w:bookmarkStart w:id="36" w:name="_Toc14521035"/>
      <w:r w:rsidRPr="00F16B78">
        <w:rPr>
          <w:rFonts w:ascii="Times New Roman" w:eastAsiaTheme="minorEastAsia" w:hAnsi="Times New Roman" w:cs="Times New Roman"/>
          <w:b/>
          <w:bCs/>
          <w:color w:val="auto"/>
          <w:sz w:val="24"/>
          <w:szCs w:val="24"/>
        </w:rPr>
        <w:t>2.4</w:t>
      </w:r>
      <w:r w:rsidR="00F16B78">
        <w:rPr>
          <w:rFonts w:ascii="Times New Roman" w:eastAsiaTheme="minorEastAsia" w:hAnsi="Times New Roman" w:cs="Times New Roman"/>
          <w:b/>
          <w:bCs/>
          <w:color w:val="auto"/>
          <w:sz w:val="24"/>
          <w:szCs w:val="24"/>
        </w:rPr>
        <w:t xml:space="preserve"> Compound identification</w:t>
      </w:r>
      <w:bookmarkEnd w:id="36"/>
    </w:p>
    <w:p w14:paraId="37474F25" w14:textId="77777777" w:rsidR="00D234E1" w:rsidRPr="00D7685A" w:rsidRDefault="00D234E1" w:rsidP="00ED4E6F">
      <w:pPr>
        <w:spacing w:line="480" w:lineRule="auto"/>
        <w:ind w:left="0" w:firstLine="720"/>
        <w:jc w:val="both"/>
        <w:rPr>
          <w:rFonts w:eastAsiaTheme="minorEastAsia"/>
          <w:szCs w:val="24"/>
        </w:rPr>
      </w:pPr>
      <w:r w:rsidRPr="00D7685A">
        <w:rPr>
          <w:rFonts w:eastAsiaTheme="minorEastAsia"/>
          <w:szCs w:val="24"/>
        </w:rPr>
        <w:t xml:space="preserve">Two publications by Faix et al. (10,11) were used as primary sources for the identification of the chemical compounds upon thermal degradation of biomass. Faix et al. used a 15m DB-1701 column (the same type of column used in the data analysis for this thesis) to conduct his findings; consequently, the retention order of the torrefaction/pyrolysis products that was observed would be the same as in this study. It is important to note that the absolute time for the observed chemical compounds in Faix et al. study will not be the same as this study due to the variation in the length of the columns being used within the GC. Base peak (intensity 100%) of each identified chemical compound is provided in the publication; this is accompanied with intensities of nine other abundant masses to facilitate the compound identification process. When peaks were proving to be difficult to be identified using the two publications, the in-built NIST library search within the GC-MS software was utilized for compound identification; in some cases, peaks were assigned to compound lumps based on major ions or left unidentified when aforementioned resources were </w:t>
      </w:r>
      <w:r w:rsidRPr="00D7685A">
        <w:rPr>
          <w:rFonts w:eastAsiaTheme="minorEastAsia"/>
          <w:szCs w:val="24"/>
        </w:rPr>
        <w:lastRenderedPageBreak/>
        <w:t xml:space="preserve">already exhausted. Figure 2.6 illustrates the methodology behind compound identification (7).  The identified peaks in the MS chromatogram were then matched through visual observation to their corresponding peaks in the FID chromatogram. The area of each peak within the FID chromatogram was determined through the integration tool in the Shimadzu GC Solutions software. The peak areas obtained from the FID chromatogram was divided by the total amount of biomass (i.e. mass) present within the sample tube, thereby normalizing each sample to the initial amount of sample fed into the pyroprobe system. </w:t>
      </w:r>
    </w:p>
    <w:p w14:paraId="45B41BCD" w14:textId="77777777" w:rsidR="00D234E1" w:rsidRDefault="00D234E1" w:rsidP="00D234E1">
      <w:pPr>
        <w:spacing w:line="480" w:lineRule="auto"/>
        <w:ind w:left="0" w:firstLine="0"/>
        <w:rPr>
          <w:rFonts w:eastAsiaTheme="minorEastAsia"/>
        </w:rPr>
      </w:pPr>
      <w:r>
        <w:rPr>
          <w:noProof/>
        </w:rPr>
        <w:drawing>
          <wp:anchor distT="0" distB="0" distL="114300" distR="114300" simplePos="0" relativeHeight="251678720" behindDoc="0" locked="0" layoutInCell="1" allowOverlap="1" wp14:anchorId="6465CD4C" wp14:editId="3081CB0E">
            <wp:simplePos x="0" y="0"/>
            <wp:positionH relativeFrom="column">
              <wp:posOffset>771525</wp:posOffset>
            </wp:positionH>
            <wp:positionV relativeFrom="paragraph">
              <wp:posOffset>13970</wp:posOffset>
            </wp:positionV>
            <wp:extent cx="4410075" cy="2710684"/>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4410075" cy="2710684"/>
                    </a:xfrm>
                    <a:prstGeom prst="rect">
                      <a:avLst/>
                    </a:prstGeom>
                  </pic:spPr>
                </pic:pic>
              </a:graphicData>
            </a:graphic>
          </wp:anchor>
        </w:drawing>
      </w:r>
    </w:p>
    <w:p w14:paraId="299B6DC0" w14:textId="77777777" w:rsidR="00D234E1" w:rsidRDefault="00D234E1" w:rsidP="00D234E1">
      <w:pPr>
        <w:spacing w:line="480" w:lineRule="auto"/>
        <w:ind w:left="0" w:firstLine="0"/>
        <w:jc w:val="center"/>
        <w:rPr>
          <w:rFonts w:eastAsiaTheme="minorEastAsia"/>
        </w:rPr>
      </w:pPr>
    </w:p>
    <w:p w14:paraId="4ACE3644" w14:textId="77777777" w:rsidR="00D234E1" w:rsidRDefault="00D234E1" w:rsidP="00D234E1">
      <w:pPr>
        <w:spacing w:line="480" w:lineRule="auto"/>
        <w:ind w:left="0" w:firstLine="0"/>
        <w:rPr>
          <w:rFonts w:eastAsiaTheme="minorEastAsia"/>
        </w:rPr>
      </w:pPr>
    </w:p>
    <w:p w14:paraId="6404AE89" w14:textId="77777777" w:rsidR="00D234E1" w:rsidRDefault="00D234E1" w:rsidP="00D234E1">
      <w:pPr>
        <w:spacing w:line="480" w:lineRule="auto"/>
        <w:ind w:left="0" w:firstLine="0"/>
        <w:rPr>
          <w:rFonts w:eastAsiaTheme="minorEastAsia"/>
        </w:rPr>
      </w:pPr>
    </w:p>
    <w:p w14:paraId="22A8A3D3" w14:textId="77777777" w:rsidR="00D234E1" w:rsidRDefault="00D234E1" w:rsidP="00D234E1">
      <w:pPr>
        <w:spacing w:line="480" w:lineRule="auto"/>
        <w:ind w:left="0" w:firstLine="0"/>
        <w:rPr>
          <w:rFonts w:eastAsiaTheme="minorEastAsia"/>
        </w:rPr>
      </w:pPr>
    </w:p>
    <w:p w14:paraId="3AA19844" w14:textId="77777777" w:rsidR="00D234E1" w:rsidRDefault="00D234E1" w:rsidP="00D234E1">
      <w:pPr>
        <w:spacing w:line="480" w:lineRule="auto"/>
        <w:ind w:left="0" w:firstLine="0"/>
        <w:rPr>
          <w:rFonts w:eastAsiaTheme="minorEastAsia"/>
        </w:rPr>
      </w:pPr>
    </w:p>
    <w:p w14:paraId="645B2E89" w14:textId="77777777" w:rsidR="00D234E1" w:rsidRDefault="00D234E1" w:rsidP="00D234E1">
      <w:pPr>
        <w:spacing w:line="480" w:lineRule="auto"/>
        <w:ind w:left="0" w:firstLine="0"/>
        <w:rPr>
          <w:rFonts w:eastAsiaTheme="minorEastAsia"/>
        </w:rPr>
      </w:pPr>
    </w:p>
    <w:p w14:paraId="191522B3" w14:textId="77777777" w:rsidR="001A2572" w:rsidRDefault="001A0796" w:rsidP="00D234E1">
      <w:pPr>
        <w:spacing w:line="480" w:lineRule="auto"/>
        <w:ind w:left="0" w:firstLine="0"/>
        <w:rPr>
          <w:rFonts w:eastAsiaTheme="minorEastAsia"/>
          <w:b/>
          <w:bCs/>
          <w:szCs w:val="24"/>
          <w:u w:val="single"/>
        </w:rPr>
      </w:pPr>
      <w:r>
        <w:rPr>
          <w:noProof/>
        </w:rPr>
        <mc:AlternateContent>
          <mc:Choice Requires="wps">
            <w:drawing>
              <wp:anchor distT="0" distB="0" distL="114300" distR="114300" simplePos="0" relativeHeight="251769856" behindDoc="0" locked="0" layoutInCell="1" allowOverlap="1" wp14:anchorId="7E57A7E2" wp14:editId="03D0741A">
                <wp:simplePos x="0" y="0"/>
                <wp:positionH relativeFrom="margin">
                  <wp:align>right</wp:align>
                </wp:positionH>
                <wp:positionV relativeFrom="paragraph">
                  <wp:posOffset>306705</wp:posOffset>
                </wp:positionV>
                <wp:extent cx="5934075" cy="628650"/>
                <wp:effectExtent l="0" t="0" r="9525" b="0"/>
                <wp:wrapSquare wrapText="bothSides"/>
                <wp:docPr id="217" name="Text Box 217"/>
                <wp:cNvGraphicFramePr/>
                <a:graphic xmlns:a="http://schemas.openxmlformats.org/drawingml/2006/main">
                  <a:graphicData uri="http://schemas.microsoft.com/office/word/2010/wordprocessingShape">
                    <wps:wsp>
                      <wps:cNvSpPr txBox="1"/>
                      <wps:spPr>
                        <a:xfrm>
                          <a:off x="0" y="0"/>
                          <a:ext cx="5934075" cy="628650"/>
                        </a:xfrm>
                        <a:prstGeom prst="rect">
                          <a:avLst/>
                        </a:prstGeom>
                        <a:solidFill>
                          <a:prstClr val="white"/>
                        </a:solidFill>
                        <a:ln>
                          <a:noFill/>
                        </a:ln>
                      </wps:spPr>
                      <wps:txbx>
                        <w:txbxContent>
                          <w:p w14:paraId="38D5B6B2" w14:textId="5296B663" w:rsidR="00AA26F6" w:rsidRPr="001A0796" w:rsidRDefault="00AA26F6" w:rsidP="001A0796">
                            <w:pPr>
                              <w:pStyle w:val="Caption"/>
                              <w:rPr>
                                <w:i w:val="0"/>
                                <w:iCs w:val="0"/>
                                <w:noProof/>
                                <w:color w:val="auto"/>
                                <w:sz w:val="24"/>
                                <w:szCs w:val="24"/>
                              </w:rPr>
                            </w:pPr>
                            <w:bookmarkStart w:id="37" w:name="_Toc14520644"/>
                            <w:r w:rsidRPr="001A0796">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6</w:t>
                            </w:r>
                            <w:r>
                              <w:rPr>
                                <w:b/>
                                <w:bCs/>
                                <w:i w:val="0"/>
                                <w:iCs w:val="0"/>
                                <w:color w:val="auto"/>
                                <w:sz w:val="24"/>
                                <w:szCs w:val="24"/>
                              </w:rPr>
                              <w:fldChar w:fldCharType="end"/>
                            </w:r>
                            <w:r w:rsidRPr="001A0796">
                              <w:rPr>
                                <w:b/>
                                <w:bCs/>
                                <w:i w:val="0"/>
                                <w:iCs w:val="0"/>
                                <w:color w:val="auto"/>
                                <w:sz w:val="24"/>
                                <w:szCs w:val="24"/>
                              </w:rPr>
                              <w:t>:</w:t>
                            </w:r>
                            <w:r>
                              <w:rPr>
                                <w:b/>
                                <w:bCs/>
                                <w:i w:val="0"/>
                                <w:iCs w:val="0"/>
                                <w:color w:val="auto"/>
                                <w:sz w:val="24"/>
                                <w:szCs w:val="24"/>
                              </w:rPr>
                              <w:t xml:space="preserve"> </w:t>
                            </w:r>
                            <w:r w:rsidRPr="001A0796">
                              <w:rPr>
                                <w:i w:val="0"/>
                                <w:iCs w:val="0"/>
                                <w:color w:val="auto"/>
                                <w:sz w:val="24"/>
                                <w:szCs w:val="24"/>
                              </w:rPr>
                              <w:t>Methodology for compound identification being illustrated through a flowchart; landmark peaks include, but are not limited to, acetic acid, furfurals, levoglucosan (anhydrous sugars) (7)</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7A7E2" id="Text Box 217" o:spid="_x0000_s1036" type="#_x0000_t202" style="position:absolute;margin-left:416.05pt;margin-top:24.15pt;width:467.25pt;height:49.5pt;z-index:251769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" stroked="f">
                <v:textbox inset="0,0,0,0">
                  <w:txbxContent>
                    <w:p w14:paraId="38D5B6B2" w14:textId="5296B663" w:rsidR="00AA26F6" w:rsidRPr="001A0796" w:rsidRDefault="00AA26F6" w:rsidP="001A0796">
                      <w:pPr>
                        <w:pStyle w:val="Caption"/>
                        <w:rPr>
                          <w:i w:val="0"/>
                          <w:iCs w:val="0"/>
                          <w:noProof/>
                          <w:color w:val="auto"/>
                          <w:sz w:val="24"/>
                          <w:szCs w:val="24"/>
                        </w:rPr>
                      </w:pPr>
                      <w:bookmarkStart w:id="38" w:name="_Toc14520644"/>
                      <w:r w:rsidRPr="001A0796">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6</w:t>
                      </w:r>
                      <w:r>
                        <w:rPr>
                          <w:b/>
                          <w:bCs/>
                          <w:i w:val="0"/>
                          <w:iCs w:val="0"/>
                          <w:color w:val="auto"/>
                          <w:sz w:val="24"/>
                          <w:szCs w:val="24"/>
                        </w:rPr>
                        <w:fldChar w:fldCharType="end"/>
                      </w:r>
                      <w:r w:rsidRPr="001A0796">
                        <w:rPr>
                          <w:b/>
                          <w:bCs/>
                          <w:i w:val="0"/>
                          <w:iCs w:val="0"/>
                          <w:color w:val="auto"/>
                          <w:sz w:val="24"/>
                          <w:szCs w:val="24"/>
                        </w:rPr>
                        <w:t>:</w:t>
                      </w:r>
                      <w:r>
                        <w:rPr>
                          <w:b/>
                          <w:bCs/>
                          <w:i w:val="0"/>
                          <w:iCs w:val="0"/>
                          <w:color w:val="auto"/>
                          <w:sz w:val="24"/>
                          <w:szCs w:val="24"/>
                        </w:rPr>
                        <w:t xml:space="preserve"> </w:t>
                      </w:r>
                      <w:r w:rsidRPr="001A0796">
                        <w:rPr>
                          <w:i w:val="0"/>
                          <w:iCs w:val="0"/>
                          <w:color w:val="auto"/>
                          <w:sz w:val="24"/>
                          <w:szCs w:val="24"/>
                        </w:rPr>
                        <w:t>Methodology for compound identification being illustrated through a flowchart; landmark peaks include, but are not limited to, acetic acid, furfurals, levoglucosan (anhydrous sugars) (7)</w:t>
                      </w:r>
                      <w:bookmarkEnd w:id="38"/>
                    </w:p>
                  </w:txbxContent>
                </v:textbox>
                <w10:wrap type="square" anchorx="margin"/>
              </v:shape>
            </w:pict>
          </mc:Fallback>
        </mc:AlternateContent>
      </w:r>
    </w:p>
    <w:p w14:paraId="5AE0FA34" w14:textId="77777777" w:rsidR="001A0796" w:rsidRDefault="001A0796" w:rsidP="00D234E1">
      <w:pPr>
        <w:spacing w:line="480" w:lineRule="auto"/>
        <w:ind w:left="0" w:firstLine="0"/>
        <w:rPr>
          <w:rFonts w:eastAsiaTheme="minorEastAsia"/>
          <w:b/>
          <w:bCs/>
          <w:szCs w:val="24"/>
          <w:u w:val="single"/>
        </w:rPr>
      </w:pPr>
    </w:p>
    <w:p w14:paraId="03EB7A2E" w14:textId="77777777" w:rsidR="00D234E1" w:rsidRPr="00F16B78" w:rsidRDefault="00D234E1" w:rsidP="00876ECE">
      <w:pPr>
        <w:pStyle w:val="Heading2"/>
        <w:rPr>
          <w:rFonts w:ascii="Times New Roman" w:eastAsiaTheme="minorEastAsia" w:hAnsi="Times New Roman" w:cs="Times New Roman"/>
          <w:b/>
          <w:bCs/>
          <w:color w:val="auto"/>
          <w:sz w:val="24"/>
          <w:szCs w:val="24"/>
        </w:rPr>
      </w:pPr>
      <w:bookmarkStart w:id="39" w:name="_Toc14521036"/>
      <w:r w:rsidRPr="00F16B78">
        <w:rPr>
          <w:rFonts w:ascii="Times New Roman" w:eastAsiaTheme="minorEastAsia" w:hAnsi="Times New Roman" w:cs="Times New Roman"/>
          <w:b/>
          <w:bCs/>
          <w:color w:val="auto"/>
          <w:sz w:val="24"/>
          <w:szCs w:val="24"/>
        </w:rPr>
        <w:t>2.5 L</w:t>
      </w:r>
      <w:r w:rsidR="00F16B78">
        <w:rPr>
          <w:rFonts w:ascii="Times New Roman" w:eastAsiaTheme="minorEastAsia" w:hAnsi="Times New Roman" w:cs="Times New Roman"/>
          <w:b/>
          <w:bCs/>
          <w:color w:val="auto"/>
          <w:sz w:val="24"/>
          <w:szCs w:val="24"/>
        </w:rPr>
        <w:t>umping approach</w:t>
      </w:r>
      <w:bookmarkEnd w:id="39"/>
      <w:r w:rsidRPr="00F16B78">
        <w:rPr>
          <w:rFonts w:ascii="Times New Roman" w:eastAsiaTheme="minorEastAsia" w:hAnsi="Times New Roman" w:cs="Times New Roman"/>
          <w:b/>
          <w:bCs/>
          <w:color w:val="auto"/>
          <w:sz w:val="24"/>
          <w:szCs w:val="24"/>
        </w:rPr>
        <w:t xml:space="preserve"> </w:t>
      </w:r>
    </w:p>
    <w:p w14:paraId="7BBAEFA7" w14:textId="77777777" w:rsidR="00D234E1" w:rsidRPr="00D7685A" w:rsidRDefault="00D234E1" w:rsidP="00ED4E6F">
      <w:pPr>
        <w:spacing w:line="480" w:lineRule="auto"/>
        <w:ind w:left="0" w:firstLine="720"/>
        <w:jc w:val="both"/>
        <w:rPr>
          <w:rFonts w:eastAsiaTheme="minorEastAsia"/>
          <w:szCs w:val="24"/>
        </w:rPr>
      </w:pPr>
      <w:r w:rsidRPr="00D7685A">
        <w:rPr>
          <w:rFonts w:eastAsiaTheme="minorEastAsia"/>
          <w:szCs w:val="24"/>
        </w:rPr>
        <w:t xml:space="preserve">Based on characteristics (i.e. organic functionalities) of successfully identified compounds, they were further categorized into lumps of compound groups – in a similar fashion to what is described by Dauenhauer et al. (12). This type of classification made it simpler and easier to measure the carbon content present in each diverse compound group. The lump of compounds that were formed for this study are: light oxygenate, carbon dioxide, acetic acid, </w:t>
      </w:r>
      <w:r w:rsidRPr="00D7685A">
        <w:rPr>
          <w:rFonts w:eastAsiaTheme="minorEastAsia"/>
          <w:szCs w:val="24"/>
        </w:rPr>
        <w:lastRenderedPageBreak/>
        <w:t xml:space="preserve">furfurals, furans, alkyl benzenes, alkyl phenols, anhydrous sugars, and methoxy phenols. Light oxygenate refers to chemical compounds which contained at least one oxygen molecule within their structural framework (e.g. straight carbon chain molecule) but lacked the presence of an aromatic (i.e. ring-like) compound. Carbon dioxide and acetic acid (carboxylic acid containing an acetyl group and a hydroxyl group) were kept as separate entities as they represented major, dominant peaks (i.e. easily distinguishable through visual observation) in FID chromatograms when compared to other peaks representing chemical compounds classified within the other compound lumps. Four carbon atoms in the presence of a solitary oxygen atom engulfed in an aromatic ring constitutes a furan molecule; addition of an aldehyde group to this structure results in the formation of furfurals. Derivatives of benzene in which one or more hydrogen atoms are replaced by alkyl groups are classified as alkyl benzenes; they are a subset of aromatic hydrocarbons (e.g. toluene). Similarly, alkylation of phenols constitutes the family of organic compounds known an alkyl phenols. Often a major product of biomass thermal degradation is levoglucosan – a bridged polyhydroxy heterocyclic compound and a member of the anhydrous sugars- which is a six-carbon ring compound with three alcohol functional groups. Phenol molecules with a methoxy functional group attached to it (i.e. methyl group bound to oxygen) makes up methoxy phenols. From here onwards, product yields of torrefaction/pyrolysis experiments will be reported in terms of the lump of compound groups. Table 1 in the appendix list all the compounds, and the subsequent family groups they were categorized in, that were identified throughout the course of this study. The total mass (per mg of raw biomass) or carbon content – depending on what is reported- was summed for each of the compounds within the lump. The mean values of these compound lumps across the technical replicate experiments performed for this study are reported throughout this thesis as “yield”. </w:t>
      </w:r>
    </w:p>
    <w:p w14:paraId="4D88DBAB" w14:textId="77777777" w:rsidR="00D234E1" w:rsidRPr="00F16B78" w:rsidRDefault="00D234E1" w:rsidP="00876ECE">
      <w:pPr>
        <w:pStyle w:val="Heading2"/>
        <w:rPr>
          <w:rFonts w:ascii="Times New Roman" w:eastAsiaTheme="minorEastAsia" w:hAnsi="Times New Roman" w:cs="Times New Roman"/>
          <w:b/>
          <w:bCs/>
          <w:color w:val="auto"/>
          <w:sz w:val="24"/>
          <w:szCs w:val="24"/>
        </w:rPr>
      </w:pPr>
      <w:bookmarkStart w:id="40" w:name="_Toc14521037"/>
      <w:r w:rsidRPr="00F16B78">
        <w:rPr>
          <w:rFonts w:ascii="Times New Roman" w:eastAsiaTheme="minorEastAsia" w:hAnsi="Times New Roman" w:cs="Times New Roman"/>
          <w:b/>
          <w:bCs/>
          <w:color w:val="auto"/>
          <w:sz w:val="24"/>
          <w:szCs w:val="24"/>
        </w:rPr>
        <w:lastRenderedPageBreak/>
        <w:t xml:space="preserve">2.6 FID </w:t>
      </w:r>
      <w:r w:rsidR="00F16B78">
        <w:rPr>
          <w:rFonts w:ascii="Times New Roman" w:eastAsiaTheme="minorEastAsia" w:hAnsi="Times New Roman" w:cs="Times New Roman"/>
          <w:b/>
          <w:bCs/>
          <w:color w:val="auto"/>
          <w:sz w:val="24"/>
          <w:szCs w:val="24"/>
        </w:rPr>
        <w:t>Quantification</w:t>
      </w:r>
      <w:bookmarkEnd w:id="40"/>
    </w:p>
    <w:p w14:paraId="16600EA8" w14:textId="77777777" w:rsidR="00D234E1" w:rsidRPr="00D7685A" w:rsidRDefault="00D234E1" w:rsidP="00D234E1">
      <w:pPr>
        <w:spacing w:line="480" w:lineRule="auto"/>
        <w:ind w:left="0" w:firstLine="0"/>
        <w:jc w:val="both"/>
        <w:rPr>
          <w:rFonts w:eastAsiaTheme="minorEastAsia"/>
          <w:szCs w:val="24"/>
        </w:rPr>
      </w:pPr>
      <w:r w:rsidRPr="00D7685A">
        <w:rPr>
          <w:rFonts w:eastAsiaTheme="minorEastAsia"/>
          <w:szCs w:val="24"/>
        </w:rPr>
        <w:t xml:space="preserve"> </w:t>
      </w:r>
      <w:r w:rsidR="00ED4E6F">
        <w:rPr>
          <w:rFonts w:eastAsiaTheme="minorEastAsia"/>
          <w:szCs w:val="24"/>
        </w:rPr>
        <w:tab/>
      </w:r>
      <w:r w:rsidRPr="00D7685A">
        <w:rPr>
          <w:rFonts w:eastAsiaTheme="minorEastAsia"/>
          <w:szCs w:val="24"/>
        </w:rPr>
        <w:t xml:space="preserve">To perform FID calibration, varying concentrations of phenol were dissolved in methanol at known quantities to develop a response curve. Relative response factors – that were obtained from literature (when available)- in conjunction with the response curve developed, was utilized to determine the carbon content of each identified thermochemical product in the MS/FID chromatograms. </w:t>
      </w:r>
    </w:p>
    <w:p w14:paraId="7E1F0D35" w14:textId="77777777" w:rsidR="00D234E1" w:rsidRPr="00D7685A" w:rsidRDefault="00D234E1" w:rsidP="00ED4E6F">
      <w:pPr>
        <w:spacing w:line="480" w:lineRule="auto"/>
        <w:ind w:left="0" w:firstLine="720"/>
        <w:jc w:val="both"/>
        <w:rPr>
          <w:rFonts w:eastAsiaTheme="minorEastAsia"/>
          <w:szCs w:val="24"/>
        </w:rPr>
      </w:pPr>
      <w:r w:rsidRPr="00D7685A">
        <w:rPr>
          <w:rFonts w:eastAsiaTheme="minorEastAsia"/>
          <w:szCs w:val="24"/>
        </w:rPr>
        <w:t>The quantification of bio-oil, in terms of thermochemical products, is performed through the Flame ionization detector (FID). Response factors (RF) are required to measure the amount of different chemicals present within the bio-oil. Response factors are defined as the following:</w:t>
      </w:r>
    </w:p>
    <w:p w14:paraId="084AA3B7" w14:textId="77777777" w:rsidR="00D234E1" w:rsidRPr="00D7685A" w:rsidRDefault="00D234E1" w:rsidP="00D234E1">
      <w:pPr>
        <w:spacing w:line="480" w:lineRule="auto"/>
        <w:ind w:left="0" w:firstLine="0"/>
        <w:jc w:val="both"/>
        <w:rPr>
          <w:rFonts w:eastAsiaTheme="minorEastAsia"/>
          <w:szCs w:val="24"/>
        </w:rPr>
      </w:pPr>
      <m:oMathPara>
        <m:oMath>
          <m:r>
            <w:rPr>
              <w:rFonts w:ascii="Cambria Math" w:eastAsiaTheme="minorEastAsia" w:hAnsi="Cambria Math"/>
              <w:szCs w:val="24"/>
            </w:rPr>
            <m:t xml:space="preserve">RF= </m:t>
          </m:r>
          <m:f>
            <m:fPr>
              <m:ctrlPr>
                <w:rPr>
                  <w:rFonts w:ascii="Cambria Math" w:eastAsiaTheme="minorEastAsia" w:hAnsi="Cambria Math"/>
                  <w:i/>
                  <w:szCs w:val="24"/>
                </w:rPr>
              </m:ctrlPr>
            </m:fPr>
            <m:num>
              <m:r>
                <w:rPr>
                  <w:rFonts w:ascii="Cambria Math" w:eastAsiaTheme="minorEastAsia" w:hAnsi="Cambria Math"/>
                  <w:szCs w:val="24"/>
                </w:rPr>
                <m:t>area of sample</m:t>
              </m:r>
            </m:num>
            <m:den>
              <m:r>
                <w:rPr>
                  <w:rFonts w:ascii="Cambria Math" w:eastAsiaTheme="minorEastAsia" w:hAnsi="Cambria Math"/>
                  <w:szCs w:val="24"/>
                </w:rPr>
                <m:t xml:space="preserve">mass of sample </m:t>
              </m:r>
            </m:den>
          </m:f>
          <m:r>
            <w:rPr>
              <w:rFonts w:ascii="Cambria Math" w:eastAsiaTheme="minorEastAsia" w:hAnsi="Cambria Math"/>
              <w:szCs w:val="24"/>
            </w:rPr>
            <m:t xml:space="preserve"> (Equation 1)</m:t>
          </m:r>
        </m:oMath>
      </m:oMathPara>
    </w:p>
    <w:p w14:paraId="327767E4" w14:textId="77777777" w:rsidR="00D234E1" w:rsidRPr="00D7685A" w:rsidRDefault="00D234E1" w:rsidP="00D234E1">
      <w:pPr>
        <w:spacing w:line="480" w:lineRule="auto"/>
        <w:ind w:left="0" w:firstLine="0"/>
        <w:jc w:val="both"/>
        <w:rPr>
          <w:rFonts w:eastAsiaTheme="minorEastAsia"/>
          <w:szCs w:val="24"/>
        </w:rPr>
      </w:pPr>
      <w:r w:rsidRPr="00D7685A">
        <w:rPr>
          <w:rFonts w:eastAsiaTheme="minorEastAsia"/>
          <w:szCs w:val="24"/>
        </w:rPr>
        <w:t xml:space="preserve"> </w:t>
      </w:r>
      <w:r w:rsidR="00ED4E6F">
        <w:rPr>
          <w:rFonts w:eastAsiaTheme="minorEastAsia"/>
          <w:szCs w:val="24"/>
        </w:rPr>
        <w:tab/>
      </w:r>
      <w:r w:rsidRPr="00D7685A">
        <w:rPr>
          <w:rFonts w:eastAsiaTheme="minorEastAsia"/>
          <w:szCs w:val="24"/>
        </w:rPr>
        <w:t xml:space="preserve">Response factor values are dependent on the molecular structure of the chemical compound, and they vary for different compounds. Relative response factors (RRF), is simply the ratio of the response of two different chemical compounds (one of them being an internal standard compound). In literature, n-heptane is usually utilized as the internal standard (14,15). It is defined as the following: </w:t>
      </w:r>
    </w:p>
    <w:p w14:paraId="29D96973" w14:textId="77777777" w:rsidR="00D234E1" w:rsidRPr="00D7685A" w:rsidRDefault="00D234E1" w:rsidP="00D234E1">
      <w:pPr>
        <w:spacing w:line="480" w:lineRule="auto"/>
        <w:ind w:left="0" w:firstLine="0"/>
        <w:rPr>
          <w:rFonts w:eastAsiaTheme="minorEastAsia"/>
          <w:szCs w:val="24"/>
        </w:rPr>
      </w:pPr>
      <m:oMathPara>
        <m:oMath>
          <m:r>
            <w:rPr>
              <w:rFonts w:ascii="Cambria Math" w:eastAsiaTheme="minorEastAsia" w:hAnsi="Cambria Math"/>
              <w:szCs w:val="24"/>
            </w:rPr>
            <m:t>RRF=</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RF</m:t>
                  </m:r>
                </m:e>
                <m:sub>
                  <m:r>
                    <w:rPr>
                      <w:rFonts w:ascii="Cambria Math" w:eastAsiaTheme="minorEastAsia" w:hAnsi="Cambria Math"/>
                      <w:szCs w:val="24"/>
                    </w:rPr>
                    <m:t>sample</m:t>
                  </m:r>
                </m:sub>
              </m:sSub>
            </m:num>
            <m:den>
              <m:sSub>
                <m:sSubPr>
                  <m:ctrlPr>
                    <w:rPr>
                      <w:rFonts w:ascii="Cambria Math" w:eastAsiaTheme="minorEastAsia" w:hAnsi="Cambria Math"/>
                      <w:i/>
                      <w:szCs w:val="24"/>
                    </w:rPr>
                  </m:ctrlPr>
                </m:sSubPr>
                <m:e>
                  <m:r>
                    <w:rPr>
                      <w:rFonts w:ascii="Cambria Math" w:eastAsiaTheme="minorEastAsia" w:hAnsi="Cambria Math"/>
                      <w:szCs w:val="24"/>
                    </w:rPr>
                    <m:t>RF</m:t>
                  </m:r>
                </m:e>
                <m:sub>
                  <m:r>
                    <w:rPr>
                      <w:rFonts w:ascii="Cambria Math" w:eastAsiaTheme="minorEastAsia" w:hAnsi="Cambria Math"/>
                      <w:szCs w:val="24"/>
                    </w:rPr>
                    <m:t>internal standard</m:t>
                  </m:r>
                </m:sub>
              </m:sSub>
            </m:den>
          </m:f>
          <m:r>
            <w:rPr>
              <w:rFonts w:ascii="Cambria Math" w:eastAsiaTheme="minorEastAsia" w:hAnsi="Cambria Math"/>
              <w:szCs w:val="24"/>
            </w:rPr>
            <m:t xml:space="preserve"> (Equation 2)</m:t>
          </m:r>
        </m:oMath>
      </m:oMathPara>
    </w:p>
    <w:p w14:paraId="14AF2F88" w14:textId="77777777" w:rsidR="00D234E1" w:rsidRPr="00D7685A" w:rsidRDefault="00D234E1" w:rsidP="00ED4E6F">
      <w:pPr>
        <w:spacing w:line="480" w:lineRule="auto"/>
        <w:ind w:left="0" w:firstLine="720"/>
        <w:jc w:val="both"/>
        <w:rPr>
          <w:rFonts w:eastAsiaTheme="minorEastAsia"/>
          <w:szCs w:val="24"/>
        </w:rPr>
      </w:pPr>
      <w:r w:rsidRPr="00D7685A">
        <w:rPr>
          <w:rFonts w:eastAsiaTheme="minorEastAsia"/>
          <w:szCs w:val="24"/>
        </w:rPr>
        <w:t xml:space="preserve">The Relative Response Factor is dependent on the structural moiety of the chemical compound and the internal standard being used; operating conditions have no influence on RRF. As a result, reported RRF values in the literature would be similar to the compounds being identified in this study – any differences would be attributed to experimental errors, impurity of compounds being used, and/or possible decomposition on injection or adsorption by the GC column (16). Response factors are deemed to be constant for such quantification since FID’s </w:t>
      </w:r>
      <w:r w:rsidRPr="00D7685A">
        <w:rPr>
          <w:rFonts w:eastAsiaTheme="minorEastAsia"/>
          <w:szCs w:val="24"/>
        </w:rPr>
        <w:lastRenderedPageBreak/>
        <w:t xml:space="preserve">response for organic compounds is linear with concentration over a substantial range (17). Additionally, FID’s response is stable and is unhindered by changes in the flow rates of carrier gas (18). </w:t>
      </w:r>
    </w:p>
    <w:p w14:paraId="1FBF2436" w14:textId="77777777" w:rsidR="00D234E1" w:rsidRPr="00D7685A" w:rsidRDefault="00D234E1" w:rsidP="00ED4E6F">
      <w:pPr>
        <w:spacing w:line="480" w:lineRule="auto"/>
        <w:ind w:left="0" w:firstLine="720"/>
        <w:jc w:val="both"/>
        <w:rPr>
          <w:rFonts w:eastAsiaTheme="minorEastAsia"/>
          <w:szCs w:val="24"/>
        </w:rPr>
      </w:pPr>
      <w:r w:rsidRPr="00D7685A">
        <w:rPr>
          <w:rFonts w:eastAsiaTheme="minorEastAsia"/>
          <w:szCs w:val="24"/>
        </w:rPr>
        <w:t>Due to the unavailability of RF values of each single component identified in MS/FID chromatograms, a model correlating the chemical structure with the RF values was developed at the University of Oklahoma (13). This model is based on the concept of Effective Carbon Number (ECN) – which was first introduced by Sternberg et al. and is defined as the following:</w:t>
      </w:r>
    </w:p>
    <w:p w14:paraId="02DD011D" w14:textId="77777777" w:rsidR="00D234E1" w:rsidRPr="00D7685A" w:rsidRDefault="00D234E1" w:rsidP="00D234E1">
      <w:pPr>
        <w:spacing w:line="480" w:lineRule="auto"/>
        <w:ind w:left="0" w:firstLine="0"/>
        <w:jc w:val="center"/>
        <w:rPr>
          <w:rFonts w:eastAsiaTheme="minorEastAsia"/>
          <w:szCs w:val="24"/>
        </w:rPr>
      </w:pPr>
      <m:oMathPara>
        <m:oMath>
          <m:r>
            <w:rPr>
              <w:rFonts w:ascii="Cambria Math" w:eastAsiaTheme="minorEastAsia" w:hAnsi="Cambria Math"/>
              <w:szCs w:val="24"/>
            </w:rPr>
            <m:t>ECN=7*</m:t>
          </m:r>
          <m:f>
            <m:fPr>
              <m:ctrlPr>
                <w:rPr>
                  <w:rFonts w:ascii="Cambria Math" w:eastAsiaTheme="minorEastAsia" w:hAnsi="Cambria Math"/>
                  <w:i/>
                  <w:szCs w:val="24"/>
                </w:rPr>
              </m:ctrlPr>
            </m:fPr>
            <m:num>
              <m:f>
                <m:fPr>
                  <m:ctrlPr>
                    <w:rPr>
                      <w:rFonts w:ascii="Cambria Math" w:eastAsiaTheme="minorEastAsia" w:hAnsi="Cambria Math"/>
                      <w:i/>
                      <w:szCs w:val="24"/>
                    </w:rPr>
                  </m:ctrlPr>
                </m:fPr>
                <m:num>
                  <m:r>
                    <w:rPr>
                      <w:rFonts w:ascii="Cambria Math" w:eastAsiaTheme="minorEastAsia" w:hAnsi="Cambria Math"/>
                      <w:szCs w:val="24"/>
                    </w:rPr>
                    <m:t>area sample</m:t>
                  </m:r>
                </m:num>
                <m:den>
                  <m:r>
                    <w:rPr>
                      <w:rFonts w:ascii="Cambria Math" w:eastAsiaTheme="minorEastAsia" w:hAnsi="Cambria Math"/>
                      <w:szCs w:val="24"/>
                    </w:rPr>
                    <m:t>area n-heptane</m:t>
                  </m:r>
                </m:den>
              </m:f>
            </m:num>
            <m:den>
              <m:f>
                <m:fPr>
                  <m:ctrlPr>
                    <w:rPr>
                      <w:rFonts w:ascii="Cambria Math" w:eastAsiaTheme="minorEastAsia" w:hAnsi="Cambria Math"/>
                      <w:i/>
                      <w:szCs w:val="24"/>
                    </w:rPr>
                  </m:ctrlPr>
                </m:fPr>
                <m:num>
                  <m:r>
                    <w:rPr>
                      <w:rFonts w:ascii="Cambria Math" w:eastAsiaTheme="minorEastAsia" w:hAnsi="Cambria Math"/>
                      <w:szCs w:val="24"/>
                    </w:rPr>
                    <m:t>mole sample</m:t>
                  </m:r>
                </m:num>
                <m:den>
                  <m:r>
                    <w:rPr>
                      <w:rFonts w:ascii="Cambria Math" w:eastAsiaTheme="minorEastAsia" w:hAnsi="Cambria Math"/>
                      <w:szCs w:val="24"/>
                    </w:rPr>
                    <m:t>mole n-heptane</m:t>
                  </m:r>
                </m:den>
              </m:f>
            </m:den>
          </m:f>
          <m:r>
            <w:rPr>
              <w:rFonts w:ascii="Cambria Math" w:eastAsiaTheme="minorEastAsia" w:hAnsi="Cambria Math"/>
              <w:szCs w:val="24"/>
            </w:rPr>
            <m:t>=7*</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RF</m:t>
                  </m:r>
                </m:e>
                <m:sub>
                  <m:r>
                    <w:rPr>
                      <w:rFonts w:ascii="Cambria Math" w:eastAsiaTheme="minorEastAsia" w:hAnsi="Cambria Math"/>
                      <w:szCs w:val="24"/>
                    </w:rPr>
                    <m:t>sample</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MW</m:t>
                  </m:r>
                </m:e>
                <m:sub>
                  <m:r>
                    <w:rPr>
                      <w:rFonts w:ascii="Cambria Math" w:eastAsiaTheme="minorEastAsia" w:hAnsi="Cambria Math"/>
                      <w:szCs w:val="24"/>
                    </w:rPr>
                    <m:t>sample</m:t>
                  </m:r>
                </m:sub>
              </m:sSub>
            </m:num>
            <m:den>
              <m:sSub>
                <m:sSubPr>
                  <m:ctrlPr>
                    <w:rPr>
                      <w:rFonts w:ascii="Cambria Math" w:eastAsiaTheme="minorEastAsia" w:hAnsi="Cambria Math"/>
                      <w:i/>
                      <w:szCs w:val="24"/>
                    </w:rPr>
                  </m:ctrlPr>
                </m:sSubPr>
                <m:e>
                  <m:r>
                    <w:rPr>
                      <w:rFonts w:ascii="Cambria Math" w:eastAsiaTheme="minorEastAsia" w:hAnsi="Cambria Math"/>
                      <w:szCs w:val="24"/>
                    </w:rPr>
                    <m:t>RF</m:t>
                  </m:r>
                </m:e>
                <m:sub>
                  <m:r>
                    <w:rPr>
                      <w:rFonts w:ascii="Cambria Math" w:eastAsiaTheme="minorEastAsia" w:hAnsi="Cambria Math"/>
                      <w:szCs w:val="24"/>
                    </w:rPr>
                    <m:t>n-heptane</m:t>
                  </m:r>
                </m:sub>
              </m:sSub>
              <m:r>
                <w:rPr>
                  <w:rFonts w:ascii="Cambria Math" w:eastAsiaTheme="minorEastAsia" w:hAnsi="Cambria Math"/>
                  <w:szCs w:val="24"/>
                </w:rPr>
                <m:t>*100</m:t>
              </m:r>
            </m:den>
          </m:f>
          <m:r>
            <w:rPr>
              <w:rFonts w:ascii="Cambria Math" w:eastAsiaTheme="minorEastAsia" w:hAnsi="Cambria Math"/>
              <w:szCs w:val="24"/>
            </w:rPr>
            <m:t xml:space="preserve"> (Equation 3)</m:t>
          </m:r>
        </m:oMath>
      </m:oMathPara>
    </w:p>
    <w:p w14:paraId="738072AD" w14:textId="77777777" w:rsidR="00D234E1" w:rsidRPr="00D7685A" w:rsidRDefault="00D234E1" w:rsidP="00ED4E6F">
      <w:pPr>
        <w:spacing w:line="480" w:lineRule="auto"/>
        <w:ind w:left="0" w:firstLine="720"/>
        <w:jc w:val="both"/>
        <w:rPr>
          <w:rFonts w:eastAsiaTheme="minorEastAsia"/>
          <w:szCs w:val="24"/>
        </w:rPr>
      </w:pPr>
      <w:r w:rsidRPr="00D7685A">
        <w:rPr>
          <w:rFonts w:eastAsiaTheme="minorEastAsia"/>
          <w:szCs w:val="24"/>
        </w:rPr>
        <w:t>In the above equation, “</w:t>
      </w:r>
      <w:r w:rsidRPr="00D7685A">
        <w:rPr>
          <w:rFonts w:eastAsiaTheme="minorEastAsia"/>
          <w:i/>
          <w:iCs/>
          <w:szCs w:val="24"/>
        </w:rPr>
        <w:t>MW</w:t>
      </w:r>
      <w:r w:rsidRPr="00D7685A">
        <w:rPr>
          <w:rFonts w:eastAsiaTheme="minorEastAsia"/>
          <w:i/>
          <w:iCs/>
          <w:szCs w:val="24"/>
          <w:vertAlign w:val="subscript"/>
        </w:rPr>
        <w:t>sample</w:t>
      </w:r>
      <w:r w:rsidRPr="00D7685A">
        <w:rPr>
          <w:rFonts w:eastAsiaTheme="minorEastAsia"/>
          <w:i/>
          <w:iCs/>
          <w:szCs w:val="24"/>
        </w:rPr>
        <w:t>”</w:t>
      </w:r>
      <w:r w:rsidRPr="00D7685A">
        <w:rPr>
          <w:rFonts w:eastAsiaTheme="minorEastAsia"/>
          <w:szCs w:val="24"/>
        </w:rPr>
        <w:t xml:space="preserve"> refers to the molecular weight of the sample compound; the numerical value 7 is n-heptane’s ECN value (19).</w:t>
      </w:r>
    </w:p>
    <w:p w14:paraId="21BC3915" w14:textId="77777777" w:rsidR="00D234E1" w:rsidRPr="00D7685A" w:rsidRDefault="00D234E1" w:rsidP="00ED4E6F">
      <w:pPr>
        <w:spacing w:line="480" w:lineRule="auto"/>
        <w:ind w:left="0" w:firstLine="720"/>
        <w:jc w:val="both"/>
        <w:rPr>
          <w:rFonts w:eastAsiaTheme="minorEastAsia"/>
          <w:szCs w:val="24"/>
        </w:rPr>
      </w:pPr>
      <w:r w:rsidRPr="00D7685A">
        <w:rPr>
          <w:rFonts w:eastAsiaTheme="minorEastAsia"/>
          <w:szCs w:val="24"/>
        </w:rPr>
        <w:t xml:space="preserve">When developing the OU ECN model, literature was exhaustively considered to find FID response factors for different chemical families. Katrizky et al. conducted a QSPR (quantitative structure-property relationship) study which correlated the chemical structure of a compound with the response factor of approximately 150 compounds in a wide range of chemical families. These RF values were fit to 6 best descriptors – prominent among which are the number of carbons connected to C or H only, and the total molecular one-center one-electron repulsion energy. This study is  described in (15). In brief, response factors for numerous organic chemical compounds were collected from various literature sources; each chemical compound was classified into a specific type depending on the position of each carbon atom within the molecule (i.e. aliphatic, carbonyl, ether, primary/secondary/tertiary alcohol, ester, etc.), and a linear model was developed as a fit to predict the ECN from the number of each type of carbon atom. </w:t>
      </w:r>
    </w:p>
    <w:p w14:paraId="4CE6AA21" w14:textId="77777777" w:rsidR="00D234E1" w:rsidRPr="00D7685A" w:rsidRDefault="00D234E1" w:rsidP="00ED4E6F">
      <w:pPr>
        <w:spacing w:line="480" w:lineRule="auto"/>
        <w:ind w:left="0" w:firstLine="720"/>
        <w:jc w:val="both"/>
        <w:rPr>
          <w:rFonts w:eastAsiaTheme="minorEastAsia"/>
          <w:szCs w:val="24"/>
        </w:rPr>
      </w:pPr>
      <w:r w:rsidRPr="00D7685A">
        <w:rPr>
          <w:rFonts w:eastAsiaTheme="minorEastAsia"/>
          <w:szCs w:val="24"/>
        </w:rPr>
        <w:lastRenderedPageBreak/>
        <w:t xml:space="preserve">While Sternberg (19) estimated the RF values, and subsequent ECN contributions, for different types of functionalities, that study did not incorporate all types of functionalities that need to be accounted for when biomass is thermally degraded to produce bio-oil. Functionalities such as furanics and phenolics – which are present in substantial amount when torrefaction/pyrolysis experiments are carried out- were not present within that study. As a result, a model needed to be developed that included the different functionalities this thesis would encompass. While the model to predict the ECN contributions for different types of functionalities was being developed at OU, it was found that Relative Response Factor (RRF) values were widely available for a vast array of different chemical compounds in literature. Those RRF were used in tandem with the experimental data obtained at OU to fully develop an ECN model encompassing all interested chemical compounds and functionalities. Three different sources – Katrizky et al. (15), Dietz et al. (14), and Meier et al. (20) – were utilized to estimate RF values – which is directly proportional to RRF. By minimizing the sum of the squared differences between reported values and predicted values, the OU ECN contributions (i.e. measured values) were found to be in good agreement with the predicted values. Details into the thought process and reasonings behind different sources for the OU model (including parity plots to show the effectiveness of the developed model) is explained in detail in (13). Figure 2.7 lists the ECN contribution of different functionalities from the OU developed model (13). Table 2 in the Appendix lists all individual compounds identified in FID chromatograms with their respective ECN contribution and Response Factor (RF).   </w:t>
      </w:r>
    </w:p>
    <w:p w14:paraId="4819831D" w14:textId="77777777" w:rsidR="003A11E0" w:rsidRDefault="00D234E1" w:rsidP="003A11E0">
      <w:pPr>
        <w:keepNext/>
        <w:spacing w:line="480" w:lineRule="auto"/>
        <w:ind w:left="0" w:firstLine="0"/>
        <w:jc w:val="center"/>
      </w:pPr>
      <w:r>
        <w:rPr>
          <w:noProof/>
        </w:rPr>
        <w:lastRenderedPageBreak/>
        <w:drawing>
          <wp:inline distT="0" distB="0" distL="0" distR="0" wp14:anchorId="6F02CB9B" wp14:editId="5949E20F">
            <wp:extent cx="3286125" cy="32861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86125" cy="3286125"/>
                    </a:xfrm>
                    <a:prstGeom prst="rect">
                      <a:avLst/>
                    </a:prstGeom>
                  </pic:spPr>
                </pic:pic>
              </a:graphicData>
            </a:graphic>
          </wp:inline>
        </w:drawing>
      </w:r>
    </w:p>
    <w:p w14:paraId="15C7C22F" w14:textId="5BE7D124" w:rsidR="00D234E1" w:rsidRPr="003A11E0" w:rsidRDefault="003A11E0" w:rsidP="003A11E0">
      <w:pPr>
        <w:pStyle w:val="Caption"/>
        <w:jc w:val="center"/>
        <w:rPr>
          <w:rFonts w:eastAsiaTheme="minorEastAsia"/>
          <w:i w:val="0"/>
          <w:iCs w:val="0"/>
          <w:color w:val="auto"/>
          <w:sz w:val="24"/>
          <w:szCs w:val="24"/>
        </w:rPr>
      </w:pPr>
      <w:bookmarkStart w:id="41" w:name="_Toc14520645"/>
      <w:r w:rsidRPr="003A11E0">
        <w:rPr>
          <w:b/>
          <w:bCs/>
          <w:i w:val="0"/>
          <w:iCs w:val="0"/>
          <w:color w:val="auto"/>
          <w:sz w:val="24"/>
          <w:szCs w:val="24"/>
        </w:rPr>
        <w:t xml:space="preserve">Figure </w:t>
      </w:r>
      <w:r w:rsidR="00600100">
        <w:rPr>
          <w:b/>
          <w:bCs/>
          <w:i w:val="0"/>
          <w:iCs w:val="0"/>
          <w:color w:val="auto"/>
          <w:sz w:val="24"/>
          <w:szCs w:val="24"/>
        </w:rPr>
        <w:fldChar w:fldCharType="begin"/>
      </w:r>
      <w:r w:rsidR="00600100">
        <w:rPr>
          <w:b/>
          <w:bCs/>
          <w:i w:val="0"/>
          <w:iCs w:val="0"/>
          <w:color w:val="auto"/>
          <w:sz w:val="24"/>
          <w:szCs w:val="24"/>
        </w:rPr>
        <w:instrText xml:space="preserve"> STYLEREF 1 \s </w:instrText>
      </w:r>
      <w:r w:rsidR="00600100">
        <w:rPr>
          <w:b/>
          <w:bCs/>
          <w:i w:val="0"/>
          <w:iCs w:val="0"/>
          <w:color w:val="auto"/>
          <w:sz w:val="24"/>
          <w:szCs w:val="24"/>
        </w:rPr>
        <w:fldChar w:fldCharType="separate"/>
      </w:r>
      <w:r w:rsidR="00815371">
        <w:rPr>
          <w:b/>
          <w:bCs/>
          <w:i w:val="0"/>
          <w:iCs w:val="0"/>
          <w:noProof/>
          <w:color w:val="auto"/>
          <w:sz w:val="24"/>
          <w:szCs w:val="24"/>
        </w:rPr>
        <w:t>2</w:t>
      </w:r>
      <w:r w:rsidR="00600100">
        <w:rPr>
          <w:b/>
          <w:bCs/>
          <w:i w:val="0"/>
          <w:iCs w:val="0"/>
          <w:color w:val="auto"/>
          <w:sz w:val="24"/>
          <w:szCs w:val="24"/>
        </w:rPr>
        <w:fldChar w:fldCharType="end"/>
      </w:r>
      <w:r w:rsidR="00600100">
        <w:rPr>
          <w:b/>
          <w:bCs/>
          <w:i w:val="0"/>
          <w:iCs w:val="0"/>
          <w:color w:val="auto"/>
          <w:sz w:val="24"/>
          <w:szCs w:val="24"/>
        </w:rPr>
        <w:t>.</w:t>
      </w:r>
      <w:r w:rsidR="00600100">
        <w:rPr>
          <w:b/>
          <w:bCs/>
          <w:i w:val="0"/>
          <w:iCs w:val="0"/>
          <w:color w:val="auto"/>
          <w:sz w:val="24"/>
          <w:szCs w:val="24"/>
        </w:rPr>
        <w:fldChar w:fldCharType="begin"/>
      </w:r>
      <w:r w:rsidR="00600100">
        <w:rPr>
          <w:b/>
          <w:bCs/>
          <w:i w:val="0"/>
          <w:iCs w:val="0"/>
          <w:color w:val="auto"/>
          <w:sz w:val="24"/>
          <w:szCs w:val="24"/>
        </w:rPr>
        <w:instrText xml:space="preserve"> SEQ Figure \* ARABIC \s 1 </w:instrText>
      </w:r>
      <w:r w:rsidR="00600100">
        <w:rPr>
          <w:b/>
          <w:bCs/>
          <w:i w:val="0"/>
          <w:iCs w:val="0"/>
          <w:color w:val="auto"/>
          <w:sz w:val="24"/>
          <w:szCs w:val="24"/>
        </w:rPr>
        <w:fldChar w:fldCharType="separate"/>
      </w:r>
      <w:r w:rsidR="00815371">
        <w:rPr>
          <w:b/>
          <w:bCs/>
          <w:i w:val="0"/>
          <w:iCs w:val="0"/>
          <w:noProof/>
          <w:color w:val="auto"/>
          <w:sz w:val="24"/>
          <w:szCs w:val="24"/>
        </w:rPr>
        <w:t>7</w:t>
      </w:r>
      <w:r w:rsidR="00600100">
        <w:rPr>
          <w:b/>
          <w:bCs/>
          <w:i w:val="0"/>
          <w:iCs w:val="0"/>
          <w:color w:val="auto"/>
          <w:sz w:val="24"/>
          <w:szCs w:val="24"/>
        </w:rPr>
        <w:fldChar w:fldCharType="end"/>
      </w:r>
      <w:r w:rsidRPr="003A11E0">
        <w:rPr>
          <w:b/>
          <w:bCs/>
          <w:i w:val="0"/>
          <w:iCs w:val="0"/>
          <w:color w:val="auto"/>
          <w:sz w:val="24"/>
          <w:szCs w:val="24"/>
        </w:rPr>
        <w:t>:</w:t>
      </w:r>
      <w:r w:rsidRPr="003A11E0">
        <w:rPr>
          <w:i w:val="0"/>
          <w:iCs w:val="0"/>
          <w:color w:val="auto"/>
          <w:sz w:val="24"/>
          <w:szCs w:val="24"/>
        </w:rPr>
        <w:t xml:space="preserve"> ECN contributions of different functionalities from OU developed model</w:t>
      </w:r>
      <w:bookmarkEnd w:id="41"/>
    </w:p>
    <w:p w14:paraId="2B7145F7" w14:textId="77777777" w:rsidR="00D234E1" w:rsidRDefault="00D234E1" w:rsidP="00D234E1">
      <w:pPr>
        <w:spacing w:line="480" w:lineRule="auto"/>
        <w:ind w:left="0" w:firstLine="0"/>
        <w:rPr>
          <w:rFonts w:eastAsiaTheme="minorEastAsia"/>
        </w:rPr>
      </w:pPr>
    </w:p>
    <w:p w14:paraId="3395D3BF" w14:textId="77777777" w:rsidR="003A11E0" w:rsidRDefault="003A11E0" w:rsidP="001F0E2F">
      <w:pPr>
        <w:spacing w:line="480" w:lineRule="auto"/>
        <w:ind w:left="0" w:firstLine="0"/>
        <w:jc w:val="both"/>
        <w:rPr>
          <w:noProof/>
          <w:szCs w:val="24"/>
        </w:rPr>
      </w:pPr>
    </w:p>
    <w:p w14:paraId="15E91703" w14:textId="77777777" w:rsidR="003A11E0" w:rsidRPr="006874F3" w:rsidRDefault="003A11E0" w:rsidP="001F0E2F">
      <w:pPr>
        <w:spacing w:line="480" w:lineRule="auto"/>
        <w:ind w:left="0" w:firstLine="0"/>
        <w:jc w:val="both"/>
        <w:rPr>
          <w:noProof/>
          <w:szCs w:val="24"/>
        </w:rPr>
      </w:pPr>
    </w:p>
    <w:p w14:paraId="2A2492A7" w14:textId="77777777" w:rsidR="003874B9" w:rsidRPr="00167E39" w:rsidRDefault="003874B9" w:rsidP="003874B9">
      <w:pPr>
        <w:spacing w:line="480" w:lineRule="auto"/>
        <w:ind w:left="0" w:firstLine="0"/>
        <w:rPr>
          <w:szCs w:val="24"/>
        </w:rPr>
      </w:pPr>
    </w:p>
    <w:p w14:paraId="581ACBDC" w14:textId="77777777" w:rsidR="003874B9" w:rsidRPr="00167E39" w:rsidRDefault="003874B9" w:rsidP="003874B9">
      <w:pPr>
        <w:ind w:left="0" w:firstLine="0"/>
        <w:rPr>
          <w:szCs w:val="24"/>
        </w:rPr>
      </w:pPr>
    </w:p>
    <w:p w14:paraId="170BA3CC" w14:textId="77777777" w:rsidR="003874B9" w:rsidRDefault="003874B9" w:rsidP="003874B9">
      <w:pPr>
        <w:ind w:left="0" w:firstLine="0"/>
        <w:rPr>
          <w:szCs w:val="24"/>
        </w:rPr>
      </w:pPr>
    </w:p>
    <w:p w14:paraId="349779AA" w14:textId="77777777" w:rsidR="001A2572" w:rsidRDefault="001A2572" w:rsidP="003874B9">
      <w:pPr>
        <w:ind w:left="0" w:firstLine="0"/>
        <w:rPr>
          <w:szCs w:val="24"/>
        </w:rPr>
      </w:pPr>
    </w:p>
    <w:p w14:paraId="32233D35" w14:textId="77777777" w:rsidR="00876ECE" w:rsidRDefault="00876ECE" w:rsidP="00C06476">
      <w:pPr>
        <w:ind w:left="0" w:firstLine="0"/>
        <w:rPr>
          <w:szCs w:val="24"/>
        </w:rPr>
      </w:pPr>
      <w:bookmarkStart w:id="42" w:name="_Hlk14453798"/>
      <w:bookmarkEnd w:id="42"/>
    </w:p>
    <w:p w14:paraId="0CEFFAEA" w14:textId="77777777" w:rsidR="00C06476" w:rsidRPr="007C2039" w:rsidRDefault="00C06476" w:rsidP="007C2039">
      <w:pPr>
        <w:pStyle w:val="Heading1"/>
        <w:rPr>
          <w:rFonts w:ascii="Times New Roman" w:hAnsi="Times New Roman" w:cs="Times New Roman"/>
          <w:b/>
          <w:bCs/>
          <w:color w:val="auto"/>
          <w:sz w:val="28"/>
          <w:szCs w:val="28"/>
        </w:rPr>
      </w:pPr>
      <w:bookmarkStart w:id="43" w:name="_Toc14521038"/>
      <w:r w:rsidRPr="007C2039">
        <w:rPr>
          <w:rFonts w:ascii="Times New Roman" w:hAnsi="Times New Roman" w:cs="Times New Roman"/>
          <w:b/>
          <w:bCs/>
          <w:color w:val="auto"/>
          <w:sz w:val="28"/>
          <w:szCs w:val="28"/>
        </w:rPr>
        <w:lastRenderedPageBreak/>
        <w:t>: Relationships between biomass composition and their respective thermal degradation products</w:t>
      </w:r>
      <w:bookmarkEnd w:id="43"/>
    </w:p>
    <w:p w14:paraId="6D79A29F" w14:textId="77777777" w:rsidR="00C06476" w:rsidRPr="001555A6" w:rsidRDefault="00C06476" w:rsidP="00D9716E">
      <w:pPr>
        <w:pStyle w:val="Heading2"/>
        <w:rPr>
          <w:rFonts w:ascii="Times New Roman" w:hAnsi="Times New Roman" w:cs="Times New Roman"/>
          <w:b/>
          <w:bCs/>
          <w:color w:val="auto"/>
          <w:sz w:val="24"/>
          <w:szCs w:val="24"/>
        </w:rPr>
      </w:pPr>
      <w:bookmarkStart w:id="44" w:name="_Toc14521039"/>
      <w:r w:rsidRPr="001555A6">
        <w:rPr>
          <w:rFonts w:ascii="Times New Roman" w:hAnsi="Times New Roman" w:cs="Times New Roman"/>
          <w:b/>
          <w:bCs/>
          <w:color w:val="auto"/>
          <w:sz w:val="24"/>
          <w:szCs w:val="24"/>
        </w:rPr>
        <w:t>3.1 B</w:t>
      </w:r>
      <w:r w:rsidR="001555A6">
        <w:rPr>
          <w:rFonts w:ascii="Times New Roman" w:hAnsi="Times New Roman" w:cs="Times New Roman"/>
          <w:b/>
          <w:bCs/>
          <w:color w:val="auto"/>
          <w:sz w:val="24"/>
          <w:szCs w:val="24"/>
        </w:rPr>
        <w:t>iomass Composition</w:t>
      </w:r>
      <w:bookmarkEnd w:id="44"/>
    </w:p>
    <w:p w14:paraId="6E608FC4" w14:textId="77777777" w:rsidR="00C06476" w:rsidRPr="00AC3FBA" w:rsidRDefault="00C06476" w:rsidP="00ED4E6F">
      <w:pPr>
        <w:spacing w:line="480" w:lineRule="auto"/>
        <w:ind w:left="0" w:firstLine="720"/>
        <w:jc w:val="both"/>
        <w:rPr>
          <w:szCs w:val="24"/>
        </w:rPr>
      </w:pPr>
      <w:r w:rsidRPr="00AC3FBA">
        <w:rPr>
          <w:szCs w:val="24"/>
        </w:rPr>
        <w:t xml:space="preserve">To comprehend the broad association between biomass composition and resulting bio-oil composition, it is important to acknowledge the role played by the chemical structure of the biomass and the many interactions within the major cell wall components making up the biomass. The structure of a plant (i.e. leaves and stem) is primarily determined by the cell walls, and they are mainly composed of cellulose, hemicellulose, and lignin (structural proteins and minerals are also present to a lesser extent) (7, 21-23). For instance, dry switchgrass – the bioenergy crop under consideration for this thesis – comprises approximately 70% cell walls, 9% intrinsic water, 8% minerals, 6% proteins, and 5% nonstructural sugars (23). The discussion forward will mainly focus on the components of secondary cell walls since they constitute the majority of plant biomass (24). Figure 3.1 provides the list of individual components with their weighted percentages that make up plant biomass for bio-oil conversion. The subsequent figure displays the chemical structures (with the carbon atoms being numbered) of the most abundant individual components of biomass. </w:t>
      </w:r>
    </w:p>
    <w:p w14:paraId="09784286" w14:textId="77777777" w:rsidR="00C06476" w:rsidRDefault="00C06476" w:rsidP="00C06476">
      <w:pPr>
        <w:ind w:left="0" w:firstLine="0"/>
      </w:pPr>
    </w:p>
    <w:p w14:paraId="659CCCF1" w14:textId="77777777" w:rsidR="00C06476" w:rsidRDefault="00C06476" w:rsidP="00C06476">
      <w:pPr>
        <w:ind w:left="0" w:firstLine="0"/>
      </w:pPr>
    </w:p>
    <w:p w14:paraId="4B6F3794" w14:textId="77777777" w:rsidR="00C06476" w:rsidRDefault="00C06476" w:rsidP="00C06476">
      <w:pPr>
        <w:ind w:left="0" w:firstLine="0"/>
      </w:pPr>
    </w:p>
    <w:p w14:paraId="04B4168A" w14:textId="77777777" w:rsidR="00C06476" w:rsidRDefault="00C06476" w:rsidP="00C06476">
      <w:pPr>
        <w:ind w:left="0" w:firstLine="0"/>
      </w:pPr>
    </w:p>
    <w:p w14:paraId="0BD16395" w14:textId="77777777" w:rsidR="00C06476" w:rsidRDefault="00C06476" w:rsidP="00C06476">
      <w:pPr>
        <w:ind w:left="0" w:firstLine="0"/>
      </w:pPr>
    </w:p>
    <w:p w14:paraId="7AE60E7C" w14:textId="77777777" w:rsidR="00C06476" w:rsidRDefault="00C06476" w:rsidP="00C06476">
      <w:pPr>
        <w:ind w:left="0" w:firstLine="0"/>
      </w:pPr>
    </w:p>
    <w:p w14:paraId="66C6B690" w14:textId="77777777" w:rsidR="00C06476" w:rsidRDefault="00C06476" w:rsidP="00C06476">
      <w:pPr>
        <w:ind w:left="0" w:firstLine="0"/>
      </w:pPr>
    </w:p>
    <w:p w14:paraId="7056948A" w14:textId="77777777" w:rsidR="00C06476" w:rsidRDefault="00C06476" w:rsidP="00C06476">
      <w:pPr>
        <w:ind w:left="0" w:firstLine="0"/>
      </w:pPr>
      <w:r>
        <w:rPr>
          <w:noProof/>
        </w:rPr>
        <w:lastRenderedPageBreak/>
        <w:drawing>
          <wp:anchor distT="0" distB="0" distL="114300" distR="114300" simplePos="0" relativeHeight="251682816" behindDoc="0" locked="0" layoutInCell="1" allowOverlap="1" wp14:anchorId="027230E5" wp14:editId="71CA73B1">
            <wp:simplePos x="0" y="0"/>
            <wp:positionH relativeFrom="margin">
              <wp:align>center</wp:align>
            </wp:positionH>
            <wp:positionV relativeFrom="paragraph">
              <wp:posOffset>0</wp:posOffset>
            </wp:positionV>
            <wp:extent cx="4524375" cy="2676525"/>
            <wp:effectExtent l="0" t="0" r="9525" b="9525"/>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4524375" cy="2676525"/>
                    </a:xfrm>
                    <a:prstGeom prst="rect">
                      <a:avLst/>
                    </a:prstGeom>
                  </pic:spPr>
                </pic:pic>
              </a:graphicData>
            </a:graphic>
            <wp14:sizeRelH relativeFrom="margin">
              <wp14:pctWidth>0</wp14:pctWidth>
            </wp14:sizeRelH>
            <wp14:sizeRelV relativeFrom="margin">
              <wp14:pctHeight>0</wp14:pctHeight>
            </wp14:sizeRelV>
          </wp:anchor>
        </w:drawing>
      </w:r>
    </w:p>
    <w:p w14:paraId="448D775B" w14:textId="77777777" w:rsidR="00C06476" w:rsidRDefault="00C06476" w:rsidP="00C06476">
      <w:pPr>
        <w:ind w:left="0" w:firstLine="0"/>
      </w:pPr>
    </w:p>
    <w:p w14:paraId="0228B667" w14:textId="77777777" w:rsidR="00C06476" w:rsidRDefault="00C06476" w:rsidP="00C06476">
      <w:pPr>
        <w:ind w:left="0" w:firstLine="0"/>
      </w:pPr>
    </w:p>
    <w:p w14:paraId="6EEA46CF" w14:textId="77777777" w:rsidR="00C06476" w:rsidRDefault="00C06476" w:rsidP="00C06476">
      <w:pPr>
        <w:ind w:left="0" w:firstLine="0"/>
      </w:pPr>
    </w:p>
    <w:p w14:paraId="2CAB78A6" w14:textId="77777777" w:rsidR="00C06476" w:rsidRDefault="00C06476" w:rsidP="00C06476">
      <w:pPr>
        <w:ind w:left="0" w:firstLine="0"/>
      </w:pPr>
    </w:p>
    <w:p w14:paraId="4940560A" w14:textId="77777777" w:rsidR="00C06476" w:rsidRDefault="00C06476" w:rsidP="00C06476">
      <w:pPr>
        <w:ind w:left="0" w:firstLine="0"/>
      </w:pPr>
    </w:p>
    <w:p w14:paraId="4431A063" w14:textId="77777777" w:rsidR="00C06476" w:rsidRDefault="00C06476" w:rsidP="00C06476">
      <w:pPr>
        <w:ind w:left="0" w:firstLine="0"/>
      </w:pPr>
    </w:p>
    <w:p w14:paraId="3EE2DF3D" w14:textId="77777777" w:rsidR="00C06476" w:rsidRDefault="000E65A1" w:rsidP="00C06476">
      <w:pPr>
        <w:ind w:left="0" w:firstLine="0"/>
      </w:pPr>
      <w:r>
        <w:rPr>
          <w:noProof/>
        </w:rPr>
        <mc:AlternateContent>
          <mc:Choice Requires="wps">
            <w:drawing>
              <wp:anchor distT="0" distB="0" distL="114300" distR="114300" simplePos="0" relativeHeight="251771904" behindDoc="0" locked="0" layoutInCell="1" allowOverlap="1" wp14:anchorId="7EC53779" wp14:editId="6EEE1C8F">
                <wp:simplePos x="0" y="0"/>
                <wp:positionH relativeFrom="margin">
                  <wp:align>right</wp:align>
                </wp:positionH>
                <wp:positionV relativeFrom="paragraph">
                  <wp:posOffset>237490</wp:posOffset>
                </wp:positionV>
                <wp:extent cx="5934075" cy="635"/>
                <wp:effectExtent l="0" t="0" r="9525" b="2540"/>
                <wp:wrapSquare wrapText="bothSides"/>
                <wp:docPr id="256" name="Text Box 256"/>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064AA8E5" w14:textId="70326661" w:rsidR="00AA26F6" w:rsidRPr="000E65A1" w:rsidRDefault="00AA26F6" w:rsidP="000E65A1">
                            <w:pPr>
                              <w:pStyle w:val="Caption"/>
                              <w:jc w:val="center"/>
                              <w:rPr>
                                <w:i w:val="0"/>
                                <w:iCs w:val="0"/>
                                <w:noProof/>
                                <w:color w:val="auto"/>
                                <w:sz w:val="24"/>
                                <w:szCs w:val="24"/>
                              </w:rPr>
                            </w:pPr>
                            <w:bookmarkStart w:id="45" w:name="_Toc14520646"/>
                            <w:r w:rsidRPr="000E65A1">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sidRPr="000E65A1">
                              <w:rPr>
                                <w:b/>
                                <w:bCs/>
                                <w:i w:val="0"/>
                                <w:iCs w:val="0"/>
                                <w:color w:val="auto"/>
                                <w:sz w:val="24"/>
                                <w:szCs w:val="24"/>
                              </w:rPr>
                              <w:t>:</w:t>
                            </w:r>
                            <w:r>
                              <w:rPr>
                                <w:i w:val="0"/>
                                <w:iCs w:val="0"/>
                                <w:color w:val="auto"/>
                                <w:sz w:val="24"/>
                                <w:szCs w:val="24"/>
                              </w:rPr>
                              <w:t xml:space="preserve"> </w:t>
                            </w:r>
                            <w:r w:rsidRPr="000E65A1">
                              <w:rPr>
                                <w:i w:val="0"/>
                                <w:iCs w:val="0"/>
                                <w:color w:val="auto"/>
                                <w:sz w:val="24"/>
                                <w:szCs w:val="24"/>
                              </w:rPr>
                              <w:t>Distribution of individual biomass components within vascular plants (7)</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C53779" id="Text Box 256" o:spid="_x0000_s1037" type="#_x0000_t202" style="position:absolute;margin-left:416.05pt;margin-top:18.7pt;width:467.25pt;height:.05pt;z-index:2517719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" stroked="f">
                <v:textbox style="mso-fit-shape-to-text:t" inset="0,0,0,0">
                  <w:txbxContent>
                    <w:p w14:paraId="064AA8E5" w14:textId="70326661" w:rsidR="00AA26F6" w:rsidRPr="000E65A1" w:rsidRDefault="00AA26F6" w:rsidP="000E65A1">
                      <w:pPr>
                        <w:pStyle w:val="Caption"/>
                        <w:jc w:val="center"/>
                        <w:rPr>
                          <w:i w:val="0"/>
                          <w:iCs w:val="0"/>
                          <w:noProof/>
                          <w:color w:val="auto"/>
                          <w:sz w:val="24"/>
                          <w:szCs w:val="24"/>
                        </w:rPr>
                      </w:pPr>
                      <w:bookmarkStart w:id="46" w:name="_Toc14520646"/>
                      <w:r w:rsidRPr="000E65A1">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sidRPr="000E65A1">
                        <w:rPr>
                          <w:b/>
                          <w:bCs/>
                          <w:i w:val="0"/>
                          <w:iCs w:val="0"/>
                          <w:color w:val="auto"/>
                          <w:sz w:val="24"/>
                          <w:szCs w:val="24"/>
                        </w:rPr>
                        <w:t>:</w:t>
                      </w:r>
                      <w:r>
                        <w:rPr>
                          <w:i w:val="0"/>
                          <w:iCs w:val="0"/>
                          <w:color w:val="auto"/>
                          <w:sz w:val="24"/>
                          <w:szCs w:val="24"/>
                        </w:rPr>
                        <w:t xml:space="preserve"> </w:t>
                      </w:r>
                      <w:r w:rsidRPr="000E65A1">
                        <w:rPr>
                          <w:i w:val="0"/>
                          <w:iCs w:val="0"/>
                          <w:color w:val="auto"/>
                          <w:sz w:val="24"/>
                          <w:szCs w:val="24"/>
                        </w:rPr>
                        <w:t>Distribution of individual biomass components within vascular plants (7)</w:t>
                      </w:r>
                      <w:bookmarkEnd w:id="46"/>
                    </w:p>
                  </w:txbxContent>
                </v:textbox>
                <w10:wrap type="square" anchorx="margin"/>
              </v:shape>
            </w:pict>
          </mc:Fallback>
        </mc:AlternateContent>
      </w:r>
    </w:p>
    <w:p w14:paraId="209B08DE" w14:textId="77777777" w:rsidR="00C06476" w:rsidRDefault="00C06476" w:rsidP="00C06476">
      <w:pPr>
        <w:ind w:left="0" w:firstLine="0"/>
      </w:pPr>
    </w:p>
    <w:p w14:paraId="76B00117" w14:textId="77777777" w:rsidR="00C06476" w:rsidRDefault="00C06476" w:rsidP="00C06476">
      <w:pPr>
        <w:ind w:left="0" w:firstLine="0"/>
      </w:pPr>
      <w:r>
        <w:rPr>
          <w:noProof/>
        </w:rPr>
        <w:drawing>
          <wp:anchor distT="0" distB="0" distL="114300" distR="114300" simplePos="0" relativeHeight="251699200" behindDoc="0" locked="0" layoutInCell="1" allowOverlap="1" wp14:anchorId="3FCA80AD" wp14:editId="56B747E2">
            <wp:simplePos x="0" y="0"/>
            <wp:positionH relativeFrom="margin">
              <wp:align>center</wp:align>
            </wp:positionH>
            <wp:positionV relativeFrom="paragraph">
              <wp:posOffset>7620</wp:posOffset>
            </wp:positionV>
            <wp:extent cx="5221605" cy="2486025"/>
            <wp:effectExtent l="0" t="0" r="0" b="9525"/>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21605" cy="2486025"/>
                    </a:xfrm>
                    <a:prstGeom prst="rect">
                      <a:avLst/>
                    </a:prstGeom>
                  </pic:spPr>
                </pic:pic>
              </a:graphicData>
            </a:graphic>
            <wp14:sizeRelH relativeFrom="margin">
              <wp14:pctWidth>0</wp14:pctWidth>
            </wp14:sizeRelH>
            <wp14:sizeRelV relativeFrom="margin">
              <wp14:pctHeight>0</wp14:pctHeight>
            </wp14:sizeRelV>
          </wp:anchor>
        </w:drawing>
      </w:r>
    </w:p>
    <w:p w14:paraId="5926C464" w14:textId="77777777" w:rsidR="00C06476" w:rsidRDefault="00C06476" w:rsidP="00C06476">
      <w:pPr>
        <w:ind w:left="0" w:firstLine="0"/>
      </w:pPr>
    </w:p>
    <w:p w14:paraId="3F49260A" w14:textId="77777777" w:rsidR="00C06476" w:rsidRDefault="00C06476" w:rsidP="00C06476">
      <w:pPr>
        <w:ind w:left="0" w:firstLine="0"/>
      </w:pPr>
    </w:p>
    <w:p w14:paraId="7445352E" w14:textId="77777777" w:rsidR="00C06476" w:rsidRDefault="00C06476" w:rsidP="00C06476">
      <w:pPr>
        <w:spacing w:line="480" w:lineRule="auto"/>
        <w:ind w:left="0" w:firstLine="0"/>
        <w:jc w:val="both"/>
        <w:rPr>
          <w:szCs w:val="24"/>
        </w:rPr>
      </w:pPr>
    </w:p>
    <w:p w14:paraId="1E1626F7" w14:textId="77777777" w:rsidR="00C06476" w:rsidRDefault="00C06476" w:rsidP="00C06476">
      <w:pPr>
        <w:spacing w:line="480" w:lineRule="auto"/>
        <w:ind w:left="0" w:firstLine="0"/>
        <w:jc w:val="both"/>
        <w:rPr>
          <w:szCs w:val="24"/>
        </w:rPr>
      </w:pPr>
    </w:p>
    <w:p w14:paraId="52E191F1" w14:textId="77777777" w:rsidR="00C06476" w:rsidRDefault="00C06476" w:rsidP="00C06476">
      <w:pPr>
        <w:spacing w:line="480" w:lineRule="auto"/>
        <w:ind w:left="0" w:firstLine="0"/>
        <w:jc w:val="both"/>
        <w:rPr>
          <w:szCs w:val="24"/>
        </w:rPr>
      </w:pPr>
    </w:p>
    <w:p w14:paraId="32A8BDF1" w14:textId="77777777" w:rsidR="00ED4E6F" w:rsidRDefault="00E509D4" w:rsidP="00C06476">
      <w:pPr>
        <w:spacing w:line="480" w:lineRule="auto"/>
        <w:ind w:left="0" w:firstLine="0"/>
        <w:jc w:val="both"/>
        <w:rPr>
          <w:szCs w:val="24"/>
        </w:rPr>
      </w:pPr>
      <w:r>
        <w:rPr>
          <w:noProof/>
        </w:rPr>
        <mc:AlternateContent>
          <mc:Choice Requires="wps">
            <w:drawing>
              <wp:anchor distT="0" distB="0" distL="114300" distR="114300" simplePos="0" relativeHeight="251773952" behindDoc="0" locked="0" layoutInCell="1" allowOverlap="1" wp14:anchorId="504D9D8A" wp14:editId="4CA19B50">
                <wp:simplePos x="0" y="0"/>
                <wp:positionH relativeFrom="margin">
                  <wp:align>right</wp:align>
                </wp:positionH>
                <wp:positionV relativeFrom="paragraph">
                  <wp:posOffset>522605</wp:posOffset>
                </wp:positionV>
                <wp:extent cx="5934075" cy="628650"/>
                <wp:effectExtent l="0" t="0" r="9525" b="0"/>
                <wp:wrapSquare wrapText="bothSides"/>
                <wp:docPr id="257" name="Text Box 257"/>
                <wp:cNvGraphicFramePr/>
                <a:graphic xmlns:a="http://schemas.openxmlformats.org/drawingml/2006/main">
                  <a:graphicData uri="http://schemas.microsoft.com/office/word/2010/wordprocessingShape">
                    <wps:wsp>
                      <wps:cNvSpPr txBox="1"/>
                      <wps:spPr>
                        <a:xfrm>
                          <a:off x="0" y="0"/>
                          <a:ext cx="5934075" cy="628650"/>
                        </a:xfrm>
                        <a:prstGeom prst="rect">
                          <a:avLst/>
                        </a:prstGeom>
                        <a:solidFill>
                          <a:prstClr val="white"/>
                        </a:solidFill>
                        <a:ln>
                          <a:noFill/>
                        </a:ln>
                      </wps:spPr>
                      <wps:txbx>
                        <w:txbxContent>
                          <w:p w14:paraId="5BFA537B" w14:textId="3BF1DF3C" w:rsidR="00AA26F6" w:rsidRPr="00E509D4" w:rsidRDefault="00AA26F6" w:rsidP="00E509D4">
                            <w:pPr>
                              <w:pStyle w:val="Caption"/>
                              <w:rPr>
                                <w:i w:val="0"/>
                                <w:iCs w:val="0"/>
                                <w:noProof/>
                                <w:color w:val="auto"/>
                                <w:sz w:val="24"/>
                                <w:szCs w:val="24"/>
                              </w:rPr>
                            </w:pPr>
                            <w:bookmarkStart w:id="47" w:name="_Toc14520647"/>
                            <w:r w:rsidRPr="00E509D4">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sidRPr="00E509D4">
                              <w:rPr>
                                <w:b/>
                                <w:bCs/>
                                <w:i w:val="0"/>
                                <w:iCs w:val="0"/>
                                <w:color w:val="auto"/>
                                <w:sz w:val="24"/>
                                <w:szCs w:val="24"/>
                              </w:rPr>
                              <w:t>:</w:t>
                            </w:r>
                            <w:r>
                              <w:rPr>
                                <w:i w:val="0"/>
                                <w:iCs w:val="0"/>
                                <w:color w:val="auto"/>
                                <w:sz w:val="24"/>
                                <w:szCs w:val="24"/>
                              </w:rPr>
                              <w:t xml:space="preserve"> </w:t>
                            </w:r>
                            <w:r w:rsidRPr="00E509D4">
                              <w:rPr>
                                <w:i w:val="0"/>
                                <w:iCs w:val="0"/>
                                <w:color w:val="auto"/>
                                <w:sz w:val="24"/>
                                <w:szCs w:val="24"/>
                              </w:rPr>
                              <w:t>Chemical structures highlighting the carbon atoms of major basic units present within biomass polymers and related thermal degradation products (7)</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D9D8A" id="Text Box 257" o:spid="_x0000_s1038" type="#_x0000_t202" style="position:absolute;left:0;text-align:left;margin-left:416.05pt;margin-top:41.15pt;width:467.25pt;height:49.5pt;z-index:251773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" stroked="f">
                <v:textbox inset="0,0,0,0">
                  <w:txbxContent>
                    <w:p w14:paraId="5BFA537B" w14:textId="3BF1DF3C" w:rsidR="00AA26F6" w:rsidRPr="00E509D4" w:rsidRDefault="00AA26F6" w:rsidP="00E509D4">
                      <w:pPr>
                        <w:pStyle w:val="Caption"/>
                        <w:rPr>
                          <w:i w:val="0"/>
                          <w:iCs w:val="0"/>
                          <w:noProof/>
                          <w:color w:val="auto"/>
                          <w:sz w:val="24"/>
                          <w:szCs w:val="24"/>
                        </w:rPr>
                      </w:pPr>
                      <w:bookmarkStart w:id="48" w:name="_Toc14520647"/>
                      <w:r w:rsidRPr="00E509D4">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sidRPr="00E509D4">
                        <w:rPr>
                          <w:b/>
                          <w:bCs/>
                          <w:i w:val="0"/>
                          <w:iCs w:val="0"/>
                          <w:color w:val="auto"/>
                          <w:sz w:val="24"/>
                          <w:szCs w:val="24"/>
                        </w:rPr>
                        <w:t>:</w:t>
                      </w:r>
                      <w:r>
                        <w:rPr>
                          <w:i w:val="0"/>
                          <w:iCs w:val="0"/>
                          <w:color w:val="auto"/>
                          <w:sz w:val="24"/>
                          <w:szCs w:val="24"/>
                        </w:rPr>
                        <w:t xml:space="preserve"> </w:t>
                      </w:r>
                      <w:r w:rsidRPr="00E509D4">
                        <w:rPr>
                          <w:i w:val="0"/>
                          <w:iCs w:val="0"/>
                          <w:color w:val="auto"/>
                          <w:sz w:val="24"/>
                          <w:szCs w:val="24"/>
                        </w:rPr>
                        <w:t>Chemical structures highlighting the carbon atoms of major basic units present within biomass polymers and related thermal degradation products (7)</w:t>
                      </w:r>
                      <w:bookmarkEnd w:id="48"/>
                    </w:p>
                  </w:txbxContent>
                </v:textbox>
                <w10:wrap type="square" anchorx="margin"/>
              </v:shape>
            </w:pict>
          </mc:Fallback>
        </mc:AlternateContent>
      </w:r>
    </w:p>
    <w:p w14:paraId="0E8B95E7" w14:textId="77777777" w:rsidR="00C06476" w:rsidRPr="00AC3FBA" w:rsidRDefault="00C06476" w:rsidP="00ED4E6F">
      <w:pPr>
        <w:spacing w:line="480" w:lineRule="auto"/>
        <w:ind w:left="0" w:firstLine="720"/>
        <w:jc w:val="both"/>
        <w:rPr>
          <w:szCs w:val="24"/>
        </w:rPr>
      </w:pPr>
      <w:r w:rsidRPr="00AC3FBA">
        <w:rPr>
          <w:szCs w:val="24"/>
        </w:rPr>
        <w:t>As Figure 3.1 depicts, cellulose constitutes anywhere between 15 – 49% of biomass by dry weight. In plant cell walls, cellulose is primarily present in the form of insoluble microfibrils which typically comprise approximately 36 hydrogen-bonded chains; these chains contain β-</w:t>
      </w:r>
      <w:r w:rsidRPr="00AC3FBA">
        <w:rPr>
          <w:szCs w:val="24"/>
        </w:rPr>
        <w:lastRenderedPageBreak/>
        <w:t>(1,4)-linked glucose units (unbranched polymer ranging anywhere between 500 and 14,000 molecules) (7,25).</w:t>
      </w:r>
    </w:p>
    <w:p w14:paraId="1C02801C" w14:textId="77777777" w:rsidR="00C06476" w:rsidRPr="00AC3FBA" w:rsidRDefault="00C06476" w:rsidP="00ED4E6F">
      <w:pPr>
        <w:spacing w:line="480" w:lineRule="auto"/>
        <w:ind w:left="0" w:firstLine="720"/>
        <w:jc w:val="both"/>
        <w:rPr>
          <w:szCs w:val="24"/>
        </w:rPr>
      </w:pPr>
      <w:r w:rsidRPr="00AC3FBA">
        <w:rPr>
          <w:szCs w:val="24"/>
        </w:rPr>
        <w:t xml:space="preserve">Hemicellulose is the second most abundant species present within cell walls (ranging between 12-50% of biomass by dry weight), according to Figure 3.2.  Hemicelluloses are heterogeneous branched polysaccharides containing numerous monomeric units of various sugars and acyl groups (7,26). Taxonomic divisions (e.g. grasses, dicots, softwoods) within the plant species influence the monomeric units available in the hemi cellulosic polysaccharides. Switchgrass – the primary biomass subject for this thesis- is categorized under grasses hemicellulose division, within which the most abundant component is mixed-linkage glucan (MLG) and glucuronoarabinoxylan (GAX) (7,27). MLG is an unbranched glucose polymer comprising both β-(1,3)- and β-(1,4)- linkages (27), and is almost exclusively found in grasses (7). Xylans, on the other hand, comprise β-(1,4)- linked xylose backbone with different substitutions (e.g. glucuronic acid, 4-O-methyl glucuronic acid) via α-(1-2)- linkages. GAX, for instance, in addition to being substituted by glucuronic acid, are substituted by arabinofuranoses at the O-3; these can be further substituted by phenylpropanoid acids to make feruloyl- and p-coumaryl esters bonded at the O-5 (26). Xylans are primarily composed of pentoses while mannans consist of hexoses like mannose, glucose, and galactose. Although not abundantly present in secondary walls, xyloglucan and pectins are two other minor polysaccharides available within cell walls; xyloglucan consists of β-(1-4)- linked glucose residues while pectin is a polymer (branched or unbranched) rich in several monosaccharide residues (7, 26). </w:t>
      </w:r>
    </w:p>
    <w:p w14:paraId="26F966B3" w14:textId="77777777" w:rsidR="00C06476" w:rsidRPr="00AC3FBA" w:rsidRDefault="00C06476" w:rsidP="00ED4E6F">
      <w:pPr>
        <w:spacing w:line="480" w:lineRule="auto"/>
        <w:ind w:left="0" w:firstLine="720"/>
        <w:jc w:val="both"/>
        <w:rPr>
          <w:rFonts w:eastAsiaTheme="minorEastAsia"/>
          <w:szCs w:val="24"/>
        </w:rPr>
      </w:pPr>
      <w:r w:rsidRPr="00AC3FBA">
        <w:rPr>
          <w:szCs w:val="24"/>
        </w:rPr>
        <w:t xml:space="preserve">Lignin makes up the third most abundant component of biomass. Lignin is a crosslinked polymer which is primarily composed of three monolignol monomers: </w:t>
      </w:r>
      <w:r w:rsidRPr="00AC3FBA">
        <w:rPr>
          <w:i/>
          <w:iCs/>
          <w:szCs w:val="24"/>
        </w:rPr>
        <w:t>p-</w:t>
      </w:r>
      <w:r w:rsidRPr="00AC3FBA">
        <w:rPr>
          <w:szCs w:val="24"/>
        </w:rPr>
        <w:t xml:space="preserve">coumaryl alcohol, coniferyl alcohol, and sinapyl alcohol (28). These lignols are incorporated within the lignin </w:t>
      </w:r>
      <w:r w:rsidRPr="00AC3FBA">
        <w:rPr>
          <w:szCs w:val="24"/>
        </w:rPr>
        <w:lastRenderedPageBreak/>
        <w:t xml:space="preserve">biosynthesis network in the form of phenylpropanoids </w:t>
      </w:r>
      <w:r w:rsidRPr="00AC3FBA">
        <w:rPr>
          <w:i/>
          <w:iCs/>
          <w:szCs w:val="24"/>
        </w:rPr>
        <w:t>p-</w:t>
      </w:r>
      <w:r w:rsidRPr="00AC3FBA">
        <w:rPr>
          <w:szCs w:val="24"/>
        </w:rPr>
        <w:t>hydroxyphenyl (</w:t>
      </w:r>
      <w:r w:rsidRPr="00AC3FBA">
        <w:rPr>
          <w:b/>
          <w:bCs/>
          <w:i/>
          <w:iCs/>
          <w:szCs w:val="24"/>
        </w:rPr>
        <w:t>H</w:t>
      </w:r>
      <w:r w:rsidRPr="00AC3FBA">
        <w:rPr>
          <w:szCs w:val="24"/>
        </w:rPr>
        <w:t>), guaiacyl (</w:t>
      </w:r>
      <w:r w:rsidRPr="00AC3FBA">
        <w:rPr>
          <w:b/>
          <w:bCs/>
          <w:i/>
          <w:iCs/>
          <w:szCs w:val="24"/>
        </w:rPr>
        <w:t>G</w:t>
      </w:r>
      <w:r w:rsidRPr="00AC3FBA">
        <w:rPr>
          <w:szCs w:val="24"/>
        </w:rPr>
        <w:t>), and syringyl (</w:t>
      </w:r>
      <w:r w:rsidRPr="00AC3FBA">
        <w:rPr>
          <w:b/>
          <w:bCs/>
          <w:i/>
          <w:iCs/>
          <w:szCs w:val="24"/>
        </w:rPr>
        <w:t>S</w:t>
      </w:r>
      <w:r w:rsidRPr="00AC3FBA">
        <w:rPr>
          <w:szCs w:val="24"/>
        </w:rPr>
        <w:t xml:space="preserve">), respectively (29). These various types of incorporated groups within the lignin biosynthesis network, along with its structural heterogeneity, give rise to different depolymerization reactions during thermal degradation treatments (7). The three major lignin monomer units are “methoxylated” to different degrees in their carbon ring. </w:t>
      </w:r>
      <w:r w:rsidRPr="00AC3FBA">
        <w:rPr>
          <w:b/>
          <w:bCs/>
          <w:i/>
          <w:iCs/>
          <w:szCs w:val="24"/>
        </w:rPr>
        <w:t>H-</w:t>
      </w:r>
      <w:r w:rsidRPr="00AC3FBA">
        <w:rPr>
          <w:szCs w:val="24"/>
        </w:rPr>
        <w:t xml:space="preserve">monomer units lack ring methoxy groups; </w:t>
      </w:r>
      <w:r w:rsidRPr="00AC3FBA">
        <w:rPr>
          <w:b/>
          <w:bCs/>
          <w:i/>
          <w:iCs/>
          <w:szCs w:val="24"/>
        </w:rPr>
        <w:t>G-</w:t>
      </w:r>
      <w:r w:rsidRPr="00AC3FBA">
        <w:rPr>
          <w:szCs w:val="24"/>
        </w:rPr>
        <w:t xml:space="preserve">monomer units contain one methoxy group at the O-3 position while </w:t>
      </w:r>
      <w:r w:rsidRPr="00AC3FBA">
        <w:rPr>
          <w:b/>
          <w:bCs/>
          <w:i/>
          <w:iCs/>
          <w:szCs w:val="24"/>
        </w:rPr>
        <w:t>S-</w:t>
      </w:r>
      <w:r w:rsidRPr="00AC3FBA">
        <w:rPr>
          <w:szCs w:val="24"/>
        </w:rPr>
        <w:t xml:space="preserve">monomer units are methoxylated at both O-3 and O-5 ring positions (29), as displayed in Figure 3.2. These monomer units tend to undergo oxidative coupling reactions within the cell wall to create different types of dimers; these dimers include, but are not necessarily limited to, β-O-4, β-5, β-β, 5-5, 5-O-4, and β-1. The oxidative coupling reactions allow other atoms within the network to further polymerize themselves, thereby increasing the structural heterogeneity of lignin. It is worth noting that lignin units have the capability to be esterified with p-coumaryl, p-hydroxybenzoyl, and acetyl groups – primarily at the </w:t>
      </w:r>
      <m:oMath>
        <m:r>
          <w:rPr>
            <w:rFonts w:ascii="Cambria Math" w:hAnsi="Cambria Math"/>
            <w:szCs w:val="24"/>
          </w:rPr>
          <m:t>γ</m:t>
        </m:r>
      </m:oMath>
      <w:r w:rsidRPr="00AC3FBA">
        <w:rPr>
          <w:rFonts w:eastAsiaTheme="minorEastAsia"/>
          <w:szCs w:val="24"/>
        </w:rPr>
        <w:t xml:space="preserve"> position of terminal monomer units (30,31). The acylation degrees and overall lignin composition within the biomass vary among plant clades (7). For instance, grass lignin – which is the primary focus of this thesis- contains high levels of p-coumarate esters (32), and possesses the ability to be etherified by tricin and ferulic acid (33, 34).  </w:t>
      </w:r>
    </w:p>
    <w:p w14:paraId="48E5A12A" w14:textId="77777777" w:rsidR="00C06476" w:rsidRPr="00AC3FBA" w:rsidRDefault="00C06476" w:rsidP="00ED4E6F">
      <w:pPr>
        <w:spacing w:line="480" w:lineRule="auto"/>
        <w:ind w:left="0" w:firstLine="720"/>
        <w:jc w:val="both"/>
        <w:rPr>
          <w:rFonts w:eastAsiaTheme="minorEastAsia"/>
          <w:szCs w:val="24"/>
        </w:rPr>
      </w:pPr>
      <w:r w:rsidRPr="00AC3FBA">
        <w:rPr>
          <w:rFonts w:eastAsiaTheme="minorEastAsia"/>
          <w:szCs w:val="24"/>
        </w:rPr>
        <w:t xml:space="preserve">Inorganic minerals such as Ca, K, Si, Mg, Al, S, Fe, P, Cl, Na, and some trace amounts of Mn and Ti are also present in biomass; these inorganic elements are formed through the oxidation of biomass at 575 </w:t>
      </w:r>
      <m:oMath>
        <m:r>
          <w:rPr>
            <w:rFonts w:ascii="Cambria Math" w:eastAsiaTheme="minorEastAsia" w:hAnsi="Cambria Math"/>
            <w:szCs w:val="24"/>
          </w:rPr>
          <m:t>℃</m:t>
        </m:r>
      </m:oMath>
      <w:r w:rsidRPr="00AC3FBA">
        <w:rPr>
          <w:rFonts w:eastAsiaTheme="minorEastAsia"/>
          <w:szCs w:val="24"/>
        </w:rPr>
        <w:t xml:space="preserve"> (35,36). The abundance of the mineral elements is dependent upon the species of biomass (i.e. taxonomic divisions); for instance, grass biomass (e.g. switchgrass) generally contains more Cl, K, S, and Si compared with woody biomass – which incorporates more Ca (36). </w:t>
      </w:r>
    </w:p>
    <w:p w14:paraId="2C64B4AE" w14:textId="77777777" w:rsidR="00C06476" w:rsidRPr="00AC3FBA" w:rsidRDefault="00C06476" w:rsidP="00ED4E6F">
      <w:pPr>
        <w:spacing w:line="480" w:lineRule="auto"/>
        <w:ind w:left="0" w:firstLine="720"/>
        <w:jc w:val="both"/>
        <w:rPr>
          <w:szCs w:val="24"/>
        </w:rPr>
      </w:pPr>
      <w:r w:rsidRPr="00AC3FBA">
        <w:rPr>
          <w:rFonts w:eastAsiaTheme="minorEastAsia"/>
          <w:szCs w:val="24"/>
        </w:rPr>
        <w:lastRenderedPageBreak/>
        <w:t xml:space="preserve">Although individual biomass components are sometimes devoid of physical interaction, covalent and non-covalent interactions allow individual constituents to correlate; correlation is also possible due to the components being present within the same plant organ or by virtue of being in the same developmental stage of the plant. The thermal degradation products from one biomass constituent may correlate with other constituents since the availability of different biomass components are relative. For example, it has been observed that abundance of cellulose correlates with abundance of lignin in five various biomass sources (Pearson’s Correlation Coefficient = 0.83); similarly, presence of lignin-derived thermal products has been correlated with presence of cellulosic glucose (37).  Inorganic mineral elements are no different; it has been observed that presence of Si, Al, Fe, and Na correlates with the abundance of Ti, and presence of K, P, and S correlates with Cl (36). Interactions are not only limited between cellulose and lignin constituents; GAXs (i.e. hemicellulose) in grass species have been detected to covalently link to lignin via ether bonds with ferulate esters on arabinose moieties of arabinoxylan (38). Literature suggests that xylan is the most closely linked polysaccharide to lignin, and NMR studies have backed the claim by distinguishing lignin-glucuronic acid ester bonds (39).  </w:t>
      </w:r>
    </w:p>
    <w:p w14:paraId="2E744AAF" w14:textId="77777777" w:rsidR="00C06476" w:rsidRPr="001555A6" w:rsidRDefault="00C06476" w:rsidP="00D9716E">
      <w:pPr>
        <w:pStyle w:val="Heading2"/>
        <w:rPr>
          <w:rFonts w:ascii="Times New Roman" w:hAnsi="Times New Roman" w:cs="Times New Roman"/>
          <w:b/>
          <w:bCs/>
          <w:color w:val="auto"/>
          <w:sz w:val="24"/>
          <w:szCs w:val="24"/>
        </w:rPr>
      </w:pPr>
      <w:bookmarkStart w:id="49" w:name="_Toc14521040"/>
      <w:r w:rsidRPr="001555A6">
        <w:rPr>
          <w:rFonts w:ascii="Times New Roman" w:hAnsi="Times New Roman" w:cs="Times New Roman"/>
          <w:b/>
          <w:bCs/>
          <w:color w:val="auto"/>
          <w:sz w:val="24"/>
          <w:szCs w:val="24"/>
        </w:rPr>
        <w:t>3.2 R</w:t>
      </w:r>
      <w:r w:rsidR="001555A6">
        <w:rPr>
          <w:rFonts w:ascii="Times New Roman" w:hAnsi="Times New Roman" w:cs="Times New Roman"/>
          <w:b/>
          <w:bCs/>
          <w:color w:val="auto"/>
          <w:sz w:val="24"/>
          <w:szCs w:val="24"/>
        </w:rPr>
        <w:t>elationships between biomass components and bio-oil thermal products</w:t>
      </w:r>
      <w:bookmarkEnd w:id="49"/>
      <w:r w:rsidRPr="001555A6">
        <w:rPr>
          <w:rFonts w:ascii="Times New Roman" w:hAnsi="Times New Roman" w:cs="Times New Roman"/>
          <w:b/>
          <w:bCs/>
          <w:color w:val="auto"/>
          <w:sz w:val="24"/>
          <w:szCs w:val="24"/>
        </w:rPr>
        <w:t xml:space="preserve"> </w:t>
      </w:r>
    </w:p>
    <w:p w14:paraId="3E61DC63" w14:textId="77777777" w:rsidR="00C06476" w:rsidRPr="00AC3FBA" w:rsidRDefault="00C06476" w:rsidP="00ED4E6F">
      <w:pPr>
        <w:spacing w:line="480" w:lineRule="auto"/>
        <w:ind w:left="0" w:firstLine="720"/>
        <w:jc w:val="both"/>
        <w:rPr>
          <w:szCs w:val="24"/>
        </w:rPr>
      </w:pPr>
      <w:r w:rsidRPr="00AC3FBA">
        <w:rPr>
          <w:szCs w:val="24"/>
        </w:rPr>
        <w:t xml:space="preserve">Pyrolysis/Torrefaction literature is indicative of how biomass constituents influence bio-oil yield upon thermal degradation of biomass. Reaction pathways and mechanisms of individual biomass components to the formation of hemicellulose, cellulose, and lignin derived thermal products have been described in detail in (40).  The following discussion would focus on few “models” that help explain how different biomass constituents relate to the yield or composition of certain thermal degradation products. Figure 3.3 illustrates Model 1. </w:t>
      </w:r>
    </w:p>
    <w:p w14:paraId="4B50A060" w14:textId="77777777" w:rsidR="00C06476" w:rsidRDefault="00C06476" w:rsidP="00C06476">
      <w:pPr>
        <w:ind w:left="0" w:firstLine="0"/>
      </w:pPr>
    </w:p>
    <w:p w14:paraId="6F25579E" w14:textId="77777777" w:rsidR="00C06476" w:rsidRDefault="00C06476" w:rsidP="00C06476">
      <w:pPr>
        <w:ind w:left="0" w:firstLine="0"/>
        <w:jc w:val="center"/>
      </w:pPr>
      <w:r>
        <w:rPr>
          <w:noProof/>
        </w:rPr>
        <w:lastRenderedPageBreak/>
        <w:drawing>
          <wp:anchor distT="0" distB="0" distL="114300" distR="114300" simplePos="0" relativeHeight="251685888" behindDoc="0" locked="0" layoutInCell="1" allowOverlap="1" wp14:anchorId="6ED02048" wp14:editId="41734A4A">
            <wp:simplePos x="0" y="0"/>
            <wp:positionH relativeFrom="column">
              <wp:posOffset>771525</wp:posOffset>
            </wp:positionH>
            <wp:positionV relativeFrom="paragraph">
              <wp:posOffset>0</wp:posOffset>
            </wp:positionV>
            <wp:extent cx="4391025" cy="2371725"/>
            <wp:effectExtent l="0" t="0" r="9525" b="9525"/>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4391025" cy="2371725"/>
                    </a:xfrm>
                    <a:prstGeom prst="rect">
                      <a:avLst/>
                    </a:prstGeom>
                  </pic:spPr>
                </pic:pic>
              </a:graphicData>
            </a:graphic>
          </wp:anchor>
        </w:drawing>
      </w:r>
    </w:p>
    <w:p w14:paraId="069F32F3" w14:textId="77777777" w:rsidR="00C06476" w:rsidRDefault="00C06476" w:rsidP="00C06476">
      <w:pPr>
        <w:ind w:left="0" w:firstLine="0"/>
      </w:pPr>
    </w:p>
    <w:p w14:paraId="24725325" w14:textId="77777777" w:rsidR="00C06476" w:rsidRDefault="00C06476" w:rsidP="00C06476">
      <w:pPr>
        <w:ind w:left="0" w:firstLine="0"/>
      </w:pPr>
    </w:p>
    <w:p w14:paraId="50EC7520" w14:textId="77777777" w:rsidR="00C06476" w:rsidRDefault="00C06476" w:rsidP="00C06476">
      <w:pPr>
        <w:ind w:left="0" w:firstLine="0"/>
      </w:pPr>
    </w:p>
    <w:p w14:paraId="1A563FCB" w14:textId="77777777" w:rsidR="00C06476" w:rsidRDefault="00C06476" w:rsidP="00C06476">
      <w:pPr>
        <w:ind w:left="0" w:firstLine="0"/>
      </w:pPr>
    </w:p>
    <w:p w14:paraId="79DA0930" w14:textId="77777777" w:rsidR="00C06476" w:rsidRDefault="00C06476" w:rsidP="00C06476">
      <w:pPr>
        <w:ind w:left="0" w:firstLine="0"/>
      </w:pPr>
    </w:p>
    <w:p w14:paraId="3C9F6A5A" w14:textId="77777777" w:rsidR="00C06476" w:rsidRDefault="00E509D4" w:rsidP="00C06476">
      <w:pPr>
        <w:ind w:left="0" w:firstLine="0"/>
      </w:pPr>
      <w:r>
        <w:rPr>
          <w:noProof/>
        </w:rPr>
        <mc:AlternateContent>
          <mc:Choice Requires="wps">
            <w:drawing>
              <wp:anchor distT="0" distB="0" distL="114300" distR="114300" simplePos="0" relativeHeight="251776000" behindDoc="0" locked="0" layoutInCell="1" allowOverlap="1" wp14:anchorId="7EF5D484" wp14:editId="37E6D1C7">
                <wp:simplePos x="0" y="0"/>
                <wp:positionH relativeFrom="margin">
                  <wp:align>right</wp:align>
                </wp:positionH>
                <wp:positionV relativeFrom="paragraph">
                  <wp:posOffset>289560</wp:posOffset>
                </wp:positionV>
                <wp:extent cx="5943600" cy="635"/>
                <wp:effectExtent l="0" t="0" r="0" b="0"/>
                <wp:wrapSquare wrapText="bothSides"/>
                <wp:docPr id="258" name="Text Box 258"/>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22209C3" w14:textId="0BAC6CC5" w:rsidR="00AA26F6" w:rsidRPr="00E509D4" w:rsidRDefault="00AA26F6" w:rsidP="00E509D4">
                            <w:pPr>
                              <w:pStyle w:val="Caption"/>
                              <w:rPr>
                                <w:i w:val="0"/>
                                <w:iCs w:val="0"/>
                                <w:noProof/>
                                <w:color w:val="auto"/>
                                <w:sz w:val="24"/>
                                <w:szCs w:val="24"/>
                              </w:rPr>
                            </w:pPr>
                            <w:bookmarkStart w:id="50" w:name="_Toc14520648"/>
                            <w:r w:rsidRPr="00E509D4">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sidRPr="00E509D4">
                              <w:rPr>
                                <w:b/>
                                <w:bCs/>
                                <w:i w:val="0"/>
                                <w:iCs w:val="0"/>
                                <w:color w:val="auto"/>
                                <w:sz w:val="24"/>
                                <w:szCs w:val="24"/>
                              </w:rPr>
                              <w:t>:</w:t>
                            </w:r>
                            <w:r>
                              <w:rPr>
                                <w:i w:val="0"/>
                                <w:iCs w:val="0"/>
                                <w:color w:val="auto"/>
                                <w:sz w:val="24"/>
                                <w:szCs w:val="24"/>
                              </w:rPr>
                              <w:t xml:space="preserve"> </w:t>
                            </w:r>
                            <w:r w:rsidRPr="00E509D4">
                              <w:rPr>
                                <w:i w:val="0"/>
                                <w:iCs w:val="0"/>
                                <w:color w:val="auto"/>
                                <w:sz w:val="24"/>
                                <w:szCs w:val="24"/>
                              </w:rPr>
                              <w:t>A model depicting how primary biomass components interact to form certain thermal degradation products (7)</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F5D484" id="Text Box 258" o:spid="_x0000_s1039" type="#_x0000_t202" style="position:absolute;margin-left:416.8pt;margin-top:22.8pt;width:468pt;height:.05pt;z-index:2517760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" stroked="f">
                <v:textbox style="mso-fit-shape-to-text:t" inset="0,0,0,0">
                  <w:txbxContent>
                    <w:p w14:paraId="122209C3" w14:textId="0BAC6CC5" w:rsidR="00AA26F6" w:rsidRPr="00E509D4" w:rsidRDefault="00AA26F6" w:rsidP="00E509D4">
                      <w:pPr>
                        <w:pStyle w:val="Caption"/>
                        <w:rPr>
                          <w:i w:val="0"/>
                          <w:iCs w:val="0"/>
                          <w:noProof/>
                          <w:color w:val="auto"/>
                          <w:sz w:val="24"/>
                          <w:szCs w:val="24"/>
                        </w:rPr>
                      </w:pPr>
                      <w:bookmarkStart w:id="51" w:name="_Toc14520648"/>
                      <w:r w:rsidRPr="00E509D4">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sidRPr="00E509D4">
                        <w:rPr>
                          <w:b/>
                          <w:bCs/>
                          <w:i w:val="0"/>
                          <w:iCs w:val="0"/>
                          <w:color w:val="auto"/>
                          <w:sz w:val="24"/>
                          <w:szCs w:val="24"/>
                        </w:rPr>
                        <w:t>:</w:t>
                      </w:r>
                      <w:r>
                        <w:rPr>
                          <w:i w:val="0"/>
                          <w:iCs w:val="0"/>
                          <w:color w:val="auto"/>
                          <w:sz w:val="24"/>
                          <w:szCs w:val="24"/>
                        </w:rPr>
                        <w:t xml:space="preserve"> </w:t>
                      </w:r>
                      <w:r w:rsidRPr="00E509D4">
                        <w:rPr>
                          <w:i w:val="0"/>
                          <w:iCs w:val="0"/>
                          <w:color w:val="auto"/>
                          <w:sz w:val="24"/>
                          <w:szCs w:val="24"/>
                        </w:rPr>
                        <w:t>A model depicting how primary biomass components interact to form certain thermal degradation products (7)</w:t>
                      </w:r>
                      <w:bookmarkEnd w:id="51"/>
                    </w:p>
                  </w:txbxContent>
                </v:textbox>
                <w10:wrap type="square" anchorx="margin"/>
              </v:shape>
            </w:pict>
          </mc:Fallback>
        </mc:AlternateContent>
      </w:r>
    </w:p>
    <w:p w14:paraId="4ABFD889" w14:textId="77777777" w:rsidR="00C06476" w:rsidRPr="00450F79" w:rsidRDefault="00C06476" w:rsidP="00ED4E6F">
      <w:pPr>
        <w:spacing w:line="480" w:lineRule="auto"/>
        <w:ind w:left="0" w:firstLine="720"/>
        <w:jc w:val="both"/>
        <w:rPr>
          <w:szCs w:val="24"/>
        </w:rPr>
      </w:pPr>
      <w:r w:rsidRPr="00450F79">
        <w:rPr>
          <w:szCs w:val="24"/>
        </w:rPr>
        <w:t xml:space="preserve">Figure 3.3 shows how primary biomass components are direct sources of thermal degradation products. Depolymerization and secondary reactions such as cracking (i.e. splitting and recombination) allow cellulose, hemicellulose, and lignin to be converted to various products like levoglucosan, acetic acid, and phenol (among others) respectively. Evidence for the observed products as explained by this model (and other models in this chapter) are discussed below. The observations are going to be highlighted in brief detail; for all experiments performed (i.e. experiments reviewing the models presented), correlations between biomass components and thermal products have been discovered by varying starting biomass feedstock – these changes were either brought about by changing variables within experimental parameters on purified components, via naturally occurring variation within different biomass sources, or through some pre-treatment of biomass feedstock. The discussion in this thesis focuses on the chemical products produced from biomass thermal degradation (i.e. weight losses or elemental balances are not reported). </w:t>
      </w:r>
    </w:p>
    <w:p w14:paraId="3CE2D171" w14:textId="77777777" w:rsidR="00C06476" w:rsidRPr="00450F79" w:rsidRDefault="00C06476" w:rsidP="00ED4E6F">
      <w:pPr>
        <w:spacing w:line="480" w:lineRule="auto"/>
        <w:ind w:left="0" w:firstLine="720"/>
        <w:jc w:val="both"/>
        <w:rPr>
          <w:szCs w:val="24"/>
        </w:rPr>
      </w:pPr>
      <w:r w:rsidRPr="00450F79">
        <w:rPr>
          <w:szCs w:val="24"/>
        </w:rPr>
        <w:t xml:space="preserve">Model 1 describes the direct conversion (i.e. thermal breakdown) of the main constituents of biomass. As Figure 3.3 shows, the main product from cellulose pyrolysis is levoglucosan (41) </w:t>
      </w:r>
      <w:r w:rsidRPr="00450F79">
        <w:rPr>
          <w:szCs w:val="24"/>
        </w:rPr>
        <w:lastRenderedPageBreak/>
        <w:t>– an anhydrohexose that is a 1,6-anhydro-derivative of beta-D-glucopyranose; its production is maximized at 500</w:t>
      </w:r>
      <m:oMath>
        <m:r>
          <w:rPr>
            <w:rFonts w:ascii="Cambria Math" w:hAnsi="Cambria Math"/>
            <w:szCs w:val="24"/>
          </w:rPr>
          <m:t>℃</m:t>
        </m:r>
      </m:oMath>
      <w:r w:rsidRPr="00450F79">
        <w:rPr>
          <w:rFonts w:eastAsiaTheme="minorEastAsia"/>
          <w:szCs w:val="24"/>
        </w:rPr>
        <w:t xml:space="preserve"> (42). Minor decomposition products from cellulose pyrolysis are generally governed by other anhydrosugars which retain the six carbons of glucose (e.g. 1,6-anhydroglucofuranose, 5-hydroxymethyl furfural); smaller molecules such as furfural (as Model 1 shows) and formic acid are also observed upon thermal degradation (43). </w:t>
      </w:r>
    </w:p>
    <w:p w14:paraId="6489B570" w14:textId="77777777" w:rsidR="00C06476" w:rsidRPr="00450F79" w:rsidRDefault="00C06476" w:rsidP="00ED4E6F">
      <w:pPr>
        <w:spacing w:line="480" w:lineRule="auto"/>
        <w:ind w:left="0" w:firstLine="720"/>
        <w:jc w:val="both"/>
        <w:rPr>
          <w:szCs w:val="24"/>
        </w:rPr>
      </w:pPr>
      <w:r w:rsidRPr="00450F79">
        <w:rPr>
          <w:szCs w:val="24"/>
        </w:rPr>
        <w:t>The type of behavior displayed by hemicellulose-derived thermal products is quite like that of cellulose-derived thermal products; both product derivatives are highly influenced by the number of carbons in the respective monosaccharide residues of the starting polymer (44). When subjected to thermal degradation, it has been detected that similar lighter compounds consisting of C</w:t>
      </w:r>
      <w:r w:rsidRPr="00450F79">
        <w:rPr>
          <w:szCs w:val="24"/>
          <w:vertAlign w:val="subscript"/>
        </w:rPr>
        <w:t>1</w:t>
      </w:r>
      <w:r w:rsidRPr="00450F79">
        <w:rPr>
          <w:szCs w:val="24"/>
        </w:rPr>
        <w:t>-C</w:t>
      </w:r>
      <w:r w:rsidRPr="00450F79">
        <w:rPr>
          <w:szCs w:val="24"/>
          <w:vertAlign w:val="subscript"/>
        </w:rPr>
        <w:t>3</w:t>
      </w:r>
      <w:r w:rsidRPr="00450F79">
        <w:rPr>
          <w:szCs w:val="24"/>
        </w:rPr>
        <w:t xml:space="preserve"> oxygenates are produced from pentoses and hexoses; however, heavier thermal products of C</w:t>
      </w:r>
      <w:r w:rsidRPr="00450F79">
        <w:rPr>
          <w:szCs w:val="24"/>
          <w:vertAlign w:val="subscript"/>
        </w:rPr>
        <w:t>4</w:t>
      </w:r>
      <w:r w:rsidRPr="00450F79">
        <w:rPr>
          <w:szCs w:val="24"/>
        </w:rPr>
        <w:t>-C</w:t>
      </w:r>
      <w:r w:rsidRPr="00450F79">
        <w:rPr>
          <w:szCs w:val="24"/>
          <w:vertAlign w:val="subscript"/>
        </w:rPr>
        <w:t>6</w:t>
      </w:r>
      <w:r w:rsidRPr="00450F79">
        <w:rPr>
          <w:szCs w:val="24"/>
        </w:rPr>
        <w:t xml:space="preserve"> oxygenates differ in their types and selectivities. It has been observed that hexoses produce more pyranic compounds upon pyrolysis than pentoses, and pentoses yield more lighter fragmentation products and less quantity of C</w:t>
      </w:r>
      <w:r w:rsidRPr="00450F79">
        <w:rPr>
          <w:szCs w:val="24"/>
          <w:vertAlign w:val="subscript"/>
        </w:rPr>
        <w:t>6</w:t>
      </w:r>
      <w:r w:rsidRPr="00450F79">
        <w:rPr>
          <w:szCs w:val="24"/>
        </w:rPr>
        <w:t xml:space="preserve"> and higher products as compared to hexoses (45).  </w:t>
      </w:r>
    </w:p>
    <w:p w14:paraId="12027E47" w14:textId="77777777" w:rsidR="00C06476" w:rsidRPr="00450F79" w:rsidRDefault="00C06476" w:rsidP="00ED4E6F">
      <w:pPr>
        <w:spacing w:line="480" w:lineRule="auto"/>
        <w:ind w:left="0" w:firstLine="720"/>
        <w:jc w:val="both"/>
        <w:rPr>
          <w:szCs w:val="24"/>
        </w:rPr>
      </w:pPr>
      <w:r w:rsidRPr="00450F79">
        <w:rPr>
          <w:szCs w:val="24"/>
        </w:rPr>
        <w:t xml:space="preserve">Lignin-derived thermal degradation products usually maintain the normal ring decoration of the monolignols from which they emerge; for instance, </w:t>
      </w:r>
      <w:r w:rsidRPr="00450F79">
        <w:rPr>
          <w:b/>
          <w:bCs/>
          <w:i/>
          <w:iCs/>
          <w:szCs w:val="24"/>
        </w:rPr>
        <w:t>S</w:t>
      </w:r>
      <w:r w:rsidRPr="00450F79">
        <w:rPr>
          <w:szCs w:val="24"/>
        </w:rPr>
        <w:t xml:space="preserve">-lignin monomer units produce syringol derivative bio-oil chemical compounds (Figure 3.2) while </w:t>
      </w:r>
      <w:r w:rsidRPr="00450F79">
        <w:rPr>
          <w:b/>
          <w:bCs/>
          <w:i/>
          <w:iCs/>
          <w:szCs w:val="24"/>
        </w:rPr>
        <w:t>G</w:t>
      </w:r>
      <w:r w:rsidRPr="00450F79">
        <w:rPr>
          <w:szCs w:val="24"/>
        </w:rPr>
        <w:t xml:space="preserve">-lignin monomer units form guaiacol derivative bio-oil chemical compounds (Figure 3.2). These derivative compounds contain 1-3 carbons and/or oxygenate moieties at the C-4 position (7). Grass biomass (e.g. switchgrass) has been observed to yield guaiacyl, syringyl, and p-hydroxyphenyl derivatives; in addition to these, vinyl phenol, propenyl-phenols, and p-hydroxybenzaldehyde are also produced when grasses are pyrolyzed as opposed to other species of biomass (i.e. softwood and hardwood) (37, 46). Literature suggests that these phenolic compounds are likely obtained from ferulate and coumarate esters (47). Most of the thermal products formed via lignin pyrolysis are phenol </w:t>
      </w:r>
      <w:r w:rsidRPr="00450F79">
        <w:rPr>
          <w:szCs w:val="24"/>
        </w:rPr>
        <w:lastRenderedPageBreak/>
        <w:t>derivatives, while trace amounts of furan derivatives and aromatic hydrocarbons are also sometimes present (46).</w:t>
      </w:r>
    </w:p>
    <w:p w14:paraId="04B3358D" w14:textId="77777777" w:rsidR="00C06476" w:rsidRPr="00450F79" w:rsidRDefault="00C06476" w:rsidP="00ED4E6F">
      <w:pPr>
        <w:spacing w:line="480" w:lineRule="auto"/>
        <w:ind w:left="0" w:firstLine="720"/>
        <w:jc w:val="both"/>
        <w:rPr>
          <w:szCs w:val="24"/>
        </w:rPr>
      </w:pPr>
      <w:r w:rsidRPr="00450F79">
        <w:rPr>
          <w:szCs w:val="24"/>
        </w:rPr>
        <w:t xml:space="preserve">Another model further describes how individual components of biomass or their derived thermal products (some of which were highlighted by Model 1) facilitate the thermal reactions of other components by acting as catalysts, thereby altering thermal product yields and ratios (7). Figure 3.4 illustrates Model 2. </w:t>
      </w:r>
    </w:p>
    <w:p w14:paraId="6A1A07D6" w14:textId="77777777" w:rsidR="00C06476" w:rsidRDefault="00C06476" w:rsidP="00C06476">
      <w:pPr>
        <w:ind w:left="0" w:firstLine="0"/>
      </w:pPr>
      <w:r>
        <w:rPr>
          <w:noProof/>
        </w:rPr>
        <w:drawing>
          <wp:anchor distT="0" distB="0" distL="114300" distR="114300" simplePos="0" relativeHeight="251688960" behindDoc="0" locked="0" layoutInCell="1" allowOverlap="1" wp14:anchorId="2D0A82A8" wp14:editId="074325D3">
            <wp:simplePos x="0" y="0"/>
            <wp:positionH relativeFrom="column">
              <wp:posOffset>752475</wp:posOffset>
            </wp:positionH>
            <wp:positionV relativeFrom="paragraph">
              <wp:posOffset>-4445</wp:posOffset>
            </wp:positionV>
            <wp:extent cx="4429125" cy="1990725"/>
            <wp:effectExtent l="0" t="0" r="9525" b="9525"/>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429125" cy="1990725"/>
                    </a:xfrm>
                    <a:prstGeom prst="rect">
                      <a:avLst/>
                    </a:prstGeom>
                  </pic:spPr>
                </pic:pic>
              </a:graphicData>
            </a:graphic>
          </wp:anchor>
        </w:drawing>
      </w:r>
    </w:p>
    <w:p w14:paraId="03AB7DA1" w14:textId="77777777" w:rsidR="00C06476" w:rsidRDefault="00C06476" w:rsidP="00C06476">
      <w:pPr>
        <w:ind w:left="0" w:firstLine="0"/>
      </w:pPr>
    </w:p>
    <w:p w14:paraId="64FF37A4" w14:textId="77777777" w:rsidR="00C06476" w:rsidRDefault="00C06476" w:rsidP="00C06476">
      <w:pPr>
        <w:ind w:left="0" w:firstLine="0"/>
      </w:pPr>
    </w:p>
    <w:p w14:paraId="2E068A96" w14:textId="77777777" w:rsidR="00C06476" w:rsidRDefault="00C06476" w:rsidP="00C06476">
      <w:pPr>
        <w:ind w:left="0" w:firstLine="0"/>
      </w:pPr>
    </w:p>
    <w:p w14:paraId="4BFF6792" w14:textId="77777777" w:rsidR="00C06476" w:rsidRDefault="00C06476" w:rsidP="00C06476">
      <w:pPr>
        <w:ind w:left="0" w:firstLine="0"/>
      </w:pPr>
    </w:p>
    <w:p w14:paraId="20352608" w14:textId="77777777" w:rsidR="00C06476" w:rsidRDefault="00E509D4" w:rsidP="00C06476">
      <w:pPr>
        <w:ind w:left="0" w:firstLine="0"/>
      </w:pPr>
      <w:r>
        <w:rPr>
          <w:noProof/>
        </w:rPr>
        <mc:AlternateContent>
          <mc:Choice Requires="wps">
            <w:drawing>
              <wp:anchor distT="0" distB="0" distL="114300" distR="114300" simplePos="0" relativeHeight="251778048" behindDoc="0" locked="0" layoutInCell="1" allowOverlap="1" wp14:anchorId="360ECB5F" wp14:editId="709CCC6E">
                <wp:simplePos x="0" y="0"/>
                <wp:positionH relativeFrom="margin">
                  <wp:align>right</wp:align>
                </wp:positionH>
                <wp:positionV relativeFrom="paragraph">
                  <wp:posOffset>260985</wp:posOffset>
                </wp:positionV>
                <wp:extent cx="5943600" cy="619125"/>
                <wp:effectExtent l="0" t="0" r="0" b="9525"/>
                <wp:wrapSquare wrapText="bothSides"/>
                <wp:docPr id="259" name="Text Box 259"/>
                <wp:cNvGraphicFramePr/>
                <a:graphic xmlns:a="http://schemas.openxmlformats.org/drawingml/2006/main">
                  <a:graphicData uri="http://schemas.microsoft.com/office/word/2010/wordprocessingShape">
                    <wps:wsp>
                      <wps:cNvSpPr txBox="1"/>
                      <wps:spPr>
                        <a:xfrm>
                          <a:off x="0" y="0"/>
                          <a:ext cx="5943600" cy="619125"/>
                        </a:xfrm>
                        <a:prstGeom prst="rect">
                          <a:avLst/>
                        </a:prstGeom>
                        <a:solidFill>
                          <a:prstClr val="white"/>
                        </a:solidFill>
                        <a:ln>
                          <a:noFill/>
                        </a:ln>
                      </wps:spPr>
                      <wps:txbx>
                        <w:txbxContent>
                          <w:p w14:paraId="495A63D6" w14:textId="31F9E636" w:rsidR="00AA26F6" w:rsidRPr="00E509D4" w:rsidRDefault="00AA26F6" w:rsidP="00E509D4">
                            <w:pPr>
                              <w:pStyle w:val="Caption"/>
                              <w:rPr>
                                <w:i w:val="0"/>
                                <w:iCs w:val="0"/>
                                <w:noProof/>
                                <w:color w:val="auto"/>
                                <w:sz w:val="24"/>
                                <w:szCs w:val="24"/>
                              </w:rPr>
                            </w:pPr>
                            <w:bookmarkStart w:id="52" w:name="_Toc14520649"/>
                            <w:r w:rsidRPr="00E509D4">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sidRPr="00E509D4">
                              <w:rPr>
                                <w:b/>
                                <w:bCs/>
                                <w:i w:val="0"/>
                                <w:iCs w:val="0"/>
                                <w:color w:val="auto"/>
                                <w:sz w:val="24"/>
                                <w:szCs w:val="24"/>
                              </w:rPr>
                              <w:t>:</w:t>
                            </w:r>
                            <w:r w:rsidRPr="00E509D4">
                              <w:rPr>
                                <w:i w:val="0"/>
                                <w:iCs w:val="0"/>
                                <w:color w:val="auto"/>
                                <w:sz w:val="24"/>
                                <w:szCs w:val="24"/>
                              </w:rPr>
                              <w:t xml:space="preserve"> A model showing how biomass components and their interaction influence thermal degradation product formation. Here, (HA) refers to Hydroxyacetone and (HAA) refers to Hydroxyacetaldehyde (7)</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ECB5F" id="Text Box 259" o:spid="_x0000_s1040" type="#_x0000_t202" style="position:absolute;margin-left:416.8pt;margin-top:20.55pt;width:468pt;height:48.75pt;z-index:251778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" stroked="f">
                <v:textbox inset="0,0,0,0">
                  <w:txbxContent>
                    <w:p w14:paraId="495A63D6" w14:textId="31F9E636" w:rsidR="00AA26F6" w:rsidRPr="00E509D4" w:rsidRDefault="00AA26F6" w:rsidP="00E509D4">
                      <w:pPr>
                        <w:pStyle w:val="Caption"/>
                        <w:rPr>
                          <w:i w:val="0"/>
                          <w:iCs w:val="0"/>
                          <w:noProof/>
                          <w:color w:val="auto"/>
                          <w:sz w:val="24"/>
                          <w:szCs w:val="24"/>
                        </w:rPr>
                      </w:pPr>
                      <w:bookmarkStart w:id="53" w:name="_Toc14520649"/>
                      <w:r w:rsidRPr="00E509D4">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sidRPr="00E509D4">
                        <w:rPr>
                          <w:b/>
                          <w:bCs/>
                          <w:i w:val="0"/>
                          <w:iCs w:val="0"/>
                          <w:color w:val="auto"/>
                          <w:sz w:val="24"/>
                          <w:szCs w:val="24"/>
                        </w:rPr>
                        <w:t>:</w:t>
                      </w:r>
                      <w:r w:rsidRPr="00E509D4">
                        <w:rPr>
                          <w:i w:val="0"/>
                          <w:iCs w:val="0"/>
                          <w:color w:val="auto"/>
                          <w:sz w:val="24"/>
                          <w:szCs w:val="24"/>
                        </w:rPr>
                        <w:t xml:space="preserve"> A model showing how biomass components and their interaction influence thermal degradation product formation. Here, (HA) refers to Hydroxyacetone and (HAA) refers to Hydroxyacetaldehyde (7)</w:t>
                      </w:r>
                      <w:bookmarkEnd w:id="53"/>
                    </w:p>
                  </w:txbxContent>
                </v:textbox>
                <w10:wrap type="square" anchorx="margin"/>
              </v:shape>
            </w:pict>
          </mc:Fallback>
        </mc:AlternateContent>
      </w:r>
    </w:p>
    <w:p w14:paraId="3200BA27" w14:textId="77777777" w:rsidR="00C06476" w:rsidRDefault="00C06476" w:rsidP="00C06476">
      <w:pPr>
        <w:ind w:left="0" w:firstLine="0"/>
      </w:pPr>
    </w:p>
    <w:p w14:paraId="60F23B50" w14:textId="77777777" w:rsidR="00C06476" w:rsidRPr="00450F79" w:rsidRDefault="00C06476" w:rsidP="00ED4E6F">
      <w:pPr>
        <w:spacing w:line="480" w:lineRule="auto"/>
        <w:ind w:left="0" w:firstLine="720"/>
        <w:jc w:val="both"/>
        <w:rPr>
          <w:szCs w:val="24"/>
        </w:rPr>
      </w:pPr>
      <w:r w:rsidRPr="00450F79">
        <w:rPr>
          <w:szCs w:val="24"/>
        </w:rPr>
        <w:t xml:space="preserve">Figure 3.1 lists the major biopolymers (by weight) that constitute biomass, and Model 1 established how those major constituents are primary source of bio-oil thermal products. Model 2, on the other hand, is primarily focused on the secondary reactions that take place when biomass is subjected to thermal degradation treatments; these reactions are catalyzed by the presence of other components within biomass, namely the inorganic minerals (37, 48-52). For instance, levoglucosan – a primary product of cellulose pyrolysis- has been observed to interact with the minerals present in the residual char from biomass thermal degradation to form products including, but not limited to, levoglucosenone, furan derivatives, acetic acid, acetone, and acetol. </w:t>
      </w:r>
      <w:r w:rsidRPr="00450F79">
        <w:rPr>
          <w:szCs w:val="24"/>
        </w:rPr>
        <w:lastRenderedPageBreak/>
        <w:t xml:space="preserve">Pretreated biomass feedstock (i.e. demineralization) decreases the formation of such substances (49,50). </w:t>
      </w:r>
    </w:p>
    <w:p w14:paraId="47DA6166" w14:textId="77777777" w:rsidR="00C06476" w:rsidRPr="00450F79" w:rsidRDefault="00C06476" w:rsidP="00ED4E6F">
      <w:pPr>
        <w:spacing w:line="480" w:lineRule="auto"/>
        <w:ind w:left="0" w:firstLine="720"/>
        <w:jc w:val="both"/>
        <w:rPr>
          <w:szCs w:val="24"/>
        </w:rPr>
      </w:pPr>
      <w:r w:rsidRPr="00450F79">
        <w:rPr>
          <w:szCs w:val="24"/>
        </w:rPr>
        <w:t>Various secondary reactions are catalyzed by different mineral elements. Generally, the homolytic cleavage of pyranose ring bonds are augmented by the presence of metal cations. This augmentation comes at the expense of heterolytic cleaving of glycosidic linkages; such interaction leads to an increased formation of light oxygenate compounds and dwindles production of levoglucosan. Inorganic minerals like Na</w:t>
      </w:r>
      <w:r w:rsidRPr="00450F79">
        <w:rPr>
          <w:szCs w:val="24"/>
          <w:vertAlign w:val="superscript"/>
        </w:rPr>
        <w:t>+</w:t>
      </w:r>
      <w:r w:rsidRPr="00450F79">
        <w:rPr>
          <w:szCs w:val="24"/>
        </w:rPr>
        <w:t>, K</w:t>
      </w:r>
      <w:r w:rsidRPr="00450F79">
        <w:rPr>
          <w:szCs w:val="24"/>
          <w:vertAlign w:val="superscript"/>
        </w:rPr>
        <w:t>+</w:t>
      </w:r>
      <w:r w:rsidRPr="00450F79">
        <w:rPr>
          <w:szCs w:val="24"/>
        </w:rPr>
        <w:t>, Mg</w:t>
      </w:r>
      <w:r w:rsidRPr="00450F79">
        <w:rPr>
          <w:szCs w:val="24"/>
          <w:vertAlign w:val="superscript"/>
        </w:rPr>
        <w:t>2+</w:t>
      </w:r>
      <w:r w:rsidRPr="00450F79">
        <w:rPr>
          <w:szCs w:val="24"/>
        </w:rPr>
        <w:t>, and Ca</w:t>
      </w:r>
      <w:r w:rsidRPr="00450F79">
        <w:rPr>
          <w:szCs w:val="24"/>
          <w:vertAlign w:val="superscript"/>
        </w:rPr>
        <w:t>2+</w:t>
      </w:r>
      <w:r w:rsidRPr="00450F79">
        <w:rPr>
          <w:szCs w:val="24"/>
        </w:rPr>
        <w:t xml:space="preserve"> are known to facilitate levoglucosan decomposition. However, with regards to secondary thermal products, there is a noticeable difference in the behavioral trend between group 1 alkali metals and group 2 alkali metals. Formic acid, glycoaldehyde, and acetol production has been observed to increase with increasing presence of Na</w:t>
      </w:r>
      <w:r w:rsidRPr="00450F79">
        <w:rPr>
          <w:szCs w:val="24"/>
          <w:vertAlign w:val="superscript"/>
        </w:rPr>
        <w:t>+</w:t>
      </w:r>
      <w:r w:rsidRPr="00450F79">
        <w:rPr>
          <w:szCs w:val="24"/>
        </w:rPr>
        <w:t xml:space="preserve"> and K</w:t>
      </w:r>
      <w:r w:rsidRPr="00450F79">
        <w:rPr>
          <w:szCs w:val="24"/>
          <w:vertAlign w:val="superscript"/>
        </w:rPr>
        <w:t>+</w:t>
      </w:r>
      <w:r w:rsidRPr="00450F79">
        <w:rPr>
          <w:szCs w:val="24"/>
        </w:rPr>
        <w:t xml:space="preserve"> than compared to similar amounts of Mg</w:t>
      </w:r>
      <w:r w:rsidRPr="00450F79">
        <w:rPr>
          <w:szCs w:val="24"/>
          <w:vertAlign w:val="superscript"/>
        </w:rPr>
        <w:t>2+</w:t>
      </w:r>
      <w:r w:rsidRPr="00450F79">
        <w:rPr>
          <w:szCs w:val="24"/>
        </w:rPr>
        <w:t xml:space="preserve"> and Ca</w:t>
      </w:r>
      <w:r w:rsidRPr="00450F79">
        <w:rPr>
          <w:szCs w:val="24"/>
          <w:vertAlign w:val="superscript"/>
        </w:rPr>
        <w:t>2+</w:t>
      </w:r>
      <w:r w:rsidRPr="00450F79">
        <w:rPr>
          <w:szCs w:val="24"/>
        </w:rPr>
        <w:t>. However, when group 2 metal cations are in abundance compared to their respective group 1 cations, furfural production has been detected to increase. Furthermore, literature suggests that presence of alkali metals is linked to lower levoglucosan production; this is indicative of the fact that Na</w:t>
      </w:r>
      <w:r w:rsidRPr="00450F79">
        <w:rPr>
          <w:szCs w:val="24"/>
          <w:vertAlign w:val="superscript"/>
        </w:rPr>
        <w:t>+</w:t>
      </w:r>
      <w:r w:rsidRPr="00450F79">
        <w:rPr>
          <w:szCs w:val="24"/>
        </w:rPr>
        <w:t xml:space="preserve"> and K</w:t>
      </w:r>
      <w:r w:rsidRPr="00450F79">
        <w:rPr>
          <w:szCs w:val="24"/>
          <w:vertAlign w:val="superscript"/>
        </w:rPr>
        <w:t>+</w:t>
      </w:r>
      <w:r w:rsidRPr="00450F79">
        <w:rPr>
          <w:szCs w:val="24"/>
        </w:rPr>
        <w:t xml:space="preserve"> stimulates cracking reactions, while dehydration reactions are assisted by Mg</w:t>
      </w:r>
      <w:r w:rsidRPr="00450F79">
        <w:rPr>
          <w:szCs w:val="24"/>
          <w:vertAlign w:val="superscript"/>
        </w:rPr>
        <w:t>2+</w:t>
      </w:r>
      <w:r w:rsidRPr="00450F79">
        <w:rPr>
          <w:szCs w:val="24"/>
        </w:rPr>
        <w:t xml:space="preserve"> and Ca</w:t>
      </w:r>
      <w:r w:rsidRPr="00450F79">
        <w:rPr>
          <w:szCs w:val="24"/>
          <w:vertAlign w:val="superscript"/>
        </w:rPr>
        <w:t>2+</w:t>
      </w:r>
      <w:r w:rsidRPr="00450F79">
        <w:rPr>
          <w:szCs w:val="24"/>
        </w:rPr>
        <w:t xml:space="preserve"> (52,53).</w:t>
      </w:r>
    </w:p>
    <w:p w14:paraId="1FD77121" w14:textId="77777777" w:rsidR="00C06476" w:rsidRPr="00450F79" w:rsidRDefault="00C06476" w:rsidP="00C06476">
      <w:pPr>
        <w:spacing w:line="480" w:lineRule="auto"/>
        <w:ind w:left="0" w:firstLine="0"/>
        <w:jc w:val="both"/>
        <w:rPr>
          <w:szCs w:val="24"/>
        </w:rPr>
      </w:pPr>
      <w:r w:rsidRPr="00450F79">
        <w:rPr>
          <w:szCs w:val="24"/>
        </w:rPr>
        <w:t>There is also evidence in literature of interactions within the polymers present in biomass indirectly affecting the conversion of thermal degradation products. Alteration of pyrolysis products due to interactions between polysaccharides and lignin are well documented in detail in (54,55). Decrease in levoglucosan yield and an increase in light (C</w:t>
      </w:r>
      <w:r w:rsidRPr="00450F79">
        <w:rPr>
          <w:szCs w:val="24"/>
          <w:vertAlign w:val="subscript"/>
        </w:rPr>
        <w:t>1</w:t>
      </w:r>
      <w:r w:rsidRPr="00450F79">
        <w:rPr>
          <w:szCs w:val="24"/>
        </w:rPr>
        <w:t>-C</w:t>
      </w:r>
      <w:r w:rsidRPr="00450F79">
        <w:rPr>
          <w:szCs w:val="24"/>
          <w:vertAlign w:val="subscript"/>
        </w:rPr>
        <w:t>3</w:t>
      </w:r>
      <w:r w:rsidRPr="00450F79">
        <w:rPr>
          <w:szCs w:val="24"/>
        </w:rPr>
        <w:t>) compounds (mainly glycoaldehyde and furans) have been attributed to cellulose-lignin interactions. Zhang et al. (54) have hypothesized that the cellulose-lignin interaction occupies the C</w:t>
      </w:r>
      <w:r w:rsidRPr="00450F79">
        <w:rPr>
          <w:szCs w:val="24"/>
          <w:vertAlign w:val="subscript"/>
        </w:rPr>
        <w:t>6</w:t>
      </w:r>
      <w:r w:rsidRPr="00450F79">
        <w:rPr>
          <w:szCs w:val="24"/>
        </w:rPr>
        <w:t xml:space="preserve"> position which demotes the glycosidic bond cleavage required for levoglucosan formation; this change is offset by an increase in the production of lighter compounds and furans through ring scission, rearrangement, </w:t>
      </w:r>
      <w:r w:rsidRPr="00450F79">
        <w:rPr>
          <w:szCs w:val="24"/>
        </w:rPr>
        <w:lastRenderedPageBreak/>
        <w:t xml:space="preserve">and dehydration reactions. This phenomenon was profoundly detected in grass biomass (as opposed to other taxonomic divisions of biomass), and it coincides with the fact that grass cell walls incorporate an increased prevalence of covalent bonds between cellulose and lignin (56). Xylan-lignin interactions have also influenced pyrolysis products (7); for example, enzymatic removal of hemicelluloses from lignin-carbohydrate complexes lead to an increased coniferyl alcohol yields (55). </w:t>
      </w:r>
    </w:p>
    <w:p w14:paraId="271BC81F" w14:textId="77777777" w:rsidR="00C06476" w:rsidRPr="00450F79" w:rsidRDefault="00C06476" w:rsidP="00ED4E6F">
      <w:pPr>
        <w:spacing w:line="480" w:lineRule="auto"/>
        <w:ind w:left="0" w:firstLine="720"/>
        <w:jc w:val="both"/>
        <w:rPr>
          <w:szCs w:val="24"/>
        </w:rPr>
      </w:pPr>
      <w:r w:rsidRPr="00450F79">
        <w:rPr>
          <w:szCs w:val="24"/>
        </w:rPr>
        <w:t xml:space="preserve">While years of research have improved understanding of how monomeric and polymeric units of biomass lead to thermal products, including the significance of catalytic degradation, detailed comprehension in the correlation of biomass components and their respective related products is an area that can be further explored upon. Biological literature is continuously updating details on the characterization of cell wall components, while engineering literature continues to assess the chemical components (i.e. yields) of different pyrolytic fragments. It is reasonable to argue that more comprehensive relationship studies between biomass components and thermal degradation products will allow for more refined product quality since up-grading strategies are heavily influenced by bio-oil composition. </w:t>
      </w:r>
    </w:p>
    <w:p w14:paraId="6FD90B86" w14:textId="77777777" w:rsidR="00C06476" w:rsidRPr="00450F79" w:rsidRDefault="00C06476" w:rsidP="00ED4E6F">
      <w:pPr>
        <w:spacing w:line="480" w:lineRule="auto"/>
        <w:ind w:left="0" w:firstLine="720"/>
        <w:jc w:val="both"/>
        <w:rPr>
          <w:szCs w:val="24"/>
        </w:rPr>
      </w:pPr>
      <w:r w:rsidRPr="00450F79">
        <w:rPr>
          <w:szCs w:val="24"/>
        </w:rPr>
        <w:t xml:space="preserve">Generally, upgrading strategies are better facilitated with simpler and distinguished thermal product streams if C-C bonds and overall C-content are still maintained. To get a more thorough explanation of biomass-bio-oil relationship, more sophisticated analysis of biomass composition and thermal degradation products within species of the same biomass that display compositional variation is required. Much of the understanding and comparison within such a relationship in literature is based on biomass across different taxonomic divisions (i.e. softwood, hardwood, grass biomass). An analysis of slightly more rigorous difference across the same type of biomass where compositional factors are varied is the focus of this thesis. For instance, genetic </w:t>
      </w:r>
      <w:r w:rsidRPr="00450F79">
        <w:rPr>
          <w:szCs w:val="24"/>
        </w:rPr>
        <w:lastRenderedPageBreak/>
        <w:t xml:space="preserve">mutations leading (ideally) to a variance of only one component as compared to unmutated “wild type” plant of the same species can directly assess a more comprehensive relationship between starting feedstock and its relative products (7). </w:t>
      </w:r>
    </w:p>
    <w:p w14:paraId="749C11B5" w14:textId="77777777" w:rsidR="00C06476" w:rsidRPr="00450F79" w:rsidRDefault="00C06476" w:rsidP="00ED4E6F">
      <w:pPr>
        <w:spacing w:line="480" w:lineRule="auto"/>
        <w:ind w:left="0" w:firstLine="720"/>
        <w:jc w:val="both"/>
        <w:rPr>
          <w:szCs w:val="24"/>
        </w:rPr>
      </w:pPr>
      <w:r w:rsidRPr="00450F79">
        <w:rPr>
          <w:szCs w:val="24"/>
        </w:rPr>
        <w:t xml:space="preserve">Apart from selecting or breeding for natural variation within the same species of a specific biomass, genetic modification to target specific variation in biomass composition is an area that is quite compelling. In simple terminology, genetic engineering of bioenergy plants can be attained by altering the plant’s genome to do either of the following: expressing genes from other organisms, increasing the expression of native genes, or reducing the expression of native genes (7).  The motive behind genetically maneuvering biomass feedstock composition is to either increase the yield of favorable bio-oil thermal products or to decrease the yield of unfavorable bio-oil thermal products in order to simplify (i.e. economically favorable) up-grading strategies. </w:t>
      </w:r>
    </w:p>
    <w:p w14:paraId="22603AAD" w14:textId="77777777" w:rsidR="00C06476" w:rsidRPr="00450F79" w:rsidRDefault="00C06476" w:rsidP="00C06476">
      <w:pPr>
        <w:spacing w:line="480" w:lineRule="auto"/>
        <w:ind w:left="0" w:firstLine="0"/>
        <w:jc w:val="both"/>
        <w:rPr>
          <w:szCs w:val="24"/>
        </w:rPr>
      </w:pPr>
      <w:r w:rsidRPr="00450F79">
        <w:rPr>
          <w:szCs w:val="24"/>
        </w:rPr>
        <w:t xml:space="preserve">The foundation in genetically engineered bioenergy crops is based on the following concepts: comprehension of the biosynthetic pathway of cell wall formation including the individual genes culpable for the formation of major polymer units and the covalent interactions among them (7,26,57), regulation of the biosynthetic cell wall gene expression (58), and navigation of metal ion transport proteins which influence the relative abundance of inorganic mineral elements within plant species (59,60). Lignin, for instance, is a notable target for genetic modification – an area which this thesis will focus on in the following chapter- since lignin-derived thermal degradation products tend to have a lower O:C ratio and a higher energy value than sugar-derived thermal degradation products (7). </w:t>
      </w:r>
    </w:p>
    <w:p w14:paraId="60B7C44E" w14:textId="77777777" w:rsidR="00C06476" w:rsidRPr="00450F79" w:rsidRDefault="00C06476" w:rsidP="00ED4E6F">
      <w:pPr>
        <w:spacing w:line="480" w:lineRule="auto"/>
        <w:ind w:left="0" w:firstLine="720"/>
        <w:jc w:val="both"/>
        <w:rPr>
          <w:rFonts w:eastAsiaTheme="minorEastAsia"/>
          <w:szCs w:val="24"/>
        </w:rPr>
      </w:pPr>
      <w:r w:rsidRPr="00450F79">
        <w:rPr>
          <w:szCs w:val="24"/>
        </w:rPr>
        <w:t xml:space="preserve">Apart from genetic modification, pre-treatment of biomass species is another strategy that is used to improve the quality of biomass by altering biomass composition for simpler and more refined thermal product streams. One such pre-treatment strategy is torrefaction; it is a low </w:t>
      </w:r>
      <w:r w:rsidRPr="00450F79">
        <w:rPr>
          <w:szCs w:val="24"/>
        </w:rPr>
        <w:lastRenderedPageBreak/>
        <w:t xml:space="preserve">temperature (200-400 </w:t>
      </w:r>
      <m:oMath>
        <m:r>
          <w:rPr>
            <w:rFonts w:ascii="Cambria Math" w:hAnsi="Cambria Math"/>
            <w:szCs w:val="24"/>
          </w:rPr>
          <m:t>℃</m:t>
        </m:r>
      </m:oMath>
      <w:r w:rsidRPr="00450F79">
        <w:rPr>
          <w:rFonts w:eastAsiaTheme="minorEastAsia"/>
          <w:szCs w:val="24"/>
        </w:rPr>
        <w:t xml:space="preserve">) thermal decomposition process that removes most of the hemicellulose and separates unfavorable products such as water and acids into intermediate streams before the next stage of thermal degradation treatment can be applied (61). Torrefaction – in conjunction with genetically modified biomass- may help alter the biomass composition to a greater degree resulting in a more refined thermal segregation (i.e. hemicellulose decomposition could be completely separated (or maximized) from a stream containing decomposition products from cellulose and lignin). This could be achieved by detecting and understanding the roles played by various crucial biomass components- specifically in the lignin biosynthesis network- to maximize economical benefits of plant derived biofuels. </w:t>
      </w:r>
    </w:p>
    <w:p w14:paraId="04F2CCCA" w14:textId="77777777" w:rsidR="00C06476" w:rsidRPr="001555A6" w:rsidRDefault="00C06476" w:rsidP="00D9716E">
      <w:pPr>
        <w:pStyle w:val="Heading2"/>
        <w:rPr>
          <w:rFonts w:ascii="Times New Roman" w:eastAsiaTheme="minorEastAsia" w:hAnsi="Times New Roman" w:cs="Times New Roman"/>
          <w:b/>
          <w:bCs/>
          <w:color w:val="auto"/>
          <w:sz w:val="24"/>
          <w:szCs w:val="24"/>
        </w:rPr>
      </w:pPr>
      <w:bookmarkStart w:id="54" w:name="_Toc14521041"/>
      <w:r w:rsidRPr="001555A6">
        <w:rPr>
          <w:rFonts w:ascii="Times New Roman" w:eastAsiaTheme="minorEastAsia" w:hAnsi="Times New Roman" w:cs="Times New Roman"/>
          <w:b/>
          <w:bCs/>
          <w:color w:val="auto"/>
          <w:sz w:val="24"/>
          <w:szCs w:val="24"/>
        </w:rPr>
        <w:t>3.3 S</w:t>
      </w:r>
      <w:r w:rsidR="001555A6">
        <w:rPr>
          <w:rFonts w:ascii="Times New Roman" w:eastAsiaTheme="minorEastAsia" w:hAnsi="Times New Roman" w:cs="Times New Roman"/>
          <w:b/>
          <w:bCs/>
          <w:color w:val="auto"/>
          <w:sz w:val="24"/>
          <w:szCs w:val="24"/>
        </w:rPr>
        <w:t>election of temperature and time parameters for Torrefaction/Pyrolysis</w:t>
      </w:r>
      <w:bookmarkEnd w:id="54"/>
    </w:p>
    <w:p w14:paraId="71A71CCC" w14:textId="77777777" w:rsidR="00C06476" w:rsidRPr="00450F79" w:rsidRDefault="00C06476" w:rsidP="00ED4E6F">
      <w:pPr>
        <w:spacing w:line="480" w:lineRule="auto"/>
        <w:ind w:left="0" w:firstLine="720"/>
        <w:jc w:val="both"/>
        <w:rPr>
          <w:rFonts w:eastAsiaTheme="minorEastAsia"/>
          <w:szCs w:val="24"/>
        </w:rPr>
      </w:pPr>
      <w:r w:rsidRPr="00450F79">
        <w:rPr>
          <w:rFonts w:eastAsiaTheme="minorEastAsia"/>
          <w:szCs w:val="24"/>
        </w:rPr>
        <w:t xml:space="preserve">As mentioned in Chapter 1, the thermal stability regimes of cellulose and lignin overlap quite a bit; thus, achieving a thermal product stream devoid of hemicellulose-derived products and encompassing more of the cellulose-derived and lignin-derived products (e.g. levoglucosan and the phenolic substances) is of interest. It is crucial to keep in mind that the overwhelming focus of this thesis is eliminating lignin-derived products from the first stage (primarily hemicellulose) torrefaction stream.  Analytical pyrolysis determines the thermal product composition which results from both time and temperature variation. Standard grade AP 13 switchgrass biomass (obtained from the Microbiology department at The University of Oklahoma) were utilized for torrefaction experiments as a precursor step to pyrolysis to identify relevant chemical compounds and compound groups. </w:t>
      </w:r>
    </w:p>
    <w:p w14:paraId="3308BFE3" w14:textId="77777777" w:rsidR="00C06476" w:rsidRPr="00450F79" w:rsidRDefault="00C06476" w:rsidP="00ED4E6F">
      <w:pPr>
        <w:spacing w:line="480" w:lineRule="auto"/>
        <w:ind w:left="0" w:firstLine="720"/>
        <w:jc w:val="both"/>
        <w:rPr>
          <w:rFonts w:eastAsiaTheme="minorEastAsia"/>
          <w:szCs w:val="24"/>
        </w:rPr>
      </w:pPr>
      <w:r w:rsidRPr="00450F79">
        <w:rPr>
          <w:rFonts w:eastAsiaTheme="minorEastAsia"/>
          <w:szCs w:val="24"/>
        </w:rPr>
        <w:t xml:space="preserve">Hemicellulose has the lowest thermal degradation temperature range amongst the 3 major polymeric components of biomass; it has a lower decomposition temperature than cellulose while lignin has the broadest thermal degradation temperature change. Considering this, and the fact </w:t>
      </w:r>
      <w:r w:rsidRPr="00450F79">
        <w:rPr>
          <w:rFonts w:eastAsiaTheme="minorEastAsia"/>
          <w:szCs w:val="24"/>
        </w:rPr>
        <w:lastRenderedPageBreak/>
        <w:t xml:space="preserve">that the residence time of the thermal degradation unit employed did not exceed 2 minutes for any experiments, it was decided that torrefaction of AP13 switchgrass would be evaluated at 290 </w:t>
      </w:r>
      <m:oMath>
        <m:r>
          <w:rPr>
            <w:rFonts w:ascii="Cambria Math" w:eastAsiaTheme="minorEastAsia" w:hAnsi="Cambria Math"/>
            <w:szCs w:val="24"/>
          </w:rPr>
          <m:t>℃</m:t>
        </m:r>
      </m:oMath>
      <w:r w:rsidRPr="00450F79">
        <w:rPr>
          <w:rFonts w:eastAsiaTheme="minorEastAsia"/>
          <w:szCs w:val="24"/>
        </w:rPr>
        <w:t>. Previous work on oak biomass had been carried out at this temperature, even though the reactor used and residence time employed were different (6,7). This was also taken into consideration when choosing initial conditions for AP 13 switchgrass experiments. Furthermore, it has been determined that temperatures between 500</w:t>
      </w:r>
      <m:oMath>
        <m:r>
          <w:rPr>
            <w:rFonts w:ascii="Cambria Math" w:eastAsiaTheme="minorEastAsia" w:hAnsi="Cambria Math"/>
            <w:szCs w:val="24"/>
          </w:rPr>
          <m:t>℃</m:t>
        </m:r>
      </m:oMath>
      <w:r w:rsidRPr="00450F79">
        <w:rPr>
          <w:rFonts w:eastAsiaTheme="minorEastAsia"/>
          <w:szCs w:val="24"/>
        </w:rPr>
        <w:t xml:space="preserve"> - 550</w:t>
      </w:r>
      <m:oMath>
        <m:r>
          <w:rPr>
            <w:rFonts w:ascii="Cambria Math" w:eastAsiaTheme="minorEastAsia" w:hAnsi="Cambria Math"/>
            <w:szCs w:val="24"/>
          </w:rPr>
          <m:t>℃</m:t>
        </m:r>
      </m:oMath>
      <w:r w:rsidRPr="00450F79">
        <w:rPr>
          <w:rFonts w:eastAsiaTheme="minorEastAsia"/>
          <w:szCs w:val="24"/>
        </w:rPr>
        <w:t xml:space="preserve"> is efficient for fast pyrolysis of biomass to optimize overall liquid yield (62). </w:t>
      </w:r>
    </w:p>
    <w:p w14:paraId="71B63204" w14:textId="77777777" w:rsidR="00C06476" w:rsidRPr="00450F79" w:rsidRDefault="00C06476" w:rsidP="00ED4E6F">
      <w:pPr>
        <w:spacing w:line="480" w:lineRule="auto"/>
        <w:ind w:left="0" w:firstLine="720"/>
        <w:jc w:val="both"/>
        <w:rPr>
          <w:rFonts w:eastAsiaTheme="minorEastAsia"/>
          <w:szCs w:val="24"/>
        </w:rPr>
      </w:pPr>
      <w:r w:rsidRPr="00450F79">
        <w:rPr>
          <w:rFonts w:eastAsiaTheme="minorEastAsia"/>
          <w:szCs w:val="24"/>
        </w:rPr>
        <w:t>Three technical replicates of the same mesh size of AP13 switchgrass were, therefore, torrefied at 290</w:t>
      </w:r>
      <m:oMath>
        <m:r>
          <w:rPr>
            <w:rFonts w:ascii="Cambria Math" w:eastAsiaTheme="minorEastAsia" w:hAnsi="Cambria Math"/>
            <w:szCs w:val="24"/>
          </w:rPr>
          <m:t>℃</m:t>
        </m:r>
      </m:oMath>
      <w:r w:rsidRPr="00450F79">
        <w:rPr>
          <w:rFonts w:eastAsiaTheme="minorEastAsia"/>
          <w:szCs w:val="24"/>
        </w:rPr>
        <w:t xml:space="preserve"> for 120 seconds followed by pyrolysis at 500</w:t>
      </w:r>
      <m:oMath>
        <m:r>
          <w:rPr>
            <w:rFonts w:ascii="Cambria Math" w:eastAsiaTheme="minorEastAsia" w:hAnsi="Cambria Math"/>
            <w:szCs w:val="24"/>
          </w:rPr>
          <m:t>℃</m:t>
        </m:r>
      </m:oMath>
      <w:r w:rsidRPr="00450F79">
        <w:rPr>
          <w:rFonts w:eastAsiaTheme="minorEastAsia"/>
          <w:szCs w:val="24"/>
        </w:rPr>
        <w:t xml:space="preserve"> for 60 seconds. A blank tube in between each switchgrass sample was placed for cleaning any residual vapors from previous experimental runs at a temperature of 1000</w:t>
      </w:r>
      <m:oMath>
        <m:r>
          <w:rPr>
            <w:rFonts w:ascii="Cambria Math" w:eastAsiaTheme="minorEastAsia" w:hAnsi="Cambria Math"/>
            <w:szCs w:val="24"/>
          </w:rPr>
          <m:t>℃</m:t>
        </m:r>
      </m:oMath>
      <w:r w:rsidRPr="00450F79">
        <w:rPr>
          <w:rFonts w:eastAsiaTheme="minorEastAsia"/>
          <w:szCs w:val="24"/>
        </w:rPr>
        <w:t xml:space="preserve">. To regulate minimal thermal gradient for a uniform torrefaction/pyrolysis process, the sample sizes for these technical replicates – and the subsequent samples included in this section of the thesis- were kept relatively small (i.e. varied from about 0.50 </w:t>
      </w:r>
      <m:oMath>
        <m:r>
          <w:rPr>
            <w:rFonts w:ascii="Cambria Math" w:eastAsiaTheme="minorEastAsia" w:hAnsi="Cambria Math"/>
            <w:szCs w:val="24"/>
          </w:rPr>
          <m:t>mg</m:t>
        </m:r>
      </m:oMath>
      <w:r w:rsidRPr="00450F79">
        <w:rPr>
          <w:rFonts w:eastAsiaTheme="minorEastAsia"/>
          <w:szCs w:val="24"/>
        </w:rPr>
        <w:t xml:space="preserve"> to around 2.20 </w:t>
      </w:r>
      <m:oMath>
        <m:r>
          <w:rPr>
            <w:rFonts w:ascii="Cambria Math" w:eastAsiaTheme="minorEastAsia" w:hAnsi="Cambria Math"/>
            <w:szCs w:val="24"/>
          </w:rPr>
          <m:t>mg</m:t>
        </m:r>
      </m:oMath>
      <w:r w:rsidRPr="00450F79">
        <w:rPr>
          <w:rFonts w:eastAsiaTheme="minorEastAsia"/>
          <w:szCs w:val="24"/>
        </w:rPr>
        <w:t xml:space="preserve">). Each identified chemical compound was then lumped into the following organic groups: Light Oxygenates, Acetic Acid, Furfurals, Furans, Alkyl Benzenes, Alkyl Phenols, Anhydrous Sugars, and Methoxy Phenols. Figure 3.5 and Figure 3.6 depict the composition of the different product streams resulting from the thermal degradation of AP 13 switchgrass. Evaluation of 290 degrees torrefaction were not satisfactory due to extremely low pyrolytic yields, as evidenced by Figure 3.6. </w:t>
      </w:r>
    </w:p>
    <w:p w14:paraId="75A9B963" w14:textId="77777777" w:rsidR="00C06476" w:rsidRDefault="00E509D4" w:rsidP="00C06476">
      <w:pPr>
        <w:ind w:left="0" w:firstLine="0"/>
        <w:rPr>
          <w:rFonts w:eastAsiaTheme="minorEastAsia"/>
        </w:rPr>
      </w:pPr>
      <w:r>
        <w:rPr>
          <w:noProof/>
        </w:rPr>
        <w:lastRenderedPageBreak/>
        <mc:AlternateContent>
          <mc:Choice Requires="wps">
            <w:drawing>
              <wp:anchor distT="0" distB="0" distL="114300" distR="114300" simplePos="0" relativeHeight="251780096" behindDoc="0" locked="0" layoutInCell="1" allowOverlap="1" wp14:anchorId="4A5B9EC2" wp14:editId="37E649A0">
                <wp:simplePos x="0" y="0"/>
                <wp:positionH relativeFrom="column">
                  <wp:posOffset>0</wp:posOffset>
                </wp:positionH>
                <wp:positionV relativeFrom="paragraph">
                  <wp:posOffset>2798445</wp:posOffset>
                </wp:positionV>
                <wp:extent cx="5436235" cy="635"/>
                <wp:effectExtent l="0" t="0" r="0" b="0"/>
                <wp:wrapSquare wrapText="bothSides"/>
                <wp:docPr id="260" name="Text Box 260"/>
                <wp:cNvGraphicFramePr/>
                <a:graphic xmlns:a="http://schemas.openxmlformats.org/drawingml/2006/main">
                  <a:graphicData uri="http://schemas.microsoft.com/office/word/2010/wordprocessingShape">
                    <wps:wsp>
                      <wps:cNvSpPr txBox="1"/>
                      <wps:spPr>
                        <a:xfrm>
                          <a:off x="0" y="0"/>
                          <a:ext cx="5436235" cy="635"/>
                        </a:xfrm>
                        <a:prstGeom prst="rect">
                          <a:avLst/>
                        </a:prstGeom>
                        <a:solidFill>
                          <a:prstClr val="white"/>
                        </a:solidFill>
                        <a:ln>
                          <a:noFill/>
                        </a:ln>
                      </wps:spPr>
                      <wps:txbx>
                        <w:txbxContent>
                          <w:p w14:paraId="548AC9A1" w14:textId="03A8A6B2" w:rsidR="00AA26F6" w:rsidRPr="00E509D4" w:rsidRDefault="00AA26F6" w:rsidP="00E509D4">
                            <w:pPr>
                              <w:pStyle w:val="Caption"/>
                              <w:rPr>
                                <w:i w:val="0"/>
                                <w:iCs w:val="0"/>
                                <w:noProof/>
                                <w:color w:val="auto"/>
                                <w:sz w:val="24"/>
                                <w:szCs w:val="24"/>
                              </w:rPr>
                            </w:pPr>
                            <w:bookmarkStart w:id="55" w:name="_Toc14520650"/>
                            <w:r w:rsidRPr="00E509D4">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5</w:t>
                            </w:r>
                            <w:r>
                              <w:rPr>
                                <w:b/>
                                <w:bCs/>
                                <w:i w:val="0"/>
                                <w:iCs w:val="0"/>
                                <w:color w:val="auto"/>
                                <w:sz w:val="24"/>
                                <w:szCs w:val="24"/>
                              </w:rPr>
                              <w:fldChar w:fldCharType="end"/>
                            </w:r>
                            <w:r w:rsidRPr="00E509D4">
                              <w:rPr>
                                <w:b/>
                                <w:bCs/>
                                <w:i w:val="0"/>
                                <w:iCs w:val="0"/>
                                <w:color w:val="auto"/>
                                <w:sz w:val="24"/>
                                <w:szCs w:val="24"/>
                              </w:rPr>
                              <w:t>:</w:t>
                            </w:r>
                            <w:r w:rsidRPr="00E509D4">
                              <w:rPr>
                                <w:i w:val="0"/>
                                <w:iCs w:val="0"/>
                                <w:color w:val="auto"/>
                                <w:sz w:val="24"/>
                                <w:szCs w:val="24"/>
                              </w:rPr>
                              <w:t xml:space="preserve"> Yield showing different composition streams of AP13 Switchgrass upon torrefaction with a residence time of 120 seconds</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5B9EC2" id="Text Box 260" o:spid="_x0000_s1041" type="#_x0000_t202" style="position:absolute;margin-left:0;margin-top:220.35pt;width:428.05pt;height:.05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" stroked="f">
                <v:textbox style="mso-fit-shape-to-text:t" inset="0,0,0,0">
                  <w:txbxContent>
                    <w:p w14:paraId="548AC9A1" w14:textId="03A8A6B2" w:rsidR="00AA26F6" w:rsidRPr="00E509D4" w:rsidRDefault="00AA26F6" w:rsidP="00E509D4">
                      <w:pPr>
                        <w:pStyle w:val="Caption"/>
                        <w:rPr>
                          <w:i w:val="0"/>
                          <w:iCs w:val="0"/>
                          <w:noProof/>
                          <w:color w:val="auto"/>
                          <w:sz w:val="24"/>
                          <w:szCs w:val="24"/>
                        </w:rPr>
                      </w:pPr>
                      <w:bookmarkStart w:id="56" w:name="_Toc14520650"/>
                      <w:r w:rsidRPr="00E509D4">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5</w:t>
                      </w:r>
                      <w:r>
                        <w:rPr>
                          <w:b/>
                          <w:bCs/>
                          <w:i w:val="0"/>
                          <w:iCs w:val="0"/>
                          <w:color w:val="auto"/>
                          <w:sz w:val="24"/>
                          <w:szCs w:val="24"/>
                        </w:rPr>
                        <w:fldChar w:fldCharType="end"/>
                      </w:r>
                      <w:r w:rsidRPr="00E509D4">
                        <w:rPr>
                          <w:b/>
                          <w:bCs/>
                          <w:i w:val="0"/>
                          <w:iCs w:val="0"/>
                          <w:color w:val="auto"/>
                          <w:sz w:val="24"/>
                          <w:szCs w:val="24"/>
                        </w:rPr>
                        <w:t>:</w:t>
                      </w:r>
                      <w:r w:rsidRPr="00E509D4">
                        <w:rPr>
                          <w:i w:val="0"/>
                          <w:iCs w:val="0"/>
                          <w:color w:val="auto"/>
                          <w:sz w:val="24"/>
                          <w:szCs w:val="24"/>
                        </w:rPr>
                        <w:t xml:space="preserve"> Yield showing different composition streams of AP13 Switchgrass upon torrefaction with a residence time of 120 seconds</w:t>
                      </w:r>
                      <w:bookmarkEnd w:id="56"/>
                    </w:p>
                  </w:txbxContent>
                </v:textbox>
                <w10:wrap type="square"/>
              </v:shape>
            </w:pict>
          </mc:Fallback>
        </mc:AlternateContent>
      </w:r>
      <w:r w:rsidR="00C06476">
        <w:rPr>
          <w:noProof/>
        </w:rPr>
        <w:drawing>
          <wp:anchor distT="0" distB="0" distL="114300" distR="114300" simplePos="0" relativeHeight="251691008" behindDoc="0" locked="0" layoutInCell="1" allowOverlap="1" wp14:anchorId="18A34E1A" wp14:editId="4BF80027">
            <wp:simplePos x="0" y="0"/>
            <wp:positionH relativeFrom="column">
              <wp:posOffset>0</wp:posOffset>
            </wp:positionH>
            <wp:positionV relativeFrom="paragraph">
              <wp:posOffset>-4445</wp:posOffset>
            </wp:positionV>
            <wp:extent cx="5436235" cy="2741295"/>
            <wp:effectExtent l="0" t="0" r="12065" b="1905"/>
            <wp:wrapSquare wrapText="bothSides"/>
            <wp:docPr id="198" name="Chart 198">
              <a:extLst xmlns:a="http://schemas.openxmlformats.org/drawingml/2006/main">
                <a:ext uri="{FF2B5EF4-FFF2-40B4-BE49-F238E27FC236}">
                  <a16:creationId xmlns:a16="http://schemas.microsoft.com/office/drawing/2014/main" id="{84D758CE-476F-4790-B7C9-75D71085E9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14:paraId="0B3A0793" w14:textId="77777777" w:rsidR="00C06476" w:rsidRDefault="00C06476" w:rsidP="00C06476">
      <w:pPr>
        <w:ind w:left="0" w:firstLine="0"/>
        <w:rPr>
          <w:rFonts w:eastAsiaTheme="minorEastAsia"/>
        </w:rPr>
      </w:pPr>
      <w:r>
        <w:rPr>
          <w:rFonts w:eastAsiaTheme="minorEastAsia"/>
        </w:rPr>
        <w:t xml:space="preserve"> </w:t>
      </w:r>
    </w:p>
    <w:p w14:paraId="4C414893" w14:textId="77777777" w:rsidR="00C06476" w:rsidRDefault="00C06476" w:rsidP="00C06476">
      <w:pPr>
        <w:ind w:left="0" w:firstLine="0"/>
        <w:rPr>
          <w:rFonts w:eastAsiaTheme="minorEastAsia"/>
        </w:rPr>
      </w:pPr>
    </w:p>
    <w:p w14:paraId="7F8A15C0" w14:textId="77777777" w:rsidR="00C06476" w:rsidRDefault="00C06476" w:rsidP="00C06476">
      <w:pPr>
        <w:ind w:left="0" w:firstLine="0"/>
      </w:pPr>
    </w:p>
    <w:p w14:paraId="6F716B98" w14:textId="77777777" w:rsidR="00C06476" w:rsidRDefault="00C06476" w:rsidP="00C06476">
      <w:pPr>
        <w:ind w:left="0" w:firstLine="0"/>
      </w:pPr>
    </w:p>
    <w:p w14:paraId="6D39A85E" w14:textId="77777777" w:rsidR="00C06476" w:rsidRDefault="00C06476" w:rsidP="00C06476">
      <w:pPr>
        <w:ind w:left="0" w:firstLine="0"/>
      </w:pPr>
    </w:p>
    <w:p w14:paraId="57FD0B9E" w14:textId="77777777" w:rsidR="00C06476" w:rsidRDefault="00C06476" w:rsidP="00C06476">
      <w:pPr>
        <w:ind w:left="0" w:firstLine="0"/>
      </w:pPr>
    </w:p>
    <w:p w14:paraId="21B394C7" w14:textId="77777777" w:rsidR="00C06476" w:rsidRDefault="00C06476" w:rsidP="00C06476">
      <w:pPr>
        <w:ind w:left="0" w:firstLine="0"/>
      </w:pPr>
    </w:p>
    <w:p w14:paraId="015F4ABF" w14:textId="77777777" w:rsidR="00C06476" w:rsidRDefault="00C06476" w:rsidP="00C06476">
      <w:pPr>
        <w:ind w:left="0" w:firstLine="0"/>
      </w:pPr>
    </w:p>
    <w:p w14:paraId="3FC33A8F" w14:textId="77777777" w:rsidR="00C06476" w:rsidRDefault="00E509D4" w:rsidP="00C06476">
      <w:pPr>
        <w:ind w:left="0" w:firstLine="0"/>
      </w:pPr>
      <w:r>
        <w:rPr>
          <w:noProof/>
        </w:rPr>
        <w:drawing>
          <wp:anchor distT="0" distB="0" distL="114300" distR="114300" simplePos="0" relativeHeight="251702272" behindDoc="0" locked="0" layoutInCell="1" allowOverlap="1" wp14:anchorId="042AC7AA" wp14:editId="783A8305">
            <wp:simplePos x="0" y="0"/>
            <wp:positionH relativeFrom="margin">
              <wp:align>left</wp:align>
            </wp:positionH>
            <wp:positionV relativeFrom="paragraph">
              <wp:posOffset>157480</wp:posOffset>
            </wp:positionV>
            <wp:extent cx="5484495" cy="2653030"/>
            <wp:effectExtent l="0" t="0" r="1905" b="13970"/>
            <wp:wrapSquare wrapText="bothSides"/>
            <wp:docPr id="199" name="Chart 199">
              <a:extLst xmlns:a="http://schemas.openxmlformats.org/drawingml/2006/main">
                <a:ext uri="{FF2B5EF4-FFF2-40B4-BE49-F238E27FC236}">
                  <a16:creationId xmlns:a16="http://schemas.microsoft.com/office/drawing/2014/main" id="{8CAA3C0C-1A96-407D-A799-3F3428095B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p>
    <w:p w14:paraId="3FAA4A21" w14:textId="77777777" w:rsidR="00C06476" w:rsidRDefault="00C06476" w:rsidP="00C06476">
      <w:pPr>
        <w:ind w:left="0" w:firstLine="0"/>
      </w:pPr>
    </w:p>
    <w:p w14:paraId="02EAB28D" w14:textId="77777777" w:rsidR="00641373" w:rsidRDefault="00E509D4" w:rsidP="00641373">
      <w:pPr>
        <w:spacing w:line="480" w:lineRule="auto"/>
        <w:ind w:left="0" w:firstLine="0"/>
        <w:jc w:val="both"/>
        <w:rPr>
          <w:szCs w:val="24"/>
        </w:rPr>
      </w:pPr>
      <w:r>
        <w:rPr>
          <w:noProof/>
        </w:rPr>
        <mc:AlternateContent>
          <mc:Choice Requires="wps">
            <w:drawing>
              <wp:anchor distT="0" distB="0" distL="114300" distR="114300" simplePos="0" relativeHeight="251782144" behindDoc="0" locked="0" layoutInCell="1" allowOverlap="1" wp14:anchorId="77C154D8" wp14:editId="4EE0D063">
                <wp:simplePos x="0" y="0"/>
                <wp:positionH relativeFrom="margin">
                  <wp:align>left</wp:align>
                </wp:positionH>
                <wp:positionV relativeFrom="paragraph">
                  <wp:posOffset>2153920</wp:posOffset>
                </wp:positionV>
                <wp:extent cx="5484495" cy="523875"/>
                <wp:effectExtent l="0" t="0" r="1905" b="9525"/>
                <wp:wrapSquare wrapText="bothSides"/>
                <wp:docPr id="261" name="Text Box 261"/>
                <wp:cNvGraphicFramePr/>
                <a:graphic xmlns:a="http://schemas.openxmlformats.org/drawingml/2006/main">
                  <a:graphicData uri="http://schemas.microsoft.com/office/word/2010/wordprocessingShape">
                    <wps:wsp>
                      <wps:cNvSpPr txBox="1"/>
                      <wps:spPr>
                        <a:xfrm>
                          <a:off x="0" y="0"/>
                          <a:ext cx="5484495" cy="523875"/>
                        </a:xfrm>
                        <a:prstGeom prst="rect">
                          <a:avLst/>
                        </a:prstGeom>
                        <a:solidFill>
                          <a:prstClr val="white"/>
                        </a:solidFill>
                        <a:ln>
                          <a:noFill/>
                        </a:ln>
                      </wps:spPr>
                      <wps:txbx>
                        <w:txbxContent>
                          <w:p w14:paraId="43E1411A" w14:textId="7DD24505" w:rsidR="00AA26F6" w:rsidRPr="00E509D4" w:rsidRDefault="00AA26F6" w:rsidP="00E509D4">
                            <w:pPr>
                              <w:pStyle w:val="Caption"/>
                              <w:rPr>
                                <w:i w:val="0"/>
                                <w:iCs w:val="0"/>
                                <w:noProof/>
                                <w:color w:val="auto"/>
                                <w:sz w:val="24"/>
                                <w:szCs w:val="24"/>
                              </w:rPr>
                            </w:pPr>
                            <w:bookmarkStart w:id="57" w:name="_Toc14520651"/>
                            <w:r w:rsidRPr="00E509D4">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6</w:t>
                            </w:r>
                            <w:r>
                              <w:rPr>
                                <w:b/>
                                <w:bCs/>
                                <w:i w:val="0"/>
                                <w:iCs w:val="0"/>
                                <w:color w:val="auto"/>
                                <w:sz w:val="24"/>
                                <w:szCs w:val="24"/>
                              </w:rPr>
                              <w:fldChar w:fldCharType="end"/>
                            </w:r>
                            <w:r w:rsidRPr="00E509D4">
                              <w:rPr>
                                <w:b/>
                                <w:bCs/>
                                <w:i w:val="0"/>
                                <w:iCs w:val="0"/>
                                <w:color w:val="auto"/>
                                <w:sz w:val="24"/>
                                <w:szCs w:val="24"/>
                              </w:rPr>
                              <w:t>:</w:t>
                            </w:r>
                            <w:r w:rsidRPr="00E509D4">
                              <w:rPr>
                                <w:i w:val="0"/>
                                <w:iCs w:val="0"/>
                                <w:color w:val="auto"/>
                                <w:sz w:val="24"/>
                                <w:szCs w:val="24"/>
                              </w:rPr>
                              <w:t xml:space="preserve"> Yield showing different composition streams of torrefied AP13 Switchgrass upon pyrolysis with a residence time of 60 seconds</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C154D8" id="Text Box 261" o:spid="_x0000_s1042" type="#_x0000_t202" style="position:absolute;left:0;text-align:left;margin-left:0;margin-top:169.6pt;width:431.85pt;height:41.25pt;z-index:2517821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" stroked="f">
                <v:textbox inset="0,0,0,0">
                  <w:txbxContent>
                    <w:p w14:paraId="43E1411A" w14:textId="7DD24505" w:rsidR="00AA26F6" w:rsidRPr="00E509D4" w:rsidRDefault="00AA26F6" w:rsidP="00E509D4">
                      <w:pPr>
                        <w:pStyle w:val="Caption"/>
                        <w:rPr>
                          <w:i w:val="0"/>
                          <w:iCs w:val="0"/>
                          <w:noProof/>
                          <w:color w:val="auto"/>
                          <w:sz w:val="24"/>
                          <w:szCs w:val="24"/>
                        </w:rPr>
                      </w:pPr>
                      <w:bookmarkStart w:id="58" w:name="_Toc14520651"/>
                      <w:r w:rsidRPr="00E509D4">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6</w:t>
                      </w:r>
                      <w:r>
                        <w:rPr>
                          <w:b/>
                          <w:bCs/>
                          <w:i w:val="0"/>
                          <w:iCs w:val="0"/>
                          <w:color w:val="auto"/>
                          <w:sz w:val="24"/>
                          <w:szCs w:val="24"/>
                        </w:rPr>
                        <w:fldChar w:fldCharType="end"/>
                      </w:r>
                      <w:r w:rsidRPr="00E509D4">
                        <w:rPr>
                          <w:b/>
                          <w:bCs/>
                          <w:i w:val="0"/>
                          <w:iCs w:val="0"/>
                          <w:color w:val="auto"/>
                          <w:sz w:val="24"/>
                          <w:szCs w:val="24"/>
                        </w:rPr>
                        <w:t>:</w:t>
                      </w:r>
                      <w:r w:rsidRPr="00E509D4">
                        <w:rPr>
                          <w:i w:val="0"/>
                          <w:iCs w:val="0"/>
                          <w:color w:val="auto"/>
                          <w:sz w:val="24"/>
                          <w:szCs w:val="24"/>
                        </w:rPr>
                        <w:t xml:space="preserve"> Yield showing different composition streams of torrefied AP13 Switchgrass upon pyrolysis with a residence time of 60 seconds</w:t>
                      </w:r>
                      <w:bookmarkEnd w:id="58"/>
                    </w:p>
                  </w:txbxContent>
                </v:textbox>
                <w10:wrap type="square" anchorx="margin"/>
              </v:shape>
            </w:pict>
          </mc:Fallback>
        </mc:AlternateContent>
      </w:r>
    </w:p>
    <w:p w14:paraId="00D0878B" w14:textId="77777777" w:rsidR="00BA7F79" w:rsidRDefault="00BA7F79" w:rsidP="00ED4E6F">
      <w:pPr>
        <w:spacing w:line="480" w:lineRule="auto"/>
        <w:ind w:left="0" w:firstLine="720"/>
        <w:jc w:val="both"/>
        <w:rPr>
          <w:szCs w:val="24"/>
        </w:rPr>
      </w:pPr>
    </w:p>
    <w:p w14:paraId="5AEC9B71" w14:textId="77777777" w:rsidR="00BA7F79" w:rsidRDefault="00BA7F79" w:rsidP="00ED4E6F">
      <w:pPr>
        <w:spacing w:line="480" w:lineRule="auto"/>
        <w:ind w:left="0" w:firstLine="720"/>
        <w:jc w:val="both"/>
        <w:rPr>
          <w:szCs w:val="24"/>
        </w:rPr>
      </w:pPr>
    </w:p>
    <w:p w14:paraId="42141483" w14:textId="77777777" w:rsidR="00BA7F79" w:rsidRDefault="00BA7F79" w:rsidP="00ED4E6F">
      <w:pPr>
        <w:spacing w:line="480" w:lineRule="auto"/>
        <w:ind w:left="0" w:firstLine="720"/>
        <w:jc w:val="both"/>
        <w:rPr>
          <w:szCs w:val="24"/>
        </w:rPr>
      </w:pPr>
    </w:p>
    <w:p w14:paraId="1763C3DA" w14:textId="77777777" w:rsidR="00BA7F79" w:rsidRDefault="00BA7F79" w:rsidP="00ED4E6F">
      <w:pPr>
        <w:spacing w:line="480" w:lineRule="auto"/>
        <w:ind w:left="0" w:firstLine="720"/>
        <w:jc w:val="both"/>
        <w:rPr>
          <w:szCs w:val="24"/>
        </w:rPr>
      </w:pPr>
    </w:p>
    <w:p w14:paraId="695D4900" w14:textId="77777777" w:rsidR="00C06476" w:rsidRDefault="00C06476" w:rsidP="00ED4E6F">
      <w:pPr>
        <w:spacing w:line="480" w:lineRule="auto"/>
        <w:ind w:left="0" w:firstLine="720"/>
        <w:jc w:val="both"/>
        <w:rPr>
          <w:szCs w:val="24"/>
        </w:rPr>
      </w:pPr>
      <w:r w:rsidRPr="00236B25">
        <w:rPr>
          <w:szCs w:val="24"/>
        </w:rPr>
        <w:lastRenderedPageBreak/>
        <w:t>While torrefaction of the AP13 switchgrass shows variation in the composition of thermal product streams (i.e. thermochemical products of each compound lump being produced), Figure 3.6 displays barely any product upon pyrolysis. With the aim of torrefaction being removal of hemicellulose-derived thermal products to attain a subsequent pyrolysis stream comprising mainly cellulose-derived and lignin-derived products, the treatment of torrefaction (i.e. temperature) seems harsh (i.e. low pyrolytic yields). The abundance of anhydrous sugars in Figure 3.5 is due to levoglucosan – a primary product of cellulose pyrolysis; this, in association with the presence of the phenolic species upon torrefaction and absence of the phenolics during pyrolysis of the torrefied biomass, further reiterated that temperature and time parameters for the thermal treatments would need to be altered. The aim was to find conditions which would allow a proper assessment of the influences of biomass genetic modification on thermal products of torrefaction and pyrolysis. Reduction of the residence time of torrefaction to 60 seconds still yielded mor</w:t>
      </w:r>
      <w:r w:rsidR="00BA7F79">
        <w:rPr>
          <w:szCs w:val="24"/>
        </w:rPr>
        <w:t xml:space="preserve">e </w:t>
      </w:r>
      <w:r w:rsidRPr="00236B25">
        <w:rPr>
          <w:szCs w:val="24"/>
        </w:rPr>
        <w:t xml:space="preserve">anhydrous sugars and phenolics than their respective amounts during pyrolysis (as Figure 3.7 and Figure 3.8 determines). </w:t>
      </w:r>
    </w:p>
    <w:p w14:paraId="3AC677CA" w14:textId="77777777" w:rsidR="00BA7F79" w:rsidRDefault="00BA7F79" w:rsidP="00ED4E6F">
      <w:pPr>
        <w:spacing w:line="480" w:lineRule="auto"/>
        <w:ind w:left="0" w:firstLine="720"/>
        <w:jc w:val="both"/>
        <w:rPr>
          <w:szCs w:val="24"/>
        </w:rPr>
      </w:pPr>
    </w:p>
    <w:p w14:paraId="6AEE64B6" w14:textId="77777777" w:rsidR="00BA7F79" w:rsidRDefault="00BA7F79" w:rsidP="00ED4E6F">
      <w:pPr>
        <w:spacing w:line="480" w:lineRule="auto"/>
        <w:ind w:left="0" w:firstLine="720"/>
        <w:jc w:val="both"/>
        <w:rPr>
          <w:szCs w:val="24"/>
        </w:rPr>
      </w:pPr>
    </w:p>
    <w:p w14:paraId="569A7C46" w14:textId="77777777" w:rsidR="00BA7F79" w:rsidRDefault="00BA7F79" w:rsidP="00ED4E6F">
      <w:pPr>
        <w:spacing w:line="480" w:lineRule="auto"/>
        <w:ind w:left="0" w:firstLine="720"/>
        <w:jc w:val="both"/>
        <w:rPr>
          <w:szCs w:val="24"/>
        </w:rPr>
      </w:pPr>
    </w:p>
    <w:p w14:paraId="7F9E6178" w14:textId="77777777" w:rsidR="00BA7F79" w:rsidRDefault="00BA7F79" w:rsidP="00ED4E6F">
      <w:pPr>
        <w:spacing w:line="480" w:lineRule="auto"/>
        <w:ind w:left="0" w:firstLine="720"/>
        <w:jc w:val="both"/>
        <w:rPr>
          <w:szCs w:val="24"/>
        </w:rPr>
      </w:pPr>
    </w:p>
    <w:p w14:paraId="7A0E22D7" w14:textId="77777777" w:rsidR="00BA7F79" w:rsidRDefault="00BA7F79" w:rsidP="00ED4E6F">
      <w:pPr>
        <w:spacing w:line="480" w:lineRule="auto"/>
        <w:ind w:left="0" w:firstLine="720"/>
        <w:jc w:val="both"/>
        <w:rPr>
          <w:szCs w:val="24"/>
        </w:rPr>
      </w:pPr>
    </w:p>
    <w:p w14:paraId="0B5B81D4" w14:textId="77777777" w:rsidR="00BA7F79" w:rsidRDefault="00BA7F79" w:rsidP="00ED4E6F">
      <w:pPr>
        <w:spacing w:line="480" w:lineRule="auto"/>
        <w:ind w:left="0" w:firstLine="720"/>
        <w:jc w:val="both"/>
        <w:rPr>
          <w:szCs w:val="24"/>
        </w:rPr>
      </w:pPr>
    </w:p>
    <w:p w14:paraId="50904EE6" w14:textId="77777777" w:rsidR="00BA7F79" w:rsidRDefault="00BA7F79" w:rsidP="00ED4E6F">
      <w:pPr>
        <w:spacing w:line="480" w:lineRule="auto"/>
        <w:ind w:left="0" w:firstLine="720"/>
        <w:jc w:val="both"/>
        <w:rPr>
          <w:szCs w:val="24"/>
        </w:rPr>
      </w:pPr>
    </w:p>
    <w:p w14:paraId="4B2F9FD3" w14:textId="77777777" w:rsidR="00BA7F79" w:rsidRDefault="00BA7F79" w:rsidP="00ED4E6F">
      <w:pPr>
        <w:spacing w:line="480" w:lineRule="auto"/>
        <w:ind w:left="0" w:firstLine="720"/>
        <w:jc w:val="both"/>
        <w:rPr>
          <w:szCs w:val="24"/>
        </w:rPr>
      </w:pPr>
    </w:p>
    <w:p w14:paraId="7D134C6C" w14:textId="77777777" w:rsidR="00BA7F79" w:rsidRDefault="00BA7F79" w:rsidP="00ED4E6F">
      <w:pPr>
        <w:spacing w:line="480" w:lineRule="auto"/>
        <w:ind w:left="0" w:firstLine="720"/>
        <w:jc w:val="both"/>
        <w:rPr>
          <w:szCs w:val="24"/>
        </w:rPr>
      </w:pPr>
    </w:p>
    <w:p w14:paraId="6867C537" w14:textId="77777777" w:rsidR="00BA7F79" w:rsidRPr="00236B25" w:rsidRDefault="002B362D" w:rsidP="00ED4E6F">
      <w:pPr>
        <w:spacing w:line="480" w:lineRule="auto"/>
        <w:ind w:left="0" w:firstLine="720"/>
        <w:jc w:val="both"/>
        <w:rPr>
          <w:szCs w:val="24"/>
        </w:rPr>
      </w:pPr>
      <w:r>
        <w:rPr>
          <w:noProof/>
        </w:rPr>
        <w:lastRenderedPageBreak/>
        <w:drawing>
          <wp:anchor distT="0" distB="0" distL="114300" distR="114300" simplePos="0" relativeHeight="251705344" behindDoc="0" locked="0" layoutInCell="1" allowOverlap="1" wp14:anchorId="21A751CA" wp14:editId="2AF97479">
            <wp:simplePos x="0" y="0"/>
            <wp:positionH relativeFrom="margin">
              <wp:align>right</wp:align>
            </wp:positionH>
            <wp:positionV relativeFrom="paragraph">
              <wp:posOffset>3540125</wp:posOffset>
            </wp:positionV>
            <wp:extent cx="5934075" cy="2695575"/>
            <wp:effectExtent l="0" t="0" r="9525" b="9525"/>
            <wp:wrapSquare wrapText="bothSides"/>
            <wp:docPr id="201" name="Chart 201">
              <a:extLst xmlns:a="http://schemas.openxmlformats.org/drawingml/2006/main">
                <a:ext uri="{FF2B5EF4-FFF2-40B4-BE49-F238E27FC236}">
                  <a16:creationId xmlns:a16="http://schemas.microsoft.com/office/drawing/2014/main" id="{D0C9BE1F-CA66-41DE-9960-648C2F9BBB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1360" behindDoc="0" locked="0" layoutInCell="1" allowOverlap="1" wp14:anchorId="3EF60160" wp14:editId="7E9F9B49">
                <wp:simplePos x="0" y="0"/>
                <wp:positionH relativeFrom="column">
                  <wp:posOffset>0</wp:posOffset>
                </wp:positionH>
                <wp:positionV relativeFrom="paragraph">
                  <wp:posOffset>2828925</wp:posOffset>
                </wp:positionV>
                <wp:extent cx="5943600" cy="635"/>
                <wp:effectExtent l="0" t="0" r="0" b="0"/>
                <wp:wrapSquare wrapText="bothSides"/>
                <wp:docPr id="267" name="Text Box 267"/>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2214810" w14:textId="6D1D0825" w:rsidR="00AA26F6" w:rsidRPr="002B362D" w:rsidRDefault="00AA26F6" w:rsidP="002B362D">
                            <w:pPr>
                              <w:pStyle w:val="Caption"/>
                              <w:rPr>
                                <w:i w:val="0"/>
                                <w:iCs w:val="0"/>
                                <w:noProof/>
                                <w:color w:val="auto"/>
                                <w:sz w:val="24"/>
                                <w:szCs w:val="24"/>
                              </w:rPr>
                            </w:pPr>
                            <w:bookmarkStart w:id="59" w:name="_Toc14520652"/>
                            <w:r w:rsidRPr="002B362D">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7</w:t>
                            </w:r>
                            <w:r>
                              <w:rPr>
                                <w:b/>
                                <w:bCs/>
                                <w:i w:val="0"/>
                                <w:iCs w:val="0"/>
                                <w:color w:val="auto"/>
                                <w:sz w:val="24"/>
                                <w:szCs w:val="24"/>
                              </w:rPr>
                              <w:fldChar w:fldCharType="end"/>
                            </w:r>
                            <w:r w:rsidRPr="002B362D">
                              <w:rPr>
                                <w:b/>
                                <w:bCs/>
                                <w:i w:val="0"/>
                                <w:iCs w:val="0"/>
                                <w:color w:val="auto"/>
                                <w:sz w:val="24"/>
                                <w:szCs w:val="24"/>
                              </w:rPr>
                              <w:t>:</w:t>
                            </w:r>
                            <w:r w:rsidRPr="002B362D">
                              <w:rPr>
                                <w:i w:val="0"/>
                                <w:iCs w:val="0"/>
                                <w:color w:val="auto"/>
                                <w:sz w:val="24"/>
                                <w:szCs w:val="24"/>
                              </w:rPr>
                              <w:t xml:space="preserve"> Yield showing different composition streams of AP13 Switchgrass upon torrefaction with a residence time of 60 seconds</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F60160" id="Text Box 267" o:spid="_x0000_s1043" type="#_x0000_t202" style="position:absolute;left:0;text-align:left;margin-left:0;margin-top:222.75pt;width:468pt;height:.0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" stroked="f">
                <v:textbox style="mso-fit-shape-to-text:t" inset="0,0,0,0">
                  <w:txbxContent>
                    <w:p w14:paraId="02214810" w14:textId="6D1D0825" w:rsidR="00AA26F6" w:rsidRPr="002B362D" w:rsidRDefault="00AA26F6" w:rsidP="002B362D">
                      <w:pPr>
                        <w:pStyle w:val="Caption"/>
                        <w:rPr>
                          <w:i w:val="0"/>
                          <w:iCs w:val="0"/>
                          <w:noProof/>
                          <w:color w:val="auto"/>
                          <w:sz w:val="24"/>
                          <w:szCs w:val="24"/>
                        </w:rPr>
                      </w:pPr>
                      <w:bookmarkStart w:id="60" w:name="_Toc14520652"/>
                      <w:r w:rsidRPr="002B362D">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7</w:t>
                      </w:r>
                      <w:r>
                        <w:rPr>
                          <w:b/>
                          <w:bCs/>
                          <w:i w:val="0"/>
                          <w:iCs w:val="0"/>
                          <w:color w:val="auto"/>
                          <w:sz w:val="24"/>
                          <w:szCs w:val="24"/>
                        </w:rPr>
                        <w:fldChar w:fldCharType="end"/>
                      </w:r>
                      <w:r w:rsidRPr="002B362D">
                        <w:rPr>
                          <w:b/>
                          <w:bCs/>
                          <w:i w:val="0"/>
                          <w:iCs w:val="0"/>
                          <w:color w:val="auto"/>
                          <w:sz w:val="24"/>
                          <w:szCs w:val="24"/>
                        </w:rPr>
                        <w:t>:</w:t>
                      </w:r>
                      <w:r w:rsidRPr="002B362D">
                        <w:rPr>
                          <w:i w:val="0"/>
                          <w:iCs w:val="0"/>
                          <w:color w:val="auto"/>
                          <w:sz w:val="24"/>
                          <w:szCs w:val="24"/>
                        </w:rPr>
                        <w:t xml:space="preserve"> Yield showing different composition streams of AP13 Switchgrass upon torrefaction with a residence time of 60 seconds</w:t>
                      </w:r>
                      <w:bookmarkEnd w:id="60"/>
                    </w:p>
                  </w:txbxContent>
                </v:textbox>
                <w10:wrap type="square"/>
              </v:shape>
            </w:pict>
          </mc:Fallback>
        </mc:AlternateContent>
      </w:r>
      <w:r>
        <w:rPr>
          <w:noProof/>
        </w:rPr>
        <w:drawing>
          <wp:anchor distT="0" distB="0" distL="114300" distR="114300" simplePos="0" relativeHeight="251789312" behindDoc="0" locked="0" layoutInCell="1" allowOverlap="1" wp14:anchorId="4C153070" wp14:editId="63F00856">
            <wp:simplePos x="0" y="0"/>
            <wp:positionH relativeFrom="margin">
              <wp:align>right</wp:align>
            </wp:positionH>
            <wp:positionV relativeFrom="paragraph">
              <wp:posOffset>9525</wp:posOffset>
            </wp:positionV>
            <wp:extent cx="5943600" cy="2762250"/>
            <wp:effectExtent l="0" t="0" r="0" b="0"/>
            <wp:wrapSquare wrapText="bothSides"/>
            <wp:docPr id="200" name="Chart 200">
              <a:extLst xmlns:a="http://schemas.openxmlformats.org/drawingml/2006/main">
                <a:ext uri="{FF2B5EF4-FFF2-40B4-BE49-F238E27FC236}">
                  <a16:creationId xmlns:a16="http://schemas.microsoft.com/office/drawing/2014/main" id="{0A9E182F-2DDD-49AD-970B-006842AA71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14:paraId="7005C417" w14:textId="77777777" w:rsidR="002B362D" w:rsidRPr="002B362D" w:rsidRDefault="002B362D" w:rsidP="002B362D">
      <w:pPr>
        <w:ind w:left="0" w:firstLine="0"/>
      </w:pPr>
      <w:r>
        <w:rPr>
          <w:noProof/>
        </w:rPr>
        <mc:AlternateContent>
          <mc:Choice Requires="wps">
            <w:drawing>
              <wp:anchor distT="0" distB="0" distL="114300" distR="114300" simplePos="0" relativeHeight="251793408" behindDoc="0" locked="0" layoutInCell="1" allowOverlap="1" wp14:anchorId="0A7CA84F" wp14:editId="6B5182BD">
                <wp:simplePos x="0" y="0"/>
                <wp:positionH relativeFrom="margin">
                  <wp:align>right</wp:align>
                </wp:positionH>
                <wp:positionV relativeFrom="paragraph">
                  <wp:posOffset>2802890</wp:posOffset>
                </wp:positionV>
                <wp:extent cx="5934075" cy="635"/>
                <wp:effectExtent l="0" t="0" r="9525" b="0"/>
                <wp:wrapSquare wrapText="bothSides"/>
                <wp:docPr id="268" name="Text Box 268"/>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208B687A" w14:textId="03BEA31B" w:rsidR="00AA26F6" w:rsidRPr="002B362D" w:rsidRDefault="00AA26F6" w:rsidP="002B362D">
                            <w:pPr>
                              <w:pStyle w:val="Caption"/>
                              <w:rPr>
                                <w:i w:val="0"/>
                                <w:iCs w:val="0"/>
                                <w:noProof/>
                                <w:color w:val="auto"/>
                                <w:sz w:val="24"/>
                                <w:szCs w:val="24"/>
                              </w:rPr>
                            </w:pPr>
                            <w:bookmarkStart w:id="61" w:name="_Toc14520653"/>
                            <w:r w:rsidRPr="002B362D">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8</w:t>
                            </w:r>
                            <w:r>
                              <w:rPr>
                                <w:b/>
                                <w:bCs/>
                                <w:i w:val="0"/>
                                <w:iCs w:val="0"/>
                                <w:color w:val="auto"/>
                                <w:sz w:val="24"/>
                                <w:szCs w:val="24"/>
                              </w:rPr>
                              <w:fldChar w:fldCharType="end"/>
                            </w:r>
                            <w:r w:rsidRPr="002B362D">
                              <w:rPr>
                                <w:b/>
                                <w:bCs/>
                                <w:i w:val="0"/>
                                <w:iCs w:val="0"/>
                                <w:color w:val="auto"/>
                                <w:sz w:val="24"/>
                                <w:szCs w:val="24"/>
                              </w:rPr>
                              <w:t>:</w:t>
                            </w:r>
                            <w:r w:rsidRPr="002B362D">
                              <w:rPr>
                                <w:i w:val="0"/>
                                <w:iCs w:val="0"/>
                                <w:color w:val="auto"/>
                                <w:sz w:val="24"/>
                                <w:szCs w:val="24"/>
                              </w:rPr>
                              <w:t xml:space="preserve"> Yield showing different composition streams of torrefied AP13 switchgrass upon pyrolysis with a residence time of 60 seconds</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7CA84F" id="Text Box 268" o:spid="_x0000_s1044" type="#_x0000_t202" style="position:absolute;margin-left:416.05pt;margin-top:220.7pt;width:467.25pt;height:.05pt;z-index:251793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" stroked="f">
                <v:textbox style="mso-fit-shape-to-text:t" inset="0,0,0,0">
                  <w:txbxContent>
                    <w:p w14:paraId="208B687A" w14:textId="03BEA31B" w:rsidR="00AA26F6" w:rsidRPr="002B362D" w:rsidRDefault="00AA26F6" w:rsidP="002B362D">
                      <w:pPr>
                        <w:pStyle w:val="Caption"/>
                        <w:rPr>
                          <w:i w:val="0"/>
                          <w:iCs w:val="0"/>
                          <w:noProof/>
                          <w:color w:val="auto"/>
                          <w:sz w:val="24"/>
                          <w:szCs w:val="24"/>
                        </w:rPr>
                      </w:pPr>
                      <w:bookmarkStart w:id="62" w:name="_Toc14520653"/>
                      <w:r w:rsidRPr="002B362D">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8</w:t>
                      </w:r>
                      <w:r>
                        <w:rPr>
                          <w:b/>
                          <w:bCs/>
                          <w:i w:val="0"/>
                          <w:iCs w:val="0"/>
                          <w:color w:val="auto"/>
                          <w:sz w:val="24"/>
                          <w:szCs w:val="24"/>
                        </w:rPr>
                        <w:fldChar w:fldCharType="end"/>
                      </w:r>
                      <w:r w:rsidRPr="002B362D">
                        <w:rPr>
                          <w:b/>
                          <w:bCs/>
                          <w:i w:val="0"/>
                          <w:iCs w:val="0"/>
                          <w:color w:val="auto"/>
                          <w:sz w:val="24"/>
                          <w:szCs w:val="24"/>
                        </w:rPr>
                        <w:t>:</w:t>
                      </w:r>
                      <w:r w:rsidRPr="002B362D">
                        <w:rPr>
                          <w:i w:val="0"/>
                          <w:iCs w:val="0"/>
                          <w:color w:val="auto"/>
                          <w:sz w:val="24"/>
                          <w:szCs w:val="24"/>
                        </w:rPr>
                        <w:t xml:space="preserve"> Yield showing different composition streams of torrefied AP13 switchgrass upon pyrolysis with a residence time of 60 seconds</w:t>
                      </w:r>
                      <w:bookmarkEnd w:id="62"/>
                    </w:p>
                  </w:txbxContent>
                </v:textbox>
                <w10:wrap type="square" anchorx="margin"/>
              </v:shape>
            </w:pict>
          </mc:Fallback>
        </mc:AlternateContent>
      </w:r>
      <w:r w:rsidR="00C06476">
        <w:t xml:space="preserve"> </w:t>
      </w:r>
    </w:p>
    <w:p w14:paraId="2840A2E3" w14:textId="77777777" w:rsidR="002B362D" w:rsidRDefault="002B362D" w:rsidP="00ED4E6F">
      <w:pPr>
        <w:spacing w:line="480" w:lineRule="auto"/>
        <w:ind w:left="0" w:firstLine="720"/>
        <w:jc w:val="both"/>
        <w:rPr>
          <w:szCs w:val="24"/>
        </w:rPr>
      </w:pPr>
    </w:p>
    <w:p w14:paraId="52B5B41B" w14:textId="77777777" w:rsidR="002B362D" w:rsidRDefault="002B362D" w:rsidP="002B362D">
      <w:pPr>
        <w:spacing w:line="480" w:lineRule="auto"/>
        <w:ind w:left="0" w:firstLine="0"/>
        <w:jc w:val="both"/>
        <w:rPr>
          <w:szCs w:val="24"/>
        </w:rPr>
      </w:pPr>
    </w:p>
    <w:p w14:paraId="1FCB6141" w14:textId="77777777" w:rsidR="002B362D" w:rsidRDefault="002B362D" w:rsidP="002B362D">
      <w:pPr>
        <w:spacing w:line="480" w:lineRule="auto"/>
        <w:ind w:left="0" w:firstLine="0"/>
        <w:jc w:val="both"/>
        <w:rPr>
          <w:szCs w:val="24"/>
        </w:rPr>
      </w:pPr>
    </w:p>
    <w:p w14:paraId="585EAE3D" w14:textId="77777777" w:rsidR="0069162A" w:rsidRDefault="00C06476" w:rsidP="0069162A">
      <w:pPr>
        <w:spacing w:line="480" w:lineRule="auto"/>
        <w:ind w:left="0" w:firstLine="720"/>
        <w:jc w:val="both"/>
        <w:rPr>
          <w:rFonts w:eastAsiaTheme="minorEastAsia"/>
          <w:szCs w:val="24"/>
        </w:rPr>
      </w:pPr>
      <w:r w:rsidRPr="00236B25">
        <w:rPr>
          <w:szCs w:val="24"/>
        </w:rPr>
        <w:lastRenderedPageBreak/>
        <w:t xml:space="preserve">Figures 3.5- Figures 3.8 helped establish that the temperature treatment for torrefaction of the biomass was too severe since subsequent pyrolysis of the torrefied biomass at 500 </w:t>
      </w:r>
      <m:oMath>
        <m:r>
          <w:rPr>
            <w:rFonts w:ascii="Cambria Math" w:hAnsi="Cambria Math"/>
            <w:szCs w:val="24"/>
          </w:rPr>
          <m:t>℃</m:t>
        </m:r>
      </m:oMath>
      <w:r w:rsidRPr="00236B25">
        <w:rPr>
          <w:rFonts w:eastAsiaTheme="minorEastAsia"/>
          <w:szCs w:val="24"/>
        </w:rPr>
        <w:t xml:space="preserve"> failed to produce expected relative quantity of chemical compounds. These experiments were conclusive of the fact that enough biomass was not left within the sample tube for adequate pyrolysis. In addition to this, literature pointed out that cellulose has been seen not to undergo significant mass loss at temperatures under 275 </w:t>
      </w:r>
      <m:oMath>
        <m:r>
          <w:rPr>
            <w:rFonts w:ascii="Cambria Math" w:eastAsiaTheme="minorEastAsia" w:hAnsi="Cambria Math"/>
            <w:szCs w:val="24"/>
          </w:rPr>
          <m:t>℃</m:t>
        </m:r>
      </m:oMath>
      <w:r w:rsidRPr="00236B25">
        <w:rPr>
          <w:rFonts w:eastAsiaTheme="minorEastAsia"/>
          <w:szCs w:val="24"/>
        </w:rPr>
        <w:t xml:space="preserve"> (63). Consequently, a 270 degrees torrefaction with a residence time of 120 seconds followed by pyrolysis at 500 degrees for 60 seconds showcased thermal product compositional segregation across all compound lumps during both thermal treatments. The results, which are displayed in Figure 3.9 and Figure 3.10, were convincing of the fact that such employed experimental parameters (temperature and time) would provide a situation where the effects of heritable traits on low temperature thermal treatments can be evaluated. Moreover, Figure 3.11 and Figure 3.12 highlight good quantitative and qualitative reproducibility – with the exception of acetic acid- across all compound groups for the same thermal degradation conditions. </w:t>
      </w:r>
    </w:p>
    <w:p w14:paraId="434F39C5" w14:textId="77777777" w:rsidR="0069162A" w:rsidRPr="0069162A" w:rsidRDefault="0069162A" w:rsidP="0069162A">
      <w:pPr>
        <w:rPr>
          <w:rFonts w:eastAsiaTheme="minorEastAsia"/>
          <w:szCs w:val="24"/>
        </w:rPr>
      </w:pPr>
    </w:p>
    <w:p w14:paraId="51680BB7" w14:textId="77777777" w:rsidR="0069162A" w:rsidRDefault="0069162A" w:rsidP="0069162A">
      <w:pPr>
        <w:rPr>
          <w:rFonts w:eastAsiaTheme="minorEastAsia"/>
          <w:szCs w:val="24"/>
        </w:rPr>
      </w:pPr>
    </w:p>
    <w:p w14:paraId="1F963A75" w14:textId="77777777" w:rsidR="0069162A" w:rsidRDefault="0069162A" w:rsidP="0069162A">
      <w:pPr>
        <w:rPr>
          <w:rFonts w:eastAsiaTheme="minorEastAsia"/>
          <w:szCs w:val="24"/>
        </w:rPr>
      </w:pPr>
    </w:p>
    <w:p w14:paraId="614D5F36" w14:textId="77777777" w:rsidR="0069162A" w:rsidRDefault="0069162A" w:rsidP="0069162A">
      <w:pPr>
        <w:rPr>
          <w:rFonts w:eastAsiaTheme="minorEastAsia"/>
          <w:szCs w:val="24"/>
        </w:rPr>
      </w:pPr>
    </w:p>
    <w:p w14:paraId="704A8A1C" w14:textId="77777777" w:rsidR="0069162A" w:rsidRDefault="0069162A" w:rsidP="0069162A">
      <w:pPr>
        <w:rPr>
          <w:rFonts w:eastAsiaTheme="minorEastAsia"/>
          <w:szCs w:val="24"/>
        </w:rPr>
      </w:pPr>
    </w:p>
    <w:p w14:paraId="76A138CC" w14:textId="77777777" w:rsidR="0069162A" w:rsidRDefault="0069162A" w:rsidP="0069162A">
      <w:pPr>
        <w:rPr>
          <w:rFonts w:eastAsiaTheme="minorEastAsia"/>
          <w:szCs w:val="24"/>
        </w:rPr>
      </w:pPr>
    </w:p>
    <w:p w14:paraId="220CE837" w14:textId="77777777" w:rsidR="0069162A" w:rsidRDefault="0069162A" w:rsidP="0069162A">
      <w:pPr>
        <w:rPr>
          <w:rFonts w:eastAsiaTheme="minorEastAsia"/>
          <w:szCs w:val="24"/>
        </w:rPr>
      </w:pPr>
    </w:p>
    <w:p w14:paraId="6435546E" w14:textId="77777777" w:rsidR="0069162A" w:rsidRDefault="0069162A" w:rsidP="0069162A">
      <w:pPr>
        <w:rPr>
          <w:rFonts w:eastAsiaTheme="minorEastAsia"/>
          <w:szCs w:val="24"/>
        </w:rPr>
      </w:pPr>
    </w:p>
    <w:p w14:paraId="6CF4E09E" w14:textId="77777777" w:rsidR="0069162A" w:rsidRDefault="0069162A" w:rsidP="0069162A">
      <w:pPr>
        <w:rPr>
          <w:rFonts w:eastAsiaTheme="minorEastAsia"/>
          <w:szCs w:val="24"/>
        </w:rPr>
      </w:pPr>
    </w:p>
    <w:p w14:paraId="0959F361" w14:textId="77777777" w:rsidR="0069162A" w:rsidRPr="0069162A" w:rsidRDefault="0069162A" w:rsidP="0069162A">
      <w:pPr>
        <w:ind w:left="0" w:firstLine="0"/>
        <w:rPr>
          <w:rFonts w:eastAsiaTheme="minorEastAsia"/>
          <w:szCs w:val="24"/>
        </w:rPr>
      </w:pPr>
    </w:p>
    <w:p w14:paraId="5ADA8BF4" w14:textId="77777777" w:rsidR="00D23D52" w:rsidRPr="00D23D52" w:rsidRDefault="00D23D52" w:rsidP="0069162A">
      <w:pPr>
        <w:spacing w:line="480" w:lineRule="auto"/>
        <w:ind w:left="0" w:firstLine="720"/>
        <w:jc w:val="both"/>
        <w:rPr>
          <w:rFonts w:eastAsiaTheme="minorEastAsia"/>
          <w:szCs w:val="24"/>
        </w:rPr>
      </w:pPr>
      <w:r>
        <w:rPr>
          <w:noProof/>
        </w:rPr>
        <w:lastRenderedPageBreak/>
        <mc:AlternateContent>
          <mc:Choice Requires="wps">
            <w:drawing>
              <wp:anchor distT="0" distB="0" distL="114300" distR="114300" simplePos="0" relativeHeight="251795456" behindDoc="0" locked="0" layoutInCell="1" allowOverlap="1" wp14:anchorId="311174A9" wp14:editId="05B555BC">
                <wp:simplePos x="0" y="0"/>
                <wp:positionH relativeFrom="column">
                  <wp:posOffset>190500</wp:posOffset>
                </wp:positionH>
                <wp:positionV relativeFrom="paragraph">
                  <wp:posOffset>2814320</wp:posOffset>
                </wp:positionV>
                <wp:extent cx="5492115" cy="635"/>
                <wp:effectExtent l="0" t="0" r="0" b="0"/>
                <wp:wrapSquare wrapText="bothSides"/>
                <wp:docPr id="269" name="Text Box 269"/>
                <wp:cNvGraphicFramePr/>
                <a:graphic xmlns:a="http://schemas.openxmlformats.org/drawingml/2006/main">
                  <a:graphicData uri="http://schemas.microsoft.com/office/word/2010/wordprocessingShape">
                    <wps:wsp>
                      <wps:cNvSpPr txBox="1"/>
                      <wps:spPr>
                        <a:xfrm>
                          <a:off x="0" y="0"/>
                          <a:ext cx="5492115" cy="635"/>
                        </a:xfrm>
                        <a:prstGeom prst="rect">
                          <a:avLst/>
                        </a:prstGeom>
                        <a:solidFill>
                          <a:prstClr val="white"/>
                        </a:solidFill>
                        <a:ln>
                          <a:noFill/>
                        </a:ln>
                      </wps:spPr>
                      <wps:txbx>
                        <w:txbxContent>
                          <w:p w14:paraId="23523399" w14:textId="0A754FEB" w:rsidR="00AA26F6" w:rsidRPr="00D23D52" w:rsidRDefault="00AA26F6" w:rsidP="00D23D52">
                            <w:pPr>
                              <w:pStyle w:val="Caption"/>
                              <w:rPr>
                                <w:i w:val="0"/>
                                <w:iCs w:val="0"/>
                                <w:noProof/>
                                <w:color w:val="auto"/>
                                <w:sz w:val="24"/>
                                <w:szCs w:val="24"/>
                              </w:rPr>
                            </w:pPr>
                            <w:bookmarkStart w:id="63" w:name="_Toc14520654"/>
                            <w:r w:rsidRPr="00D23D52">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9</w:t>
                            </w:r>
                            <w:r>
                              <w:rPr>
                                <w:b/>
                                <w:bCs/>
                                <w:i w:val="0"/>
                                <w:iCs w:val="0"/>
                                <w:color w:val="auto"/>
                                <w:sz w:val="24"/>
                                <w:szCs w:val="24"/>
                              </w:rPr>
                              <w:fldChar w:fldCharType="end"/>
                            </w:r>
                            <w:r w:rsidRPr="00D23D52">
                              <w:rPr>
                                <w:b/>
                                <w:bCs/>
                                <w:i w:val="0"/>
                                <w:iCs w:val="0"/>
                                <w:color w:val="auto"/>
                                <w:sz w:val="24"/>
                                <w:szCs w:val="24"/>
                              </w:rPr>
                              <w:t>:</w:t>
                            </w:r>
                            <w:r w:rsidRPr="00D23D52">
                              <w:rPr>
                                <w:i w:val="0"/>
                                <w:iCs w:val="0"/>
                                <w:color w:val="auto"/>
                                <w:sz w:val="24"/>
                                <w:szCs w:val="24"/>
                              </w:rPr>
                              <w:t xml:space="preserve"> Yield showing different composition streams of AP13 Switchgrass upon torrefaction at 270 degrees Celsius with a residence time of 120 seconds</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1174A9" id="Text Box 269" o:spid="_x0000_s1045" type="#_x0000_t202" style="position:absolute;left:0;text-align:left;margin-left:15pt;margin-top:221.6pt;width:432.45pt;height:.0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" stroked="f">
                <v:textbox style="mso-fit-shape-to-text:t" inset="0,0,0,0">
                  <w:txbxContent>
                    <w:p w14:paraId="23523399" w14:textId="0A754FEB" w:rsidR="00AA26F6" w:rsidRPr="00D23D52" w:rsidRDefault="00AA26F6" w:rsidP="00D23D52">
                      <w:pPr>
                        <w:pStyle w:val="Caption"/>
                        <w:rPr>
                          <w:i w:val="0"/>
                          <w:iCs w:val="0"/>
                          <w:noProof/>
                          <w:color w:val="auto"/>
                          <w:sz w:val="24"/>
                          <w:szCs w:val="24"/>
                        </w:rPr>
                      </w:pPr>
                      <w:bookmarkStart w:id="64" w:name="_Toc14520654"/>
                      <w:r w:rsidRPr="00D23D52">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9</w:t>
                      </w:r>
                      <w:r>
                        <w:rPr>
                          <w:b/>
                          <w:bCs/>
                          <w:i w:val="0"/>
                          <w:iCs w:val="0"/>
                          <w:color w:val="auto"/>
                          <w:sz w:val="24"/>
                          <w:szCs w:val="24"/>
                        </w:rPr>
                        <w:fldChar w:fldCharType="end"/>
                      </w:r>
                      <w:r w:rsidRPr="00D23D52">
                        <w:rPr>
                          <w:b/>
                          <w:bCs/>
                          <w:i w:val="0"/>
                          <w:iCs w:val="0"/>
                          <w:color w:val="auto"/>
                          <w:sz w:val="24"/>
                          <w:szCs w:val="24"/>
                        </w:rPr>
                        <w:t>:</w:t>
                      </w:r>
                      <w:r w:rsidRPr="00D23D52">
                        <w:rPr>
                          <w:i w:val="0"/>
                          <w:iCs w:val="0"/>
                          <w:color w:val="auto"/>
                          <w:sz w:val="24"/>
                          <w:szCs w:val="24"/>
                        </w:rPr>
                        <w:t xml:space="preserve"> Yield showing different composition streams of AP13 Switchgrass upon torrefaction at 270 degrees Celsius with a residence time of 120 seconds</w:t>
                      </w:r>
                      <w:bookmarkEnd w:id="64"/>
                    </w:p>
                  </w:txbxContent>
                </v:textbox>
                <w10:wrap type="square"/>
              </v:shape>
            </w:pict>
          </mc:Fallback>
        </mc:AlternateContent>
      </w:r>
      <w:r w:rsidR="008161DD">
        <w:rPr>
          <w:noProof/>
        </w:rPr>
        <w:drawing>
          <wp:anchor distT="0" distB="0" distL="114300" distR="114300" simplePos="0" relativeHeight="251704320" behindDoc="0" locked="0" layoutInCell="1" allowOverlap="1" wp14:anchorId="18A6B4B6" wp14:editId="4E6F726C">
            <wp:simplePos x="0" y="0"/>
            <wp:positionH relativeFrom="margin">
              <wp:posOffset>190500</wp:posOffset>
            </wp:positionH>
            <wp:positionV relativeFrom="paragraph">
              <wp:posOffset>0</wp:posOffset>
            </wp:positionV>
            <wp:extent cx="5492115" cy="2757170"/>
            <wp:effectExtent l="0" t="0" r="13335" b="5080"/>
            <wp:wrapSquare wrapText="bothSides"/>
            <wp:docPr id="202" name="Chart 202">
              <a:extLst xmlns:a="http://schemas.openxmlformats.org/drawingml/2006/main">
                <a:ext uri="{FF2B5EF4-FFF2-40B4-BE49-F238E27FC236}">
                  <a16:creationId xmlns:a16="http://schemas.microsoft.com/office/drawing/2014/main" id="{5824D9B7-334F-41E7-92CF-3F5CBDE98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14:paraId="0D3806EE" w14:textId="77777777" w:rsidR="0069162A" w:rsidRDefault="0069162A" w:rsidP="0069162A">
      <w:pPr>
        <w:spacing w:line="480" w:lineRule="auto"/>
        <w:ind w:left="0" w:firstLine="0"/>
        <w:jc w:val="both"/>
        <w:rPr>
          <w:rFonts w:eastAsiaTheme="minorEastAsia"/>
          <w:szCs w:val="24"/>
        </w:rPr>
      </w:pPr>
      <w:r>
        <w:rPr>
          <w:noProof/>
        </w:rPr>
        <mc:AlternateContent>
          <mc:Choice Requires="wps">
            <w:drawing>
              <wp:anchor distT="0" distB="0" distL="114300" distR="114300" simplePos="0" relativeHeight="251797504" behindDoc="0" locked="0" layoutInCell="1" allowOverlap="1" wp14:anchorId="24857DF1" wp14:editId="303D3ED3">
                <wp:simplePos x="0" y="0"/>
                <wp:positionH relativeFrom="margin">
                  <wp:align>left</wp:align>
                </wp:positionH>
                <wp:positionV relativeFrom="paragraph">
                  <wp:posOffset>2714625</wp:posOffset>
                </wp:positionV>
                <wp:extent cx="5686425" cy="635"/>
                <wp:effectExtent l="0" t="0" r="9525" b="0"/>
                <wp:wrapSquare wrapText="bothSides"/>
                <wp:docPr id="270" name="Text Box 270"/>
                <wp:cNvGraphicFramePr/>
                <a:graphic xmlns:a="http://schemas.openxmlformats.org/drawingml/2006/main">
                  <a:graphicData uri="http://schemas.microsoft.com/office/word/2010/wordprocessingShape">
                    <wps:wsp>
                      <wps:cNvSpPr txBox="1"/>
                      <wps:spPr>
                        <a:xfrm>
                          <a:off x="0" y="0"/>
                          <a:ext cx="5686425" cy="635"/>
                        </a:xfrm>
                        <a:prstGeom prst="rect">
                          <a:avLst/>
                        </a:prstGeom>
                        <a:solidFill>
                          <a:prstClr val="white"/>
                        </a:solidFill>
                        <a:ln>
                          <a:noFill/>
                        </a:ln>
                      </wps:spPr>
                      <wps:txbx>
                        <w:txbxContent>
                          <w:p w14:paraId="3B9E5C06" w14:textId="592AC1AA" w:rsidR="00AA26F6" w:rsidRPr="00D23D52" w:rsidRDefault="00AA26F6" w:rsidP="00D23D52">
                            <w:pPr>
                              <w:pStyle w:val="Caption"/>
                              <w:rPr>
                                <w:i w:val="0"/>
                                <w:iCs w:val="0"/>
                                <w:noProof/>
                                <w:color w:val="auto"/>
                                <w:sz w:val="24"/>
                                <w:szCs w:val="24"/>
                              </w:rPr>
                            </w:pPr>
                            <w:bookmarkStart w:id="65" w:name="_Toc14520655"/>
                            <w:r w:rsidRPr="00D23D52">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10</w:t>
                            </w:r>
                            <w:r>
                              <w:rPr>
                                <w:b/>
                                <w:bCs/>
                                <w:i w:val="0"/>
                                <w:iCs w:val="0"/>
                                <w:color w:val="auto"/>
                                <w:sz w:val="24"/>
                                <w:szCs w:val="24"/>
                              </w:rPr>
                              <w:fldChar w:fldCharType="end"/>
                            </w:r>
                            <w:r w:rsidRPr="00D23D52">
                              <w:rPr>
                                <w:b/>
                                <w:bCs/>
                                <w:i w:val="0"/>
                                <w:iCs w:val="0"/>
                                <w:color w:val="auto"/>
                                <w:sz w:val="24"/>
                                <w:szCs w:val="24"/>
                              </w:rPr>
                              <w:t>:</w:t>
                            </w:r>
                            <w:r w:rsidRPr="00D23D52">
                              <w:rPr>
                                <w:i w:val="0"/>
                                <w:iCs w:val="0"/>
                                <w:color w:val="auto"/>
                                <w:sz w:val="24"/>
                                <w:szCs w:val="24"/>
                              </w:rPr>
                              <w:t xml:space="preserve"> Yield showing different composition streams of torrefied AP13 Switchgrass upon pyrolysis with a residence time of 60 seconds</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4857DF1" id="Text Box 270" o:spid="_x0000_s1046" type="#_x0000_t202" style="position:absolute;left:0;text-align:left;margin-left:0;margin-top:213.75pt;width:447.75pt;height:.05pt;z-index:251797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" stroked="f">
                <v:textbox style="mso-fit-shape-to-text:t" inset="0,0,0,0">
                  <w:txbxContent>
                    <w:p w14:paraId="3B9E5C06" w14:textId="592AC1AA" w:rsidR="00AA26F6" w:rsidRPr="00D23D52" w:rsidRDefault="00AA26F6" w:rsidP="00D23D52">
                      <w:pPr>
                        <w:pStyle w:val="Caption"/>
                        <w:rPr>
                          <w:i w:val="0"/>
                          <w:iCs w:val="0"/>
                          <w:noProof/>
                          <w:color w:val="auto"/>
                          <w:sz w:val="24"/>
                          <w:szCs w:val="24"/>
                        </w:rPr>
                      </w:pPr>
                      <w:bookmarkStart w:id="66" w:name="_Toc14520655"/>
                      <w:r w:rsidRPr="00D23D52">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10</w:t>
                      </w:r>
                      <w:r>
                        <w:rPr>
                          <w:b/>
                          <w:bCs/>
                          <w:i w:val="0"/>
                          <w:iCs w:val="0"/>
                          <w:color w:val="auto"/>
                          <w:sz w:val="24"/>
                          <w:szCs w:val="24"/>
                        </w:rPr>
                        <w:fldChar w:fldCharType="end"/>
                      </w:r>
                      <w:r w:rsidRPr="00D23D52">
                        <w:rPr>
                          <w:b/>
                          <w:bCs/>
                          <w:i w:val="0"/>
                          <w:iCs w:val="0"/>
                          <w:color w:val="auto"/>
                          <w:sz w:val="24"/>
                          <w:szCs w:val="24"/>
                        </w:rPr>
                        <w:t>:</w:t>
                      </w:r>
                      <w:r w:rsidRPr="00D23D52">
                        <w:rPr>
                          <w:i w:val="0"/>
                          <w:iCs w:val="0"/>
                          <w:color w:val="auto"/>
                          <w:sz w:val="24"/>
                          <w:szCs w:val="24"/>
                        </w:rPr>
                        <w:t xml:space="preserve"> Yield showing different composition streams of torrefied AP13 Switchgrass upon pyrolysis with a residence time of 60 seconds</w:t>
                      </w:r>
                      <w:bookmarkEnd w:id="66"/>
                    </w:p>
                  </w:txbxContent>
                </v:textbox>
                <w10:wrap type="square" anchorx="margin"/>
              </v:shape>
            </w:pict>
          </mc:Fallback>
        </mc:AlternateContent>
      </w:r>
      <w:r>
        <w:rPr>
          <w:noProof/>
        </w:rPr>
        <w:drawing>
          <wp:anchor distT="0" distB="0" distL="114300" distR="114300" simplePos="0" relativeHeight="251703296" behindDoc="0" locked="0" layoutInCell="1" allowOverlap="1" wp14:anchorId="389FE7F0" wp14:editId="6991C05F">
            <wp:simplePos x="0" y="0"/>
            <wp:positionH relativeFrom="margin">
              <wp:posOffset>161925</wp:posOffset>
            </wp:positionH>
            <wp:positionV relativeFrom="paragraph">
              <wp:posOffset>0</wp:posOffset>
            </wp:positionV>
            <wp:extent cx="5534025" cy="2600325"/>
            <wp:effectExtent l="0" t="0" r="9525" b="9525"/>
            <wp:wrapSquare wrapText="bothSides"/>
            <wp:docPr id="203" name="Chart 203">
              <a:extLst xmlns:a="http://schemas.openxmlformats.org/drawingml/2006/main">
                <a:ext uri="{FF2B5EF4-FFF2-40B4-BE49-F238E27FC236}">
                  <a16:creationId xmlns:a16="http://schemas.microsoft.com/office/drawing/2014/main" id="{7E822A31-0F29-44FD-B016-11FC42603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p>
    <w:p w14:paraId="396E9288" w14:textId="77777777" w:rsidR="007F66DD" w:rsidRDefault="007F66DD" w:rsidP="007F66DD">
      <w:pPr>
        <w:spacing w:line="480" w:lineRule="auto"/>
        <w:ind w:left="0" w:firstLine="720"/>
        <w:jc w:val="both"/>
        <w:rPr>
          <w:rFonts w:eastAsiaTheme="minorEastAsia"/>
          <w:szCs w:val="24"/>
        </w:rPr>
      </w:pPr>
    </w:p>
    <w:p w14:paraId="61F83C7A" w14:textId="77777777" w:rsidR="007F66DD" w:rsidRDefault="007F66DD" w:rsidP="007F66DD">
      <w:pPr>
        <w:spacing w:line="480" w:lineRule="auto"/>
        <w:ind w:left="0" w:firstLine="720"/>
        <w:jc w:val="both"/>
        <w:rPr>
          <w:rFonts w:eastAsiaTheme="minorEastAsia"/>
          <w:szCs w:val="24"/>
        </w:rPr>
      </w:pPr>
    </w:p>
    <w:p w14:paraId="0B3502B1" w14:textId="77777777" w:rsidR="005C1754" w:rsidRDefault="005C1754" w:rsidP="005C1754">
      <w:pPr>
        <w:spacing w:line="480" w:lineRule="auto"/>
        <w:ind w:left="0" w:firstLine="720"/>
        <w:jc w:val="both"/>
        <w:rPr>
          <w:rFonts w:eastAsiaTheme="minorEastAsia"/>
          <w:szCs w:val="24"/>
        </w:rPr>
      </w:pPr>
      <w:r>
        <w:rPr>
          <w:noProof/>
        </w:rPr>
        <w:lastRenderedPageBreak/>
        <mc:AlternateContent>
          <mc:Choice Requires="wps">
            <w:drawing>
              <wp:anchor distT="0" distB="0" distL="114300" distR="114300" simplePos="0" relativeHeight="251799552" behindDoc="0" locked="0" layoutInCell="1" allowOverlap="1" wp14:anchorId="178DE2B7" wp14:editId="393F5707">
                <wp:simplePos x="0" y="0"/>
                <wp:positionH relativeFrom="margin">
                  <wp:align>right</wp:align>
                </wp:positionH>
                <wp:positionV relativeFrom="paragraph">
                  <wp:posOffset>6734175</wp:posOffset>
                </wp:positionV>
                <wp:extent cx="5895975" cy="635"/>
                <wp:effectExtent l="0" t="0" r="9525" b="0"/>
                <wp:wrapSquare wrapText="bothSides"/>
                <wp:docPr id="271" name="Text Box 271"/>
                <wp:cNvGraphicFramePr/>
                <a:graphic xmlns:a="http://schemas.openxmlformats.org/drawingml/2006/main">
                  <a:graphicData uri="http://schemas.microsoft.com/office/word/2010/wordprocessingShape">
                    <wps:wsp>
                      <wps:cNvSpPr txBox="1"/>
                      <wps:spPr>
                        <a:xfrm>
                          <a:off x="0" y="0"/>
                          <a:ext cx="5895975" cy="635"/>
                        </a:xfrm>
                        <a:prstGeom prst="rect">
                          <a:avLst/>
                        </a:prstGeom>
                        <a:solidFill>
                          <a:prstClr val="white"/>
                        </a:solidFill>
                        <a:ln>
                          <a:noFill/>
                        </a:ln>
                      </wps:spPr>
                      <wps:txbx>
                        <w:txbxContent>
                          <w:p w14:paraId="55C33984" w14:textId="79FA1161" w:rsidR="00AA26F6" w:rsidRPr="007F66DD" w:rsidRDefault="00AA26F6" w:rsidP="007F66DD">
                            <w:pPr>
                              <w:pStyle w:val="Caption"/>
                              <w:rPr>
                                <w:i w:val="0"/>
                                <w:iCs w:val="0"/>
                                <w:noProof/>
                                <w:color w:val="auto"/>
                                <w:sz w:val="24"/>
                                <w:szCs w:val="24"/>
                              </w:rPr>
                            </w:pPr>
                            <w:bookmarkStart w:id="67" w:name="_Toc14520656"/>
                            <w:r w:rsidRPr="007F66DD">
                              <w:rPr>
                                <w:i w:val="0"/>
                                <w:iCs w:val="0"/>
                                <w:color w:val="auto"/>
                                <w:sz w:val="24"/>
                                <w:szCs w:val="24"/>
                              </w:rPr>
                              <w:t>F</w:t>
                            </w:r>
                            <w:r w:rsidRPr="007F66DD">
                              <w:rPr>
                                <w:b/>
                                <w:bCs/>
                                <w:i w:val="0"/>
                                <w:iCs w:val="0"/>
                                <w:color w:val="auto"/>
                                <w:sz w:val="24"/>
                                <w:szCs w:val="24"/>
                              </w:rPr>
                              <w:t xml:space="preserve">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11</w:t>
                            </w:r>
                            <w:r>
                              <w:rPr>
                                <w:b/>
                                <w:bCs/>
                                <w:i w:val="0"/>
                                <w:iCs w:val="0"/>
                                <w:color w:val="auto"/>
                                <w:sz w:val="24"/>
                                <w:szCs w:val="24"/>
                              </w:rPr>
                              <w:fldChar w:fldCharType="end"/>
                            </w:r>
                            <w:r w:rsidRPr="007F66DD">
                              <w:rPr>
                                <w:b/>
                                <w:bCs/>
                                <w:i w:val="0"/>
                                <w:iCs w:val="0"/>
                                <w:color w:val="auto"/>
                                <w:sz w:val="24"/>
                                <w:szCs w:val="24"/>
                              </w:rPr>
                              <w:t>:</w:t>
                            </w:r>
                            <w:r w:rsidRPr="007F66DD">
                              <w:rPr>
                                <w:i w:val="0"/>
                                <w:iCs w:val="0"/>
                                <w:color w:val="auto"/>
                                <w:sz w:val="24"/>
                                <w:szCs w:val="24"/>
                              </w:rPr>
                              <w:t xml:space="preserve"> Yield showing different composition streams of AP13 Switchgrass upon torrefaction at 270 degrees Celsius with a residence time of 120 seconds</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8DE2B7" id="Text Box 271" o:spid="_x0000_s1047" type="#_x0000_t202" style="position:absolute;left:0;text-align:left;margin-left:413.05pt;margin-top:530.25pt;width:464.25pt;height:.05pt;z-index:251799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" stroked="f">
                <v:textbox style="mso-fit-shape-to-text:t" inset="0,0,0,0">
                  <w:txbxContent>
                    <w:p w14:paraId="55C33984" w14:textId="79FA1161" w:rsidR="00AA26F6" w:rsidRPr="007F66DD" w:rsidRDefault="00AA26F6" w:rsidP="007F66DD">
                      <w:pPr>
                        <w:pStyle w:val="Caption"/>
                        <w:rPr>
                          <w:i w:val="0"/>
                          <w:iCs w:val="0"/>
                          <w:noProof/>
                          <w:color w:val="auto"/>
                          <w:sz w:val="24"/>
                          <w:szCs w:val="24"/>
                        </w:rPr>
                      </w:pPr>
                      <w:bookmarkStart w:id="68" w:name="_Toc14520656"/>
                      <w:r w:rsidRPr="007F66DD">
                        <w:rPr>
                          <w:i w:val="0"/>
                          <w:iCs w:val="0"/>
                          <w:color w:val="auto"/>
                          <w:sz w:val="24"/>
                          <w:szCs w:val="24"/>
                        </w:rPr>
                        <w:t>F</w:t>
                      </w:r>
                      <w:r w:rsidRPr="007F66DD">
                        <w:rPr>
                          <w:b/>
                          <w:bCs/>
                          <w:i w:val="0"/>
                          <w:iCs w:val="0"/>
                          <w:color w:val="auto"/>
                          <w:sz w:val="24"/>
                          <w:szCs w:val="24"/>
                        </w:rPr>
                        <w:t xml:space="preserve">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11</w:t>
                      </w:r>
                      <w:r>
                        <w:rPr>
                          <w:b/>
                          <w:bCs/>
                          <w:i w:val="0"/>
                          <w:iCs w:val="0"/>
                          <w:color w:val="auto"/>
                          <w:sz w:val="24"/>
                          <w:szCs w:val="24"/>
                        </w:rPr>
                        <w:fldChar w:fldCharType="end"/>
                      </w:r>
                      <w:r w:rsidRPr="007F66DD">
                        <w:rPr>
                          <w:b/>
                          <w:bCs/>
                          <w:i w:val="0"/>
                          <w:iCs w:val="0"/>
                          <w:color w:val="auto"/>
                          <w:sz w:val="24"/>
                          <w:szCs w:val="24"/>
                        </w:rPr>
                        <w:t>:</w:t>
                      </w:r>
                      <w:r w:rsidRPr="007F66DD">
                        <w:rPr>
                          <w:i w:val="0"/>
                          <w:iCs w:val="0"/>
                          <w:color w:val="auto"/>
                          <w:sz w:val="24"/>
                          <w:szCs w:val="24"/>
                        </w:rPr>
                        <w:t xml:space="preserve"> Yield showing different composition streams of AP13 Switchgrass upon torrefaction at 270 degrees Celsius with a residence time of 120 seconds</w:t>
                      </w:r>
                      <w:bookmarkEnd w:id="68"/>
                    </w:p>
                  </w:txbxContent>
                </v:textbox>
                <w10:wrap type="square" anchorx="margin"/>
              </v:shape>
            </w:pict>
          </mc:Fallback>
        </mc:AlternateContent>
      </w:r>
      <w:r>
        <w:rPr>
          <w:noProof/>
        </w:rPr>
        <w:drawing>
          <wp:anchor distT="0" distB="0" distL="114300" distR="114300" simplePos="0" relativeHeight="251701248" behindDoc="0" locked="0" layoutInCell="1" allowOverlap="1" wp14:anchorId="4DFA8B7F" wp14:editId="1FC66CD1">
            <wp:simplePos x="0" y="0"/>
            <wp:positionH relativeFrom="margin">
              <wp:align>right</wp:align>
            </wp:positionH>
            <wp:positionV relativeFrom="paragraph">
              <wp:posOffset>3778250</wp:posOffset>
            </wp:positionV>
            <wp:extent cx="5943600" cy="2705100"/>
            <wp:effectExtent l="0" t="0" r="0" b="0"/>
            <wp:wrapSquare wrapText="bothSides"/>
            <wp:docPr id="205" name="Chart 205">
              <a:extLst xmlns:a="http://schemas.openxmlformats.org/drawingml/2006/main">
                <a:ext uri="{FF2B5EF4-FFF2-40B4-BE49-F238E27FC236}">
                  <a16:creationId xmlns:a16="http://schemas.microsoft.com/office/drawing/2014/main" id="{0AA11824-D5CD-4253-AC3D-52CBF6FCEF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r w:rsidR="00C06476" w:rsidRPr="004174B8">
        <w:rPr>
          <w:rFonts w:eastAsiaTheme="minorEastAsia"/>
          <w:szCs w:val="24"/>
        </w:rPr>
        <w:t xml:space="preserve">At these lower temperatures of torrefaction, as expected, lesser amounts of all organic compounds are produced due to the biomass being degraded to a lesser extent. Of particular interest is the amount of anhydrous sugars being produced at 270 </w:t>
      </w:r>
      <m:oMath>
        <m:r>
          <w:rPr>
            <w:rFonts w:ascii="Cambria Math" w:eastAsiaTheme="minorEastAsia" w:hAnsi="Cambria Math"/>
            <w:szCs w:val="24"/>
          </w:rPr>
          <m:t>℃</m:t>
        </m:r>
      </m:oMath>
      <w:r w:rsidR="00C06476" w:rsidRPr="004174B8">
        <w:rPr>
          <w:rFonts w:eastAsiaTheme="minorEastAsia"/>
          <w:szCs w:val="24"/>
        </w:rPr>
        <w:t xml:space="preserve"> , which is approximately 41% of the amount being produced at 290 </w:t>
      </w:r>
      <m:oMath>
        <m:r>
          <w:rPr>
            <w:rFonts w:ascii="Cambria Math" w:eastAsiaTheme="minorEastAsia" w:hAnsi="Cambria Math"/>
            <w:szCs w:val="24"/>
          </w:rPr>
          <m:t>℃</m:t>
        </m:r>
      </m:oMath>
      <w:r w:rsidR="00C06476" w:rsidRPr="004174B8">
        <w:rPr>
          <w:rFonts w:eastAsiaTheme="minorEastAsia"/>
          <w:szCs w:val="24"/>
        </w:rPr>
        <w:t xml:space="preserve"> with a residence time of 60 seconds and approximately 30% of the amount being produced at 290 </w:t>
      </w:r>
      <m:oMath>
        <m:r>
          <w:rPr>
            <w:rFonts w:ascii="Cambria Math" w:eastAsiaTheme="minorEastAsia" w:hAnsi="Cambria Math"/>
            <w:szCs w:val="24"/>
          </w:rPr>
          <m:t>℃</m:t>
        </m:r>
      </m:oMath>
      <w:r w:rsidR="00C06476" w:rsidRPr="004174B8">
        <w:rPr>
          <w:rFonts w:eastAsiaTheme="minorEastAsia"/>
          <w:szCs w:val="24"/>
        </w:rPr>
        <w:t xml:space="preserve"> with a residence time of 120 seconds. However, it is seen that yield of anhydrous sugars increases upon pyrolysis of the torrefied biomass – a phenomenon not seen at the higher temperature pyrolytic thermal treatments with either residence times. The selectivity towards phenolic species upon torrefaction decreased as well- less than half of what was being observed at 290 </w:t>
      </w:r>
      <m:oMath>
        <m:r>
          <w:rPr>
            <w:rFonts w:ascii="Cambria Math" w:eastAsiaTheme="minorEastAsia" w:hAnsi="Cambria Math"/>
            <w:szCs w:val="24"/>
          </w:rPr>
          <m:t>℃</m:t>
        </m:r>
      </m:oMath>
      <w:r w:rsidR="00C06476" w:rsidRPr="004174B8">
        <w:rPr>
          <w:rFonts w:eastAsiaTheme="minorEastAsia"/>
          <w:szCs w:val="24"/>
        </w:rPr>
        <w:t xml:space="preserve"> for 120 seconds; however, the selectivity increased once the torrefied biomass was pyrolyzed (which was not being observed at higher torrefaction temperatures). </w:t>
      </w:r>
    </w:p>
    <w:p w14:paraId="0BB50922" w14:textId="77777777" w:rsidR="005C1754" w:rsidRDefault="005C1754" w:rsidP="005C1754">
      <w:pPr>
        <w:spacing w:line="480" w:lineRule="auto"/>
        <w:ind w:left="0" w:firstLine="720"/>
        <w:jc w:val="both"/>
        <w:rPr>
          <w:rFonts w:eastAsiaTheme="minorEastAsia"/>
          <w:szCs w:val="24"/>
        </w:rPr>
      </w:pPr>
    </w:p>
    <w:p w14:paraId="3B2C261C" w14:textId="77777777" w:rsidR="005C1754" w:rsidRDefault="005C1754" w:rsidP="005C1754">
      <w:pPr>
        <w:spacing w:line="480" w:lineRule="auto"/>
        <w:ind w:left="0" w:firstLine="720"/>
        <w:jc w:val="both"/>
        <w:rPr>
          <w:rFonts w:eastAsiaTheme="minorEastAsia"/>
          <w:szCs w:val="24"/>
        </w:rPr>
      </w:pPr>
    </w:p>
    <w:p w14:paraId="27BEC1F6" w14:textId="77777777" w:rsidR="005C1754" w:rsidRDefault="005C1754" w:rsidP="005C1754">
      <w:pPr>
        <w:spacing w:line="480" w:lineRule="auto"/>
        <w:ind w:left="0" w:firstLine="720"/>
        <w:jc w:val="both"/>
        <w:rPr>
          <w:rFonts w:eastAsiaTheme="minorEastAsia"/>
          <w:szCs w:val="24"/>
        </w:rPr>
      </w:pPr>
    </w:p>
    <w:p w14:paraId="5C23C046" w14:textId="77777777" w:rsidR="005C1754" w:rsidRDefault="005C1754" w:rsidP="005C1754">
      <w:pPr>
        <w:spacing w:line="480" w:lineRule="auto"/>
        <w:ind w:left="0" w:firstLine="720"/>
        <w:jc w:val="both"/>
        <w:rPr>
          <w:rFonts w:eastAsiaTheme="minorEastAsia"/>
          <w:szCs w:val="24"/>
        </w:rPr>
      </w:pPr>
    </w:p>
    <w:p w14:paraId="62942953" w14:textId="77777777" w:rsidR="005C1754" w:rsidRDefault="005C1754" w:rsidP="005C1754">
      <w:pPr>
        <w:spacing w:line="480" w:lineRule="auto"/>
        <w:ind w:left="0" w:firstLine="720"/>
        <w:jc w:val="both"/>
        <w:rPr>
          <w:rFonts w:eastAsiaTheme="minorEastAsia"/>
          <w:szCs w:val="24"/>
        </w:rPr>
      </w:pPr>
      <w:r>
        <w:rPr>
          <w:noProof/>
        </w:rPr>
        <w:lastRenderedPageBreak/>
        <mc:AlternateContent>
          <mc:Choice Requires="wps">
            <w:drawing>
              <wp:anchor distT="0" distB="0" distL="114300" distR="114300" simplePos="0" relativeHeight="251802624" behindDoc="0" locked="0" layoutInCell="1" allowOverlap="1" wp14:anchorId="1A495410" wp14:editId="0A2A9DE4">
                <wp:simplePos x="0" y="0"/>
                <wp:positionH relativeFrom="margin">
                  <wp:align>right</wp:align>
                </wp:positionH>
                <wp:positionV relativeFrom="paragraph">
                  <wp:posOffset>2948305</wp:posOffset>
                </wp:positionV>
                <wp:extent cx="5943600" cy="635"/>
                <wp:effectExtent l="0" t="0" r="0" b="0"/>
                <wp:wrapSquare wrapText="bothSides"/>
                <wp:docPr id="272" name="Text Box 272"/>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C28DCD7" w14:textId="4F5FECB8" w:rsidR="00AA26F6" w:rsidRPr="007F66DD" w:rsidRDefault="00AA26F6" w:rsidP="007F66DD">
                            <w:pPr>
                              <w:pStyle w:val="Caption"/>
                              <w:rPr>
                                <w:i w:val="0"/>
                                <w:iCs w:val="0"/>
                                <w:noProof/>
                                <w:color w:val="auto"/>
                                <w:sz w:val="24"/>
                                <w:szCs w:val="24"/>
                              </w:rPr>
                            </w:pPr>
                            <w:bookmarkStart w:id="69" w:name="_Toc14520657"/>
                            <w:r w:rsidRPr="007F66DD">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12</w:t>
                            </w:r>
                            <w:r>
                              <w:rPr>
                                <w:b/>
                                <w:bCs/>
                                <w:i w:val="0"/>
                                <w:iCs w:val="0"/>
                                <w:color w:val="auto"/>
                                <w:sz w:val="24"/>
                                <w:szCs w:val="24"/>
                              </w:rPr>
                              <w:fldChar w:fldCharType="end"/>
                            </w:r>
                            <w:r w:rsidRPr="007F66DD">
                              <w:rPr>
                                <w:i w:val="0"/>
                                <w:iCs w:val="0"/>
                                <w:color w:val="auto"/>
                                <w:sz w:val="24"/>
                                <w:szCs w:val="24"/>
                              </w:rPr>
                              <w:t>: Yield showing different composition streams of torrefied AP13 Switchgrass upon pyrolysis with a residence time of 60 seconds</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A495410" id="Text Box 272" o:spid="_x0000_s1048" type="#_x0000_t202" style="position:absolute;left:0;text-align:left;margin-left:416.8pt;margin-top:232.15pt;width:468pt;height:.05pt;z-index:2518026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" stroked="f">
                <v:textbox style="mso-fit-shape-to-text:t" inset="0,0,0,0">
                  <w:txbxContent>
                    <w:p w14:paraId="4C28DCD7" w14:textId="4F5FECB8" w:rsidR="00AA26F6" w:rsidRPr="007F66DD" w:rsidRDefault="00AA26F6" w:rsidP="007F66DD">
                      <w:pPr>
                        <w:pStyle w:val="Caption"/>
                        <w:rPr>
                          <w:i w:val="0"/>
                          <w:iCs w:val="0"/>
                          <w:noProof/>
                          <w:color w:val="auto"/>
                          <w:sz w:val="24"/>
                          <w:szCs w:val="24"/>
                        </w:rPr>
                      </w:pPr>
                      <w:bookmarkStart w:id="70" w:name="_Toc14520657"/>
                      <w:r w:rsidRPr="007F66DD">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12</w:t>
                      </w:r>
                      <w:r>
                        <w:rPr>
                          <w:b/>
                          <w:bCs/>
                          <w:i w:val="0"/>
                          <w:iCs w:val="0"/>
                          <w:color w:val="auto"/>
                          <w:sz w:val="24"/>
                          <w:szCs w:val="24"/>
                        </w:rPr>
                        <w:fldChar w:fldCharType="end"/>
                      </w:r>
                      <w:r w:rsidRPr="007F66DD">
                        <w:rPr>
                          <w:i w:val="0"/>
                          <w:iCs w:val="0"/>
                          <w:color w:val="auto"/>
                          <w:sz w:val="24"/>
                          <w:szCs w:val="24"/>
                        </w:rPr>
                        <w:t>: Yield showing different composition streams of torrefied AP13 Switchgrass upon pyrolysis with a residence time of 60 seconds</w:t>
                      </w:r>
                      <w:bookmarkEnd w:id="70"/>
                    </w:p>
                  </w:txbxContent>
                </v:textbox>
                <w10:wrap type="square" anchorx="margin"/>
              </v:shape>
            </w:pict>
          </mc:Fallback>
        </mc:AlternateContent>
      </w:r>
      <w:r>
        <w:rPr>
          <w:noProof/>
        </w:rPr>
        <w:drawing>
          <wp:anchor distT="0" distB="0" distL="114300" distR="114300" simplePos="0" relativeHeight="251800576" behindDoc="0" locked="0" layoutInCell="1" allowOverlap="1" wp14:anchorId="1FF7F086" wp14:editId="05D2FD1B">
            <wp:simplePos x="0" y="0"/>
            <wp:positionH relativeFrom="margin">
              <wp:align>right</wp:align>
            </wp:positionH>
            <wp:positionV relativeFrom="paragraph">
              <wp:posOffset>0</wp:posOffset>
            </wp:positionV>
            <wp:extent cx="5934075" cy="2838450"/>
            <wp:effectExtent l="0" t="0" r="9525" b="0"/>
            <wp:wrapSquare wrapText="bothSides"/>
            <wp:docPr id="204" name="Chart 204">
              <a:extLst xmlns:a="http://schemas.openxmlformats.org/drawingml/2006/main">
                <a:ext uri="{FF2B5EF4-FFF2-40B4-BE49-F238E27FC236}">
                  <a16:creationId xmlns:a16="http://schemas.microsoft.com/office/drawing/2014/main" id="{E2A0B11E-A0D0-462B-9E5E-099E2B0FA7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p w14:paraId="69024492" w14:textId="77777777" w:rsidR="005C1754" w:rsidRDefault="005C1754" w:rsidP="005C1754">
      <w:pPr>
        <w:spacing w:line="480" w:lineRule="auto"/>
        <w:ind w:left="0" w:firstLine="720"/>
        <w:jc w:val="both"/>
        <w:rPr>
          <w:rFonts w:eastAsiaTheme="minorEastAsia"/>
          <w:szCs w:val="24"/>
        </w:rPr>
      </w:pPr>
    </w:p>
    <w:p w14:paraId="170D72B4" w14:textId="77777777" w:rsidR="005C1754" w:rsidRDefault="005C1754" w:rsidP="005C1754">
      <w:pPr>
        <w:spacing w:line="480" w:lineRule="auto"/>
        <w:ind w:left="0" w:firstLine="720"/>
        <w:jc w:val="both"/>
        <w:rPr>
          <w:rFonts w:eastAsiaTheme="minorEastAsia"/>
          <w:szCs w:val="24"/>
        </w:rPr>
      </w:pPr>
    </w:p>
    <w:p w14:paraId="79F618D0" w14:textId="77777777" w:rsidR="005C1754" w:rsidRDefault="005C1754" w:rsidP="005C1754">
      <w:pPr>
        <w:spacing w:line="480" w:lineRule="auto"/>
        <w:ind w:left="0" w:firstLine="720"/>
        <w:jc w:val="both"/>
        <w:rPr>
          <w:rFonts w:eastAsiaTheme="minorEastAsia"/>
          <w:szCs w:val="24"/>
        </w:rPr>
      </w:pPr>
    </w:p>
    <w:p w14:paraId="7122D0F5" w14:textId="77777777" w:rsidR="005C1754" w:rsidRDefault="005C1754" w:rsidP="005C1754">
      <w:pPr>
        <w:spacing w:line="480" w:lineRule="auto"/>
        <w:ind w:left="0" w:firstLine="720"/>
        <w:jc w:val="both"/>
        <w:rPr>
          <w:rFonts w:eastAsiaTheme="minorEastAsia"/>
          <w:szCs w:val="24"/>
        </w:rPr>
      </w:pPr>
    </w:p>
    <w:p w14:paraId="5FB72856" w14:textId="77777777" w:rsidR="005C1754" w:rsidRDefault="005C1754" w:rsidP="005C1754">
      <w:pPr>
        <w:spacing w:line="480" w:lineRule="auto"/>
        <w:ind w:left="0" w:firstLine="720"/>
        <w:jc w:val="both"/>
        <w:rPr>
          <w:rFonts w:eastAsiaTheme="minorEastAsia"/>
          <w:szCs w:val="24"/>
        </w:rPr>
      </w:pPr>
    </w:p>
    <w:p w14:paraId="10934349" w14:textId="77777777" w:rsidR="005C1754" w:rsidRDefault="005C1754" w:rsidP="005C1754">
      <w:pPr>
        <w:spacing w:line="480" w:lineRule="auto"/>
        <w:ind w:left="0" w:firstLine="720"/>
        <w:jc w:val="both"/>
        <w:rPr>
          <w:rFonts w:eastAsiaTheme="minorEastAsia"/>
          <w:szCs w:val="24"/>
        </w:rPr>
      </w:pPr>
    </w:p>
    <w:p w14:paraId="7C890B67" w14:textId="77777777" w:rsidR="005C1754" w:rsidRDefault="005C1754" w:rsidP="005C1754">
      <w:pPr>
        <w:spacing w:line="480" w:lineRule="auto"/>
        <w:ind w:left="0" w:firstLine="720"/>
        <w:jc w:val="both"/>
        <w:rPr>
          <w:rFonts w:eastAsiaTheme="minorEastAsia"/>
          <w:szCs w:val="24"/>
        </w:rPr>
      </w:pPr>
    </w:p>
    <w:p w14:paraId="30875DFD" w14:textId="77777777" w:rsidR="005C1754" w:rsidRDefault="005C1754" w:rsidP="005C1754">
      <w:pPr>
        <w:spacing w:line="480" w:lineRule="auto"/>
        <w:ind w:left="0" w:firstLine="720"/>
        <w:jc w:val="both"/>
        <w:rPr>
          <w:rFonts w:eastAsiaTheme="minorEastAsia"/>
          <w:szCs w:val="24"/>
        </w:rPr>
      </w:pPr>
    </w:p>
    <w:p w14:paraId="542D7838" w14:textId="77777777" w:rsidR="005C1754" w:rsidRDefault="005C1754" w:rsidP="005C1754">
      <w:pPr>
        <w:spacing w:line="480" w:lineRule="auto"/>
        <w:ind w:left="0" w:firstLine="720"/>
        <w:jc w:val="both"/>
        <w:rPr>
          <w:rFonts w:eastAsiaTheme="minorEastAsia"/>
          <w:szCs w:val="24"/>
        </w:rPr>
      </w:pPr>
    </w:p>
    <w:p w14:paraId="6F69D6DB" w14:textId="77777777" w:rsidR="005C1754" w:rsidRDefault="005C1754" w:rsidP="005C1754">
      <w:pPr>
        <w:spacing w:line="480" w:lineRule="auto"/>
        <w:ind w:left="0" w:firstLine="720"/>
        <w:jc w:val="both"/>
        <w:rPr>
          <w:rFonts w:eastAsiaTheme="minorEastAsia"/>
          <w:szCs w:val="24"/>
        </w:rPr>
      </w:pPr>
    </w:p>
    <w:p w14:paraId="4A647995" w14:textId="77777777" w:rsidR="005C1754" w:rsidRDefault="005C1754" w:rsidP="005C1754">
      <w:pPr>
        <w:spacing w:line="480" w:lineRule="auto"/>
        <w:ind w:left="0" w:firstLine="720"/>
        <w:jc w:val="both"/>
        <w:rPr>
          <w:rFonts w:eastAsiaTheme="minorEastAsia"/>
          <w:szCs w:val="24"/>
        </w:rPr>
      </w:pPr>
    </w:p>
    <w:p w14:paraId="0B9923DF" w14:textId="77777777" w:rsidR="005C1754" w:rsidRDefault="005C1754" w:rsidP="005C1754">
      <w:pPr>
        <w:spacing w:line="480" w:lineRule="auto"/>
        <w:ind w:left="0" w:firstLine="720"/>
        <w:jc w:val="both"/>
        <w:rPr>
          <w:rFonts w:eastAsiaTheme="minorEastAsia"/>
          <w:szCs w:val="24"/>
        </w:rPr>
      </w:pPr>
    </w:p>
    <w:p w14:paraId="0D01D438" w14:textId="77777777" w:rsidR="005C1754" w:rsidRPr="005C1754" w:rsidRDefault="005C1754" w:rsidP="005C1754">
      <w:pPr>
        <w:spacing w:line="480" w:lineRule="auto"/>
        <w:ind w:left="0" w:firstLine="0"/>
        <w:jc w:val="both"/>
        <w:rPr>
          <w:rFonts w:eastAsiaTheme="minorEastAsia"/>
          <w:szCs w:val="24"/>
        </w:rPr>
      </w:pPr>
    </w:p>
    <w:p w14:paraId="1A371048" w14:textId="77777777" w:rsidR="00577A35" w:rsidRPr="00063DF1" w:rsidRDefault="00577A35" w:rsidP="00D9716E">
      <w:pPr>
        <w:pStyle w:val="Heading1"/>
        <w:rPr>
          <w:rFonts w:ascii="Times New Roman" w:hAnsi="Times New Roman" w:cs="Times New Roman"/>
          <w:b/>
          <w:bCs/>
          <w:color w:val="auto"/>
          <w:sz w:val="28"/>
          <w:szCs w:val="28"/>
        </w:rPr>
      </w:pPr>
      <w:bookmarkStart w:id="71" w:name="_Toc14521042"/>
      <w:r w:rsidRPr="00063DF1">
        <w:rPr>
          <w:rFonts w:ascii="Times New Roman" w:hAnsi="Times New Roman" w:cs="Times New Roman"/>
          <w:b/>
          <w:bCs/>
          <w:color w:val="auto"/>
          <w:sz w:val="28"/>
          <w:szCs w:val="28"/>
        </w:rPr>
        <w:lastRenderedPageBreak/>
        <w:t>: The effect of genetic modification of lignin biosynthesis pathway on torrefaction product yields</w:t>
      </w:r>
      <w:bookmarkEnd w:id="71"/>
      <w:r w:rsidRPr="00063DF1">
        <w:rPr>
          <w:rFonts w:ascii="Times New Roman" w:hAnsi="Times New Roman" w:cs="Times New Roman"/>
          <w:b/>
          <w:bCs/>
          <w:color w:val="auto"/>
          <w:sz w:val="28"/>
          <w:szCs w:val="28"/>
        </w:rPr>
        <w:t xml:space="preserve"> </w:t>
      </w:r>
    </w:p>
    <w:p w14:paraId="4D786CE0" w14:textId="3058CD4A" w:rsidR="00577A35" w:rsidRPr="00174DE3" w:rsidRDefault="00577A35" w:rsidP="00577A35">
      <w:pPr>
        <w:spacing w:line="480" w:lineRule="auto"/>
        <w:ind w:left="0" w:firstLine="0"/>
        <w:rPr>
          <w:szCs w:val="24"/>
        </w:rPr>
      </w:pPr>
      <w:r w:rsidRPr="00174DE3">
        <w:rPr>
          <w:szCs w:val="24"/>
        </w:rPr>
        <w:t xml:space="preserve">Parts of this chapter has been extracted from a manuscript in preparation </w:t>
      </w:r>
      <w:r w:rsidRPr="00174DE3">
        <w:rPr>
          <w:szCs w:val="24"/>
        </w:rPr>
        <w:br/>
      </w:r>
      <w:r w:rsidR="00E433DF">
        <w:rPr>
          <w:szCs w:val="24"/>
        </w:rPr>
        <w:t xml:space="preserve">Redwan Nazim, </w:t>
      </w:r>
      <w:r w:rsidRPr="00174DE3">
        <w:rPr>
          <w:szCs w:val="24"/>
        </w:rPr>
        <w:t>Fan Lin, Christopher Waters, Rajiv Janupala, Richard Mallinson, Laura Bartley, Lance Lobban</w:t>
      </w:r>
    </w:p>
    <w:p w14:paraId="1FF5BB99" w14:textId="77777777" w:rsidR="00577A35" w:rsidRPr="001555A6" w:rsidRDefault="00577A35" w:rsidP="00D9716E">
      <w:pPr>
        <w:pStyle w:val="Heading2"/>
        <w:rPr>
          <w:rFonts w:ascii="Times New Roman" w:hAnsi="Times New Roman" w:cs="Times New Roman"/>
          <w:b/>
          <w:bCs/>
          <w:color w:val="auto"/>
          <w:sz w:val="24"/>
          <w:szCs w:val="24"/>
        </w:rPr>
      </w:pPr>
      <w:bookmarkStart w:id="72" w:name="_Toc14521043"/>
      <w:r w:rsidRPr="001555A6">
        <w:rPr>
          <w:rFonts w:ascii="Times New Roman" w:hAnsi="Times New Roman" w:cs="Times New Roman"/>
          <w:b/>
          <w:bCs/>
          <w:color w:val="auto"/>
          <w:sz w:val="24"/>
          <w:szCs w:val="24"/>
        </w:rPr>
        <w:t>4.1 I</w:t>
      </w:r>
      <w:r w:rsidR="001555A6">
        <w:rPr>
          <w:rFonts w:ascii="Times New Roman" w:hAnsi="Times New Roman" w:cs="Times New Roman"/>
          <w:b/>
          <w:bCs/>
          <w:color w:val="auto"/>
          <w:sz w:val="24"/>
          <w:szCs w:val="24"/>
        </w:rPr>
        <w:t>ntroduction</w:t>
      </w:r>
      <w:bookmarkEnd w:id="72"/>
    </w:p>
    <w:p w14:paraId="312A977A" w14:textId="77777777" w:rsidR="00577A35" w:rsidRPr="00174DE3" w:rsidRDefault="00577A35" w:rsidP="00ED4E6F">
      <w:pPr>
        <w:spacing w:line="480" w:lineRule="auto"/>
        <w:ind w:left="0" w:firstLine="720"/>
        <w:jc w:val="both"/>
        <w:rPr>
          <w:szCs w:val="24"/>
        </w:rPr>
      </w:pPr>
      <w:r w:rsidRPr="00174DE3">
        <w:rPr>
          <w:szCs w:val="24"/>
        </w:rPr>
        <w:t>The results of previous chapter provide evidence</w:t>
      </w:r>
      <w:r>
        <w:rPr>
          <w:szCs w:val="24"/>
        </w:rPr>
        <w:t xml:space="preserve"> </w:t>
      </w:r>
      <w:r w:rsidRPr="00174DE3">
        <w:rPr>
          <w:szCs w:val="24"/>
        </w:rPr>
        <w:t>that</w:t>
      </w:r>
      <w:r>
        <w:rPr>
          <w:szCs w:val="24"/>
        </w:rPr>
        <w:t xml:space="preserve"> temperature and residence time provide means </w:t>
      </w:r>
      <w:r w:rsidRPr="00174DE3">
        <w:rPr>
          <w:szCs w:val="24"/>
        </w:rPr>
        <w:t>to exercise influence over the thermochemical degradation products</w:t>
      </w:r>
      <w:r>
        <w:rPr>
          <w:szCs w:val="24"/>
        </w:rPr>
        <w:t>.</w:t>
      </w:r>
      <w:r w:rsidRPr="00174DE3">
        <w:rPr>
          <w:szCs w:val="24"/>
        </w:rPr>
        <w:t xml:space="preserve"> Previous studies have</w:t>
      </w:r>
      <w:r>
        <w:rPr>
          <w:szCs w:val="24"/>
        </w:rPr>
        <w:t xml:space="preserve"> shown the different segregation of thermochemical products through the manipulation of process variables (6,7);</w:t>
      </w:r>
      <w:r w:rsidRPr="00174DE3">
        <w:rPr>
          <w:szCs w:val="24"/>
        </w:rPr>
        <w:t xml:space="preserve"> this allows for various catalytic valorization techniques to be customized to each separate product stream to maximize desirable output (i.e. maximizing carbon yield, enhancing process economics, etc.).</w:t>
      </w:r>
      <w:r>
        <w:rPr>
          <w:szCs w:val="24"/>
        </w:rPr>
        <w:t xml:space="preserve"> A desirable objective of this thesis</w:t>
      </w:r>
      <w:r w:rsidRPr="00174DE3">
        <w:rPr>
          <w:szCs w:val="24"/>
        </w:rPr>
        <w:t xml:space="preserve"> is to determine/pinpoint which different organisms/compositional factors (i.e. by investigating the heritable traits) are responsible for different thermochemical products within a single species of biomass (in this case, switchgrass). </w:t>
      </w:r>
    </w:p>
    <w:p w14:paraId="4A01F451" w14:textId="77777777" w:rsidR="00577A35" w:rsidRPr="00174DE3" w:rsidRDefault="00577A35" w:rsidP="00ED4E6F">
      <w:pPr>
        <w:spacing w:line="480" w:lineRule="auto"/>
        <w:ind w:left="0" w:firstLine="720"/>
        <w:jc w:val="both"/>
        <w:rPr>
          <w:szCs w:val="24"/>
        </w:rPr>
      </w:pPr>
      <w:r w:rsidRPr="00174DE3">
        <w:rPr>
          <w:szCs w:val="24"/>
        </w:rPr>
        <w:t>As mentioned briefly in Chapter 1, a desirable segregation is the “clean” removal of hemicellulose through a low-temperature thermal degradation treatment (i.e. a treatment that would minimize cellulose and lignin decomposition as much as possible while degrading almost all of hemicellulose). Preceding studies, though, have detected small amounts of cellulose and lignin decomposition at low temperature treatments</w:t>
      </w:r>
      <w:r>
        <w:rPr>
          <w:szCs w:val="24"/>
        </w:rPr>
        <w:t xml:space="preserve"> (7). </w:t>
      </w:r>
      <w:r w:rsidRPr="00174DE3">
        <w:rPr>
          <w:szCs w:val="24"/>
        </w:rPr>
        <w:t xml:space="preserve">While cellulose degradation can be </w:t>
      </w:r>
      <w:r>
        <w:rPr>
          <w:szCs w:val="24"/>
        </w:rPr>
        <w:t>minimized (as evidenced by the absence of levoglucosan in the 270 degrees torrefaction result in previous chapter)</w:t>
      </w:r>
      <w:r w:rsidRPr="00174DE3">
        <w:rPr>
          <w:szCs w:val="24"/>
        </w:rPr>
        <w:t xml:space="preserve">, literature suggests that some lignin decomposition would always take place at </w:t>
      </w:r>
      <w:r w:rsidRPr="00174DE3">
        <w:rPr>
          <w:szCs w:val="24"/>
        </w:rPr>
        <w:lastRenderedPageBreak/>
        <w:t>conditions which degrade hemicellulose (9,64) due to lignin’s broad thermal stability range (shown in chapter 1).</w:t>
      </w:r>
    </w:p>
    <w:p w14:paraId="4806AED4" w14:textId="77777777" w:rsidR="00577A35" w:rsidRPr="00174DE3" w:rsidRDefault="00577A35" w:rsidP="00ED4E6F">
      <w:pPr>
        <w:spacing w:line="480" w:lineRule="auto"/>
        <w:ind w:left="0" w:firstLine="720"/>
        <w:jc w:val="both"/>
        <w:rPr>
          <w:szCs w:val="24"/>
        </w:rPr>
      </w:pPr>
      <w:r w:rsidRPr="00174DE3">
        <w:rPr>
          <w:szCs w:val="24"/>
        </w:rPr>
        <w:t xml:space="preserve">Utilizing a biomass feedstock with a low lignin content might help address the objective of minimizing lignin-derived thermal products to a greater extent, although high amounts of such thermochemical conversion products, especially the phenolic species, are sought after from the whole thermal treatment procedure. </w:t>
      </w:r>
      <w:r>
        <w:rPr>
          <w:szCs w:val="24"/>
        </w:rPr>
        <w:t>C</w:t>
      </w:r>
      <w:r w:rsidRPr="00174DE3">
        <w:rPr>
          <w:szCs w:val="24"/>
        </w:rPr>
        <w:t>onsidering such factors, adapting the thermal stability region of lignin to s</w:t>
      </w:r>
      <w:r>
        <w:rPr>
          <w:szCs w:val="24"/>
        </w:rPr>
        <w:t>uppress</w:t>
      </w:r>
      <w:r w:rsidRPr="00174DE3">
        <w:rPr>
          <w:szCs w:val="24"/>
        </w:rPr>
        <w:t xml:space="preserve"> its decomposition at lower temperatures without affecting the total lignin content present within the biomass species would allow both outcomes (i.e. degrading hemicellulose completely and minimizing lignin decomposition via low temperature thermal treatment) to come to fruition.</w:t>
      </w:r>
    </w:p>
    <w:p w14:paraId="436DC7F8" w14:textId="77777777" w:rsidR="00577A35" w:rsidRPr="001555A6" w:rsidRDefault="00577A35" w:rsidP="00D9716E">
      <w:pPr>
        <w:pStyle w:val="Heading2"/>
        <w:rPr>
          <w:rFonts w:ascii="Times New Roman" w:hAnsi="Times New Roman" w:cs="Times New Roman"/>
          <w:b/>
          <w:bCs/>
          <w:color w:val="auto"/>
          <w:sz w:val="24"/>
          <w:szCs w:val="24"/>
        </w:rPr>
      </w:pPr>
      <w:bookmarkStart w:id="73" w:name="_Toc14521044"/>
      <w:r w:rsidRPr="001555A6">
        <w:rPr>
          <w:rFonts w:ascii="Times New Roman" w:hAnsi="Times New Roman" w:cs="Times New Roman"/>
          <w:b/>
          <w:bCs/>
          <w:color w:val="auto"/>
          <w:sz w:val="24"/>
          <w:szCs w:val="24"/>
        </w:rPr>
        <w:t>4.2 L</w:t>
      </w:r>
      <w:r w:rsidR="001555A6">
        <w:rPr>
          <w:rFonts w:ascii="Times New Roman" w:hAnsi="Times New Roman" w:cs="Times New Roman"/>
          <w:b/>
          <w:bCs/>
          <w:color w:val="auto"/>
          <w:sz w:val="24"/>
          <w:szCs w:val="24"/>
        </w:rPr>
        <w:t>ignin Biosynthesis Network</w:t>
      </w:r>
      <w:bookmarkEnd w:id="73"/>
    </w:p>
    <w:p w14:paraId="659D3D79" w14:textId="77777777" w:rsidR="00577A35" w:rsidRPr="00174DE3" w:rsidRDefault="00577A35" w:rsidP="00ED4E6F">
      <w:pPr>
        <w:spacing w:line="480" w:lineRule="auto"/>
        <w:ind w:left="0" w:firstLine="720"/>
        <w:jc w:val="both"/>
        <w:rPr>
          <w:szCs w:val="24"/>
        </w:rPr>
      </w:pPr>
      <w:r w:rsidRPr="00174DE3">
        <w:rPr>
          <w:szCs w:val="24"/>
        </w:rPr>
        <w:t>As discussed in Chapter 3, lignin is a class of complex organic polymers consisting primarily of 3 monomeric units (</w:t>
      </w:r>
      <w:r w:rsidRPr="00174DE3">
        <w:rPr>
          <w:b/>
          <w:bCs/>
          <w:i/>
          <w:iCs/>
          <w:szCs w:val="24"/>
        </w:rPr>
        <w:t>H</w:t>
      </w:r>
      <w:r w:rsidRPr="00174DE3">
        <w:rPr>
          <w:szCs w:val="24"/>
        </w:rPr>
        <w:t xml:space="preserve">, </w:t>
      </w:r>
      <w:r w:rsidRPr="00174DE3">
        <w:rPr>
          <w:b/>
          <w:bCs/>
          <w:i/>
          <w:iCs/>
          <w:szCs w:val="24"/>
        </w:rPr>
        <w:t>G</w:t>
      </w:r>
      <w:r w:rsidRPr="00174DE3">
        <w:rPr>
          <w:szCs w:val="24"/>
        </w:rPr>
        <w:t xml:space="preserve">, and </w:t>
      </w:r>
      <w:r w:rsidRPr="00174DE3">
        <w:rPr>
          <w:b/>
          <w:bCs/>
          <w:i/>
          <w:iCs/>
          <w:szCs w:val="24"/>
        </w:rPr>
        <w:t>S</w:t>
      </w:r>
      <w:r w:rsidRPr="00174DE3">
        <w:rPr>
          <w:szCs w:val="24"/>
        </w:rPr>
        <w:t xml:space="preserve">) that compose key framework materials in the support tissues of vascular plants (i.e. cell walls) (29); an overview of these monomeric units (which is our primary focus) and their resulting structures (included by author for completeness) in the polymer is provided in Figure 4.1 (29). It is due to the prevalence of so many different linkages within the lignin polymeric network that attributes for such a broad range in its thermal stability. Amongst all the structures shown in Figure 4.1, the most commonly occurring unit within the lignin biosynthesis network is the β-O-4 structure – it incorporates more than half of the inter-unit linkages within the network (29). Apart from this structure, other frequently occurring units are β-5, β-β, 5-5, 5-O-4, and β-1 structures.   </w:t>
      </w:r>
    </w:p>
    <w:p w14:paraId="5C4C36A1" w14:textId="77777777" w:rsidR="00577A35" w:rsidRPr="00174DE3" w:rsidRDefault="00577A35" w:rsidP="00577A35">
      <w:pPr>
        <w:ind w:left="0" w:firstLine="0"/>
        <w:rPr>
          <w:szCs w:val="24"/>
        </w:rPr>
      </w:pPr>
      <w:r w:rsidRPr="00174DE3">
        <w:rPr>
          <w:szCs w:val="24"/>
        </w:rPr>
        <w:t xml:space="preserve"> </w:t>
      </w:r>
    </w:p>
    <w:p w14:paraId="72D89900" w14:textId="77777777" w:rsidR="00577A35" w:rsidRPr="00174DE3" w:rsidRDefault="00577A35" w:rsidP="00577A35">
      <w:pPr>
        <w:ind w:left="0" w:firstLine="0"/>
        <w:rPr>
          <w:szCs w:val="24"/>
        </w:rPr>
      </w:pPr>
      <w:r w:rsidRPr="00174DE3">
        <w:rPr>
          <w:szCs w:val="24"/>
        </w:rPr>
        <w:t xml:space="preserve"> </w:t>
      </w:r>
    </w:p>
    <w:p w14:paraId="7A727F05" w14:textId="77777777" w:rsidR="00577A35" w:rsidRPr="00174DE3" w:rsidRDefault="00577A35" w:rsidP="00577A35">
      <w:pPr>
        <w:ind w:left="0" w:firstLine="0"/>
        <w:rPr>
          <w:szCs w:val="24"/>
        </w:rPr>
      </w:pPr>
    </w:p>
    <w:p w14:paraId="157FE3EC" w14:textId="77777777" w:rsidR="00577A35" w:rsidRPr="00174DE3" w:rsidRDefault="00577A35" w:rsidP="00577A35">
      <w:pPr>
        <w:ind w:left="0" w:firstLine="0"/>
        <w:rPr>
          <w:szCs w:val="24"/>
        </w:rPr>
      </w:pPr>
      <w:r w:rsidRPr="00174DE3">
        <w:rPr>
          <w:noProof/>
          <w:szCs w:val="24"/>
        </w:rPr>
        <w:drawing>
          <wp:anchor distT="0" distB="0" distL="114300" distR="114300" simplePos="0" relativeHeight="251742208" behindDoc="0" locked="0" layoutInCell="1" allowOverlap="1" wp14:anchorId="0A449FAC" wp14:editId="05AE3911">
            <wp:simplePos x="0" y="0"/>
            <wp:positionH relativeFrom="margin">
              <wp:align>center</wp:align>
            </wp:positionH>
            <wp:positionV relativeFrom="paragraph">
              <wp:posOffset>0</wp:posOffset>
            </wp:positionV>
            <wp:extent cx="4829175" cy="6524625"/>
            <wp:effectExtent l="0" t="0" r="9525" b="952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4829175" cy="6524625"/>
                    </a:xfrm>
                    <a:prstGeom prst="rect">
                      <a:avLst/>
                    </a:prstGeom>
                  </pic:spPr>
                </pic:pic>
              </a:graphicData>
            </a:graphic>
          </wp:anchor>
        </w:drawing>
      </w:r>
    </w:p>
    <w:p w14:paraId="66578702" w14:textId="77777777" w:rsidR="00577A35" w:rsidRPr="00174DE3" w:rsidRDefault="00577A35" w:rsidP="00577A35">
      <w:pPr>
        <w:ind w:left="0" w:firstLine="0"/>
        <w:rPr>
          <w:szCs w:val="24"/>
        </w:rPr>
      </w:pPr>
    </w:p>
    <w:p w14:paraId="46E3535C" w14:textId="77777777" w:rsidR="00577A35" w:rsidRPr="00174DE3" w:rsidRDefault="00577A35" w:rsidP="00577A35">
      <w:pPr>
        <w:ind w:left="0" w:firstLine="0"/>
        <w:rPr>
          <w:szCs w:val="24"/>
        </w:rPr>
      </w:pPr>
    </w:p>
    <w:p w14:paraId="1A01BF06" w14:textId="77777777" w:rsidR="00577A35" w:rsidRPr="00174DE3" w:rsidRDefault="00577A35" w:rsidP="00577A35">
      <w:pPr>
        <w:ind w:left="0" w:firstLine="0"/>
        <w:rPr>
          <w:szCs w:val="24"/>
        </w:rPr>
      </w:pPr>
    </w:p>
    <w:p w14:paraId="500A1169" w14:textId="77777777" w:rsidR="00577A35" w:rsidRPr="00174DE3" w:rsidRDefault="00577A35" w:rsidP="00577A35">
      <w:pPr>
        <w:ind w:left="0" w:firstLine="0"/>
        <w:rPr>
          <w:szCs w:val="24"/>
        </w:rPr>
      </w:pPr>
    </w:p>
    <w:p w14:paraId="2D4AC6E2" w14:textId="77777777" w:rsidR="00577A35" w:rsidRPr="00174DE3" w:rsidRDefault="00577A35" w:rsidP="00577A35">
      <w:pPr>
        <w:ind w:left="0" w:firstLine="0"/>
        <w:rPr>
          <w:szCs w:val="24"/>
        </w:rPr>
      </w:pPr>
    </w:p>
    <w:p w14:paraId="28BC887F" w14:textId="77777777" w:rsidR="00577A35" w:rsidRPr="00174DE3" w:rsidRDefault="00577A35" w:rsidP="00577A35">
      <w:pPr>
        <w:ind w:left="0" w:firstLine="0"/>
        <w:rPr>
          <w:szCs w:val="24"/>
        </w:rPr>
      </w:pPr>
    </w:p>
    <w:p w14:paraId="63CD330C" w14:textId="77777777" w:rsidR="00577A35" w:rsidRPr="00174DE3" w:rsidRDefault="00577A35" w:rsidP="00577A35">
      <w:pPr>
        <w:ind w:left="0" w:firstLine="0"/>
        <w:rPr>
          <w:szCs w:val="24"/>
        </w:rPr>
      </w:pPr>
    </w:p>
    <w:p w14:paraId="522C3511" w14:textId="77777777" w:rsidR="00577A35" w:rsidRPr="00174DE3" w:rsidRDefault="00577A35" w:rsidP="00577A35">
      <w:pPr>
        <w:ind w:left="0" w:firstLine="0"/>
        <w:rPr>
          <w:szCs w:val="24"/>
        </w:rPr>
      </w:pPr>
    </w:p>
    <w:p w14:paraId="04FCA1A0" w14:textId="77777777" w:rsidR="00577A35" w:rsidRPr="00174DE3" w:rsidRDefault="00577A35" w:rsidP="00577A35">
      <w:pPr>
        <w:ind w:left="0" w:firstLine="0"/>
        <w:rPr>
          <w:szCs w:val="24"/>
        </w:rPr>
      </w:pPr>
    </w:p>
    <w:p w14:paraId="6AD11F6F" w14:textId="77777777" w:rsidR="00577A35" w:rsidRPr="00174DE3" w:rsidRDefault="00577A35" w:rsidP="00577A35">
      <w:pPr>
        <w:ind w:left="0" w:firstLine="0"/>
        <w:rPr>
          <w:szCs w:val="24"/>
        </w:rPr>
      </w:pPr>
    </w:p>
    <w:p w14:paraId="73AFDAE2" w14:textId="77777777" w:rsidR="00577A35" w:rsidRPr="00174DE3" w:rsidRDefault="00577A35" w:rsidP="00577A35">
      <w:pPr>
        <w:ind w:left="0" w:firstLine="0"/>
        <w:rPr>
          <w:szCs w:val="24"/>
        </w:rPr>
      </w:pPr>
    </w:p>
    <w:p w14:paraId="3C6D1028" w14:textId="77777777" w:rsidR="00577A35" w:rsidRPr="00174DE3" w:rsidRDefault="00577A35" w:rsidP="00577A35">
      <w:pPr>
        <w:ind w:left="0" w:firstLine="0"/>
        <w:rPr>
          <w:szCs w:val="24"/>
        </w:rPr>
      </w:pPr>
    </w:p>
    <w:p w14:paraId="3F119257" w14:textId="77777777" w:rsidR="00577A35" w:rsidRPr="00174DE3" w:rsidRDefault="00577A35" w:rsidP="00577A35">
      <w:pPr>
        <w:ind w:left="0" w:firstLine="0"/>
        <w:rPr>
          <w:szCs w:val="24"/>
        </w:rPr>
      </w:pPr>
    </w:p>
    <w:p w14:paraId="2027FC35" w14:textId="77777777" w:rsidR="00577A35" w:rsidRPr="00174DE3" w:rsidRDefault="00577A35" w:rsidP="00577A35">
      <w:pPr>
        <w:ind w:left="0" w:firstLine="0"/>
        <w:rPr>
          <w:szCs w:val="24"/>
        </w:rPr>
      </w:pPr>
    </w:p>
    <w:p w14:paraId="3903469C" w14:textId="77777777" w:rsidR="00577A35" w:rsidRPr="00174DE3" w:rsidRDefault="00577A35" w:rsidP="00577A35">
      <w:pPr>
        <w:ind w:left="0" w:firstLine="0"/>
        <w:rPr>
          <w:szCs w:val="24"/>
        </w:rPr>
      </w:pPr>
    </w:p>
    <w:p w14:paraId="4DB8A1D7" w14:textId="77777777" w:rsidR="00577A35" w:rsidRPr="00174DE3" w:rsidRDefault="00577A35" w:rsidP="00577A35">
      <w:pPr>
        <w:ind w:left="0" w:firstLine="0"/>
        <w:rPr>
          <w:szCs w:val="24"/>
        </w:rPr>
      </w:pPr>
    </w:p>
    <w:p w14:paraId="3F25A6C6" w14:textId="77777777" w:rsidR="00577A35" w:rsidRPr="00174DE3" w:rsidRDefault="00577A35" w:rsidP="00577A35">
      <w:pPr>
        <w:ind w:left="0" w:firstLine="0"/>
        <w:rPr>
          <w:szCs w:val="24"/>
        </w:rPr>
      </w:pPr>
    </w:p>
    <w:p w14:paraId="227BC276" w14:textId="77777777" w:rsidR="00577A35" w:rsidRDefault="00063DF1" w:rsidP="00577A35">
      <w:pPr>
        <w:ind w:left="0" w:firstLine="0"/>
        <w:rPr>
          <w:szCs w:val="24"/>
        </w:rPr>
      </w:pPr>
      <w:r>
        <w:rPr>
          <w:noProof/>
        </w:rPr>
        <mc:AlternateContent>
          <mc:Choice Requires="wps">
            <w:drawing>
              <wp:anchor distT="0" distB="0" distL="114300" distR="114300" simplePos="0" relativeHeight="251804672" behindDoc="0" locked="0" layoutInCell="1" allowOverlap="1" wp14:anchorId="07D001C5" wp14:editId="51E085B5">
                <wp:simplePos x="0" y="0"/>
                <wp:positionH relativeFrom="margin">
                  <wp:align>right</wp:align>
                </wp:positionH>
                <wp:positionV relativeFrom="paragraph">
                  <wp:posOffset>258445</wp:posOffset>
                </wp:positionV>
                <wp:extent cx="5934075" cy="635"/>
                <wp:effectExtent l="0" t="0" r="9525" b="0"/>
                <wp:wrapSquare wrapText="bothSides"/>
                <wp:docPr id="273" name="Text Box 273"/>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46911356" w14:textId="764E2529" w:rsidR="00AA26F6" w:rsidRPr="00063DF1" w:rsidRDefault="00AA26F6" w:rsidP="00063DF1">
                            <w:pPr>
                              <w:pStyle w:val="Caption"/>
                              <w:rPr>
                                <w:i w:val="0"/>
                                <w:iCs w:val="0"/>
                                <w:noProof/>
                                <w:color w:val="auto"/>
                                <w:sz w:val="24"/>
                                <w:szCs w:val="24"/>
                              </w:rPr>
                            </w:pPr>
                            <w:bookmarkStart w:id="74" w:name="_Toc14520658"/>
                            <w:r w:rsidRPr="00063DF1">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sidRPr="00063DF1">
                              <w:rPr>
                                <w:b/>
                                <w:bCs/>
                                <w:i w:val="0"/>
                                <w:iCs w:val="0"/>
                                <w:color w:val="auto"/>
                                <w:sz w:val="24"/>
                                <w:szCs w:val="24"/>
                              </w:rPr>
                              <w:t>:</w:t>
                            </w:r>
                            <w:r w:rsidRPr="00063DF1">
                              <w:rPr>
                                <w:i w:val="0"/>
                                <w:iCs w:val="0"/>
                                <w:color w:val="auto"/>
                                <w:sz w:val="24"/>
                                <w:szCs w:val="24"/>
                              </w:rPr>
                              <w:t xml:space="preserve"> Lignin monomers and structures within the polymer; lignins derive primarily from three monolignols – the hydroxycinnamyl alcohols: M1H, M1G, and M1S (29)</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7D001C5" id="Text Box 273" o:spid="_x0000_s1049" type="#_x0000_t202" style="position:absolute;margin-left:416.05pt;margin-top:20.35pt;width:467.25pt;height:.05pt;z-index:2518046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" stroked="f">
                <v:textbox style="mso-fit-shape-to-text:t" inset="0,0,0,0">
                  <w:txbxContent>
                    <w:p w14:paraId="46911356" w14:textId="764E2529" w:rsidR="00AA26F6" w:rsidRPr="00063DF1" w:rsidRDefault="00AA26F6" w:rsidP="00063DF1">
                      <w:pPr>
                        <w:pStyle w:val="Caption"/>
                        <w:rPr>
                          <w:i w:val="0"/>
                          <w:iCs w:val="0"/>
                          <w:noProof/>
                          <w:color w:val="auto"/>
                          <w:sz w:val="24"/>
                          <w:szCs w:val="24"/>
                        </w:rPr>
                      </w:pPr>
                      <w:bookmarkStart w:id="75" w:name="_Toc14520658"/>
                      <w:r w:rsidRPr="00063DF1">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sidRPr="00063DF1">
                        <w:rPr>
                          <w:b/>
                          <w:bCs/>
                          <w:i w:val="0"/>
                          <w:iCs w:val="0"/>
                          <w:color w:val="auto"/>
                          <w:sz w:val="24"/>
                          <w:szCs w:val="24"/>
                        </w:rPr>
                        <w:t>:</w:t>
                      </w:r>
                      <w:r w:rsidRPr="00063DF1">
                        <w:rPr>
                          <w:i w:val="0"/>
                          <w:iCs w:val="0"/>
                          <w:color w:val="auto"/>
                          <w:sz w:val="24"/>
                          <w:szCs w:val="24"/>
                        </w:rPr>
                        <w:t xml:space="preserve"> Lignin monomers and structures within the polymer; lignins derive primarily from three monolignols – the hydroxycinnamyl alcohols: M1H, M1G, and M1S (29)</w:t>
                      </w:r>
                      <w:bookmarkEnd w:id="75"/>
                    </w:p>
                  </w:txbxContent>
                </v:textbox>
                <w10:wrap type="square" anchorx="margin"/>
              </v:shape>
            </w:pict>
          </mc:Fallback>
        </mc:AlternateContent>
      </w:r>
    </w:p>
    <w:p w14:paraId="00DFFC1E" w14:textId="77777777" w:rsidR="00577A35" w:rsidRPr="00174DE3" w:rsidRDefault="00577A35" w:rsidP="00577A35">
      <w:pPr>
        <w:ind w:left="0" w:firstLine="0"/>
        <w:rPr>
          <w:szCs w:val="24"/>
        </w:rPr>
      </w:pPr>
    </w:p>
    <w:p w14:paraId="2BD7B6CF" w14:textId="77777777" w:rsidR="00ED4E6F" w:rsidRDefault="00ED4E6F" w:rsidP="00577A35">
      <w:pPr>
        <w:spacing w:line="480" w:lineRule="auto"/>
        <w:ind w:left="0" w:firstLine="0"/>
        <w:jc w:val="both"/>
        <w:rPr>
          <w:szCs w:val="24"/>
        </w:rPr>
      </w:pPr>
    </w:p>
    <w:p w14:paraId="0D8CE79D" w14:textId="77777777" w:rsidR="00ED4E6F" w:rsidRDefault="00ED4E6F" w:rsidP="00577A35">
      <w:pPr>
        <w:spacing w:line="480" w:lineRule="auto"/>
        <w:ind w:left="0" w:firstLine="0"/>
        <w:jc w:val="both"/>
        <w:rPr>
          <w:szCs w:val="24"/>
        </w:rPr>
      </w:pPr>
    </w:p>
    <w:p w14:paraId="719E2ACA" w14:textId="77777777" w:rsidR="00577A35" w:rsidRPr="00174DE3" w:rsidRDefault="00577A35" w:rsidP="00ED4E6F">
      <w:pPr>
        <w:spacing w:line="480" w:lineRule="auto"/>
        <w:ind w:left="0" w:firstLine="720"/>
        <w:jc w:val="both"/>
        <w:rPr>
          <w:szCs w:val="24"/>
        </w:rPr>
      </w:pPr>
      <w:r w:rsidRPr="00174DE3">
        <w:rPr>
          <w:szCs w:val="24"/>
        </w:rPr>
        <w:t xml:space="preserve">For the six structures mentioned within the biopolymeric lignin network, DFT calculations measuring the enthalpy of dissociation for these six bonds were carried out; the findings are provided in Figure 4.2 (7). Literature suggests a correlation that an increase in the production of </w:t>
      </w:r>
      <w:r w:rsidRPr="00174DE3">
        <w:rPr>
          <w:b/>
          <w:bCs/>
          <w:i/>
          <w:iCs/>
          <w:szCs w:val="24"/>
        </w:rPr>
        <w:t>G</w:t>
      </w:r>
      <w:r w:rsidRPr="00174DE3">
        <w:rPr>
          <w:szCs w:val="24"/>
        </w:rPr>
        <w:t xml:space="preserve"> monomeric units over </w:t>
      </w:r>
      <w:r w:rsidRPr="00174DE3">
        <w:rPr>
          <w:b/>
          <w:bCs/>
          <w:i/>
          <w:iCs/>
          <w:szCs w:val="24"/>
        </w:rPr>
        <w:t>S</w:t>
      </w:r>
      <w:r w:rsidRPr="00174DE3">
        <w:rPr>
          <w:szCs w:val="24"/>
        </w:rPr>
        <w:t xml:space="preserve"> monomeric units (i.e. in other words, a lower </w:t>
      </w:r>
      <w:r w:rsidRPr="00174DE3">
        <w:rPr>
          <w:b/>
          <w:bCs/>
          <w:i/>
          <w:iCs/>
          <w:szCs w:val="24"/>
        </w:rPr>
        <w:t>S/G</w:t>
      </w:r>
      <w:r w:rsidRPr="00174DE3">
        <w:rPr>
          <w:szCs w:val="24"/>
        </w:rPr>
        <w:t xml:space="preserve"> ratio) results in an increased pervasiveness of β-5, 5-5, and 5-O-4 structures over β-O-4, β-β, and β-1 linkages within the lignin polymeric network; this correlation has been attributed to the increased availability of the “5” position as a reaction site (29). This finding is explained in detail in (29). In accordance with this, and the DFT measurements, it is reasonable to state that commencement of the radical depolymerization reactions within the lignin biopolymeric network would be less favorable (i.e. as it requires greater energy for bond dissociation) at lower temperature thermal treatment for biomass species exhibiting lower </w:t>
      </w:r>
      <w:r w:rsidRPr="00174DE3">
        <w:rPr>
          <w:b/>
          <w:bCs/>
          <w:i/>
          <w:iCs/>
          <w:szCs w:val="24"/>
        </w:rPr>
        <w:t>S/G</w:t>
      </w:r>
      <w:r w:rsidRPr="00174DE3">
        <w:rPr>
          <w:szCs w:val="24"/>
        </w:rPr>
        <w:t xml:space="preserve"> ratios. As a result, selectivity for lignin decomposition at the lower temperature thermal treatment would decrease.  </w:t>
      </w:r>
    </w:p>
    <w:p w14:paraId="5BDC8B25" w14:textId="77777777" w:rsidR="00577A35" w:rsidRPr="00174DE3" w:rsidRDefault="00577A35" w:rsidP="00577A35">
      <w:pPr>
        <w:ind w:left="0" w:firstLine="0"/>
        <w:jc w:val="center"/>
        <w:rPr>
          <w:szCs w:val="24"/>
        </w:rPr>
      </w:pPr>
    </w:p>
    <w:p w14:paraId="36D2E122" w14:textId="77777777" w:rsidR="00577A35" w:rsidRPr="00174DE3" w:rsidRDefault="00577A35" w:rsidP="00577A35">
      <w:pPr>
        <w:ind w:left="0" w:firstLine="0"/>
        <w:jc w:val="center"/>
        <w:rPr>
          <w:szCs w:val="24"/>
        </w:rPr>
      </w:pPr>
    </w:p>
    <w:p w14:paraId="5313B542" w14:textId="77777777" w:rsidR="00577A35" w:rsidRPr="00174DE3" w:rsidRDefault="00577A35" w:rsidP="00577A35">
      <w:pPr>
        <w:ind w:left="0" w:firstLine="0"/>
        <w:jc w:val="center"/>
        <w:rPr>
          <w:szCs w:val="24"/>
        </w:rPr>
      </w:pPr>
    </w:p>
    <w:p w14:paraId="361D9200" w14:textId="77777777" w:rsidR="00577A35" w:rsidRPr="00174DE3" w:rsidRDefault="00577A35" w:rsidP="00577A35">
      <w:pPr>
        <w:ind w:left="0" w:firstLine="0"/>
        <w:jc w:val="center"/>
        <w:rPr>
          <w:szCs w:val="24"/>
        </w:rPr>
      </w:pPr>
    </w:p>
    <w:p w14:paraId="2776C87E" w14:textId="77777777" w:rsidR="00577A35" w:rsidRPr="00174DE3" w:rsidRDefault="00577A35" w:rsidP="00577A35">
      <w:pPr>
        <w:ind w:left="0" w:firstLine="0"/>
        <w:jc w:val="center"/>
        <w:rPr>
          <w:szCs w:val="24"/>
        </w:rPr>
      </w:pPr>
    </w:p>
    <w:p w14:paraId="12F64FFC" w14:textId="77777777" w:rsidR="00577A35" w:rsidRPr="00174DE3" w:rsidRDefault="00577A35" w:rsidP="00577A35">
      <w:pPr>
        <w:ind w:left="0" w:firstLine="0"/>
        <w:jc w:val="center"/>
        <w:rPr>
          <w:szCs w:val="24"/>
        </w:rPr>
      </w:pPr>
    </w:p>
    <w:p w14:paraId="0E673198" w14:textId="77777777" w:rsidR="00577A35" w:rsidRPr="00174DE3" w:rsidRDefault="00577A35" w:rsidP="00577A35">
      <w:pPr>
        <w:ind w:left="0" w:firstLine="0"/>
        <w:jc w:val="center"/>
        <w:rPr>
          <w:szCs w:val="24"/>
        </w:rPr>
      </w:pPr>
    </w:p>
    <w:p w14:paraId="27E64CCB" w14:textId="77777777" w:rsidR="00577A35" w:rsidRPr="00174DE3" w:rsidRDefault="00577A35" w:rsidP="00577A35">
      <w:pPr>
        <w:ind w:left="0" w:firstLine="0"/>
        <w:jc w:val="center"/>
        <w:rPr>
          <w:szCs w:val="24"/>
        </w:rPr>
      </w:pPr>
    </w:p>
    <w:p w14:paraId="491CC08B" w14:textId="77777777" w:rsidR="00577A35" w:rsidRPr="00174DE3" w:rsidRDefault="00577A35" w:rsidP="00577A35">
      <w:pPr>
        <w:ind w:left="0" w:firstLine="0"/>
        <w:jc w:val="center"/>
        <w:rPr>
          <w:szCs w:val="24"/>
        </w:rPr>
      </w:pPr>
    </w:p>
    <w:p w14:paraId="6F136232" w14:textId="77777777" w:rsidR="00577A35" w:rsidRPr="00174DE3" w:rsidRDefault="00577A35" w:rsidP="00577A35">
      <w:pPr>
        <w:ind w:left="0" w:firstLine="0"/>
        <w:jc w:val="center"/>
        <w:rPr>
          <w:szCs w:val="24"/>
        </w:rPr>
      </w:pPr>
    </w:p>
    <w:p w14:paraId="55AAFFDD" w14:textId="77777777" w:rsidR="00577A35" w:rsidRPr="00174DE3" w:rsidRDefault="00577A35" w:rsidP="00577A35">
      <w:pPr>
        <w:ind w:left="0" w:firstLine="0"/>
        <w:jc w:val="center"/>
        <w:rPr>
          <w:szCs w:val="24"/>
        </w:rPr>
      </w:pPr>
    </w:p>
    <w:p w14:paraId="1C26AA1D" w14:textId="77777777" w:rsidR="00577A35" w:rsidRPr="00174DE3" w:rsidRDefault="00577A35" w:rsidP="00577A35">
      <w:pPr>
        <w:ind w:left="0" w:firstLine="0"/>
        <w:jc w:val="center"/>
        <w:rPr>
          <w:szCs w:val="24"/>
        </w:rPr>
      </w:pPr>
      <w:r w:rsidRPr="00174DE3">
        <w:rPr>
          <w:noProof/>
          <w:szCs w:val="24"/>
        </w:rPr>
        <w:drawing>
          <wp:anchor distT="0" distB="0" distL="114300" distR="114300" simplePos="0" relativeHeight="251741184" behindDoc="0" locked="0" layoutInCell="1" allowOverlap="1" wp14:anchorId="2D7651DD" wp14:editId="2F2F4E59">
            <wp:simplePos x="0" y="0"/>
            <wp:positionH relativeFrom="margin">
              <wp:align>center</wp:align>
            </wp:positionH>
            <wp:positionV relativeFrom="paragraph">
              <wp:posOffset>0</wp:posOffset>
            </wp:positionV>
            <wp:extent cx="4486275" cy="6362700"/>
            <wp:effectExtent l="0" t="0" r="9525" b="0"/>
            <wp:wrapSquare wrapText="bothSides"/>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4486275" cy="6362700"/>
                    </a:xfrm>
                    <a:prstGeom prst="rect">
                      <a:avLst/>
                    </a:prstGeom>
                  </pic:spPr>
                </pic:pic>
              </a:graphicData>
            </a:graphic>
          </wp:anchor>
        </w:drawing>
      </w:r>
    </w:p>
    <w:p w14:paraId="1258D26F" w14:textId="77777777" w:rsidR="00577A35" w:rsidRPr="00174DE3" w:rsidRDefault="00577A35" w:rsidP="00577A35">
      <w:pPr>
        <w:ind w:left="0" w:firstLine="0"/>
        <w:jc w:val="center"/>
        <w:rPr>
          <w:szCs w:val="24"/>
        </w:rPr>
      </w:pPr>
    </w:p>
    <w:p w14:paraId="748DB321" w14:textId="77777777" w:rsidR="00577A35" w:rsidRPr="00174DE3" w:rsidRDefault="00577A35" w:rsidP="00577A35">
      <w:pPr>
        <w:ind w:left="0" w:firstLine="0"/>
        <w:jc w:val="center"/>
        <w:rPr>
          <w:szCs w:val="24"/>
        </w:rPr>
      </w:pPr>
    </w:p>
    <w:p w14:paraId="7B1DEBC6" w14:textId="77777777" w:rsidR="00577A35" w:rsidRPr="00174DE3" w:rsidRDefault="00577A35" w:rsidP="00577A35">
      <w:pPr>
        <w:ind w:left="0" w:firstLine="0"/>
        <w:jc w:val="center"/>
        <w:rPr>
          <w:szCs w:val="24"/>
        </w:rPr>
      </w:pPr>
    </w:p>
    <w:p w14:paraId="45EB159F" w14:textId="77777777" w:rsidR="00577A35" w:rsidRPr="00174DE3" w:rsidRDefault="00577A35" w:rsidP="00577A35">
      <w:pPr>
        <w:ind w:left="0" w:firstLine="0"/>
        <w:jc w:val="center"/>
        <w:rPr>
          <w:szCs w:val="24"/>
        </w:rPr>
      </w:pPr>
    </w:p>
    <w:p w14:paraId="66A956FE" w14:textId="77777777" w:rsidR="00577A35" w:rsidRPr="00174DE3" w:rsidRDefault="00577A35" w:rsidP="00577A35">
      <w:pPr>
        <w:ind w:left="0" w:firstLine="0"/>
        <w:jc w:val="center"/>
        <w:rPr>
          <w:szCs w:val="24"/>
        </w:rPr>
      </w:pPr>
    </w:p>
    <w:p w14:paraId="097B2D23" w14:textId="77777777" w:rsidR="00577A35" w:rsidRPr="00174DE3" w:rsidRDefault="00577A35" w:rsidP="00577A35">
      <w:pPr>
        <w:ind w:left="0" w:firstLine="0"/>
        <w:jc w:val="center"/>
        <w:rPr>
          <w:szCs w:val="24"/>
        </w:rPr>
      </w:pPr>
    </w:p>
    <w:p w14:paraId="557F498B" w14:textId="77777777" w:rsidR="00577A35" w:rsidRPr="00174DE3" w:rsidRDefault="00577A35" w:rsidP="00577A35">
      <w:pPr>
        <w:ind w:left="0" w:firstLine="0"/>
        <w:jc w:val="center"/>
        <w:rPr>
          <w:szCs w:val="24"/>
        </w:rPr>
      </w:pPr>
    </w:p>
    <w:p w14:paraId="0F352B52" w14:textId="77777777" w:rsidR="00577A35" w:rsidRPr="00174DE3" w:rsidRDefault="00577A35" w:rsidP="00577A35">
      <w:pPr>
        <w:ind w:left="0" w:firstLine="0"/>
        <w:jc w:val="center"/>
        <w:rPr>
          <w:szCs w:val="24"/>
        </w:rPr>
      </w:pPr>
    </w:p>
    <w:p w14:paraId="05CBA9C1" w14:textId="77777777" w:rsidR="00577A35" w:rsidRPr="00174DE3" w:rsidRDefault="00577A35" w:rsidP="00577A35">
      <w:pPr>
        <w:ind w:left="0" w:firstLine="0"/>
        <w:jc w:val="center"/>
        <w:rPr>
          <w:szCs w:val="24"/>
        </w:rPr>
      </w:pPr>
    </w:p>
    <w:p w14:paraId="713C1718" w14:textId="77777777" w:rsidR="00577A35" w:rsidRPr="00174DE3" w:rsidRDefault="00577A35" w:rsidP="00577A35">
      <w:pPr>
        <w:ind w:left="0" w:firstLine="0"/>
        <w:jc w:val="center"/>
        <w:rPr>
          <w:szCs w:val="24"/>
        </w:rPr>
      </w:pPr>
    </w:p>
    <w:p w14:paraId="294EE696" w14:textId="77777777" w:rsidR="00577A35" w:rsidRPr="00174DE3" w:rsidRDefault="00577A35" w:rsidP="00577A35">
      <w:pPr>
        <w:ind w:left="0" w:firstLine="0"/>
        <w:jc w:val="center"/>
        <w:rPr>
          <w:szCs w:val="24"/>
        </w:rPr>
      </w:pPr>
    </w:p>
    <w:p w14:paraId="52F0CD80" w14:textId="77777777" w:rsidR="00577A35" w:rsidRPr="00174DE3" w:rsidRDefault="00577A35" w:rsidP="00577A35">
      <w:pPr>
        <w:ind w:left="0" w:firstLine="0"/>
        <w:jc w:val="center"/>
        <w:rPr>
          <w:szCs w:val="24"/>
        </w:rPr>
      </w:pPr>
    </w:p>
    <w:p w14:paraId="7B088C80" w14:textId="77777777" w:rsidR="00577A35" w:rsidRPr="00174DE3" w:rsidRDefault="00577A35" w:rsidP="00577A35">
      <w:pPr>
        <w:ind w:left="0" w:firstLine="0"/>
        <w:jc w:val="center"/>
        <w:rPr>
          <w:szCs w:val="24"/>
        </w:rPr>
      </w:pPr>
    </w:p>
    <w:p w14:paraId="12030503" w14:textId="77777777" w:rsidR="00577A35" w:rsidRPr="00174DE3" w:rsidRDefault="00577A35" w:rsidP="00577A35">
      <w:pPr>
        <w:ind w:left="0" w:firstLine="0"/>
        <w:jc w:val="center"/>
        <w:rPr>
          <w:szCs w:val="24"/>
        </w:rPr>
      </w:pPr>
    </w:p>
    <w:p w14:paraId="18E3F6F8" w14:textId="77777777" w:rsidR="00577A35" w:rsidRPr="00174DE3" w:rsidRDefault="00577A35" w:rsidP="00577A35">
      <w:pPr>
        <w:ind w:left="0" w:firstLine="0"/>
        <w:jc w:val="center"/>
        <w:rPr>
          <w:szCs w:val="24"/>
        </w:rPr>
      </w:pPr>
    </w:p>
    <w:p w14:paraId="7C864861" w14:textId="77777777" w:rsidR="00577A35" w:rsidRPr="00174DE3" w:rsidRDefault="00577A35" w:rsidP="00577A35">
      <w:pPr>
        <w:ind w:left="0" w:firstLine="0"/>
        <w:jc w:val="center"/>
        <w:rPr>
          <w:szCs w:val="24"/>
        </w:rPr>
      </w:pPr>
    </w:p>
    <w:p w14:paraId="4693AB99" w14:textId="77777777" w:rsidR="00577A35" w:rsidRPr="00174DE3" w:rsidRDefault="00063DF1" w:rsidP="00577A35">
      <w:pPr>
        <w:ind w:left="0" w:firstLine="0"/>
        <w:jc w:val="center"/>
        <w:rPr>
          <w:szCs w:val="24"/>
        </w:rPr>
      </w:pPr>
      <w:r>
        <w:rPr>
          <w:noProof/>
        </w:rPr>
        <mc:AlternateContent>
          <mc:Choice Requires="wps">
            <w:drawing>
              <wp:anchor distT="0" distB="0" distL="114300" distR="114300" simplePos="0" relativeHeight="251806720" behindDoc="0" locked="0" layoutInCell="1" allowOverlap="1" wp14:anchorId="44DD759D" wp14:editId="7EF5D43C">
                <wp:simplePos x="0" y="0"/>
                <wp:positionH relativeFrom="margin">
                  <wp:align>right</wp:align>
                </wp:positionH>
                <wp:positionV relativeFrom="paragraph">
                  <wp:posOffset>396240</wp:posOffset>
                </wp:positionV>
                <wp:extent cx="5934075" cy="635"/>
                <wp:effectExtent l="0" t="0" r="9525" b="8255"/>
                <wp:wrapSquare wrapText="bothSides"/>
                <wp:docPr id="274" name="Text Box 274"/>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735882F7" w14:textId="3EE87F7B" w:rsidR="00AA26F6" w:rsidRPr="00063DF1" w:rsidRDefault="00AA26F6" w:rsidP="00063DF1">
                            <w:pPr>
                              <w:pStyle w:val="Caption"/>
                              <w:rPr>
                                <w:i w:val="0"/>
                                <w:iCs w:val="0"/>
                                <w:noProof/>
                                <w:color w:val="auto"/>
                                <w:sz w:val="24"/>
                                <w:szCs w:val="24"/>
                              </w:rPr>
                            </w:pPr>
                            <w:bookmarkStart w:id="76" w:name="_Toc14520659"/>
                            <w:r w:rsidRPr="00063DF1">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sidRPr="00063DF1">
                              <w:rPr>
                                <w:b/>
                                <w:bCs/>
                                <w:i w:val="0"/>
                                <w:iCs w:val="0"/>
                                <w:color w:val="auto"/>
                                <w:sz w:val="24"/>
                                <w:szCs w:val="24"/>
                              </w:rPr>
                              <w:t>:</w:t>
                            </w:r>
                            <w:r w:rsidRPr="00063DF1">
                              <w:rPr>
                                <w:i w:val="0"/>
                                <w:iCs w:val="0"/>
                                <w:color w:val="auto"/>
                                <w:sz w:val="24"/>
                                <w:szCs w:val="24"/>
                              </w:rPr>
                              <w:t xml:space="preserve"> Enthalpy of dissociation measurements for the six most frequently occurring lignin crosslinks (7)</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DD759D" id="Text Box 274" o:spid="_x0000_s1050" type="#_x0000_t202" style="position:absolute;left:0;text-align:left;margin-left:416.05pt;margin-top:31.2pt;width:467.25pt;height:.05pt;z-index:2518067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" stroked="f">
                <v:textbox style="mso-fit-shape-to-text:t" inset="0,0,0,0">
                  <w:txbxContent>
                    <w:p w14:paraId="735882F7" w14:textId="3EE87F7B" w:rsidR="00AA26F6" w:rsidRPr="00063DF1" w:rsidRDefault="00AA26F6" w:rsidP="00063DF1">
                      <w:pPr>
                        <w:pStyle w:val="Caption"/>
                        <w:rPr>
                          <w:i w:val="0"/>
                          <w:iCs w:val="0"/>
                          <w:noProof/>
                          <w:color w:val="auto"/>
                          <w:sz w:val="24"/>
                          <w:szCs w:val="24"/>
                        </w:rPr>
                      </w:pPr>
                      <w:bookmarkStart w:id="77" w:name="_Toc14520659"/>
                      <w:r w:rsidRPr="00063DF1">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2</w:t>
                      </w:r>
                      <w:r>
                        <w:rPr>
                          <w:b/>
                          <w:bCs/>
                          <w:i w:val="0"/>
                          <w:iCs w:val="0"/>
                          <w:color w:val="auto"/>
                          <w:sz w:val="24"/>
                          <w:szCs w:val="24"/>
                        </w:rPr>
                        <w:fldChar w:fldCharType="end"/>
                      </w:r>
                      <w:r w:rsidRPr="00063DF1">
                        <w:rPr>
                          <w:b/>
                          <w:bCs/>
                          <w:i w:val="0"/>
                          <w:iCs w:val="0"/>
                          <w:color w:val="auto"/>
                          <w:sz w:val="24"/>
                          <w:szCs w:val="24"/>
                        </w:rPr>
                        <w:t>:</w:t>
                      </w:r>
                      <w:r w:rsidRPr="00063DF1">
                        <w:rPr>
                          <w:i w:val="0"/>
                          <w:iCs w:val="0"/>
                          <w:color w:val="auto"/>
                          <w:sz w:val="24"/>
                          <w:szCs w:val="24"/>
                        </w:rPr>
                        <w:t xml:space="preserve"> Enthalpy of dissociation measurements for the six most frequently occurring lignin crosslinks (7)</w:t>
                      </w:r>
                      <w:bookmarkEnd w:id="77"/>
                    </w:p>
                  </w:txbxContent>
                </v:textbox>
                <w10:wrap type="square" anchorx="margin"/>
              </v:shape>
            </w:pict>
          </mc:Fallback>
        </mc:AlternateContent>
      </w:r>
    </w:p>
    <w:p w14:paraId="2A2AD7E3" w14:textId="77777777" w:rsidR="00577A35" w:rsidRPr="00174DE3" w:rsidRDefault="00577A35" w:rsidP="00577A35">
      <w:pPr>
        <w:ind w:left="0" w:firstLine="0"/>
        <w:jc w:val="center"/>
        <w:rPr>
          <w:szCs w:val="24"/>
        </w:rPr>
      </w:pPr>
    </w:p>
    <w:p w14:paraId="48A8E7FF" w14:textId="77777777" w:rsidR="00577A35" w:rsidRPr="00174DE3" w:rsidRDefault="00577A35" w:rsidP="00577A35">
      <w:pPr>
        <w:ind w:left="0" w:firstLine="0"/>
        <w:jc w:val="center"/>
        <w:rPr>
          <w:szCs w:val="24"/>
        </w:rPr>
      </w:pPr>
    </w:p>
    <w:p w14:paraId="12D8F4E3" w14:textId="77777777" w:rsidR="00577A35" w:rsidRPr="00174DE3" w:rsidRDefault="005A5432" w:rsidP="00577A35">
      <w:pPr>
        <w:ind w:left="0" w:firstLine="0"/>
        <w:jc w:val="center"/>
        <w:rPr>
          <w:szCs w:val="24"/>
        </w:rPr>
      </w:pPr>
      <w:r w:rsidRPr="00174DE3">
        <w:rPr>
          <w:noProof/>
          <w:szCs w:val="24"/>
        </w:rPr>
        <w:lastRenderedPageBreak/>
        <w:drawing>
          <wp:anchor distT="0" distB="0" distL="114300" distR="114300" simplePos="0" relativeHeight="251743232" behindDoc="0" locked="0" layoutInCell="1" allowOverlap="1" wp14:anchorId="37DBF796" wp14:editId="0CB5FDA7">
            <wp:simplePos x="0" y="0"/>
            <wp:positionH relativeFrom="margin">
              <wp:posOffset>828675</wp:posOffset>
            </wp:positionH>
            <wp:positionV relativeFrom="paragraph">
              <wp:posOffset>0</wp:posOffset>
            </wp:positionV>
            <wp:extent cx="4057650" cy="6429375"/>
            <wp:effectExtent l="0" t="0" r="0" b="9525"/>
            <wp:wrapSquare wrapText="bothSides"/>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4057650" cy="6429375"/>
                    </a:xfrm>
                    <a:prstGeom prst="rect">
                      <a:avLst/>
                    </a:prstGeom>
                  </pic:spPr>
                </pic:pic>
              </a:graphicData>
            </a:graphic>
          </wp:anchor>
        </w:drawing>
      </w:r>
    </w:p>
    <w:p w14:paraId="28375460" w14:textId="77777777" w:rsidR="00577A35" w:rsidRPr="00174DE3" w:rsidRDefault="00577A35" w:rsidP="00577A35">
      <w:pPr>
        <w:ind w:left="0" w:firstLine="0"/>
        <w:jc w:val="center"/>
        <w:rPr>
          <w:szCs w:val="24"/>
        </w:rPr>
      </w:pPr>
    </w:p>
    <w:p w14:paraId="6DACAB48" w14:textId="77777777" w:rsidR="00577A35" w:rsidRPr="00174DE3" w:rsidRDefault="00577A35" w:rsidP="00577A35">
      <w:pPr>
        <w:ind w:left="0" w:firstLine="0"/>
        <w:jc w:val="center"/>
        <w:rPr>
          <w:szCs w:val="24"/>
        </w:rPr>
      </w:pPr>
    </w:p>
    <w:p w14:paraId="1433E324" w14:textId="77777777" w:rsidR="00577A35" w:rsidRPr="00174DE3" w:rsidRDefault="00577A35" w:rsidP="00577A35">
      <w:pPr>
        <w:ind w:left="0" w:firstLine="0"/>
        <w:jc w:val="center"/>
        <w:rPr>
          <w:szCs w:val="24"/>
        </w:rPr>
      </w:pPr>
    </w:p>
    <w:p w14:paraId="259DAAD4" w14:textId="77777777" w:rsidR="00577A35" w:rsidRPr="00174DE3" w:rsidRDefault="00577A35" w:rsidP="00577A35">
      <w:pPr>
        <w:ind w:left="0" w:firstLine="0"/>
        <w:jc w:val="center"/>
        <w:rPr>
          <w:szCs w:val="24"/>
        </w:rPr>
      </w:pPr>
    </w:p>
    <w:p w14:paraId="2CAF5D2F" w14:textId="77777777" w:rsidR="00577A35" w:rsidRPr="00174DE3" w:rsidRDefault="00577A35" w:rsidP="00577A35">
      <w:pPr>
        <w:ind w:left="0" w:firstLine="0"/>
        <w:jc w:val="center"/>
        <w:rPr>
          <w:szCs w:val="24"/>
        </w:rPr>
      </w:pPr>
    </w:p>
    <w:p w14:paraId="5E96A991" w14:textId="77777777" w:rsidR="00577A35" w:rsidRPr="00174DE3" w:rsidRDefault="00577A35" w:rsidP="00577A35">
      <w:pPr>
        <w:ind w:left="0" w:firstLine="0"/>
        <w:jc w:val="center"/>
        <w:rPr>
          <w:szCs w:val="24"/>
        </w:rPr>
      </w:pPr>
    </w:p>
    <w:p w14:paraId="54F4032E" w14:textId="77777777" w:rsidR="00577A35" w:rsidRPr="00174DE3" w:rsidRDefault="00577A35" w:rsidP="00577A35">
      <w:pPr>
        <w:ind w:left="0" w:firstLine="0"/>
        <w:jc w:val="center"/>
        <w:rPr>
          <w:szCs w:val="24"/>
        </w:rPr>
      </w:pPr>
    </w:p>
    <w:p w14:paraId="302ADDF1" w14:textId="77777777" w:rsidR="00577A35" w:rsidRPr="00174DE3" w:rsidRDefault="00577A35" w:rsidP="00577A35">
      <w:pPr>
        <w:ind w:left="0" w:firstLine="0"/>
        <w:jc w:val="center"/>
        <w:rPr>
          <w:szCs w:val="24"/>
        </w:rPr>
      </w:pPr>
    </w:p>
    <w:p w14:paraId="77914568" w14:textId="77777777" w:rsidR="00577A35" w:rsidRPr="00174DE3" w:rsidRDefault="00577A35" w:rsidP="00577A35">
      <w:pPr>
        <w:ind w:left="0" w:firstLine="0"/>
        <w:jc w:val="center"/>
        <w:rPr>
          <w:szCs w:val="24"/>
        </w:rPr>
      </w:pPr>
    </w:p>
    <w:p w14:paraId="1B20A556" w14:textId="77777777" w:rsidR="00577A35" w:rsidRPr="00174DE3" w:rsidRDefault="00577A35" w:rsidP="00577A35">
      <w:pPr>
        <w:ind w:left="0" w:firstLine="0"/>
        <w:jc w:val="center"/>
        <w:rPr>
          <w:szCs w:val="24"/>
        </w:rPr>
      </w:pPr>
    </w:p>
    <w:p w14:paraId="4E73A623" w14:textId="77777777" w:rsidR="00577A35" w:rsidRPr="00174DE3" w:rsidRDefault="00577A35" w:rsidP="00577A35">
      <w:pPr>
        <w:ind w:left="0" w:firstLine="0"/>
        <w:jc w:val="center"/>
        <w:rPr>
          <w:szCs w:val="24"/>
        </w:rPr>
      </w:pPr>
    </w:p>
    <w:p w14:paraId="45B97B02" w14:textId="77777777" w:rsidR="00577A35" w:rsidRPr="00174DE3" w:rsidRDefault="00577A35" w:rsidP="00577A35">
      <w:pPr>
        <w:ind w:left="0" w:firstLine="0"/>
        <w:jc w:val="center"/>
        <w:rPr>
          <w:szCs w:val="24"/>
        </w:rPr>
      </w:pPr>
    </w:p>
    <w:p w14:paraId="77B0E3F3" w14:textId="77777777" w:rsidR="00577A35" w:rsidRPr="00174DE3" w:rsidRDefault="00577A35" w:rsidP="00577A35">
      <w:pPr>
        <w:ind w:left="0" w:firstLine="0"/>
        <w:jc w:val="center"/>
        <w:rPr>
          <w:szCs w:val="24"/>
        </w:rPr>
      </w:pPr>
    </w:p>
    <w:p w14:paraId="5825D484" w14:textId="77777777" w:rsidR="00577A35" w:rsidRPr="00174DE3" w:rsidRDefault="00577A35" w:rsidP="00577A35">
      <w:pPr>
        <w:ind w:left="0" w:firstLine="0"/>
        <w:jc w:val="center"/>
        <w:rPr>
          <w:szCs w:val="24"/>
        </w:rPr>
      </w:pPr>
    </w:p>
    <w:p w14:paraId="3E56B3E1" w14:textId="77777777" w:rsidR="00577A35" w:rsidRPr="00174DE3" w:rsidRDefault="00577A35" w:rsidP="00577A35">
      <w:pPr>
        <w:ind w:left="0" w:firstLine="0"/>
        <w:jc w:val="center"/>
        <w:rPr>
          <w:szCs w:val="24"/>
        </w:rPr>
      </w:pPr>
    </w:p>
    <w:p w14:paraId="1F3F961B" w14:textId="77777777" w:rsidR="00577A35" w:rsidRPr="00174DE3" w:rsidRDefault="00577A35" w:rsidP="00577A35">
      <w:pPr>
        <w:ind w:left="0" w:firstLine="0"/>
        <w:rPr>
          <w:szCs w:val="24"/>
        </w:rPr>
      </w:pPr>
    </w:p>
    <w:p w14:paraId="656E5BB4" w14:textId="77777777" w:rsidR="00577A35" w:rsidRDefault="00063DF1" w:rsidP="005A5432">
      <w:pPr>
        <w:ind w:left="0" w:firstLine="0"/>
        <w:rPr>
          <w:szCs w:val="24"/>
        </w:rPr>
      </w:pPr>
      <w:r>
        <w:rPr>
          <w:noProof/>
        </w:rPr>
        <mc:AlternateContent>
          <mc:Choice Requires="wps">
            <w:drawing>
              <wp:anchor distT="0" distB="0" distL="114300" distR="114300" simplePos="0" relativeHeight="251808768" behindDoc="0" locked="0" layoutInCell="1" allowOverlap="1" wp14:anchorId="3CD0A012" wp14:editId="2A99B96B">
                <wp:simplePos x="0" y="0"/>
                <wp:positionH relativeFrom="margin">
                  <wp:align>right</wp:align>
                </wp:positionH>
                <wp:positionV relativeFrom="paragraph">
                  <wp:posOffset>424815</wp:posOffset>
                </wp:positionV>
                <wp:extent cx="5934075" cy="635"/>
                <wp:effectExtent l="0" t="0" r="9525" b="0"/>
                <wp:wrapSquare wrapText="bothSides"/>
                <wp:docPr id="275" name="Text Box 275"/>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4D3D830E" w14:textId="516940CE" w:rsidR="00AA26F6" w:rsidRPr="00063DF1" w:rsidRDefault="00AA26F6" w:rsidP="00063DF1">
                            <w:pPr>
                              <w:pStyle w:val="Caption"/>
                              <w:rPr>
                                <w:i w:val="0"/>
                                <w:iCs w:val="0"/>
                                <w:noProof/>
                                <w:color w:val="auto"/>
                                <w:sz w:val="24"/>
                                <w:szCs w:val="24"/>
                              </w:rPr>
                            </w:pPr>
                            <w:bookmarkStart w:id="78" w:name="_Toc14520660"/>
                            <w:r w:rsidRPr="00063DF1">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sidRPr="00063DF1">
                              <w:rPr>
                                <w:i w:val="0"/>
                                <w:iCs w:val="0"/>
                                <w:color w:val="auto"/>
                                <w:sz w:val="24"/>
                                <w:szCs w:val="24"/>
                              </w:rPr>
                              <w:t>: Monolignol and Phenylpropanoid biosynthetic pathways with the enzymes responsible for multiple steps (29)</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D0A012" id="Text Box 275" o:spid="_x0000_s1051" type="#_x0000_t202" style="position:absolute;margin-left:416.05pt;margin-top:33.45pt;width:467.25pt;height:.05pt;z-index:2518087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" stroked="f">
                <v:textbox style="mso-fit-shape-to-text:t" inset="0,0,0,0">
                  <w:txbxContent>
                    <w:p w14:paraId="4D3D830E" w14:textId="516940CE" w:rsidR="00AA26F6" w:rsidRPr="00063DF1" w:rsidRDefault="00AA26F6" w:rsidP="00063DF1">
                      <w:pPr>
                        <w:pStyle w:val="Caption"/>
                        <w:rPr>
                          <w:i w:val="0"/>
                          <w:iCs w:val="0"/>
                          <w:noProof/>
                          <w:color w:val="auto"/>
                          <w:sz w:val="24"/>
                          <w:szCs w:val="24"/>
                        </w:rPr>
                      </w:pPr>
                      <w:bookmarkStart w:id="79" w:name="_Toc14520660"/>
                      <w:r w:rsidRPr="00063DF1">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3</w:t>
                      </w:r>
                      <w:r>
                        <w:rPr>
                          <w:b/>
                          <w:bCs/>
                          <w:i w:val="0"/>
                          <w:iCs w:val="0"/>
                          <w:color w:val="auto"/>
                          <w:sz w:val="24"/>
                          <w:szCs w:val="24"/>
                        </w:rPr>
                        <w:fldChar w:fldCharType="end"/>
                      </w:r>
                      <w:r w:rsidRPr="00063DF1">
                        <w:rPr>
                          <w:i w:val="0"/>
                          <w:iCs w:val="0"/>
                          <w:color w:val="auto"/>
                          <w:sz w:val="24"/>
                          <w:szCs w:val="24"/>
                        </w:rPr>
                        <w:t>: Monolignol and Phenylpropanoid biosynthetic pathways with the enzymes responsible for multiple steps (29)</w:t>
                      </w:r>
                      <w:bookmarkEnd w:id="79"/>
                    </w:p>
                  </w:txbxContent>
                </v:textbox>
                <w10:wrap type="square" anchorx="margin"/>
              </v:shape>
            </w:pict>
          </mc:Fallback>
        </mc:AlternateContent>
      </w:r>
    </w:p>
    <w:p w14:paraId="55C0F6AF" w14:textId="77777777" w:rsidR="005A5432" w:rsidRPr="00174DE3" w:rsidRDefault="005A5432" w:rsidP="005A5432">
      <w:pPr>
        <w:ind w:left="0" w:firstLine="0"/>
        <w:rPr>
          <w:szCs w:val="24"/>
        </w:rPr>
      </w:pPr>
    </w:p>
    <w:p w14:paraId="66C47FCC" w14:textId="77777777" w:rsidR="00577A35" w:rsidRPr="00174DE3" w:rsidRDefault="00577A35" w:rsidP="00ED4E6F">
      <w:pPr>
        <w:spacing w:line="480" w:lineRule="auto"/>
        <w:ind w:left="0" w:firstLine="720"/>
        <w:jc w:val="both"/>
        <w:rPr>
          <w:szCs w:val="24"/>
        </w:rPr>
      </w:pPr>
      <w:r w:rsidRPr="00174DE3">
        <w:rPr>
          <w:szCs w:val="24"/>
        </w:rPr>
        <w:t xml:space="preserve">Lignin synthesis is a biological process which includes numerous steps for the production of the three primary monolignols. (29) demonstrates how lignin’s synthesis could be impacted by heritable traits. Several enzymes determine lignin biosynthesis which is illustrated in Figure 4.3 </w:t>
      </w:r>
      <w:r w:rsidRPr="00174DE3">
        <w:rPr>
          <w:szCs w:val="24"/>
        </w:rPr>
        <w:lastRenderedPageBreak/>
        <w:t>(it displays how numerous enzymatic actions are involved in the phenylpropanoid synthesis pathway) (29). One of the enzymes – Caffeic acid O-methyltransferase (COMT)- is responsible for the production of sinapaldehyde and sinapyl alcohol via the methylation on 5-OH group. Sinapaldehyde and sinapyl alcohol act as precursors of the</w:t>
      </w:r>
      <w:r w:rsidRPr="00174DE3">
        <w:rPr>
          <w:b/>
          <w:bCs/>
          <w:i/>
          <w:iCs/>
          <w:szCs w:val="24"/>
        </w:rPr>
        <w:t xml:space="preserve"> S</w:t>
      </w:r>
      <w:r w:rsidRPr="00174DE3">
        <w:rPr>
          <w:szCs w:val="24"/>
        </w:rPr>
        <w:t xml:space="preserve"> lignin monomer. The genetic modification done on the biomass (i.e. switchgrass) used in this study downregulates the production of COMT enzyme. As a result, the </w:t>
      </w:r>
      <w:r w:rsidRPr="00174DE3">
        <w:rPr>
          <w:b/>
          <w:bCs/>
          <w:i/>
          <w:iCs/>
          <w:szCs w:val="24"/>
        </w:rPr>
        <w:t>S/G</w:t>
      </w:r>
      <w:r w:rsidRPr="00174DE3">
        <w:rPr>
          <w:szCs w:val="24"/>
        </w:rPr>
        <w:t xml:space="preserve"> ratio in the lignin network of the genetically modified biomass is lowered. This thesis hypothesizes that such a modification to the lignin biosynthesis network would result in lower phenolic product yields in the downregulated COMT deficient mutant switchgrasses as compared to their unmodified wild type switchgrass when subjected to a low temperature thermal degradation treatment (i.e. torrefaction).</w:t>
      </w:r>
    </w:p>
    <w:p w14:paraId="1B67A85A" w14:textId="77777777" w:rsidR="00577A35" w:rsidRPr="001555A6" w:rsidRDefault="00577A35" w:rsidP="00D9716E">
      <w:pPr>
        <w:pStyle w:val="Heading2"/>
        <w:rPr>
          <w:rFonts w:ascii="Times New Roman" w:hAnsi="Times New Roman" w:cs="Times New Roman"/>
          <w:b/>
          <w:bCs/>
          <w:color w:val="auto"/>
          <w:sz w:val="24"/>
          <w:szCs w:val="24"/>
        </w:rPr>
      </w:pPr>
      <w:bookmarkStart w:id="80" w:name="_Toc14521045"/>
      <w:r w:rsidRPr="001555A6">
        <w:rPr>
          <w:rFonts w:ascii="Times New Roman" w:hAnsi="Times New Roman" w:cs="Times New Roman"/>
          <w:b/>
          <w:bCs/>
          <w:color w:val="auto"/>
          <w:sz w:val="24"/>
          <w:szCs w:val="24"/>
        </w:rPr>
        <w:t>4.3 E</w:t>
      </w:r>
      <w:r w:rsidR="001555A6">
        <w:rPr>
          <w:rFonts w:ascii="Times New Roman" w:hAnsi="Times New Roman" w:cs="Times New Roman"/>
          <w:b/>
          <w:bCs/>
          <w:color w:val="auto"/>
          <w:sz w:val="24"/>
          <w:szCs w:val="24"/>
        </w:rPr>
        <w:t>xperimental</w:t>
      </w:r>
      <w:bookmarkEnd w:id="80"/>
    </w:p>
    <w:p w14:paraId="72B2461B" w14:textId="77777777" w:rsidR="00577A35" w:rsidRPr="00174DE3" w:rsidRDefault="00577A35" w:rsidP="00ED4E6F">
      <w:pPr>
        <w:spacing w:line="480" w:lineRule="auto"/>
        <w:ind w:left="0" w:firstLine="720"/>
        <w:jc w:val="both"/>
        <w:rPr>
          <w:szCs w:val="24"/>
        </w:rPr>
      </w:pPr>
      <w:r w:rsidRPr="00174DE3">
        <w:rPr>
          <w:szCs w:val="24"/>
        </w:rPr>
        <w:t xml:space="preserve">C. N. Stewart and associates, in conjunction with the Microbiology department at The University of Oklahoma, provided dry switchgrass biomass of an independent Caffeic acid O-methyltransferase knock down line (COMT2); detail explanation of the process and characteristics of the biomass is described in Baxter et al. (65). The COMT2 mutant variants and their respective isogenic wild type switchgrass samples portray significant differences in their </w:t>
      </w:r>
      <w:r w:rsidRPr="00174DE3">
        <w:rPr>
          <w:b/>
          <w:bCs/>
          <w:i/>
          <w:iCs/>
          <w:szCs w:val="24"/>
        </w:rPr>
        <w:t>S/G</w:t>
      </w:r>
      <w:r w:rsidRPr="00174DE3">
        <w:rPr>
          <w:szCs w:val="24"/>
        </w:rPr>
        <w:t xml:space="preserve"> ratios (measurement of this ratio for the mutants were around 0.45 while the wild types were over 0.7); the samples chosen only exhibited slight differences in the total lignin content (i.e. mutants lower than the wild types)</w:t>
      </w:r>
      <w:r>
        <w:rPr>
          <w:szCs w:val="24"/>
        </w:rPr>
        <w:t xml:space="preserve"> while all other contents within the biomass were relatively similar</w:t>
      </w:r>
      <w:r w:rsidRPr="00174DE3">
        <w:rPr>
          <w:szCs w:val="24"/>
        </w:rPr>
        <w:t xml:space="preserve">. This was ensured in an attempt to closely attribute the compositional differences in the yield of the thermal products to the genetic modification (rather than any other influencing factors present in the switchgrass). </w:t>
      </w:r>
    </w:p>
    <w:p w14:paraId="3C38699A" w14:textId="77777777" w:rsidR="00577A35" w:rsidRPr="00174DE3" w:rsidRDefault="00577A35" w:rsidP="00ED4E6F">
      <w:pPr>
        <w:spacing w:line="480" w:lineRule="auto"/>
        <w:ind w:left="0" w:firstLine="720"/>
        <w:jc w:val="both"/>
        <w:rPr>
          <w:szCs w:val="24"/>
        </w:rPr>
      </w:pPr>
      <w:r w:rsidRPr="00174DE3">
        <w:rPr>
          <w:szCs w:val="24"/>
        </w:rPr>
        <w:lastRenderedPageBreak/>
        <w:t xml:space="preserve">The dry switchgrass used for the thermal degradation experiments was ground utilizing a Thomas Wiley Mini-Mill with a 60-mesh screen. Approximately 10 </w:t>
      </w:r>
      <m:oMath>
        <m:r>
          <w:rPr>
            <w:rFonts w:ascii="Cambria Math" w:hAnsi="Cambria Math"/>
            <w:szCs w:val="24"/>
          </w:rPr>
          <m:t>mg</m:t>
        </m:r>
      </m:oMath>
      <w:r w:rsidRPr="00174DE3">
        <w:rPr>
          <w:rFonts w:eastAsiaTheme="minorEastAsia"/>
          <w:szCs w:val="24"/>
        </w:rPr>
        <w:t xml:space="preserve"> </w:t>
      </w:r>
      <w:r w:rsidRPr="00174DE3">
        <w:rPr>
          <w:szCs w:val="24"/>
        </w:rPr>
        <w:t xml:space="preserve">of each variant (i.e. mutant and wild type) of the COMT2 switchgrass was provided. From this pool, samples weighing approximately between 0.75-1.50  </w:t>
      </w:r>
      <m:oMath>
        <m:r>
          <w:rPr>
            <w:rFonts w:ascii="Cambria Math" w:hAnsi="Cambria Math"/>
            <w:szCs w:val="24"/>
          </w:rPr>
          <m:t>mg</m:t>
        </m:r>
      </m:oMath>
      <w:r w:rsidRPr="00174DE3">
        <w:rPr>
          <w:rFonts w:eastAsiaTheme="minorEastAsia"/>
          <w:szCs w:val="24"/>
        </w:rPr>
        <w:t xml:space="preserve"> was prepared for analysis in a CDS Analytical 5250T pyroprobe, in conjunction with a Shimadzu QP-2010+GC/MS-FID system. Sample preparation and analytical techniques have been described in Chapter 2. The identified compounds and their lumps as used for the analysis of the studies within this thesis is provided in Table</w:t>
      </w:r>
      <w:r w:rsidR="005A5432">
        <w:rPr>
          <w:rFonts w:eastAsiaTheme="minorEastAsia"/>
          <w:szCs w:val="24"/>
        </w:rPr>
        <w:t xml:space="preserve"> 1</w:t>
      </w:r>
      <w:r w:rsidRPr="00174DE3">
        <w:rPr>
          <w:rFonts w:eastAsiaTheme="minorEastAsia"/>
          <w:szCs w:val="24"/>
        </w:rPr>
        <w:t xml:space="preserve"> in the appendix. </w:t>
      </w:r>
      <w:r w:rsidRPr="00174DE3">
        <w:rPr>
          <w:szCs w:val="24"/>
        </w:rPr>
        <w:t xml:space="preserve"> </w:t>
      </w:r>
    </w:p>
    <w:p w14:paraId="5B381315" w14:textId="77777777" w:rsidR="00F816EE" w:rsidRDefault="00577A35" w:rsidP="00ED4E6F">
      <w:pPr>
        <w:spacing w:line="480" w:lineRule="auto"/>
        <w:ind w:left="0" w:firstLine="720"/>
        <w:jc w:val="both"/>
        <w:rPr>
          <w:rFonts w:eastAsiaTheme="minorEastAsia"/>
          <w:szCs w:val="24"/>
        </w:rPr>
      </w:pPr>
      <w:r w:rsidRPr="00174DE3">
        <w:rPr>
          <w:rFonts w:eastAsiaTheme="minorEastAsia"/>
          <w:szCs w:val="24"/>
        </w:rPr>
        <w:t xml:space="preserve">In addition to the torrefaction/pyrolysis of the COMT2 mutant and isogenic wild type switchgrasses, standard grade AP13 and natural diversity switchgrass samples (both provided by the microbiology department at The University of Oklahoma) were also subjected to identical thermal treatments; the AP13 and natural diversity switchgrasses help establish reference points for the comparisons being made. It is crucial to note that the natural diversity switchgrass samples exhibit low </w:t>
      </w:r>
      <w:r w:rsidRPr="00174DE3">
        <w:rPr>
          <w:rFonts w:eastAsiaTheme="minorEastAsia"/>
          <w:b/>
          <w:bCs/>
          <w:i/>
          <w:iCs/>
          <w:szCs w:val="24"/>
        </w:rPr>
        <w:t>S/G</w:t>
      </w:r>
      <w:r w:rsidRPr="00174DE3">
        <w:rPr>
          <w:rFonts w:eastAsiaTheme="minorEastAsia"/>
          <w:szCs w:val="24"/>
        </w:rPr>
        <w:t xml:space="preserve"> ratio (common characteristic with the COMT2 mutant) while the standard AP13 exhibit high </w:t>
      </w:r>
      <w:r w:rsidRPr="000A0561">
        <w:rPr>
          <w:rFonts w:eastAsiaTheme="minorEastAsia"/>
          <w:b/>
          <w:bCs/>
          <w:i/>
          <w:iCs/>
          <w:szCs w:val="24"/>
        </w:rPr>
        <w:t xml:space="preserve">S/G </w:t>
      </w:r>
      <w:r w:rsidRPr="00174DE3">
        <w:rPr>
          <w:rFonts w:eastAsiaTheme="minorEastAsia"/>
          <w:szCs w:val="24"/>
        </w:rPr>
        <w:t xml:space="preserve">ratio (common characteristic with the COMT2 wild type). Differences that may be observed upon the analysis of results among only the COMT2 variants could be attributed to the changes caused by the genetic modification since the specific genetic modification made is the only difference between the contents of the COMT2 switchgrass samples. However, some trends observed in the thermochemical products of the other two samples (e.g. similarities and differences) cannot be guaranteed to be a result of a single change due to other differences/similarities present within those biomass samples – the </w:t>
      </w:r>
      <w:r w:rsidRPr="00174DE3">
        <w:rPr>
          <w:rFonts w:eastAsiaTheme="minorEastAsia"/>
          <w:b/>
          <w:bCs/>
          <w:i/>
          <w:iCs/>
          <w:szCs w:val="24"/>
        </w:rPr>
        <w:t xml:space="preserve">S/G </w:t>
      </w:r>
      <w:r w:rsidRPr="00174DE3">
        <w:rPr>
          <w:rFonts w:eastAsiaTheme="minorEastAsia"/>
          <w:szCs w:val="24"/>
        </w:rPr>
        <w:t>ratio is only one characteristic that is common between the COMT2 variants and the other biomass samples.</w:t>
      </w:r>
      <w:r>
        <w:rPr>
          <w:rFonts w:eastAsiaTheme="minorEastAsia"/>
          <w:szCs w:val="24"/>
        </w:rPr>
        <w:t xml:space="preserve"> The AP13 and natural diversity samples chosen had no deliberate control/influence on their lignin </w:t>
      </w:r>
      <w:r>
        <w:rPr>
          <w:rFonts w:eastAsiaTheme="minorEastAsia"/>
          <w:szCs w:val="24"/>
        </w:rPr>
        <w:lastRenderedPageBreak/>
        <w:t xml:space="preserve">biosynthesis pathway. Hence, they are interesting choices (due to their similarities in the S/G ratio with each variant of the COMT2 switchgrass) as reference points for the comparisons to be made upon analysis of the thermal degradation treatments (i.e. to study the effects of the influence of the differences in </w:t>
      </w:r>
      <w:r w:rsidRPr="000A0561">
        <w:rPr>
          <w:rFonts w:eastAsiaTheme="minorEastAsia"/>
          <w:b/>
          <w:bCs/>
          <w:i/>
          <w:iCs/>
          <w:szCs w:val="24"/>
        </w:rPr>
        <w:t>S/G</w:t>
      </w:r>
      <w:r>
        <w:rPr>
          <w:rFonts w:eastAsiaTheme="minorEastAsia"/>
          <w:szCs w:val="24"/>
        </w:rPr>
        <w:t xml:space="preserve"> ratio at low temperature torrefaction). It is expected that phenolic yield in samples with low </w:t>
      </w:r>
      <w:r w:rsidRPr="000A0561">
        <w:rPr>
          <w:rFonts w:eastAsiaTheme="minorEastAsia"/>
          <w:b/>
          <w:bCs/>
          <w:i/>
          <w:iCs/>
          <w:szCs w:val="24"/>
        </w:rPr>
        <w:t xml:space="preserve">S/G </w:t>
      </w:r>
      <w:r>
        <w:rPr>
          <w:rFonts w:eastAsiaTheme="minorEastAsia"/>
          <w:szCs w:val="24"/>
        </w:rPr>
        <w:t xml:space="preserve">ratio will be less than the yield in samples with high </w:t>
      </w:r>
      <w:r w:rsidRPr="000A0561">
        <w:rPr>
          <w:rFonts w:eastAsiaTheme="minorEastAsia"/>
          <w:b/>
          <w:bCs/>
          <w:i/>
          <w:iCs/>
          <w:szCs w:val="24"/>
        </w:rPr>
        <w:t>S/G</w:t>
      </w:r>
      <w:r>
        <w:rPr>
          <w:rFonts w:eastAsiaTheme="minorEastAsia"/>
          <w:szCs w:val="24"/>
        </w:rPr>
        <w:t xml:space="preserve"> ratio, although the extent of thermochemical product conversion is unclear due to natural variances within the AP13 and natural diversity samples potentially affecting biomass conversion.</w:t>
      </w:r>
    </w:p>
    <w:p w14:paraId="1140FA2D" w14:textId="77777777" w:rsidR="00F816EE" w:rsidRDefault="00F816EE" w:rsidP="00ED4E6F">
      <w:pPr>
        <w:spacing w:line="480" w:lineRule="auto"/>
        <w:ind w:left="0" w:firstLine="720"/>
        <w:jc w:val="both"/>
        <w:rPr>
          <w:rFonts w:eastAsiaTheme="minorEastAsia"/>
          <w:szCs w:val="24"/>
        </w:rPr>
      </w:pPr>
    </w:p>
    <w:p w14:paraId="04CA5942" w14:textId="77777777" w:rsidR="00F816EE" w:rsidRDefault="00F816EE" w:rsidP="00ED4E6F">
      <w:pPr>
        <w:spacing w:line="480" w:lineRule="auto"/>
        <w:ind w:left="0" w:firstLine="720"/>
        <w:jc w:val="both"/>
        <w:rPr>
          <w:rFonts w:eastAsiaTheme="minorEastAsia"/>
          <w:szCs w:val="24"/>
        </w:rPr>
      </w:pPr>
    </w:p>
    <w:p w14:paraId="61CEE256" w14:textId="77777777" w:rsidR="00F816EE" w:rsidRDefault="00F816EE" w:rsidP="00ED4E6F">
      <w:pPr>
        <w:spacing w:line="480" w:lineRule="auto"/>
        <w:ind w:left="0" w:firstLine="720"/>
        <w:jc w:val="both"/>
        <w:rPr>
          <w:rFonts w:eastAsiaTheme="minorEastAsia"/>
          <w:szCs w:val="24"/>
        </w:rPr>
      </w:pPr>
    </w:p>
    <w:p w14:paraId="58CDE145" w14:textId="77777777" w:rsidR="00F816EE" w:rsidRDefault="00F816EE" w:rsidP="00ED4E6F">
      <w:pPr>
        <w:spacing w:line="480" w:lineRule="auto"/>
        <w:ind w:left="0" w:firstLine="720"/>
        <w:jc w:val="both"/>
        <w:rPr>
          <w:rFonts w:eastAsiaTheme="minorEastAsia"/>
          <w:szCs w:val="24"/>
        </w:rPr>
      </w:pPr>
    </w:p>
    <w:p w14:paraId="6D4800B6" w14:textId="77777777" w:rsidR="00F816EE" w:rsidRDefault="00F816EE" w:rsidP="00ED4E6F">
      <w:pPr>
        <w:spacing w:line="480" w:lineRule="auto"/>
        <w:ind w:left="0" w:firstLine="720"/>
        <w:jc w:val="both"/>
        <w:rPr>
          <w:rFonts w:eastAsiaTheme="minorEastAsia"/>
          <w:szCs w:val="24"/>
        </w:rPr>
      </w:pPr>
    </w:p>
    <w:p w14:paraId="7E502E7D" w14:textId="77777777" w:rsidR="00F816EE" w:rsidRDefault="00F816EE" w:rsidP="00ED4E6F">
      <w:pPr>
        <w:spacing w:line="480" w:lineRule="auto"/>
        <w:ind w:left="0" w:firstLine="720"/>
        <w:jc w:val="both"/>
        <w:rPr>
          <w:rFonts w:eastAsiaTheme="minorEastAsia"/>
          <w:szCs w:val="24"/>
        </w:rPr>
      </w:pPr>
    </w:p>
    <w:p w14:paraId="651472A9" w14:textId="77777777" w:rsidR="00F816EE" w:rsidRDefault="00F816EE" w:rsidP="00ED4E6F">
      <w:pPr>
        <w:spacing w:line="480" w:lineRule="auto"/>
        <w:ind w:left="0" w:firstLine="720"/>
        <w:jc w:val="both"/>
        <w:rPr>
          <w:rFonts w:eastAsiaTheme="minorEastAsia"/>
          <w:szCs w:val="24"/>
        </w:rPr>
      </w:pPr>
    </w:p>
    <w:p w14:paraId="5C7FA3F8" w14:textId="77777777" w:rsidR="00F816EE" w:rsidRDefault="00F816EE" w:rsidP="00ED4E6F">
      <w:pPr>
        <w:spacing w:line="480" w:lineRule="auto"/>
        <w:ind w:left="0" w:firstLine="720"/>
        <w:jc w:val="both"/>
        <w:rPr>
          <w:rFonts w:eastAsiaTheme="minorEastAsia"/>
          <w:szCs w:val="24"/>
        </w:rPr>
      </w:pPr>
    </w:p>
    <w:p w14:paraId="27C2547C" w14:textId="77777777" w:rsidR="00F816EE" w:rsidRDefault="00F816EE" w:rsidP="00ED4E6F">
      <w:pPr>
        <w:spacing w:line="480" w:lineRule="auto"/>
        <w:ind w:left="0" w:firstLine="720"/>
        <w:jc w:val="both"/>
        <w:rPr>
          <w:rFonts w:eastAsiaTheme="minorEastAsia"/>
          <w:szCs w:val="24"/>
        </w:rPr>
      </w:pPr>
    </w:p>
    <w:p w14:paraId="652FE865" w14:textId="77777777" w:rsidR="00F816EE" w:rsidRDefault="00F816EE" w:rsidP="00ED4E6F">
      <w:pPr>
        <w:spacing w:line="480" w:lineRule="auto"/>
        <w:ind w:left="0" w:firstLine="720"/>
        <w:jc w:val="both"/>
        <w:rPr>
          <w:rFonts w:eastAsiaTheme="minorEastAsia"/>
          <w:szCs w:val="24"/>
        </w:rPr>
      </w:pPr>
    </w:p>
    <w:p w14:paraId="79F3523D" w14:textId="77777777" w:rsidR="00F816EE" w:rsidRDefault="00F816EE" w:rsidP="00ED4E6F">
      <w:pPr>
        <w:spacing w:line="480" w:lineRule="auto"/>
        <w:ind w:left="0" w:firstLine="720"/>
        <w:jc w:val="both"/>
        <w:rPr>
          <w:rFonts w:eastAsiaTheme="minorEastAsia"/>
          <w:szCs w:val="24"/>
        </w:rPr>
      </w:pPr>
    </w:p>
    <w:p w14:paraId="06A6EF6A" w14:textId="77777777" w:rsidR="00F816EE" w:rsidRDefault="00F816EE" w:rsidP="00ED4E6F">
      <w:pPr>
        <w:spacing w:line="480" w:lineRule="auto"/>
        <w:ind w:left="0" w:firstLine="720"/>
        <w:jc w:val="both"/>
        <w:rPr>
          <w:rFonts w:eastAsiaTheme="minorEastAsia"/>
          <w:szCs w:val="24"/>
        </w:rPr>
      </w:pPr>
    </w:p>
    <w:p w14:paraId="4D3B75B9" w14:textId="77777777" w:rsidR="00F816EE" w:rsidRDefault="00F816EE" w:rsidP="00ED4E6F">
      <w:pPr>
        <w:spacing w:line="480" w:lineRule="auto"/>
        <w:ind w:left="0" w:firstLine="720"/>
        <w:jc w:val="both"/>
        <w:rPr>
          <w:rFonts w:eastAsiaTheme="minorEastAsia"/>
          <w:szCs w:val="24"/>
        </w:rPr>
      </w:pPr>
    </w:p>
    <w:p w14:paraId="7D20073B" w14:textId="77777777" w:rsidR="00F816EE" w:rsidRDefault="00F816EE" w:rsidP="00ED4E6F">
      <w:pPr>
        <w:spacing w:line="480" w:lineRule="auto"/>
        <w:ind w:left="0" w:firstLine="720"/>
        <w:jc w:val="both"/>
        <w:rPr>
          <w:rFonts w:eastAsiaTheme="minorEastAsia"/>
          <w:szCs w:val="24"/>
        </w:rPr>
      </w:pPr>
    </w:p>
    <w:p w14:paraId="50C25825" w14:textId="77777777" w:rsidR="00F816EE" w:rsidRDefault="00F816EE" w:rsidP="00ED4E6F">
      <w:pPr>
        <w:spacing w:line="480" w:lineRule="auto"/>
        <w:ind w:left="0" w:firstLine="720"/>
        <w:jc w:val="both"/>
        <w:rPr>
          <w:rFonts w:eastAsiaTheme="minorEastAsia"/>
          <w:szCs w:val="24"/>
        </w:rPr>
      </w:pPr>
    </w:p>
    <w:p w14:paraId="4ABC6B11" w14:textId="77777777" w:rsidR="00577A35" w:rsidRPr="00174DE3" w:rsidRDefault="00577A35" w:rsidP="00F816EE">
      <w:pPr>
        <w:spacing w:line="480" w:lineRule="auto"/>
        <w:ind w:left="0" w:firstLine="0"/>
        <w:jc w:val="both"/>
        <w:rPr>
          <w:szCs w:val="24"/>
        </w:rPr>
      </w:pPr>
      <w:r>
        <w:rPr>
          <w:rFonts w:eastAsiaTheme="minorEastAsia"/>
          <w:szCs w:val="24"/>
        </w:rPr>
        <w:t xml:space="preserve"> </w:t>
      </w:r>
    </w:p>
    <w:p w14:paraId="39644D08" w14:textId="77777777" w:rsidR="00577A35" w:rsidRPr="001555A6" w:rsidRDefault="00577A35" w:rsidP="00D9716E">
      <w:pPr>
        <w:pStyle w:val="Heading2"/>
        <w:rPr>
          <w:rFonts w:ascii="Times New Roman" w:hAnsi="Times New Roman" w:cs="Times New Roman"/>
          <w:b/>
          <w:bCs/>
          <w:color w:val="auto"/>
          <w:sz w:val="24"/>
          <w:szCs w:val="24"/>
        </w:rPr>
      </w:pPr>
      <w:bookmarkStart w:id="81" w:name="_Toc14521046"/>
      <w:r w:rsidRPr="001555A6">
        <w:rPr>
          <w:rFonts w:ascii="Times New Roman" w:hAnsi="Times New Roman" w:cs="Times New Roman"/>
          <w:b/>
          <w:bCs/>
          <w:color w:val="auto"/>
          <w:sz w:val="24"/>
          <w:szCs w:val="24"/>
        </w:rPr>
        <w:lastRenderedPageBreak/>
        <w:t>4.4 R</w:t>
      </w:r>
      <w:r w:rsidR="001555A6">
        <w:rPr>
          <w:rFonts w:ascii="Times New Roman" w:hAnsi="Times New Roman" w:cs="Times New Roman"/>
          <w:b/>
          <w:bCs/>
          <w:color w:val="auto"/>
          <w:sz w:val="24"/>
          <w:szCs w:val="24"/>
        </w:rPr>
        <w:t>esults</w:t>
      </w:r>
      <w:bookmarkEnd w:id="81"/>
    </w:p>
    <w:p w14:paraId="57EC0E49" w14:textId="37116A67" w:rsidR="003C6E80" w:rsidRPr="002A0BAB" w:rsidRDefault="00F816EE" w:rsidP="002A0BAB">
      <w:pPr>
        <w:spacing w:line="480" w:lineRule="auto"/>
        <w:ind w:left="0" w:firstLine="720"/>
        <w:jc w:val="both"/>
        <w:rPr>
          <w:rFonts w:eastAsiaTheme="minorEastAsia"/>
          <w:szCs w:val="24"/>
        </w:rPr>
      </w:pPr>
      <w:r>
        <w:rPr>
          <w:noProof/>
        </w:rPr>
        <mc:AlternateContent>
          <mc:Choice Requires="wps">
            <w:drawing>
              <wp:anchor distT="0" distB="0" distL="114300" distR="114300" simplePos="0" relativeHeight="251810816" behindDoc="0" locked="0" layoutInCell="1" allowOverlap="1" wp14:anchorId="666B0068" wp14:editId="31FB7B03">
                <wp:simplePos x="0" y="0"/>
                <wp:positionH relativeFrom="margin">
                  <wp:align>right</wp:align>
                </wp:positionH>
                <wp:positionV relativeFrom="paragraph">
                  <wp:posOffset>6430645</wp:posOffset>
                </wp:positionV>
                <wp:extent cx="5943600" cy="635"/>
                <wp:effectExtent l="0" t="0" r="0" b="0"/>
                <wp:wrapSquare wrapText="bothSides"/>
                <wp:docPr id="276" name="Text Box 27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25F4859" w14:textId="0897E717" w:rsidR="00AA26F6" w:rsidRPr="003C6E80" w:rsidRDefault="00AA26F6" w:rsidP="003C6E80">
                            <w:pPr>
                              <w:pStyle w:val="Caption"/>
                              <w:rPr>
                                <w:i w:val="0"/>
                                <w:iCs w:val="0"/>
                                <w:noProof/>
                                <w:color w:val="auto"/>
                                <w:sz w:val="24"/>
                                <w:szCs w:val="24"/>
                              </w:rPr>
                            </w:pPr>
                            <w:bookmarkStart w:id="82" w:name="_Toc14520661"/>
                            <w:r w:rsidRPr="003C6E80">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sidRPr="003C6E80">
                              <w:rPr>
                                <w:b/>
                                <w:bCs/>
                                <w:i w:val="0"/>
                                <w:iCs w:val="0"/>
                                <w:color w:val="auto"/>
                                <w:sz w:val="24"/>
                                <w:szCs w:val="24"/>
                              </w:rPr>
                              <w:t>:</w:t>
                            </w:r>
                            <w:r w:rsidRPr="003C6E80">
                              <w:rPr>
                                <w:i w:val="0"/>
                                <w:iCs w:val="0"/>
                                <w:color w:val="auto"/>
                                <w:sz w:val="24"/>
                                <w:szCs w:val="24"/>
                              </w:rPr>
                              <w:t xml:space="preserve"> Compound yield of different variants of switchgrass upon torrefaction at 270 degrees Celsius for 120 seconds</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6B0068" id="Text Box 276" o:spid="_x0000_s1052" type="#_x0000_t202" style="position:absolute;left:0;text-align:left;margin-left:416.8pt;margin-top:506.35pt;width:468pt;height:.05pt;z-index:2518108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" stroked="f">
                <v:textbox style="mso-fit-shape-to-text:t" inset="0,0,0,0">
                  <w:txbxContent>
                    <w:p w14:paraId="725F4859" w14:textId="0897E717" w:rsidR="00AA26F6" w:rsidRPr="003C6E80" w:rsidRDefault="00AA26F6" w:rsidP="003C6E80">
                      <w:pPr>
                        <w:pStyle w:val="Caption"/>
                        <w:rPr>
                          <w:i w:val="0"/>
                          <w:iCs w:val="0"/>
                          <w:noProof/>
                          <w:color w:val="auto"/>
                          <w:sz w:val="24"/>
                          <w:szCs w:val="24"/>
                        </w:rPr>
                      </w:pPr>
                      <w:bookmarkStart w:id="83" w:name="_Toc14520661"/>
                      <w:r w:rsidRPr="003C6E80">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sidRPr="003C6E80">
                        <w:rPr>
                          <w:b/>
                          <w:bCs/>
                          <w:i w:val="0"/>
                          <w:iCs w:val="0"/>
                          <w:color w:val="auto"/>
                          <w:sz w:val="24"/>
                          <w:szCs w:val="24"/>
                        </w:rPr>
                        <w:t>:</w:t>
                      </w:r>
                      <w:r w:rsidRPr="003C6E80">
                        <w:rPr>
                          <w:i w:val="0"/>
                          <w:iCs w:val="0"/>
                          <w:color w:val="auto"/>
                          <w:sz w:val="24"/>
                          <w:szCs w:val="24"/>
                        </w:rPr>
                        <w:t xml:space="preserve"> Compound yield of different variants of switchgrass upon torrefaction at 270 degrees Celsius for 120 seconds</w:t>
                      </w:r>
                      <w:bookmarkEnd w:id="83"/>
                    </w:p>
                  </w:txbxContent>
                </v:textbox>
                <w10:wrap type="square" anchorx="margin"/>
              </v:shape>
            </w:pict>
          </mc:Fallback>
        </mc:AlternateContent>
      </w:r>
      <w:r w:rsidRPr="00174DE3">
        <w:rPr>
          <w:noProof/>
          <w:szCs w:val="24"/>
        </w:rPr>
        <w:drawing>
          <wp:anchor distT="0" distB="0" distL="114300" distR="114300" simplePos="0" relativeHeight="251712512" behindDoc="0" locked="0" layoutInCell="1" allowOverlap="1" wp14:anchorId="17AAE4C7" wp14:editId="12177319">
            <wp:simplePos x="0" y="0"/>
            <wp:positionH relativeFrom="margin">
              <wp:align>right</wp:align>
            </wp:positionH>
            <wp:positionV relativeFrom="paragraph">
              <wp:posOffset>3141980</wp:posOffset>
            </wp:positionV>
            <wp:extent cx="5943600" cy="3124200"/>
            <wp:effectExtent l="0" t="0" r="0" b="0"/>
            <wp:wrapSquare wrapText="bothSides"/>
            <wp:docPr id="232" name="Chart 232">
              <a:extLst xmlns:a="http://schemas.openxmlformats.org/drawingml/2006/main">
                <a:ext uri="{FF2B5EF4-FFF2-40B4-BE49-F238E27FC236}">
                  <a16:creationId xmlns:a16="http://schemas.microsoft.com/office/drawing/2014/main" id="{B476D782-28B9-4784-9E80-DB6B7C9BB2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sidR="00577A35" w:rsidRPr="00174DE3">
        <w:rPr>
          <w:szCs w:val="24"/>
        </w:rPr>
        <w:t xml:space="preserve">The four different variants of switchgrass were torrefied at 270 </w:t>
      </w:r>
      <m:oMath>
        <m:r>
          <w:rPr>
            <w:rFonts w:ascii="Cambria Math" w:hAnsi="Cambria Math"/>
            <w:szCs w:val="24"/>
          </w:rPr>
          <m:t>℃</m:t>
        </m:r>
      </m:oMath>
      <w:r w:rsidR="00577A35" w:rsidRPr="00174DE3">
        <w:rPr>
          <w:rFonts w:eastAsiaTheme="minorEastAsia"/>
          <w:szCs w:val="24"/>
        </w:rPr>
        <w:t xml:space="preserve"> with a residence time of 120 seconds; the torrefied biomass was then pyrolyzed at 500 </w:t>
      </w:r>
      <m:oMath>
        <m:r>
          <w:rPr>
            <w:rFonts w:ascii="Cambria Math" w:hAnsi="Cambria Math"/>
            <w:szCs w:val="24"/>
          </w:rPr>
          <m:t>℃</m:t>
        </m:r>
      </m:oMath>
      <w:r w:rsidR="00577A35" w:rsidRPr="00174DE3">
        <w:rPr>
          <w:rFonts w:eastAsiaTheme="minorEastAsia"/>
          <w:szCs w:val="24"/>
        </w:rPr>
        <w:t xml:space="preserve"> for 60 seconds. The thermochemical products (in compound lumps) from the four samples run are shown in Figure 4.4 and Figure 4.5 respectively. Table 4.1 and Table 4.2 quantifies the yield of the compound lumps per milligram of the raw biomass; Figure 4.</w:t>
      </w:r>
      <w:r w:rsidR="00577A35">
        <w:rPr>
          <w:rFonts w:eastAsiaTheme="minorEastAsia"/>
          <w:szCs w:val="24"/>
        </w:rPr>
        <w:t>6</w:t>
      </w:r>
      <w:r w:rsidR="00577A35" w:rsidRPr="00174DE3">
        <w:rPr>
          <w:rFonts w:eastAsiaTheme="minorEastAsia"/>
          <w:szCs w:val="24"/>
        </w:rPr>
        <w:t xml:space="preserve"> and Figure 4.</w:t>
      </w:r>
      <w:r w:rsidR="00577A35">
        <w:rPr>
          <w:rFonts w:eastAsiaTheme="minorEastAsia"/>
          <w:szCs w:val="24"/>
        </w:rPr>
        <w:t>7</w:t>
      </w:r>
      <w:r w:rsidR="00577A35" w:rsidRPr="00174DE3">
        <w:rPr>
          <w:rFonts w:eastAsiaTheme="minorEastAsia"/>
          <w:szCs w:val="24"/>
        </w:rPr>
        <w:t xml:space="preserve"> separately shows the yield of the phenolic species (both alkyl and phenolic) upon torrefaction and pyrolysis respectively, while Figure 4.</w:t>
      </w:r>
      <w:r w:rsidR="00577A35">
        <w:rPr>
          <w:rFonts w:eastAsiaTheme="minorEastAsia"/>
          <w:szCs w:val="24"/>
        </w:rPr>
        <w:t>8</w:t>
      </w:r>
      <w:r w:rsidR="00577A35" w:rsidRPr="00174DE3">
        <w:rPr>
          <w:rFonts w:eastAsiaTheme="minorEastAsia"/>
          <w:szCs w:val="24"/>
        </w:rPr>
        <w:t xml:space="preserve"> lists the phenolic species that have been identified in this study. </w:t>
      </w:r>
      <w:r w:rsidR="00577A35">
        <w:rPr>
          <w:rFonts w:eastAsiaTheme="minorEastAsia"/>
          <w:szCs w:val="24"/>
        </w:rPr>
        <w:t>The error bars shown in the figures represent the standard deviation of three triplicate samples of biomass torrefied/pyrolyzed consecutively.</w:t>
      </w:r>
    </w:p>
    <w:p w14:paraId="15ECF351" w14:textId="77777777" w:rsidR="003C6E80" w:rsidRDefault="003C6E80" w:rsidP="00577A35">
      <w:pPr>
        <w:ind w:left="0" w:firstLine="0"/>
        <w:rPr>
          <w:szCs w:val="24"/>
        </w:rPr>
      </w:pPr>
    </w:p>
    <w:p w14:paraId="3E3F3A60" w14:textId="77777777" w:rsidR="003C6E80" w:rsidRDefault="003C6E80" w:rsidP="00577A35">
      <w:pPr>
        <w:ind w:left="0" w:firstLine="0"/>
        <w:rPr>
          <w:szCs w:val="24"/>
        </w:rPr>
      </w:pPr>
    </w:p>
    <w:p w14:paraId="1AAF4773" w14:textId="77777777" w:rsidR="003C6E80" w:rsidRDefault="003C6E80" w:rsidP="00577A35">
      <w:pPr>
        <w:ind w:left="0" w:firstLine="0"/>
        <w:rPr>
          <w:szCs w:val="24"/>
        </w:rPr>
      </w:pPr>
    </w:p>
    <w:p w14:paraId="5154C0B2" w14:textId="77777777" w:rsidR="003C6E80" w:rsidRDefault="00F816EE" w:rsidP="00577A35">
      <w:pPr>
        <w:ind w:left="0" w:firstLine="0"/>
        <w:rPr>
          <w:szCs w:val="24"/>
        </w:rPr>
      </w:pPr>
      <w:r>
        <w:rPr>
          <w:noProof/>
        </w:rPr>
        <w:lastRenderedPageBreak/>
        <mc:AlternateContent>
          <mc:Choice Requires="wps">
            <w:drawing>
              <wp:anchor distT="0" distB="0" distL="114300" distR="114300" simplePos="0" relativeHeight="251812864" behindDoc="0" locked="0" layoutInCell="1" allowOverlap="1" wp14:anchorId="28A74087" wp14:editId="33634898">
                <wp:simplePos x="0" y="0"/>
                <wp:positionH relativeFrom="margin">
                  <wp:align>right</wp:align>
                </wp:positionH>
                <wp:positionV relativeFrom="paragraph">
                  <wp:posOffset>3454400</wp:posOffset>
                </wp:positionV>
                <wp:extent cx="5943600" cy="635"/>
                <wp:effectExtent l="0" t="0" r="0" b="0"/>
                <wp:wrapSquare wrapText="bothSides"/>
                <wp:docPr id="277" name="Text Box 277"/>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5382FF1" w14:textId="6C77C23A" w:rsidR="00AA26F6" w:rsidRPr="003C6E80" w:rsidRDefault="00AA26F6" w:rsidP="003C6E80">
                            <w:pPr>
                              <w:pStyle w:val="Caption"/>
                              <w:rPr>
                                <w:i w:val="0"/>
                                <w:iCs w:val="0"/>
                                <w:noProof/>
                                <w:color w:val="auto"/>
                                <w:sz w:val="24"/>
                                <w:szCs w:val="24"/>
                              </w:rPr>
                            </w:pPr>
                            <w:bookmarkStart w:id="84" w:name="_Toc14520662"/>
                            <w:r w:rsidRPr="003C6E80">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5</w:t>
                            </w:r>
                            <w:r>
                              <w:rPr>
                                <w:b/>
                                <w:bCs/>
                                <w:i w:val="0"/>
                                <w:iCs w:val="0"/>
                                <w:color w:val="auto"/>
                                <w:sz w:val="24"/>
                                <w:szCs w:val="24"/>
                              </w:rPr>
                              <w:fldChar w:fldCharType="end"/>
                            </w:r>
                            <w:r w:rsidRPr="003C6E80">
                              <w:rPr>
                                <w:b/>
                                <w:bCs/>
                                <w:i w:val="0"/>
                                <w:iCs w:val="0"/>
                                <w:color w:val="auto"/>
                                <w:sz w:val="24"/>
                                <w:szCs w:val="24"/>
                              </w:rPr>
                              <w:t>:</w:t>
                            </w:r>
                            <w:r w:rsidRPr="003C6E80">
                              <w:rPr>
                                <w:i w:val="0"/>
                                <w:iCs w:val="0"/>
                                <w:color w:val="auto"/>
                                <w:sz w:val="24"/>
                                <w:szCs w:val="24"/>
                              </w:rPr>
                              <w:t xml:space="preserve"> Compound yield of different variants of switchgrass upon pyrolysis at 500 degrees Celsius for 60 seconds</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A74087" id="Text Box 277" o:spid="_x0000_s1053" type="#_x0000_t202" style="position:absolute;margin-left:416.8pt;margin-top:272pt;width:468pt;height:.05pt;z-index:2518128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" stroked="f">
                <v:textbox style="mso-fit-shape-to-text:t" inset="0,0,0,0">
                  <w:txbxContent>
                    <w:p w14:paraId="35382FF1" w14:textId="6C77C23A" w:rsidR="00AA26F6" w:rsidRPr="003C6E80" w:rsidRDefault="00AA26F6" w:rsidP="003C6E80">
                      <w:pPr>
                        <w:pStyle w:val="Caption"/>
                        <w:rPr>
                          <w:i w:val="0"/>
                          <w:iCs w:val="0"/>
                          <w:noProof/>
                          <w:color w:val="auto"/>
                          <w:sz w:val="24"/>
                          <w:szCs w:val="24"/>
                        </w:rPr>
                      </w:pPr>
                      <w:bookmarkStart w:id="85" w:name="_Toc14520662"/>
                      <w:r w:rsidRPr="003C6E80">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5</w:t>
                      </w:r>
                      <w:r>
                        <w:rPr>
                          <w:b/>
                          <w:bCs/>
                          <w:i w:val="0"/>
                          <w:iCs w:val="0"/>
                          <w:color w:val="auto"/>
                          <w:sz w:val="24"/>
                          <w:szCs w:val="24"/>
                        </w:rPr>
                        <w:fldChar w:fldCharType="end"/>
                      </w:r>
                      <w:r w:rsidRPr="003C6E80">
                        <w:rPr>
                          <w:b/>
                          <w:bCs/>
                          <w:i w:val="0"/>
                          <w:iCs w:val="0"/>
                          <w:color w:val="auto"/>
                          <w:sz w:val="24"/>
                          <w:szCs w:val="24"/>
                        </w:rPr>
                        <w:t>:</w:t>
                      </w:r>
                      <w:r w:rsidRPr="003C6E80">
                        <w:rPr>
                          <w:i w:val="0"/>
                          <w:iCs w:val="0"/>
                          <w:color w:val="auto"/>
                          <w:sz w:val="24"/>
                          <w:szCs w:val="24"/>
                        </w:rPr>
                        <w:t xml:space="preserve"> Compound yield of different variants of switchgrass upon pyrolysis at 500 degrees Celsius for 60 seconds</w:t>
                      </w:r>
                      <w:bookmarkEnd w:id="85"/>
                    </w:p>
                  </w:txbxContent>
                </v:textbox>
                <w10:wrap type="square" anchorx="margin"/>
              </v:shape>
            </w:pict>
          </mc:Fallback>
        </mc:AlternateContent>
      </w:r>
      <w:r w:rsidRPr="00174DE3">
        <w:rPr>
          <w:noProof/>
          <w:szCs w:val="24"/>
        </w:rPr>
        <w:drawing>
          <wp:anchor distT="0" distB="0" distL="114300" distR="114300" simplePos="0" relativeHeight="251714560" behindDoc="0" locked="0" layoutInCell="1" allowOverlap="1" wp14:anchorId="02E4C8FD" wp14:editId="1DFF3641">
            <wp:simplePos x="0" y="0"/>
            <wp:positionH relativeFrom="margin">
              <wp:align>right</wp:align>
            </wp:positionH>
            <wp:positionV relativeFrom="paragraph">
              <wp:posOffset>0</wp:posOffset>
            </wp:positionV>
            <wp:extent cx="5943600" cy="3324225"/>
            <wp:effectExtent l="0" t="0" r="0" b="9525"/>
            <wp:wrapSquare wrapText="bothSides"/>
            <wp:docPr id="231" name="Chart 231">
              <a:extLst xmlns:a="http://schemas.openxmlformats.org/drawingml/2006/main">
                <a:ext uri="{FF2B5EF4-FFF2-40B4-BE49-F238E27FC236}">
                  <a16:creationId xmlns:a16="http://schemas.microsoft.com/office/drawing/2014/main" id="{B84A754A-F76E-4A48-83D6-072DCE68AE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p>
    <w:p w14:paraId="3B71562A" w14:textId="77777777" w:rsidR="003C6E80" w:rsidRDefault="003C6E80" w:rsidP="00577A35">
      <w:pPr>
        <w:ind w:left="0" w:firstLine="0"/>
        <w:rPr>
          <w:szCs w:val="24"/>
        </w:rPr>
      </w:pPr>
    </w:p>
    <w:p w14:paraId="06035983" w14:textId="77777777" w:rsidR="003C6E80" w:rsidRDefault="003C6E80" w:rsidP="00577A35">
      <w:pPr>
        <w:ind w:left="0" w:firstLine="0"/>
        <w:rPr>
          <w:szCs w:val="24"/>
        </w:rPr>
      </w:pPr>
    </w:p>
    <w:p w14:paraId="498D984F" w14:textId="77777777" w:rsidR="003C6E80" w:rsidRDefault="003C6E80" w:rsidP="00577A35">
      <w:pPr>
        <w:ind w:left="0" w:firstLine="0"/>
        <w:rPr>
          <w:szCs w:val="24"/>
        </w:rPr>
      </w:pPr>
    </w:p>
    <w:p w14:paraId="5818DE7F" w14:textId="77777777" w:rsidR="003C6E80" w:rsidRDefault="003C6E80" w:rsidP="00577A35">
      <w:pPr>
        <w:ind w:left="0" w:firstLine="0"/>
        <w:rPr>
          <w:szCs w:val="24"/>
        </w:rPr>
      </w:pPr>
    </w:p>
    <w:p w14:paraId="4D1C9922" w14:textId="77777777" w:rsidR="003C6E80" w:rsidRDefault="003C6E80" w:rsidP="00577A35">
      <w:pPr>
        <w:ind w:left="0" w:firstLine="0"/>
        <w:rPr>
          <w:szCs w:val="24"/>
        </w:rPr>
      </w:pPr>
    </w:p>
    <w:p w14:paraId="5D2B95E0" w14:textId="77777777" w:rsidR="003C6E80" w:rsidRDefault="003C6E80" w:rsidP="00577A35">
      <w:pPr>
        <w:ind w:left="0" w:firstLine="0"/>
        <w:rPr>
          <w:szCs w:val="24"/>
        </w:rPr>
      </w:pPr>
    </w:p>
    <w:p w14:paraId="6C219B1F" w14:textId="77777777" w:rsidR="003C6E80" w:rsidRDefault="003C6E80" w:rsidP="00577A35">
      <w:pPr>
        <w:ind w:left="0" w:firstLine="0"/>
        <w:rPr>
          <w:szCs w:val="24"/>
        </w:rPr>
      </w:pPr>
    </w:p>
    <w:p w14:paraId="6048F1EA" w14:textId="77777777" w:rsidR="003C6E80" w:rsidRDefault="003C6E80" w:rsidP="00577A35">
      <w:pPr>
        <w:ind w:left="0" w:firstLine="0"/>
        <w:rPr>
          <w:szCs w:val="24"/>
        </w:rPr>
      </w:pPr>
    </w:p>
    <w:p w14:paraId="69758F5F" w14:textId="77777777" w:rsidR="003C6E80" w:rsidRDefault="003C6E80" w:rsidP="00577A35">
      <w:pPr>
        <w:ind w:left="0" w:firstLine="0"/>
        <w:rPr>
          <w:szCs w:val="24"/>
        </w:rPr>
      </w:pPr>
    </w:p>
    <w:p w14:paraId="5E0A28E5" w14:textId="77777777" w:rsidR="00577A35" w:rsidRDefault="00577A35" w:rsidP="00577A35">
      <w:pPr>
        <w:ind w:left="0" w:firstLine="0"/>
        <w:rPr>
          <w:szCs w:val="24"/>
        </w:rPr>
      </w:pPr>
    </w:p>
    <w:p w14:paraId="46CFBCEC" w14:textId="77777777" w:rsidR="00F816EE" w:rsidRPr="00174DE3" w:rsidRDefault="00F816EE" w:rsidP="00577A35">
      <w:pPr>
        <w:ind w:left="0" w:firstLine="0"/>
        <w:rPr>
          <w:szCs w:val="24"/>
        </w:rPr>
      </w:pPr>
    </w:p>
    <w:p w14:paraId="2A8F7A82" w14:textId="77777777" w:rsidR="00257D12" w:rsidRPr="00B22F66" w:rsidRDefault="00257D12" w:rsidP="00B22F66">
      <w:pPr>
        <w:pStyle w:val="Caption"/>
        <w:keepNext/>
        <w:jc w:val="center"/>
        <w:rPr>
          <w:i w:val="0"/>
          <w:iCs w:val="0"/>
          <w:color w:val="auto"/>
          <w:sz w:val="24"/>
          <w:szCs w:val="24"/>
        </w:rPr>
      </w:pPr>
    </w:p>
    <w:p w14:paraId="5D5B9FB9" w14:textId="3BBF801C" w:rsidR="00B22F66" w:rsidRPr="00B22F66" w:rsidRDefault="00B22F66" w:rsidP="00B22F66">
      <w:pPr>
        <w:pStyle w:val="Caption"/>
        <w:keepNext/>
        <w:jc w:val="center"/>
        <w:rPr>
          <w:i w:val="0"/>
          <w:iCs w:val="0"/>
          <w:color w:val="auto"/>
          <w:sz w:val="24"/>
          <w:szCs w:val="24"/>
        </w:rPr>
      </w:pPr>
      <w:bookmarkStart w:id="86" w:name="_Toc14519786"/>
      <w:r w:rsidRPr="00B22F66">
        <w:rPr>
          <w:b/>
          <w:bCs/>
          <w:i w:val="0"/>
          <w:iCs w:val="0"/>
          <w:color w:val="auto"/>
          <w:sz w:val="24"/>
          <w:szCs w:val="24"/>
        </w:rPr>
        <w:t xml:space="preserve">Table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Table \* ARABIC \s 1 </w:instrText>
      </w:r>
      <w:r>
        <w:rPr>
          <w:b/>
          <w:bCs/>
          <w:i w:val="0"/>
          <w:iCs w:val="0"/>
          <w:color w:val="auto"/>
          <w:sz w:val="24"/>
          <w:szCs w:val="24"/>
        </w:rPr>
        <w:fldChar w:fldCharType="separate"/>
      </w:r>
      <w:r w:rsidR="00815371">
        <w:rPr>
          <w:b/>
          <w:bCs/>
          <w:i w:val="0"/>
          <w:iCs w:val="0"/>
          <w:noProof/>
          <w:color w:val="auto"/>
          <w:sz w:val="24"/>
          <w:szCs w:val="24"/>
        </w:rPr>
        <w:t>1</w:t>
      </w:r>
      <w:r>
        <w:rPr>
          <w:b/>
          <w:bCs/>
          <w:i w:val="0"/>
          <w:iCs w:val="0"/>
          <w:color w:val="auto"/>
          <w:sz w:val="24"/>
          <w:szCs w:val="24"/>
        </w:rPr>
        <w:fldChar w:fldCharType="end"/>
      </w:r>
      <w:r w:rsidRPr="00B22F66">
        <w:rPr>
          <w:b/>
          <w:bCs/>
          <w:i w:val="0"/>
          <w:iCs w:val="0"/>
          <w:color w:val="auto"/>
          <w:sz w:val="24"/>
          <w:szCs w:val="24"/>
        </w:rPr>
        <w:t>:</w:t>
      </w:r>
      <w:r w:rsidRPr="00B22F66">
        <w:rPr>
          <w:i w:val="0"/>
          <w:iCs w:val="0"/>
          <w:color w:val="auto"/>
          <w:sz w:val="24"/>
          <w:szCs w:val="24"/>
        </w:rPr>
        <w:t xml:space="preserve"> Torrefaction yield of different compound lumps per milligram of raw biomass</w:t>
      </w:r>
      <w:bookmarkEnd w:id="86"/>
    </w:p>
    <w:tbl>
      <w:tblPr>
        <w:tblStyle w:val="TableGrid"/>
        <w:tblW w:w="9228" w:type="dxa"/>
        <w:jc w:val="center"/>
        <w:tblLook w:val="04A0" w:firstRow="1" w:lastRow="0" w:firstColumn="1" w:lastColumn="0" w:noHBand="0" w:noVBand="1"/>
      </w:tblPr>
      <w:tblGrid>
        <w:gridCol w:w="681"/>
        <w:gridCol w:w="1496"/>
        <w:gridCol w:w="951"/>
        <w:gridCol w:w="638"/>
        <w:gridCol w:w="830"/>
        <w:gridCol w:w="659"/>
        <w:gridCol w:w="860"/>
        <w:gridCol w:w="740"/>
        <w:gridCol w:w="972"/>
        <w:gridCol w:w="820"/>
        <w:gridCol w:w="581"/>
      </w:tblGrid>
      <w:tr w:rsidR="005A5432" w:rsidRPr="005A5432" w14:paraId="10DCBCF1" w14:textId="77777777" w:rsidTr="00257D12">
        <w:trPr>
          <w:trHeight w:val="558"/>
          <w:jc w:val="center"/>
        </w:trPr>
        <w:tc>
          <w:tcPr>
            <w:tcW w:w="9228" w:type="dxa"/>
            <w:gridSpan w:val="11"/>
            <w:noWrap/>
            <w:hideMark/>
          </w:tcPr>
          <w:p w14:paraId="1F0B5586" w14:textId="77777777" w:rsidR="005A5432" w:rsidRPr="005A5432" w:rsidRDefault="005A5432" w:rsidP="005A5432">
            <w:pPr>
              <w:spacing w:after="0" w:line="240" w:lineRule="auto"/>
              <w:ind w:left="0" w:right="0" w:firstLine="0"/>
              <w:jc w:val="center"/>
              <w:rPr>
                <w:rFonts w:eastAsiaTheme="minorHAnsi"/>
                <w:b/>
                <w:bCs/>
                <w:color w:val="auto"/>
                <w:szCs w:val="24"/>
              </w:rPr>
            </w:pPr>
            <w:r w:rsidRPr="005A5432">
              <w:rPr>
                <w:rFonts w:eastAsiaTheme="minorHAnsi"/>
                <w:b/>
                <w:bCs/>
                <w:color w:val="auto"/>
                <w:szCs w:val="24"/>
              </w:rPr>
              <w:t>Torrefaction yields of different variants of switchgrass per milligram of biomass</w:t>
            </w:r>
          </w:p>
        </w:tc>
      </w:tr>
      <w:tr w:rsidR="003C6E80" w:rsidRPr="005A5432" w14:paraId="191807AC" w14:textId="77777777" w:rsidTr="00257D12">
        <w:trPr>
          <w:trHeight w:val="558"/>
          <w:jc w:val="center"/>
        </w:trPr>
        <w:tc>
          <w:tcPr>
            <w:tcW w:w="681" w:type="dxa"/>
            <w:noWrap/>
            <w:hideMark/>
          </w:tcPr>
          <w:p w14:paraId="7F49130F" w14:textId="77777777" w:rsidR="005A5432" w:rsidRPr="005A5432" w:rsidRDefault="005A5432" w:rsidP="005A5432">
            <w:pPr>
              <w:spacing w:after="0" w:line="240" w:lineRule="auto"/>
              <w:ind w:left="0" w:right="0" w:firstLine="0"/>
              <w:jc w:val="center"/>
              <w:rPr>
                <w:rFonts w:eastAsiaTheme="minorHAnsi"/>
                <w:color w:val="auto"/>
                <w:szCs w:val="24"/>
              </w:rPr>
            </w:pPr>
          </w:p>
        </w:tc>
        <w:tc>
          <w:tcPr>
            <w:tcW w:w="1496" w:type="dxa"/>
            <w:noWrap/>
            <w:hideMark/>
          </w:tcPr>
          <w:p w14:paraId="316D186B" w14:textId="77777777" w:rsidR="005A5432" w:rsidRPr="005A5432" w:rsidRDefault="005A5432" w:rsidP="005A5432">
            <w:pPr>
              <w:spacing w:after="0" w:line="240" w:lineRule="auto"/>
              <w:ind w:left="0" w:right="0" w:firstLine="0"/>
              <w:jc w:val="center"/>
              <w:rPr>
                <w:rFonts w:eastAsiaTheme="minorHAnsi"/>
                <w:color w:val="auto"/>
                <w:sz w:val="16"/>
                <w:szCs w:val="16"/>
              </w:rPr>
            </w:pPr>
          </w:p>
        </w:tc>
        <w:tc>
          <w:tcPr>
            <w:tcW w:w="951" w:type="dxa"/>
            <w:noWrap/>
            <w:hideMark/>
          </w:tcPr>
          <w:p w14:paraId="414E7EFD" w14:textId="77777777" w:rsidR="005A5432" w:rsidRPr="005A5432" w:rsidRDefault="005A5432" w:rsidP="005A5432">
            <w:pPr>
              <w:spacing w:after="0" w:line="240" w:lineRule="auto"/>
              <w:ind w:left="0" w:right="0" w:firstLine="0"/>
              <w:jc w:val="center"/>
              <w:rPr>
                <w:rFonts w:eastAsiaTheme="minorHAnsi"/>
                <w:color w:val="auto"/>
                <w:sz w:val="16"/>
                <w:szCs w:val="16"/>
              </w:rPr>
            </w:pPr>
            <w:r w:rsidRPr="005A5432">
              <w:rPr>
                <w:rFonts w:eastAsiaTheme="minorHAnsi"/>
                <w:color w:val="auto"/>
                <w:sz w:val="16"/>
                <w:szCs w:val="16"/>
              </w:rPr>
              <w:t>Light Oxygenate</w:t>
            </w:r>
          </w:p>
        </w:tc>
        <w:tc>
          <w:tcPr>
            <w:tcW w:w="638" w:type="dxa"/>
            <w:noWrap/>
            <w:hideMark/>
          </w:tcPr>
          <w:p w14:paraId="7B6A79A3" w14:textId="77777777" w:rsidR="005A5432" w:rsidRPr="005A5432" w:rsidRDefault="005A5432" w:rsidP="005A5432">
            <w:pPr>
              <w:spacing w:after="0" w:line="240" w:lineRule="auto"/>
              <w:ind w:left="0" w:right="0" w:firstLine="0"/>
              <w:jc w:val="center"/>
              <w:rPr>
                <w:rFonts w:eastAsiaTheme="minorHAnsi"/>
                <w:color w:val="auto"/>
                <w:sz w:val="16"/>
                <w:szCs w:val="16"/>
              </w:rPr>
            </w:pPr>
            <w:r w:rsidRPr="005A5432">
              <w:rPr>
                <w:rFonts w:eastAsiaTheme="minorHAnsi"/>
                <w:color w:val="auto"/>
                <w:sz w:val="16"/>
                <w:szCs w:val="16"/>
              </w:rPr>
              <w:t>Acetic Acid</w:t>
            </w:r>
          </w:p>
        </w:tc>
        <w:tc>
          <w:tcPr>
            <w:tcW w:w="830" w:type="dxa"/>
            <w:noWrap/>
            <w:hideMark/>
          </w:tcPr>
          <w:p w14:paraId="3EC9583A" w14:textId="77777777" w:rsidR="005A5432" w:rsidRPr="005A5432" w:rsidRDefault="005A5432" w:rsidP="005A5432">
            <w:pPr>
              <w:spacing w:after="0" w:line="240" w:lineRule="auto"/>
              <w:ind w:left="0" w:right="0" w:firstLine="0"/>
              <w:jc w:val="center"/>
              <w:rPr>
                <w:rFonts w:eastAsiaTheme="minorHAnsi"/>
                <w:color w:val="auto"/>
                <w:sz w:val="16"/>
                <w:szCs w:val="16"/>
              </w:rPr>
            </w:pPr>
            <w:r w:rsidRPr="005A5432">
              <w:rPr>
                <w:rFonts w:eastAsiaTheme="minorHAnsi"/>
                <w:color w:val="auto"/>
                <w:sz w:val="16"/>
                <w:szCs w:val="16"/>
              </w:rPr>
              <w:t>Furfurals</w:t>
            </w:r>
          </w:p>
        </w:tc>
        <w:tc>
          <w:tcPr>
            <w:tcW w:w="659" w:type="dxa"/>
            <w:noWrap/>
            <w:hideMark/>
          </w:tcPr>
          <w:p w14:paraId="4D4A8635" w14:textId="77777777" w:rsidR="005A5432" w:rsidRPr="005A5432" w:rsidRDefault="005A5432" w:rsidP="005A5432">
            <w:pPr>
              <w:spacing w:after="0" w:line="240" w:lineRule="auto"/>
              <w:ind w:left="0" w:right="0" w:firstLine="0"/>
              <w:jc w:val="center"/>
              <w:rPr>
                <w:rFonts w:eastAsiaTheme="minorHAnsi"/>
                <w:color w:val="auto"/>
                <w:sz w:val="16"/>
                <w:szCs w:val="16"/>
              </w:rPr>
            </w:pPr>
            <w:r w:rsidRPr="005A5432">
              <w:rPr>
                <w:rFonts w:eastAsiaTheme="minorHAnsi"/>
                <w:color w:val="auto"/>
                <w:sz w:val="16"/>
                <w:szCs w:val="16"/>
              </w:rPr>
              <w:t>Furans</w:t>
            </w:r>
          </w:p>
        </w:tc>
        <w:tc>
          <w:tcPr>
            <w:tcW w:w="860" w:type="dxa"/>
            <w:noWrap/>
            <w:hideMark/>
          </w:tcPr>
          <w:p w14:paraId="3F0B70A0" w14:textId="77777777" w:rsidR="005A5432" w:rsidRPr="005A5432" w:rsidRDefault="005A5432" w:rsidP="005A5432">
            <w:pPr>
              <w:spacing w:after="0" w:line="240" w:lineRule="auto"/>
              <w:ind w:left="0" w:right="0" w:firstLine="0"/>
              <w:jc w:val="center"/>
              <w:rPr>
                <w:rFonts w:eastAsiaTheme="minorHAnsi"/>
                <w:color w:val="auto"/>
                <w:sz w:val="16"/>
                <w:szCs w:val="16"/>
              </w:rPr>
            </w:pPr>
            <w:r w:rsidRPr="005A5432">
              <w:rPr>
                <w:rFonts w:eastAsiaTheme="minorHAnsi"/>
                <w:color w:val="auto"/>
                <w:sz w:val="16"/>
                <w:szCs w:val="16"/>
              </w:rPr>
              <w:t>Alkyl Benzenes</w:t>
            </w:r>
          </w:p>
        </w:tc>
        <w:tc>
          <w:tcPr>
            <w:tcW w:w="740" w:type="dxa"/>
            <w:noWrap/>
            <w:hideMark/>
          </w:tcPr>
          <w:p w14:paraId="34EC8E01" w14:textId="77777777" w:rsidR="005A5432" w:rsidRPr="005A5432" w:rsidRDefault="005A5432" w:rsidP="005A5432">
            <w:pPr>
              <w:spacing w:after="0" w:line="240" w:lineRule="auto"/>
              <w:ind w:left="0" w:right="0" w:firstLine="0"/>
              <w:jc w:val="center"/>
              <w:rPr>
                <w:rFonts w:eastAsiaTheme="minorHAnsi"/>
                <w:color w:val="auto"/>
                <w:sz w:val="16"/>
                <w:szCs w:val="16"/>
              </w:rPr>
            </w:pPr>
            <w:r w:rsidRPr="005A5432">
              <w:rPr>
                <w:rFonts w:eastAsiaTheme="minorHAnsi"/>
                <w:color w:val="auto"/>
                <w:sz w:val="16"/>
                <w:szCs w:val="16"/>
              </w:rPr>
              <w:t>Alkyl Phenols</w:t>
            </w:r>
          </w:p>
        </w:tc>
        <w:tc>
          <w:tcPr>
            <w:tcW w:w="972" w:type="dxa"/>
            <w:noWrap/>
            <w:hideMark/>
          </w:tcPr>
          <w:p w14:paraId="72109B12" w14:textId="77777777" w:rsidR="005A5432" w:rsidRPr="005A5432" w:rsidRDefault="005A5432" w:rsidP="005A5432">
            <w:pPr>
              <w:spacing w:after="0" w:line="240" w:lineRule="auto"/>
              <w:ind w:left="0" w:right="0" w:firstLine="0"/>
              <w:jc w:val="center"/>
              <w:rPr>
                <w:rFonts w:eastAsiaTheme="minorHAnsi"/>
                <w:color w:val="auto"/>
                <w:sz w:val="16"/>
                <w:szCs w:val="16"/>
              </w:rPr>
            </w:pPr>
            <w:r w:rsidRPr="005A5432">
              <w:rPr>
                <w:rFonts w:eastAsiaTheme="minorHAnsi"/>
                <w:color w:val="auto"/>
                <w:sz w:val="16"/>
                <w:szCs w:val="16"/>
              </w:rPr>
              <w:t>Anhydrous Sugars</w:t>
            </w:r>
          </w:p>
        </w:tc>
        <w:tc>
          <w:tcPr>
            <w:tcW w:w="820" w:type="dxa"/>
            <w:noWrap/>
            <w:hideMark/>
          </w:tcPr>
          <w:p w14:paraId="0219F229" w14:textId="77777777" w:rsidR="005A5432" w:rsidRPr="005A5432" w:rsidRDefault="005A5432" w:rsidP="005A5432">
            <w:pPr>
              <w:spacing w:after="0" w:line="240" w:lineRule="auto"/>
              <w:ind w:left="0" w:right="0" w:firstLine="0"/>
              <w:jc w:val="center"/>
              <w:rPr>
                <w:rFonts w:eastAsiaTheme="minorHAnsi"/>
                <w:color w:val="auto"/>
                <w:sz w:val="16"/>
                <w:szCs w:val="16"/>
              </w:rPr>
            </w:pPr>
            <w:r w:rsidRPr="005A5432">
              <w:rPr>
                <w:rFonts w:eastAsiaTheme="minorHAnsi"/>
                <w:color w:val="auto"/>
                <w:sz w:val="16"/>
                <w:szCs w:val="16"/>
              </w:rPr>
              <w:t>Methoxy Phenols</w:t>
            </w:r>
          </w:p>
        </w:tc>
        <w:tc>
          <w:tcPr>
            <w:tcW w:w="581" w:type="dxa"/>
            <w:noWrap/>
            <w:hideMark/>
          </w:tcPr>
          <w:p w14:paraId="386BC2AC" w14:textId="77777777" w:rsidR="005A5432" w:rsidRPr="005A5432" w:rsidRDefault="005A5432" w:rsidP="005A5432">
            <w:pPr>
              <w:spacing w:after="0" w:line="240" w:lineRule="auto"/>
              <w:ind w:left="0" w:right="0" w:firstLine="0"/>
              <w:jc w:val="center"/>
              <w:rPr>
                <w:rFonts w:eastAsiaTheme="minorHAnsi"/>
                <w:b/>
                <w:bCs/>
                <w:color w:val="auto"/>
                <w:sz w:val="16"/>
                <w:szCs w:val="16"/>
              </w:rPr>
            </w:pPr>
            <w:r w:rsidRPr="005A5432">
              <w:rPr>
                <w:rFonts w:eastAsiaTheme="minorHAnsi"/>
                <w:b/>
                <w:bCs/>
                <w:color w:val="auto"/>
                <w:sz w:val="16"/>
                <w:szCs w:val="16"/>
              </w:rPr>
              <w:t>Total</w:t>
            </w:r>
          </w:p>
        </w:tc>
      </w:tr>
      <w:tr w:rsidR="003C6E80" w:rsidRPr="005A5432" w14:paraId="48AB4779" w14:textId="77777777" w:rsidTr="00257D12">
        <w:trPr>
          <w:trHeight w:val="558"/>
          <w:jc w:val="center"/>
        </w:trPr>
        <w:tc>
          <w:tcPr>
            <w:tcW w:w="681" w:type="dxa"/>
            <w:vMerge w:val="restart"/>
            <w:noWrap/>
            <w:hideMark/>
          </w:tcPr>
          <w:p w14:paraId="49EB0B07" w14:textId="77777777" w:rsidR="005A5432" w:rsidRPr="005A5432" w:rsidRDefault="005A5432" w:rsidP="005A5432">
            <w:pPr>
              <w:spacing w:after="0" w:line="240" w:lineRule="auto"/>
              <w:ind w:left="0" w:right="0" w:firstLine="0"/>
              <w:jc w:val="center"/>
              <w:rPr>
                <w:rFonts w:eastAsiaTheme="minorHAnsi"/>
                <w:color w:val="auto"/>
                <w:sz w:val="22"/>
              </w:rPr>
            </w:pPr>
            <w:r w:rsidRPr="005A5432">
              <w:rPr>
                <w:rFonts w:eastAsiaTheme="minorHAnsi"/>
                <w:color w:val="auto"/>
                <w:sz w:val="22"/>
              </w:rPr>
              <w:t>Mass (µg)</w:t>
            </w:r>
          </w:p>
        </w:tc>
        <w:tc>
          <w:tcPr>
            <w:tcW w:w="1496" w:type="dxa"/>
            <w:noWrap/>
            <w:hideMark/>
          </w:tcPr>
          <w:p w14:paraId="5912F890" w14:textId="77777777" w:rsidR="005A5432" w:rsidRPr="005A5432" w:rsidRDefault="005A5432" w:rsidP="005A5432">
            <w:pPr>
              <w:spacing w:after="0" w:line="240" w:lineRule="auto"/>
              <w:ind w:left="0" w:right="0" w:firstLine="0"/>
              <w:jc w:val="center"/>
              <w:rPr>
                <w:rFonts w:eastAsiaTheme="minorHAnsi"/>
                <w:color w:val="auto"/>
                <w:sz w:val="18"/>
                <w:szCs w:val="18"/>
              </w:rPr>
            </w:pPr>
            <w:r w:rsidRPr="005A5432">
              <w:rPr>
                <w:rFonts w:eastAsiaTheme="minorHAnsi"/>
                <w:color w:val="auto"/>
                <w:sz w:val="18"/>
                <w:szCs w:val="18"/>
              </w:rPr>
              <w:t>COMT2mutant</w:t>
            </w:r>
          </w:p>
        </w:tc>
        <w:tc>
          <w:tcPr>
            <w:tcW w:w="951" w:type="dxa"/>
            <w:noWrap/>
            <w:hideMark/>
          </w:tcPr>
          <w:p w14:paraId="47D6912A"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1.48</w:t>
            </w:r>
          </w:p>
        </w:tc>
        <w:tc>
          <w:tcPr>
            <w:tcW w:w="638" w:type="dxa"/>
            <w:noWrap/>
            <w:hideMark/>
          </w:tcPr>
          <w:p w14:paraId="0D8BE4D5"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1.95</w:t>
            </w:r>
          </w:p>
        </w:tc>
        <w:tc>
          <w:tcPr>
            <w:tcW w:w="830" w:type="dxa"/>
            <w:noWrap/>
            <w:hideMark/>
          </w:tcPr>
          <w:p w14:paraId="4AD67A6C"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0.53</w:t>
            </w:r>
          </w:p>
        </w:tc>
        <w:tc>
          <w:tcPr>
            <w:tcW w:w="659" w:type="dxa"/>
            <w:noWrap/>
            <w:hideMark/>
          </w:tcPr>
          <w:p w14:paraId="2123602C"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0.02</w:t>
            </w:r>
          </w:p>
        </w:tc>
        <w:tc>
          <w:tcPr>
            <w:tcW w:w="860" w:type="dxa"/>
            <w:noWrap/>
            <w:hideMark/>
          </w:tcPr>
          <w:p w14:paraId="652D30C7"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0.01</w:t>
            </w:r>
          </w:p>
        </w:tc>
        <w:tc>
          <w:tcPr>
            <w:tcW w:w="740" w:type="dxa"/>
            <w:noWrap/>
            <w:hideMark/>
          </w:tcPr>
          <w:p w14:paraId="11B5365C"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0.2</w:t>
            </w:r>
          </w:p>
        </w:tc>
        <w:tc>
          <w:tcPr>
            <w:tcW w:w="972" w:type="dxa"/>
            <w:noWrap/>
            <w:hideMark/>
          </w:tcPr>
          <w:p w14:paraId="6FF328C2"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0.51</w:t>
            </w:r>
          </w:p>
        </w:tc>
        <w:tc>
          <w:tcPr>
            <w:tcW w:w="820" w:type="dxa"/>
            <w:noWrap/>
            <w:hideMark/>
          </w:tcPr>
          <w:p w14:paraId="5E6F834D"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0.25</w:t>
            </w:r>
          </w:p>
        </w:tc>
        <w:tc>
          <w:tcPr>
            <w:tcW w:w="581" w:type="dxa"/>
            <w:noWrap/>
            <w:hideMark/>
          </w:tcPr>
          <w:p w14:paraId="770CFF4E" w14:textId="77777777" w:rsidR="005A5432" w:rsidRPr="005A5432" w:rsidRDefault="005A5432" w:rsidP="005A5432">
            <w:pPr>
              <w:spacing w:after="0" w:line="240" w:lineRule="auto"/>
              <w:ind w:left="0" w:right="0" w:firstLine="0"/>
              <w:jc w:val="center"/>
              <w:rPr>
                <w:rFonts w:eastAsiaTheme="minorHAnsi"/>
                <w:b/>
                <w:bCs/>
                <w:color w:val="auto"/>
                <w:sz w:val="20"/>
                <w:szCs w:val="20"/>
              </w:rPr>
            </w:pPr>
            <w:r w:rsidRPr="005A5432">
              <w:rPr>
                <w:rFonts w:eastAsiaTheme="minorHAnsi"/>
                <w:b/>
                <w:bCs/>
                <w:color w:val="auto"/>
                <w:sz w:val="20"/>
                <w:szCs w:val="20"/>
              </w:rPr>
              <w:t>4.95</w:t>
            </w:r>
          </w:p>
        </w:tc>
      </w:tr>
      <w:tr w:rsidR="003C6E80" w:rsidRPr="005A5432" w14:paraId="62577C9F" w14:textId="77777777" w:rsidTr="00257D12">
        <w:trPr>
          <w:trHeight w:val="558"/>
          <w:jc w:val="center"/>
        </w:trPr>
        <w:tc>
          <w:tcPr>
            <w:tcW w:w="681" w:type="dxa"/>
            <w:vMerge/>
            <w:hideMark/>
          </w:tcPr>
          <w:p w14:paraId="6DE1DBC6" w14:textId="77777777" w:rsidR="005A5432" w:rsidRPr="005A5432" w:rsidRDefault="005A5432" w:rsidP="005A5432">
            <w:pPr>
              <w:spacing w:after="0" w:line="240" w:lineRule="auto"/>
              <w:ind w:left="0" w:right="0" w:firstLine="0"/>
              <w:jc w:val="center"/>
              <w:rPr>
                <w:rFonts w:eastAsiaTheme="minorHAnsi"/>
                <w:color w:val="auto"/>
                <w:szCs w:val="24"/>
              </w:rPr>
            </w:pPr>
          </w:p>
        </w:tc>
        <w:tc>
          <w:tcPr>
            <w:tcW w:w="1496" w:type="dxa"/>
            <w:noWrap/>
            <w:hideMark/>
          </w:tcPr>
          <w:p w14:paraId="0CB92D93" w14:textId="77777777" w:rsidR="005A5432" w:rsidRPr="005A5432" w:rsidRDefault="005A5432" w:rsidP="005A5432">
            <w:pPr>
              <w:spacing w:after="0" w:line="240" w:lineRule="auto"/>
              <w:ind w:left="0" w:right="0" w:firstLine="0"/>
              <w:jc w:val="center"/>
              <w:rPr>
                <w:rFonts w:eastAsiaTheme="minorHAnsi"/>
                <w:color w:val="auto"/>
                <w:sz w:val="18"/>
                <w:szCs w:val="18"/>
              </w:rPr>
            </w:pPr>
            <w:r w:rsidRPr="005A5432">
              <w:rPr>
                <w:rFonts w:eastAsiaTheme="minorHAnsi"/>
                <w:color w:val="auto"/>
                <w:sz w:val="18"/>
                <w:szCs w:val="18"/>
              </w:rPr>
              <w:t>NATURAL DIVERSITY SG</w:t>
            </w:r>
          </w:p>
        </w:tc>
        <w:tc>
          <w:tcPr>
            <w:tcW w:w="951" w:type="dxa"/>
            <w:noWrap/>
            <w:hideMark/>
          </w:tcPr>
          <w:p w14:paraId="37161095"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1.46</w:t>
            </w:r>
          </w:p>
        </w:tc>
        <w:tc>
          <w:tcPr>
            <w:tcW w:w="638" w:type="dxa"/>
            <w:noWrap/>
            <w:hideMark/>
          </w:tcPr>
          <w:p w14:paraId="6486F619"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1.76</w:t>
            </w:r>
          </w:p>
        </w:tc>
        <w:tc>
          <w:tcPr>
            <w:tcW w:w="830" w:type="dxa"/>
            <w:noWrap/>
            <w:hideMark/>
          </w:tcPr>
          <w:p w14:paraId="289C1259"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0.95</w:t>
            </w:r>
          </w:p>
        </w:tc>
        <w:tc>
          <w:tcPr>
            <w:tcW w:w="659" w:type="dxa"/>
            <w:noWrap/>
            <w:hideMark/>
          </w:tcPr>
          <w:p w14:paraId="06789E14"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0.03</w:t>
            </w:r>
          </w:p>
        </w:tc>
        <w:tc>
          <w:tcPr>
            <w:tcW w:w="860" w:type="dxa"/>
            <w:noWrap/>
            <w:hideMark/>
          </w:tcPr>
          <w:p w14:paraId="5C550C27"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w:t>
            </w:r>
          </w:p>
        </w:tc>
        <w:tc>
          <w:tcPr>
            <w:tcW w:w="740" w:type="dxa"/>
            <w:noWrap/>
            <w:hideMark/>
          </w:tcPr>
          <w:p w14:paraId="45C0186C"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0.09</w:t>
            </w:r>
          </w:p>
        </w:tc>
        <w:tc>
          <w:tcPr>
            <w:tcW w:w="972" w:type="dxa"/>
            <w:noWrap/>
            <w:hideMark/>
          </w:tcPr>
          <w:p w14:paraId="7575C26B"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0.4</w:t>
            </w:r>
          </w:p>
        </w:tc>
        <w:tc>
          <w:tcPr>
            <w:tcW w:w="820" w:type="dxa"/>
            <w:noWrap/>
            <w:hideMark/>
          </w:tcPr>
          <w:p w14:paraId="41B0853F"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0.26</w:t>
            </w:r>
          </w:p>
        </w:tc>
        <w:tc>
          <w:tcPr>
            <w:tcW w:w="581" w:type="dxa"/>
            <w:noWrap/>
            <w:hideMark/>
          </w:tcPr>
          <w:p w14:paraId="2BF49DD3" w14:textId="77777777" w:rsidR="005A5432" w:rsidRPr="005A5432" w:rsidRDefault="005A5432" w:rsidP="005A5432">
            <w:pPr>
              <w:spacing w:after="0" w:line="240" w:lineRule="auto"/>
              <w:ind w:left="0" w:right="0" w:firstLine="0"/>
              <w:jc w:val="center"/>
              <w:rPr>
                <w:rFonts w:eastAsiaTheme="minorHAnsi"/>
                <w:b/>
                <w:bCs/>
                <w:color w:val="auto"/>
                <w:sz w:val="20"/>
                <w:szCs w:val="20"/>
              </w:rPr>
            </w:pPr>
            <w:r w:rsidRPr="005A5432">
              <w:rPr>
                <w:rFonts w:eastAsiaTheme="minorHAnsi"/>
                <w:b/>
                <w:bCs/>
                <w:color w:val="auto"/>
                <w:sz w:val="20"/>
                <w:szCs w:val="20"/>
              </w:rPr>
              <w:t>4.95</w:t>
            </w:r>
          </w:p>
        </w:tc>
      </w:tr>
      <w:tr w:rsidR="003C6E80" w:rsidRPr="005A5432" w14:paraId="1D722149" w14:textId="77777777" w:rsidTr="00257D12">
        <w:trPr>
          <w:trHeight w:val="558"/>
          <w:jc w:val="center"/>
        </w:trPr>
        <w:tc>
          <w:tcPr>
            <w:tcW w:w="681" w:type="dxa"/>
            <w:vMerge/>
            <w:hideMark/>
          </w:tcPr>
          <w:p w14:paraId="5154B8DA" w14:textId="77777777" w:rsidR="005A5432" w:rsidRPr="005A5432" w:rsidRDefault="005A5432" w:rsidP="005A5432">
            <w:pPr>
              <w:spacing w:after="0" w:line="240" w:lineRule="auto"/>
              <w:ind w:left="0" w:right="0" w:firstLine="0"/>
              <w:jc w:val="center"/>
              <w:rPr>
                <w:rFonts w:eastAsiaTheme="minorHAnsi"/>
                <w:color w:val="auto"/>
                <w:szCs w:val="24"/>
              </w:rPr>
            </w:pPr>
          </w:p>
        </w:tc>
        <w:tc>
          <w:tcPr>
            <w:tcW w:w="1496" w:type="dxa"/>
            <w:noWrap/>
            <w:hideMark/>
          </w:tcPr>
          <w:p w14:paraId="3A445BE9" w14:textId="77777777" w:rsidR="005A5432" w:rsidRPr="005A5432" w:rsidRDefault="005A5432" w:rsidP="005A5432">
            <w:pPr>
              <w:spacing w:after="0" w:line="240" w:lineRule="auto"/>
              <w:ind w:left="0" w:right="0" w:firstLine="0"/>
              <w:jc w:val="center"/>
              <w:rPr>
                <w:rFonts w:eastAsiaTheme="minorHAnsi"/>
                <w:color w:val="auto"/>
                <w:sz w:val="18"/>
                <w:szCs w:val="18"/>
              </w:rPr>
            </w:pPr>
            <w:r w:rsidRPr="005A5432">
              <w:rPr>
                <w:rFonts w:eastAsiaTheme="minorHAnsi"/>
                <w:color w:val="auto"/>
                <w:sz w:val="18"/>
                <w:szCs w:val="18"/>
              </w:rPr>
              <w:t>AP13 SG</w:t>
            </w:r>
          </w:p>
        </w:tc>
        <w:tc>
          <w:tcPr>
            <w:tcW w:w="951" w:type="dxa"/>
            <w:noWrap/>
            <w:hideMark/>
          </w:tcPr>
          <w:p w14:paraId="6B86D5E1"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1.26</w:t>
            </w:r>
          </w:p>
        </w:tc>
        <w:tc>
          <w:tcPr>
            <w:tcW w:w="638" w:type="dxa"/>
            <w:noWrap/>
            <w:hideMark/>
          </w:tcPr>
          <w:p w14:paraId="2EC80995"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2.12</w:t>
            </w:r>
          </w:p>
        </w:tc>
        <w:tc>
          <w:tcPr>
            <w:tcW w:w="830" w:type="dxa"/>
            <w:noWrap/>
            <w:hideMark/>
          </w:tcPr>
          <w:p w14:paraId="4B2461E2"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0.62</w:t>
            </w:r>
          </w:p>
        </w:tc>
        <w:tc>
          <w:tcPr>
            <w:tcW w:w="659" w:type="dxa"/>
            <w:noWrap/>
            <w:hideMark/>
          </w:tcPr>
          <w:p w14:paraId="4DCC0340"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w:t>
            </w:r>
          </w:p>
        </w:tc>
        <w:tc>
          <w:tcPr>
            <w:tcW w:w="860" w:type="dxa"/>
            <w:noWrap/>
            <w:hideMark/>
          </w:tcPr>
          <w:p w14:paraId="26A59A86"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w:t>
            </w:r>
          </w:p>
        </w:tc>
        <w:tc>
          <w:tcPr>
            <w:tcW w:w="740" w:type="dxa"/>
            <w:noWrap/>
            <w:hideMark/>
          </w:tcPr>
          <w:p w14:paraId="3A25CC37"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0.24</w:t>
            </w:r>
          </w:p>
        </w:tc>
        <w:tc>
          <w:tcPr>
            <w:tcW w:w="972" w:type="dxa"/>
            <w:noWrap/>
            <w:hideMark/>
          </w:tcPr>
          <w:p w14:paraId="57182309"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1.06</w:t>
            </w:r>
          </w:p>
        </w:tc>
        <w:tc>
          <w:tcPr>
            <w:tcW w:w="820" w:type="dxa"/>
            <w:noWrap/>
            <w:hideMark/>
          </w:tcPr>
          <w:p w14:paraId="5404EDEE"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0.31</w:t>
            </w:r>
          </w:p>
        </w:tc>
        <w:tc>
          <w:tcPr>
            <w:tcW w:w="581" w:type="dxa"/>
            <w:noWrap/>
            <w:hideMark/>
          </w:tcPr>
          <w:p w14:paraId="5C289F3F" w14:textId="77777777" w:rsidR="005A5432" w:rsidRPr="005A5432" w:rsidRDefault="005A5432" w:rsidP="005A5432">
            <w:pPr>
              <w:spacing w:after="0" w:line="240" w:lineRule="auto"/>
              <w:ind w:left="0" w:right="0" w:firstLine="0"/>
              <w:jc w:val="center"/>
              <w:rPr>
                <w:rFonts w:eastAsiaTheme="minorHAnsi"/>
                <w:b/>
                <w:bCs/>
                <w:color w:val="auto"/>
                <w:sz w:val="20"/>
                <w:szCs w:val="20"/>
              </w:rPr>
            </w:pPr>
            <w:r w:rsidRPr="005A5432">
              <w:rPr>
                <w:rFonts w:eastAsiaTheme="minorHAnsi"/>
                <w:b/>
                <w:bCs/>
                <w:color w:val="auto"/>
                <w:sz w:val="20"/>
                <w:szCs w:val="20"/>
              </w:rPr>
              <w:t>5.61</w:t>
            </w:r>
          </w:p>
        </w:tc>
      </w:tr>
      <w:tr w:rsidR="003C6E80" w:rsidRPr="005A5432" w14:paraId="58904D57" w14:textId="77777777" w:rsidTr="00257D12">
        <w:trPr>
          <w:trHeight w:val="558"/>
          <w:jc w:val="center"/>
        </w:trPr>
        <w:tc>
          <w:tcPr>
            <w:tcW w:w="681" w:type="dxa"/>
            <w:vMerge/>
            <w:hideMark/>
          </w:tcPr>
          <w:p w14:paraId="3E73A87D" w14:textId="77777777" w:rsidR="005A5432" w:rsidRPr="005A5432" w:rsidRDefault="005A5432" w:rsidP="005A5432">
            <w:pPr>
              <w:spacing w:after="0" w:line="240" w:lineRule="auto"/>
              <w:ind w:left="0" w:right="0" w:firstLine="0"/>
              <w:jc w:val="center"/>
              <w:rPr>
                <w:rFonts w:eastAsiaTheme="minorHAnsi"/>
                <w:color w:val="auto"/>
                <w:szCs w:val="24"/>
              </w:rPr>
            </w:pPr>
          </w:p>
        </w:tc>
        <w:tc>
          <w:tcPr>
            <w:tcW w:w="1496" w:type="dxa"/>
            <w:noWrap/>
            <w:hideMark/>
          </w:tcPr>
          <w:p w14:paraId="76139B5F" w14:textId="77777777" w:rsidR="005A5432" w:rsidRPr="005A5432" w:rsidRDefault="005A5432" w:rsidP="005A5432">
            <w:pPr>
              <w:spacing w:after="0" w:line="240" w:lineRule="auto"/>
              <w:ind w:left="0" w:right="0" w:firstLine="0"/>
              <w:jc w:val="center"/>
              <w:rPr>
                <w:rFonts w:eastAsiaTheme="minorHAnsi"/>
                <w:color w:val="auto"/>
                <w:sz w:val="18"/>
                <w:szCs w:val="18"/>
              </w:rPr>
            </w:pPr>
            <w:r w:rsidRPr="005A5432">
              <w:rPr>
                <w:rFonts w:eastAsiaTheme="minorHAnsi"/>
                <w:color w:val="auto"/>
                <w:sz w:val="18"/>
                <w:szCs w:val="18"/>
              </w:rPr>
              <w:t>COMT2Wildtype</w:t>
            </w:r>
          </w:p>
        </w:tc>
        <w:tc>
          <w:tcPr>
            <w:tcW w:w="951" w:type="dxa"/>
            <w:noWrap/>
            <w:hideMark/>
          </w:tcPr>
          <w:p w14:paraId="693C9527"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1.28</w:t>
            </w:r>
          </w:p>
        </w:tc>
        <w:tc>
          <w:tcPr>
            <w:tcW w:w="638" w:type="dxa"/>
            <w:noWrap/>
            <w:hideMark/>
          </w:tcPr>
          <w:p w14:paraId="5432ECEE"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1.55</w:t>
            </w:r>
          </w:p>
        </w:tc>
        <w:tc>
          <w:tcPr>
            <w:tcW w:w="830" w:type="dxa"/>
            <w:noWrap/>
            <w:hideMark/>
          </w:tcPr>
          <w:p w14:paraId="40B858A7"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0.52</w:t>
            </w:r>
          </w:p>
        </w:tc>
        <w:tc>
          <w:tcPr>
            <w:tcW w:w="659" w:type="dxa"/>
            <w:noWrap/>
            <w:hideMark/>
          </w:tcPr>
          <w:p w14:paraId="7B2DD19C"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0.02</w:t>
            </w:r>
          </w:p>
        </w:tc>
        <w:tc>
          <w:tcPr>
            <w:tcW w:w="860" w:type="dxa"/>
            <w:noWrap/>
            <w:hideMark/>
          </w:tcPr>
          <w:p w14:paraId="27CF50CC"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0.01</w:t>
            </w:r>
          </w:p>
        </w:tc>
        <w:tc>
          <w:tcPr>
            <w:tcW w:w="740" w:type="dxa"/>
            <w:noWrap/>
            <w:hideMark/>
          </w:tcPr>
          <w:p w14:paraId="575B7727"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0.24</w:t>
            </w:r>
          </w:p>
        </w:tc>
        <w:tc>
          <w:tcPr>
            <w:tcW w:w="972" w:type="dxa"/>
            <w:noWrap/>
            <w:hideMark/>
          </w:tcPr>
          <w:p w14:paraId="6AF6F339"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0.64</w:t>
            </w:r>
          </w:p>
        </w:tc>
        <w:tc>
          <w:tcPr>
            <w:tcW w:w="820" w:type="dxa"/>
            <w:noWrap/>
            <w:hideMark/>
          </w:tcPr>
          <w:p w14:paraId="1EDDCCAB" w14:textId="77777777" w:rsidR="005A5432" w:rsidRPr="005A5432" w:rsidRDefault="005A5432" w:rsidP="005A5432">
            <w:pPr>
              <w:spacing w:after="0" w:line="240" w:lineRule="auto"/>
              <w:ind w:left="0" w:right="0" w:firstLine="0"/>
              <w:jc w:val="center"/>
              <w:rPr>
                <w:rFonts w:eastAsiaTheme="minorHAnsi"/>
                <w:color w:val="auto"/>
                <w:sz w:val="20"/>
                <w:szCs w:val="20"/>
              </w:rPr>
            </w:pPr>
            <w:r w:rsidRPr="005A5432">
              <w:rPr>
                <w:rFonts w:eastAsiaTheme="minorHAnsi"/>
                <w:color w:val="auto"/>
                <w:sz w:val="20"/>
                <w:szCs w:val="20"/>
              </w:rPr>
              <w:t>0.26</w:t>
            </w:r>
          </w:p>
        </w:tc>
        <w:tc>
          <w:tcPr>
            <w:tcW w:w="581" w:type="dxa"/>
            <w:noWrap/>
            <w:hideMark/>
          </w:tcPr>
          <w:p w14:paraId="3E017272" w14:textId="77777777" w:rsidR="005A5432" w:rsidRPr="005A5432" w:rsidRDefault="005A5432" w:rsidP="005A5432">
            <w:pPr>
              <w:spacing w:after="0" w:line="240" w:lineRule="auto"/>
              <w:ind w:left="0" w:right="0" w:firstLine="0"/>
              <w:jc w:val="center"/>
              <w:rPr>
                <w:rFonts w:eastAsiaTheme="minorHAnsi"/>
                <w:b/>
                <w:bCs/>
                <w:color w:val="auto"/>
                <w:sz w:val="20"/>
                <w:szCs w:val="20"/>
              </w:rPr>
            </w:pPr>
            <w:r w:rsidRPr="005A5432">
              <w:rPr>
                <w:rFonts w:eastAsiaTheme="minorHAnsi"/>
                <w:b/>
                <w:bCs/>
                <w:color w:val="auto"/>
                <w:sz w:val="20"/>
                <w:szCs w:val="20"/>
              </w:rPr>
              <w:t>4.52</w:t>
            </w:r>
          </w:p>
        </w:tc>
      </w:tr>
    </w:tbl>
    <w:p w14:paraId="32F3D8D9" w14:textId="77777777" w:rsidR="00257D12" w:rsidRPr="00257D12" w:rsidRDefault="00257D12" w:rsidP="00257D12">
      <w:pPr>
        <w:pStyle w:val="Caption"/>
        <w:keepNext/>
        <w:jc w:val="center"/>
        <w:rPr>
          <w:i w:val="0"/>
          <w:iCs w:val="0"/>
          <w:color w:val="auto"/>
          <w:sz w:val="24"/>
          <w:szCs w:val="24"/>
        </w:rPr>
      </w:pPr>
    </w:p>
    <w:p w14:paraId="4FD2D94B" w14:textId="281A7616" w:rsidR="00B22F66" w:rsidRPr="00B22F66" w:rsidRDefault="00B22F66" w:rsidP="00B22F66">
      <w:pPr>
        <w:pStyle w:val="Caption"/>
        <w:keepNext/>
        <w:jc w:val="center"/>
        <w:rPr>
          <w:i w:val="0"/>
          <w:iCs w:val="0"/>
          <w:color w:val="auto"/>
          <w:sz w:val="24"/>
          <w:szCs w:val="24"/>
        </w:rPr>
      </w:pPr>
      <w:bookmarkStart w:id="87" w:name="_Toc14519787"/>
      <w:r w:rsidRPr="00B22F66">
        <w:rPr>
          <w:b/>
          <w:bCs/>
          <w:i w:val="0"/>
          <w:iCs w:val="0"/>
          <w:color w:val="auto"/>
          <w:sz w:val="24"/>
          <w:szCs w:val="24"/>
        </w:rPr>
        <w:t xml:space="preserve">Table </w:t>
      </w:r>
      <w:r w:rsidRPr="00B22F66">
        <w:rPr>
          <w:b/>
          <w:bCs/>
          <w:i w:val="0"/>
          <w:iCs w:val="0"/>
          <w:color w:val="auto"/>
          <w:sz w:val="24"/>
          <w:szCs w:val="24"/>
        </w:rPr>
        <w:fldChar w:fldCharType="begin"/>
      </w:r>
      <w:r w:rsidRPr="00B22F66">
        <w:rPr>
          <w:b/>
          <w:bCs/>
          <w:i w:val="0"/>
          <w:iCs w:val="0"/>
          <w:color w:val="auto"/>
          <w:sz w:val="24"/>
          <w:szCs w:val="24"/>
        </w:rPr>
        <w:instrText xml:space="preserve"> STYLEREF 1 \s </w:instrText>
      </w:r>
      <w:r w:rsidRPr="00B22F66">
        <w:rPr>
          <w:b/>
          <w:bCs/>
          <w:i w:val="0"/>
          <w:iCs w:val="0"/>
          <w:color w:val="auto"/>
          <w:sz w:val="24"/>
          <w:szCs w:val="24"/>
        </w:rPr>
        <w:fldChar w:fldCharType="separate"/>
      </w:r>
      <w:r w:rsidR="00815371">
        <w:rPr>
          <w:b/>
          <w:bCs/>
          <w:i w:val="0"/>
          <w:iCs w:val="0"/>
          <w:noProof/>
          <w:color w:val="auto"/>
          <w:sz w:val="24"/>
          <w:szCs w:val="24"/>
        </w:rPr>
        <w:t>4</w:t>
      </w:r>
      <w:r w:rsidRPr="00B22F66">
        <w:rPr>
          <w:b/>
          <w:bCs/>
          <w:i w:val="0"/>
          <w:iCs w:val="0"/>
          <w:color w:val="auto"/>
          <w:sz w:val="24"/>
          <w:szCs w:val="24"/>
        </w:rPr>
        <w:fldChar w:fldCharType="end"/>
      </w:r>
      <w:r w:rsidRPr="00B22F66">
        <w:rPr>
          <w:b/>
          <w:bCs/>
          <w:i w:val="0"/>
          <w:iCs w:val="0"/>
          <w:color w:val="auto"/>
          <w:sz w:val="24"/>
          <w:szCs w:val="24"/>
        </w:rPr>
        <w:t>.</w:t>
      </w:r>
      <w:r w:rsidRPr="00B22F66">
        <w:rPr>
          <w:b/>
          <w:bCs/>
          <w:i w:val="0"/>
          <w:iCs w:val="0"/>
          <w:color w:val="auto"/>
          <w:sz w:val="24"/>
          <w:szCs w:val="24"/>
        </w:rPr>
        <w:fldChar w:fldCharType="begin"/>
      </w:r>
      <w:r w:rsidRPr="00B22F66">
        <w:rPr>
          <w:b/>
          <w:bCs/>
          <w:i w:val="0"/>
          <w:iCs w:val="0"/>
          <w:color w:val="auto"/>
          <w:sz w:val="24"/>
          <w:szCs w:val="24"/>
        </w:rPr>
        <w:instrText xml:space="preserve"> SEQ Table \* ARABIC \s 1 </w:instrText>
      </w:r>
      <w:r w:rsidRPr="00B22F66">
        <w:rPr>
          <w:b/>
          <w:bCs/>
          <w:i w:val="0"/>
          <w:iCs w:val="0"/>
          <w:color w:val="auto"/>
          <w:sz w:val="24"/>
          <w:szCs w:val="24"/>
        </w:rPr>
        <w:fldChar w:fldCharType="separate"/>
      </w:r>
      <w:r w:rsidR="00815371">
        <w:rPr>
          <w:b/>
          <w:bCs/>
          <w:i w:val="0"/>
          <w:iCs w:val="0"/>
          <w:noProof/>
          <w:color w:val="auto"/>
          <w:sz w:val="24"/>
          <w:szCs w:val="24"/>
        </w:rPr>
        <w:t>2</w:t>
      </w:r>
      <w:r w:rsidRPr="00B22F66">
        <w:rPr>
          <w:b/>
          <w:bCs/>
          <w:i w:val="0"/>
          <w:iCs w:val="0"/>
          <w:color w:val="auto"/>
          <w:sz w:val="24"/>
          <w:szCs w:val="24"/>
        </w:rPr>
        <w:fldChar w:fldCharType="end"/>
      </w:r>
      <w:r w:rsidRPr="00B22F66">
        <w:rPr>
          <w:b/>
          <w:bCs/>
          <w:i w:val="0"/>
          <w:iCs w:val="0"/>
          <w:color w:val="auto"/>
          <w:sz w:val="24"/>
          <w:szCs w:val="24"/>
        </w:rPr>
        <w:t>:</w:t>
      </w:r>
      <w:r w:rsidRPr="00B22F66">
        <w:rPr>
          <w:i w:val="0"/>
          <w:iCs w:val="0"/>
          <w:color w:val="auto"/>
          <w:sz w:val="24"/>
          <w:szCs w:val="24"/>
        </w:rPr>
        <w:t xml:space="preserve"> Pyrolysis yield of different compound lumps per milligram of raw biomass</w:t>
      </w:r>
      <w:bookmarkEnd w:id="87"/>
    </w:p>
    <w:tbl>
      <w:tblPr>
        <w:tblStyle w:val="TableGrid"/>
        <w:tblW w:w="9318" w:type="dxa"/>
        <w:jc w:val="center"/>
        <w:tblLook w:val="04A0" w:firstRow="1" w:lastRow="0" w:firstColumn="1" w:lastColumn="0" w:noHBand="0" w:noVBand="1"/>
      </w:tblPr>
      <w:tblGrid>
        <w:gridCol w:w="719"/>
        <w:gridCol w:w="1496"/>
        <w:gridCol w:w="947"/>
        <w:gridCol w:w="638"/>
        <w:gridCol w:w="828"/>
        <w:gridCol w:w="658"/>
        <w:gridCol w:w="856"/>
        <w:gridCol w:w="738"/>
        <w:gridCol w:w="968"/>
        <w:gridCol w:w="794"/>
        <w:gridCol w:w="676"/>
      </w:tblGrid>
      <w:tr w:rsidR="005A5432" w:rsidRPr="005A5432" w14:paraId="44D09018" w14:textId="77777777" w:rsidTr="00257D12">
        <w:trPr>
          <w:trHeight w:val="572"/>
          <w:jc w:val="center"/>
        </w:trPr>
        <w:tc>
          <w:tcPr>
            <w:tcW w:w="9318" w:type="dxa"/>
            <w:gridSpan w:val="11"/>
            <w:noWrap/>
            <w:hideMark/>
          </w:tcPr>
          <w:p w14:paraId="66E6F1A1" w14:textId="77777777" w:rsidR="005A5432" w:rsidRPr="005A5432" w:rsidRDefault="005A5432" w:rsidP="005A5432">
            <w:pPr>
              <w:spacing w:after="0" w:line="240" w:lineRule="auto"/>
              <w:ind w:left="0" w:right="0" w:firstLine="0"/>
              <w:jc w:val="center"/>
              <w:rPr>
                <w:rFonts w:eastAsiaTheme="minorHAnsi"/>
                <w:b/>
                <w:bCs/>
                <w:color w:val="auto"/>
                <w:szCs w:val="24"/>
              </w:rPr>
            </w:pPr>
            <w:r w:rsidRPr="005A5432">
              <w:rPr>
                <w:rFonts w:eastAsiaTheme="minorHAnsi"/>
                <w:b/>
                <w:bCs/>
                <w:color w:val="auto"/>
                <w:szCs w:val="24"/>
              </w:rPr>
              <w:t>Pyrolysis yields of different variants of switchgrass per milligram of biomass</w:t>
            </w:r>
          </w:p>
        </w:tc>
      </w:tr>
      <w:tr w:rsidR="005A5432" w:rsidRPr="005A5432" w14:paraId="7B955187" w14:textId="77777777" w:rsidTr="00257D12">
        <w:trPr>
          <w:trHeight w:val="572"/>
          <w:jc w:val="center"/>
        </w:trPr>
        <w:tc>
          <w:tcPr>
            <w:tcW w:w="719" w:type="dxa"/>
            <w:noWrap/>
            <w:hideMark/>
          </w:tcPr>
          <w:p w14:paraId="1034C40F"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 </w:t>
            </w:r>
          </w:p>
        </w:tc>
        <w:tc>
          <w:tcPr>
            <w:tcW w:w="1496" w:type="dxa"/>
            <w:noWrap/>
            <w:hideMark/>
          </w:tcPr>
          <w:p w14:paraId="53523709"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 </w:t>
            </w:r>
          </w:p>
        </w:tc>
        <w:tc>
          <w:tcPr>
            <w:tcW w:w="947" w:type="dxa"/>
            <w:noWrap/>
            <w:hideMark/>
          </w:tcPr>
          <w:p w14:paraId="141627F8"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Light Oxygenate</w:t>
            </w:r>
          </w:p>
        </w:tc>
        <w:tc>
          <w:tcPr>
            <w:tcW w:w="638" w:type="dxa"/>
            <w:noWrap/>
            <w:hideMark/>
          </w:tcPr>
          <w:p w14:paraId="31080473"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Acetic Acid</w:t>
            </w:r>
          </w:p>
        </w:tc>
        <w:tc>
          <w:tcPr>
            <w:tcW w:w="828" w:type="dxa"/>
            <w:noWrap/>
            <w:hideMark/>
          </w:tcPr>
          <w:p w14:paraId="1B9F81D4"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Furfurals</w:t>
            </w:r>
          </w:p>
        </w:tc>
        <w:tc>
          <w:tcPr>
            <w:tcW w:w="658" w:type="dxa"/>
            <w:noWrap/>
            <w:hideMark/>
          </w:tcPr>
          <w:p w14:paraId="51445185"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Furans</w:t>
            </w:r>
          </w:p>
        </w:tc>
        <w:tc>
          <w:tcPr>
            <w:tcW w:w="856" w:type="dxa"/>
            <w:noWrap/>
            <w:hideMark/>
          </w:tcPr>
          <w:p w14:paraId="44F83B4D"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Alkyl Benzenes</w:t>
            </w:r>
          </w:p>
        </w:tc>
        <w:tc>
          <w:tcPr>
            <w:tcW w:w="738" w:type="dxa"/>
            <w:noWrap/>
            <w:hideMark/>
          </w:tcPr>
          <w:p w14:paraId="0207C69A"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Alkyl Phenols</w:t>
            </w:r>
          </w:p>
        </w:tc>
        <w:tc>
          <w:tcPr>
            <w:tcW w:w="968" w:type="dxa"/>
            <w:noWrap/>
            <w:hideMark/>
          </w:tcPr>
          <w:p w14:paraId="7F5ABC50"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Anhydrous Sugars</w:t>
            </w:r>
          </w:p>
        </w:tc>
        <w:tc>
          <w:tcPr>
            <w:tcW w:w="794" w:type="dxa"/>
            <w:noWrap/>
            <w:hideMark/>
          </w:tcPr>
          <w:p w14:paraId="56F73602"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Methoxy Phenols</w:t>
            </w:r>
          </w:p>
        </w:tc>
        <w:tc>
          <w:tcPr>
            <w:tcW w:w="676" w:type="dxa"/>
            <w:noWrap/>
            <w:hideMark/>
          </w:tcPr>
          <w:p w14:paraId="64DFDFB0" w14:textId="77777777" w:rsidR="005A5432" w:rsidRPr="005A5432" w:rsidRDefault="005A5432" w:rsidP="005A5432">
            <w:pPr>
              <w:spacing w:after="0" w:line="240" w:lineRule="auto"/>
              <w:ind w:left="0" w:right="0" w:firstLine="0"/>
              <w:rPr>
                <w:rFonts w:eastAsiaTheme="minorHAnsi"/>
                <w:b/>
                <w:bCs/>
                <w:color w:val="auto"/>
                <w:sz w:val="16"/>
                <w:szCs w:val="16"/>
              </w:rPr>
            </w:pPr>
            <w:r w:rsidRPr="005A5432">
              <w:rPr>
                <w:rFonts w:eastAsiaTheme="minorHAnsi"/>
                <w:b/>
                <w:bCs/>
                <w:color w:val="auto"/>
                <w:sz w:val="16"/>
                <w:szCs w:val="16"/>
              </w:rPr>
              <w:t>Total</w:t>
            </w:r>
          </w:p>
        </w:tc>
      </w:tr>
      <w:tr w:rsidR="005A5432" w:rsidRPr="005A5432" w14:paraId="6B27BEF5" w14:textId="77777777" w:rsidTr="00257D12">
        <w:trPr>
          <w:trHeight w:val="572"/>
          <w:jc w:val="center"/>
        </w:trPr>
        <w:tc>
          <w:tcPr>
            <w:tcW w:w="719" w:type="dxa"/>
            <w:vMerge w:val="restart"/>
            <w:noWrap/>
            <w:hideMark/>
          </w:tcPr>
          <w:p w14:paraId="2A65AC25" w14:textId="77777777" w:rsidR="005A5432" w:rsidRPr="005A5432" w:rsidRDefault="005A5432" w:rsidP="005A5432">
            <w:pPr>
              <w:spacing w:after="0" w:line="240" w:lineRule="auto"/>
              <w:ind w:left="0" w:right="0" w:firstLine="0"/>
              <w:rPr>
                <w:rFonts w:eastAsiaTheme="minorHAnsi"/>
                <w:color w:val="auto"/>
                <w:sz w:val="22"/>
              </w:rPr>
            </w:pPr>
            <w:r w:rsidRPr="005A5432">
              <w:rPr>
                <w:rFonts w:eastAsiaTheme="minorHAnsi"/>
                <w:color w:val="auto"/>
                <w:sz w:val="22"/>
              </w:rPr>
              <w:t>Mass (µg)</w:t>
            </w:r>
          </w:p>
        </w:tc>
        <w:tc>
          <w:tcPr>
            <w:tcW w:w="1496" w:type="dxa"/>
            <w:noWrap/>
            <w:hideMark/>
          </w:tcPr>
          <w:p w14:paraId="1989C3E9" w14:textId="77777777" w:rsidR="005A5432" w:rsidRPr="005A5432" w:rsidRDefault="005A5432" w:rsidP="005A5432">
            <w:pPr>
              <w:spacing w:after="0" w:line="240" w:lineRule="auto"/>
              <w:ind w:left="0" w:right="0" w:firstLine="0"/>
              <w:rPr>
                <w:rFonts w:eastAsiaTheme="minorHAnsi"/>
                <w:color w:val="auto"/>
                <w:sz w:val="18"/>
                <w:szCs w:val="18"/>
              </w:rPr>
            </w:pPr>
            <w:r w:rsidRPr="005A5432">
              <w:rPr>
                <w:rFonts w:eastAsiaTheme="minorHAnsi"/>
                <w:color w:val="auto"/>
                <w:sz w:val="18"/>
                <w:szCs w:val="18"/>
              </w:rPr>
              <w:t>COMT2mutant</w:t>
            </w:r>
          </w:p>
        </w:tc>
        <w:tc>
          <w:tcPr>
            <w:tcW w:w="947" w:type="dxa"/>
            <w:noWrap/>
            <w:hideMark/>
          </w:tcPr>
          <w:p w14:paraId="552D8B86"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4.15</w:t>
            </w:r>
          </w:p>
        </w:tc>
        <w:tc>
          <w:tcPr>
            <w:tcW w:w="638" w:type="dxa"/>
            <w:noWrap/>
            <w:hideMark/>
          </w:tcPr>
          <w:p w14:paraId="4F4E7144"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1.61</w:t>
            </w:r>
          </w:p>
        </w:tc>
        <w:tc>
          <w:tcPr>
            <w:tcW w:w="828" w:type="dxa"/>
            <w:noWrap/>
            <w:hideMark/>
          </w:tcPr>
          <w:p w14:paraId="0F5C1286"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2.93</w:t>
            </w:r>
          </w:p>
        </w:tc>
        <w:tc>
          <w:tcPr>
            <w:tcW w:w="658" w:type="dxa"/>
            <w:noWrap/>
            <w:hideMark/>
          </w:tcPr>
          <w:p w14:paraId="5A3F69D5"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0.43</w:t>
            </w:r>
          </w:p>
        </w:tc>
        <w:tc>
          <w:tcPr>
            <w:tcW w:w="856" w:type="dxa"/>
            <w:noWrap/>
            <w:hideMark/>
          </w:tcPr>
          <w:p w14:paraId="4DCBF156"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0.05</w:t>
            </w:r>
          </w:p>
        </w:tc>
        <w:tc>
          <w:tcPr>
            <w:tcW w:w="738" w:type="dxa"/>
            <w:noWrap/>
            <w:hideMark/>
          </w:tcPr>
          <w:p w14:paraId="23F64BBB"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0.48</w:t>
            </w:r>
          </w:p>
        </w:tc>
        <w:tc>
          <w:tcPr>
            <w:tcW w:w="968" w:type="dxa"/>
            <w:noWrap/>
            <w:hideMark/>
          </w:tcPr>
          <w:p w14:paraId="3AC41675"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1.43</w:t>
            </w:r>
          </w:p>
        </w:tc>
        <w:tc>
          <w:tcPr>
            <w:tcW w:w="794" w:type="dxa"/>
            <w:noWrap/>
            <w:hideMark/>
          </w:tcPr>
          <w:p w14:paraId="0F9E51F6"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0.73</w:t>
            </w:r>
          </w:p>
        </w:tc>
        <w:tc>
          <w:tcPr>
            <w:tcW w:w="676" w:type="dxa"/>
            <w:noWrap/>
            <w:hideMark/>
          </w:tcPr>
          <w:p w14:paraId="47BAFA79" w14:textId="77777777" w:rsidR="005A5432" w:rsidRPr="005A5432" w:rsidRDefault="005A5432" w:rsidP="005A5432">
            <w:pPr>
              <w:spacing w:after="0" w:line="240" w:lineRule="auto"/>
              <w:ind w:left="0" w:right="0" w:firstLine="0"/>
              <w:rPr>
                <w:rFonts w:eastAsiaTheme="minorHAnsi"/>
                <w:b/>
                <w:bCs/>
                <w:color w:val="auto"/>
                <w:sz w:val="16"/>
                <w:szCs w:val="16"/>
              </w:rPr>
            </w:pPr>
            <w:r w:rsidRPr="005A5432">
              <w:rPr>
                <w:rFonts w:eastAsiaTheme="minorHAnsi"/>
                <w:b/>
                <w:bCs/>
                <w:color w:val="auto"/>
                <w:sz w:val="16"/>
                <w:szCs w:val="16"/>
              </w:rPr>
              <w:t>11.81</w:t>
            </w:r>
          </w:p>
        </w:tc>
      </w:tr>
      <w:tr w:rsidR="005A5432" w:rsidRPr="005A5432" w14:paraId="5A284FC3" w14:textId="77777777" w:rsidTr="00257D12">
        <w:trPr>
          <w:trHeight w:val="572"/>
          <w:jc w:val="center"/>
        </w:trPr>
        <w:tc>
          <w:tcPr>
            <w:tcW w:w="719" w:type="dxa"/>
            <w:vMerge/>
            <w:hideMark/>
          </w:tcPr>
          <w:p w14:paraId="6ED5B663" w14:textId="77777777" w:rsidR="005A5432" w:rsidRPr="005A5432" w:rsidRDefault="005A5432" w:rsidP="005A5432">
            <w:pPr>
              <w:spacing w:after="0" w:line="240" w:lineRule="auto"/>
              <w:ind w:left="0" w:right="0" w:firstLine="0"/>
              <w:rPr>
                <w:rFonts w:eastAsiaTheme="minorHAnsi"/>
                <w:color w:val="auto"/>
                <w:sz w:val="16"/>
                <w:szCs w:val="16"/>
              </w:rPr>
            </w:pPr>
          </w:p>
        </w:tc>
        <w:tc>
          <w:tcPr>
            <w:tcW w:w="1496" w:type="dxa"/>
            <w:noWrap/>
            <w:hideMark/>
          </w:tcPr>
          <w:p w14:paraId="17C2D7B2" w14:textId="77777777" w:rsidR="005A5432" w:rsidRPr="005A5432" w:rsidRDefault="005A5432" w:rsidP="005A5432">
            <w:pPr>
              <w:spacing w:after="0" w:line="240" w:lineRule="auto"/>
              <w:ind w:left="0" w:right="0" w:firstLine="0"/>
              <w:rPr>
                <w:rFonts w:eastAsiaTheme="minorHAnsi"/>
                <w:color w:val="auto"/>
                <w:sz w:val="18"/>
                <w:szCs w:val="18"/>
              </w:rPr>
            </w:pPr>
            <w:r w:rsidRPr="005A5432">
              <w:rPr>
                <w:rFonts w:eastAsiaTheme="minorHAnsi"/>
                <w:color w:val="auto"/>
                <w:sz w:val="18"/>
                <w:szCs w:val="18"/>
              </w:rPr>
              <w:t>NATURAL DIVERSITY SG</w:t>
            </w:r>
          </w:p>
        </w:tc>
        <w:tc>
          <w:tcPr>
            <w:tcW w:w="947" w:type="dxa"/>
            <w:noWrap/>
            <w:hideMark/>
          </w:tcPr>
          <w:p w14:paraId="28D99883"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3.4</w:t>
            </w:r>
          </w:p>
        </w:tc>
        <w:tc>
          <w:tcPr>
            <w:tcW w:w="638" w:type="dxa"/>
            <w:noWrap/>
            <w:hideMark/>
          </w:tcPr>
          <w:p w14:paraId="3EBCB30E"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1.69</w:t>
            </w:r>
          </w:p>
        </w:tc>
        <w:tc>
          <w:tcPr>
            <w:tcW w:w="828" w:type="dxa"/>
            <w:noWrap/>
            <w:hideMark/>
          </w:tcPr>
          <w:p w14:paraId="682DF547"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2.81</w:t>
            </w:r>
          </w:p>
        </w:tc>
        <w:tc>
          <w:tcPr>
            <w:tcW w:w="658" w:type="dxa"/>
            <w:noWrap/>
            <w:hideMark/>
          </w:tcPr>
          <w:p w14:paraId="462792CA"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0.57</w:t>
            </w:r>
          </w:p>
        </w:tc>
        <w:tc>
          <w:tcPr>
            <w:tcW w:w="856" w:type="dxa"/>
            <w:noWrap/>
            <w:hideMark/>
          </w:tcPr>
          <w:p w14:paraId="77371BBB"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0.1</w:t>
            </w:r>
          </w:p>
        </w:tc>
        <w:tc>
          <w:tcPr>
            <w:tcW w:w="738" w:type="dxa"/>
            <w:noWrap/>
            <w:hideMark/>
          </w:tcPr>
          <w:p w14:paraId="182FD8A9"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0.4</w:t>
            </w:r>
          </w:p>
        </w:tc>
        <w:tc>
          <w:tcPr>
            <w:tcW w:w="968" w:type="dxa"/>
            <w:noWrap/>
            <w:hideMark/>
          </w:tcPr>
          <w:p w14:paraId="7E978B74"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1.36</w:t>
            </w:r>
          </w:p>
        </w:tc>
        <w:tc>
          <w:tcPr>
            <w:tcW w:w="794" w:type="dxa"/>
            <w:noWrap/>
            <w:hideMark/>
          </w:tcPr>
          <w:p w14:paraId="16CDECF6"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0.64</w:t>
            </w:r>
          </w:p>
        </w:tc>
        <w:tc>
          <w:tcPr>
            <w:tcW w:w="676" w:type="dxa"/>
            <w:noWrap/>
            <w:hideMark/>
          </w:tcPr>
          <w:p w14:paraId="75084ABE" w14:textId="77777777" w:rsidR="005A5432" w:rsidRPr="005A5432" w:rsidRDefault="005A5432" w:rsidP="005A5432">
            <w:pPr>
              <w:spacing w:after="0" w:line="240" w:lineRule="auto"/>
              <w:ind w:left="0" w:right="0" w:firstLine="0"/>
              <w:rPr>
                <w:rFonts w:eastAsiaTheme="minorHAnsi"/>
                <w:b/>
                <w:bCs/>
                <w:color w:val="auto"/>
                <w:sz w:val="16"/>
                <w:szCs w:val="16"/>
              </w:rPr>
            </w:pPr>
            <w:r w:rsidRPr="005A5432">
              <w:rPr>
                <w:rFonts w:eastAsiaTheme="minorHAnsi"/>
                <w:b/>
                <w:bCs/>
                <w:color w:val="auto"/>
                <w:sz w:val="16"/>
                <w:szCs w:val="16"/>
              </w:rPr>
              <w:t>10.97</w:t>
            </w:r>
          </w:p>
        </w:tc>
      </w:tr>
      <w:tr w:rsidR="005A5432" w:rsidRPr="005A5432" w14:paraId="4B07728F" w14:textId="77777777" w:rsidTr="00257D12">
        <w:trPr>
          <w:trHeight w:val="572"/>
          <w:jc w:val="center"/>
        </w:trPr>
        <w:tc>
          <w:tcPr>
            <w:tcW w:w="719" w:type="dxa"/>
            <w:vMerge/>
            <w:hideMark/>
          </w:tcPr>
          <w:p w14:paraId="5788C5AE" w14:textId="77777777" w:rsidR="005A5432" w:rsidRPr="005A5432" w:rsidRDefault="005A5432" w:rsidP="005A5432">
            <w:pPr>
              <w:spacing w:after="0" w:line="240" w:lineRule="auto"/>
              <w:ind w:left="0" w:right="0" w:firstLine="0"/>
              <w:rPr>
                <w:rFonts w:eastAsiaTheme="minorHAnsi"/>
                <w:color w:val="auto"/>
                <w:sz w:val="16"/>
                <w:szCs w:val="16"/>
              </w:rPr>
            </w:pPr>
          </w:p>
        </w:tc>
        <w:tc>
          <w:tcPr>
            <w:tcW w:w="1496" w:type="dxa"/>
            <w:noWrap/>
            <w:hideMark/>
          </w:tcPr>
          <w:p w14:paraId="351475E2" w14:textId="77777777" w:rsidR="005A5432" w:rsidRPr="005A5432" w:rsidRDefault="005A5432" w:rsidP="005A5432">
            <w:pPr>
              <w:spacing w:after="0" w:line="240" w:lineRule="auto"/>
              <w:ind w:left="0" w:right="0" w:firstLine="0"/>
              <w:rPr>
                <w:rFonts w:eastAsiaTheme="minorHAnsi"/>
                <w:color w:val="auto"/>
                <w:sz w:val="18"/>
                <w:szCs w:val="18"/>
              </w:rPr>
            </w:pPr>
            <w:r w:rsidRPr="005A5432">
              <w:rPr>
                <w:rFonts w:eastAsiaTheme="minorHAnsi"/>
                <w:color w:val="auto"/>
                <w:sz w:val="18"/>
                <w:szCs w:val="18"/>
              </w:rPr>
              <w:t>AP13 SG</w:t>
            </w:r>
          </w:p>
        </w:tc>
        <w:tc>
          <w:tcPr>
            <w:tcW w:w="947" w:type="dxa"/>
            <w:noWrap/>
            <w:hideMark/>
          </w:tcPr>
          <w:p w14:paraId="6CFB387D"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1.97</w:t>
            </w:r>
          </w:p>
        </w:tc>
        <w:tc>
          <w:tcPr>
            <w:tcW w:w="638" w:type="dxa"/>
            <w:noWrap/>
            <w:hideMark/>
          </w:tcPr>
          <w:p w14:paraId="7CB307FF"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0.78</w:t>
            </w:r>
          </w:p>
        </w:tc>
        <w:tc>
          <w:tcPr>
            <w:tcW w:w="828" w:type="dxa"/>
            <w:noWrap/>
            <w:hideMark/>
          </w:tcPr>
          <w:p w14:paraId="7B46B3C0"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1.06</w:t>
            </w:r>
          </w:p>
        </w:tc>
        <w:tc>
          <w:tcPr>
            <w:tcW w:w="658" w:type="dxa"/>
            <w:noWrap/>
            <w:hideMark/>
          </w:tcPr>
          <w:p w14:paraId="626ABF2A"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0.16</w:t>
            </w:r>
          </w:p>
        </w:tc>
        <w:tc>
          <w:tcPr>
            <w:tcW w:w="856" w:type="dxa"/>
            <w:noWrap/>
            <w:hideMark/>
          </w:tcPr>
          <w:p w14:paraId="3434962F"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0.11</w:t>
            </w:r>
          </w:p>
        </w:tc>
        <w:tc>
          <w:tcPr>
            <w:tcW w:w="738" w:type="dxa"/>
            <w:noWrap/>
            <w:hideMark/>
          </w:tcPr>
          <w:p w14:paraId="60726070"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0.4</w:t>
            </w:r>
          </w:p>
        </w:tc>
        <w:tc>
          <w:tcPr>
            <w:tcW w:w="968" w:type="dxa"/>
            <w:noWrap/>
            <w:hideMark/>
          </w:tcPr>
          <w:p w14:paraId="1EEAA0F3"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1.34</w:t>
            </w:r>
          </w:p>
        </w:tc>
        <w:tc>
          <w:tcPr>
            <w:tcW w:w="794" w:type="dxa"/>
            <w:noWrap/>
            <w:hideMark/>
          </w:tcPr>
          <w:p w14:paraId="2A2D5236"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0.46</w:t>
            </w:r>
          </w:p>
        </w:tc>
        <w:tc>
          <w:tcPr>
            <w:tcW w:w="676" w:type="dxa"/>
            <w:noWrap/>
            <w:hideMark/>
          </w:tcPr>
          <w:p w14:paraId="27B7A37B" w14:textId="77777777" w:rsidR="005A5432" w:rsidRPr="005A5432" w:rsidRDefault="005A5432" w:rsidP="005A5432">
            <w:pPr>
              <w:spacing w:after="0" w:line="240" w:lineRule="auto"/>
              <w:ind w:left="0" w:right="0" w:firstLine="0"/>
              <w:rPr>
                <w:rFonts w:eastAsiaTheme="minorHAnsi"/>
                <w:b/>
                <w:bCs/>
                <w:color w:val="auto"/>
                <w:sz w:val="16"/>
                <w:szCs w:val="16"/>
              </w:rPr>
            </w:pPr>
            <w:r w:rsidRPr="005A5432">
              <w:rPr>
                <w:rFonts w:eastAsiaTheme="minorHAnsi"/>
                <w:b/>
                <w:bCs/>
                <w:color w:val="auto"/>
                <w:sz w:val="16"/>
                <w:szCs w:val="16"/>
              </w:rPr>
              <w:t>6.28</w:t>
            </w:r>
          </w:p>
        </w:tc>
      </w:tr>
      <w:tr w:rsidR="005A5432" w:rsidRPr="005A5432" w14:paraId="30C72FCD" w14:textId="77777777" w:rsidTr="00257D12">
        <w:trPr>
          <w:trHeight w:val="572"/>
          <w:jc w:val="center"/>
        </w:trPr>
        <w:tc>
          <w:tcPr>
            <w:tcW w:w="719" w:type="dxa"/>
            <w:vMerge/>
            <w:hideMark/>
          </w:tcPr>
          <w:p w14:paraId="77C2BFB9" w14:textId="77777777" w:rsidR="005A5432" w:rsidRPr="005A5432" w:rsidRDefault="005A5432" w:rsidP="005A5432">
            <w:pPr>
              <w:spacing w:after="0" w:line="240" w:lineRule="auto"/>
              <w:ind w:left="0" w:right="0" w:firstLine="0"/>
              <w:rPr>
                <w:rFonts w:eastAsiaTheme="minorHAnsi"/>
                <w:color w:val="auto"/>
                <w:sz w:val="16"/>
                <w:szCs w:val="16"/>
              </w:rPr>
            </w:pPr>
          </w:p>
        </w:tc>
        <w:tc>
          <w:tcPr>
            <w:tcW w:w="1496" w:type="dxa"/>
            <w:noWrap/>
            <w:hideMark/>
          </w:tcPr>
          <w:p w14:paraId="05420C01" w14:textId="77777777" w:rsidR="005A5432" w:rsidRPr="005A5432" w:rsidRDefault="005A5432" w:rsidP="005A5432">
            <w:pPr>
              <w:spacing w:after="0" w:line="240" w:lineRule="auto"/>
              <w:ind w:left="0" w:right="0" w:firstLine="0"/>
              <w:rPr>
                <w:rFonts w:eastAsiaTheme="minorHAnsi"/>
                <w:color w:val="auto"/>
                <w:sz w:val="18"/>
                <w:szCs w:val="18"/>
              </w:rPr>
            </w:pPr>
            <w:r w:rsidRPr="005A5432">
              <w:rPr>
                <w:rFonts w:eastAsiaTheme="minorHAnsi"/>
                <w:color w:val="auto"/>
                <w:sz w:val="18"/>
                <w:szCs w:val="18"/>
              </w:rPr>
              <w:t>COMT2Wildtype</w:t>
            </w:r>
          </w:p>
        </w:tc>
        <w:tc>
          <w:tcPr>
            <w:tcW w:w="947" w:type="dxa"/>
            <w:noWrap/>
            <w:hideMark/>
          </w:tcPr>
          <w:p w14:paraId="51D33623"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4.6</w:t>
            </w:r>
          </w:p>
        </w:tc>
        <w:tc>
          <w:tcPr>
            <w:tcW w:w="638" w:type="dxa"/>
            <w:noWrap/>
            <w:hideMark/>
          </w:tcPr>
          <w:p w14:paraId="2ED0CA43"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1.39</w:t>
            </w:r>
          </w:p>
        </w:tc>
        <w:tc>
          <w:tcPr>
            <w:tcW w:w="828" w:type="dxa"/>
            <w:noWrap/>
            <w:hideMark/>
          </w:tcPr>
          <w:p w14:paraId="1AEC353F"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2.92</w:t>
            </w:r>
          </w:p>
        </w:tc>
        <w:tc>
          <w:tcPr>
            <w:tcW w:w="658" w:type="dxa"/>
            <w:noWrap/>
            <w:hideMark/>
          </w:tcPr>
          <w:p w14:paraId="72C3819C"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0.23</w:t>
            </w:r>
          </w:p>
        </w:tc>
        <w:tc>
          <w:tcPr>
            <w:tcW w:w="856" w:type="dxa"/>
            <w:noWrap/>
            <w:hideMark/>
          </w:tcPr>
          <w:p w14:paraId="515021B3"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0.04</w:t>
            </w:r>
          </w:p>
        </w:tc>
        <w:tc>
          <w:tcPr>
            <w:tcW w:w="738" w:type="dxa"/>
            <w:noWrap/>
            <w:hideMark/>
          </w:tcPr>
          <w:p w14:paraId="0A29BCC0"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0.44</w:t>
            </w:r>
          </w:p>
        </w:tc>
        <w:tc>
          <w:tcPr>
            <w:tcW w:w="968" w:type="dxa"/>
            <w:noWrap/>
            <w:hideMark/>
          </w:tcPr>
          <w:p w14:paraId="7E3ADABA"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2.14</w:t>
            </w:r>
          </w:p>
        </w:tc>
        <w:tc>
          <w:tcPr>
            <w:tcW w:w="794" w:type="dxa"/>
            <w:noWrap/>
            <w:hideMark/>
          </w:tcPr>
          <w:p w14:paraId="32E60EA0" w14:textId="77777777" w:rsidR="005A5432" w:rsidRPr="005A5432" w:rsidRDefault="005A5432" w:rsidP="005A5432">
            <w:pPr>
              <w:spacing w:after="0" w:line="240" w:lineRule="auto"/>
              <w:ind w:left="0" w:right="0" w:firstLine="0"/>
              <w:rPr>
                <w:rFonts w:eastAsiaTheme="minorHAnsi"/>
                <w:color w:val="auto"/>
                <w:sz w:val="16"/>
                <w:szCs w:val="16"/>
              </w:rPr>
            </w:pPr>
            <w:r w:rsidRPr="005A5432">
              <w:rPr>
                <w:rFonts w:eastAsiaTheme="minorHAnsi"/>
                <w:color w:val="auto"/>
                <w:sz w:val="16"/>
                <w:szCs w:val="16"/>
              </w:rPr>
              <w:t>0.6</w:t>
            </w:r>
          </w:p>
        </w:tc>
        <w:tc>
          <w:tcPr>
            <w:tcW w:w="676" w:type="dxa"/>
            <w:noWrap/>
            <w:hideMark/>
          </w:tcPr>
          <w:p w14:paraId="3ECBF01C" w14:textId="77777777" w:rsidR="005A5432" w:rsidRPr="005A5432" w:rsidRDefault="005A5432" w:rsidP="005A5432">
            <w:pPr>
              <w:spacing w:after="0" w:line="240" w:lineRule="auto"/>
              <w:ind w:left="0" w:right="0" w:firstLine="0"/>
              <w:rPr>
                <w:rFonts w:eastAsiaTheme="minorHAnsi"/>
                <w:b/>
                <w:bCs/>
                <w:color w:val="auto"/>
                <w:sz w:val="16"/>
                <w:szCs w:val="16"/>
              </w:rPr>
            </w:pPr>
            <w:r w:rsidRPr="005A5432">
              <w:rPr>
                <w:rFonts w:eastAsiaTheme="minorHAnsi"/>
                <w:b/>
                <w:bCs/>
                <w:color w:val="auto"/>
                <w:sz w:val="16"/>
                <w:szCs w:val="16"/>
              </w:rPr>
              <w:t>12.36</w:t>
            </w:r>
          </w:p>
        </w:tc>
      </w:tr>
    </w:tbl>
    <w:p w14:paraId="648185D7" w14:textId="77777777" w:rsidR="0003532A" w:rsidRDefault="0003532A" w:rsidP="00577A35">
      <w:pPr>
        <w:ind w:left="0" w:firstLine="0"/>
        <w:rPr>
          <w:szCs w:val="24"/>
        </w:rPr>
      </w:pPr>
    </w:p>
    <w:p w14:paraId="57F8760D" w14:textId="6C0ABBED" w:rsidR="0003532A" w:rsidRDefault="006953CA" w:rsidP="0003532A">
      <w:pPr>
        <w:keepNext/>
        <w:ind w:left="0" w:firstLine="0"/>
      </w:pPr>
      <w:r w:rsidRPr="00174DE3">
        <w:rPr>
          <w:noProof/>
          <w:szCs w:val="24"/>
        </w:rPr>
        <w:lastRenderedPageBreak/>
        <w:drawing>
          <wp:anchor distT="0" distB="0" distL="114300" distR="114300" simplePos="0" relativeHeight="251822080" behindDoc="0" locked="0" layoutInCell="1" allowOverlap="1" wp14:anchorId="5F6EF4A1" wp14:editId="3333D9BB">
            <wp:simplePos x="0" y="0"/>
            <wp:positionH relativeFrom="margin">
              <wp:align>right</wp:align>
            </wp:positionH>
            <wp:positionV relativeFrom="paragraph">
              <wp:posOffset>0</wp:posOffset>
            </wp:positionV>
            <wp:extent cx="5943600" cy="2580005"/>
            <wp:effectExtent l="0" t="0" r="0" b="10795"/>
            <wp:wrapSquare wrapText="bothSides"/>
            <wp:docPr id="234" name="Chart 234">
              <a:extLst xmlns:a="http://schemas.openxmlformats.org/drawingml/2006/main">
                <a:ext uri="{FF2B5EF4-FFF2-40B4-BE49-F238E27FC236}">
                  <a16:creationId xmlns:a16="http://schemas.microsoft.com/office/drawing/2014/main" id="{6A01E188-3AA9-4B9F-B929-89E6CD21F7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anchor>
        </w:drawing>
      </w:r>
    </w:p>
    <w:p w14:paraId="71D5AE9B" w14:textId="51EEBC06" w:rsidR="0003532A" w:rsidRPr="0003532A" w:rsidRDefault="006953CA" w:rsidP="0003532A">
      <w:pPr>
        <w:pStyle w:val="Caption"/>
        <w:jc w:val="center"/>
        <w:rPr>
          <w:i w:val="0"/>
          <w:iCs w:val="0"/>
          <w:color w:val="auto"/>
          <w:sz w:val="24"/>
          <w:szCs w:val="24"/>
        </w:rPr>
      </w:pPr>
      <w:bookmarkStart w:id="88" w:name="_Toc14520663"/>
      <w:r w:rsidRPr="00174DE3">
        <w:rPr>
          <w:noProof/>
          <w:szCs w:val="24"/>
        </w:rPr>
        <w:drawing>
          <wp:anchor distT="0" distB="0" distL="114300" distR="114300" simplePos="0" relativeHeight="251823104" behindDoc="0" locked="0" layoutInCell="1" allowOverlap="1" wp14:anchorId="62D112C3" wp14:editId="404C8F6A">
            <wp:simplePos x="0" y="0"/>
            <wp:positionH relativeFrom="margin">
              <wp:align>right</wp:align>
            </wp:positionH>
            <wp:positionV relativeFrom="paragraph">
              <wp:posOffset>405130</wp:posOffset>
            </wp:positionV>
            <wp:extent cx="5943600" cy="2571750"/>
            <wp:effectExtent l="0" t="0" r="0" b="0"/>
            <wp:wrapSquare wrapText="bothSides"/>
            <wp:docPr id="233" name="Chart 233">
              <a:extLst xmlns:a="http://schemas.openxmlformats.org/drawingml/2006/main">
                <a:ext uri="{FF2B5EF4-FFF2-40B4-BE49-F238E27FC236}">
                  <a16:creationId xmlns:a16="http://schemas.microsoft.com/office/drawing/2014/main" id="{C41A1D21-CF28-40DE-906D-C2AC31A3C7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r w:rsidR="0003532A" w:rsidRPr="0003532A">
        <w:rPr>
          <w:b/>
          <w:bCs/>
          <w:i w:val="0"/>
          <w:iCs w:val="0"/>
          <w:color w:val="auto"/>
          <w:sz w:val="24"/>
          <w:szCs w:val="24"/>
        </w:rPr>
        <w:t xml:space="preserve">Figure </w:t>
      </w:r>
      <w:r w:rsidR="00600100">
        <w:rPr>
          <w:b/>
          <w:bCs/>
          <w:i w:val="0"/>
          <w:iCs w:val="0"/>
          <w:color w:val="auto"/>
          <w:sz w:val="24"/>
          <w:szCs w:val="24"/>
        </w:rPr>
        <w:fldChar w:fldCharType="begin"/>
      </w:r>
      <w:r w:rsidR="00600100">
        <w:rPr>
          <w:b/>
          <w:bCs/>
          <w:i w:val="0"/>
          <w:iCs w:val="0"/>
          <w:color w:val="auto"/>
          <w:sz w:val="24"/>
          <w:szCs w:val="24"/>
        </w:rPr>
        <w:instrText xml:space="preserve"> STYLEREF 1 \s </w:instrText>
      </w:r>
      <w:r w:rsidR="00600100">
        <w:rPr>
          <w:b/>
          <w:bCs/>
          <w:i w:val="0"/>
          <w:iCs w:val="0"/>
          <w:color w:val="auto"/>
          <w:sz w:val="24"/>
          <w:szCs w:val="24"/>
        </w:rPr>
        <w:fldChar w:fldCharType="separate"/>
      </w:r>
      <w:r w:rsidR="00815371">
        <w:rPr>
          <w:b/>
          <w:bCs/>
          <w:i w:val="0"/>
          <w:iCs w:val="0"/>
          <w:noProof/>
          <w:color w:val="auto"/>
          <w:sz w:val="24"/>
          <w:szCs w:val="24"/>
        </w:rPr>
        <w:t>4</w:t>
      </w:r>
      <w:r w:rsidR="00600100">
        <w:rPr>
          <w:b/>
          <w:bCs/>
          <w:i w:val="0"/>
          <w:iCs w:val="0"/>
          <w:color w:val="auto"/>
          <w:sz w:val="24"/>
          <w:szCs w:val="24"/>
        </w:rPr>
        <w:fldChar w:fldCharType="end"/>
      </w:r>
      <w:r w:rsidR="00600100">
        <w:rPr>
          <w:b/>
          <w:bCs/>
          <w:i w:val="0"/>
          <w:iCs w:val="0"/>
          <w:color w:val="auto"/>
          <w:sz w:val="24"/>
          <w:szCs w:val="24"/>
        </w:rPr>
        <w:t>.</w:t>
      </w:r>
      <w:r w:rsidR="00600100">
        <w:rPr>
          <w:b/>
          <w:bCs/>
          <w:i w:val="0"/>
          <w:iCs w:val="0"/>
          <w:color w:val="auto"/>
          <w:sz w:val="24"/>
          <w:szCs w:val="24"/>
        </w:rPr>
        <w:fldChar w:fldCharType="begin"/>
      </w:r>
      <w:r w:rsidR="00600100">
        <w:rPr>
          <w:b/>
          <w:bCs/>
          <w:i w:val="0"/>
          <w:iCs w:val="0"/>
          <w:color w:val="auto"/>
          <w:sz w:val="24"/>
          <w:szCs w:val="24"/>
        </w:rPr>
        <w:instrText xml:space="preserve"> SEQ Figure \* ARABIC \s 1 </w:instrText>
      </w:r>
      <w:r w:rsidR="00600100">
        <w:rPr>
          <w:b/>
          <w:bCs/>
          <w:i w:val="0"/>
          <w:iCs w:val="0"/>
          <w:color w:val="auto"/>
          <w:sz w:val="24"/>
          <w:szCs w:val="24"/>
        </w:rPr>
        <w:fldChar w:fldCharType="separate"/>
      </w:r>
      <w:r w:rsidR="00815371">
        <w:rPr>
          <w:b/>
          <w:bCs/>
          <w:i w:val="0"/>
          <w:iCs w:val="0"/>
          <w:noProof/>
          <w:color w:val="auto"/>
          <w:sz w:val="24"/>
          <w:szCs w:val="24"/>
        </w:rPr>
        <w:t>6</w:t>
      </w:r>
      <w:r w:rsidR="00600100">
        <w:rPr>
          <w:b/>
          <w:bCs/>
          <w:i w:val="0"/>
          <w:iCs w:val="0"/>
          <w:color w:val="auto"/>
          <w:sz w:val="24"/>
          <w:szCs w:val="24"/>
        </w:rPr>
        <w:fldChar w:fldCharType="end"/>
      </w:r>
      <w:r w:rsidR="0003532A" w:rsidRPr="0003532A">
        <w:rPr>
          <w:b/>
          <w:bCs/>
          <w:i w:val="0"/>
          <w:iCs w:val="0"/>
          <w:color w:val="auto"/>
          <w:sz w:val="24"/>
          <w:szCs w:val="24"/>
        </w:rPr>
        <w:t>:</w:t>
      </w:r>
      <w:r w:rsidR="0003532A" w:rsidRPr="0003532A">
        <w:rPr>
          <w:i w:val="0"/>
          <w:iCs w:val="0"/>
          <w:color w:val="auto"/>
          <w:sz w:val="24"/>
          <w:szCs w:val="24"/>
        </w:rPr>
        <w:t xml:space="preserve"> Yield of the phenolic species upon torrefaction of different variants of switchgrass</w:t>
      </w:r>
      <w:bookmarkEnd w:id="88"/>
    </w:p>
    <w:p w14:paraId="2D986101" w14:textId="0D1A6832" w:rsidR="0003532A" w:rsidRDefault="0003532A" w:rsidP="0003532A">
      <w:pPr>
        <w:keepNext/>
        <w:ind w:left="0" w:firstLine="0"/>
      </w:pPr>
    </w:p>
    <w:p w14:paraId="49CE1E08" w14:textId="4F2B7671" w:rsidR="00577A35" w:rsidRPr="0003532A" w:rsidRDefault="0003532A" w:rsidP="0003532A">
      <w:pPr>
        <w:pStyle w:val="Caption"/>
        <w:jc w:val="center"/>
        <w:rPr>
          <w:i w:val="0"/>
          <w:iCs w:val="0"/>
          <w:color w:val="auto"/>
          <w:sz w:val="24"/>
          <w:szCs w:val="24"/>
        </w:rPr>
      </w:pPr>
      <w:bookmarkStart w:id="89" w:name="_Toc14520664"/>
      <w:r w:rsidRPr="0003532A">
        <w:rPr>
          <w:b/>
          <w:bCs/>
          <w:i w:val="0"/>
          <w:iCs w:val="0"/>
          <w:color w:val="auto"/>
          <w:sz w:val="24"/>
          <w:szCs w:val="24"/>
        </w:rPr>
        <w:t xml:space="preserve">Figure </w:t>
      </w:r>
      <w:r w:rsidR="00600100">
        <w:rPr>
          <w:b/>
          <w:bCs/>
          <w:i w:val="0"/>
          <w:iCs w:val="0"/>
          <w:color w:val="auto"/>
          <w:sz w:val="24"/>
          <w:szCs w:val="24"/>
        </w:rPr>
        <w:fldChar w:fldCharType="begin"/>
      </w:r>
      <w:r w:rsidR="00600100">
        <w:rPr>
          <w:b/>
          <w:bCs/>
          <w:i w:val="0"/>
          <w:iCs w:val="0"/>
          <w:color w:val="auto"/>
          <w:sz w:val="24"/>
          <w:szCs w:val="24"/>
        </w:rPr>
        <w:instrText xml:space="preserve"> STYLEREF 1 \s </w:instrText>
      </w:r>
      <w:r w:rsidR="00600100">
        <w:rPr>
          <w:b/>
          <w:bCs/>
          <w:i w:val="0"/>
          <w:iCs w:val="0"/>
          <w:color w:val="auto"/>
          <w:sz w:val="24"/>
          <w:szCs w:val="24"/>
        </w:rPr>
        <w:fldChar w:fldCharType="separate"/>
      </w:r>
      <w:r w:rsidR="00815371">
        <w:rPr>
          <w:b/>
          <w:bCs/>
          <w:i w:val="0"/>
          <w:iCs w:val="0"/>
          <w:noProof/>
          <w:color w:val="auto"/>
          <w:sz w:val="24"/>
          <w:szCs w:val="24"/>
        </w:rPr>
        <w:t>4</w:t>
      </w:r>
      <w:r w:rsidR="00600100">
        <w:rPr>
          <w:b/>
          <w:bCs/>
          <w:i w:val="0"/>
          <w:iCs w:val="0"/>
          <w:color w:val="auto"/>
          <w:sz w:val="24"/>
          <w:szCs w:val="24"/>
        </w:rPr>
        <w:fldChar w:fldCharType="end"/>
      </w:r>
      <w:r w:rsidR="00600100">
        <w:rPr>
          <w:b/>
          <w:bCs/>
          <w:i w:val="0"/>
          <w:iCs w:val="0"/>
          <w:color w:val="auto"/>
          <w:sz w:val="24"/>
          <w:szCs w:val="24"/>
        </w:rPr>
        <w:t>.</w:t>
      </w:r>
      <w:r w:rsidR="00600100">
        <w:rPr>
          <w:b/>
          <w:bCs/>
          <w:i w:val="0"/>
          <w:iCs w:val="0"/>
          <w:color w:val="auto"/>
          <w:sz w:val="24"/>
          <w:szCs w:val="24"/>
        </w:rPr>
        <w:fldChar w:fldCharType="begin"/>
      </w:r>
      <w:r w:rsidR="00600100">
        <w:rPr>
          <w:b/>
          <w:bCs/>
          <w:i w:val="0"/>
          <w:iCs w:val="0"/>
          <w:color w:val="auto"/>
          <w:sz w:val="24"/>
          <w:szCs w:val="24"/>
        </w:rPr>
        <w:instrText xml:space="preserve"> SEQ Figure \* ARABIC \s 1 </w:instrText>
      </w:r>
      <w:r w:rsidR="00600100">
        <w:rPr>
          <w:b/>
          <w:bCs/>
          <w:i w:val="0"/>
          <w:iCs w:val="0"/>
          <w:color w:val="auto"/>
          <w:sz w:val="24"/>
          <w:szCs w:val="24"/>
        </w:rPr>
        <w:fldChar w:fldCharType="separate"/>
      </w:r>
      <w:r w:rsidR="00815371">
        <w:rPr>
          <w:b/>
          <w:bCs/>
          <w:i w:val="0"/>
          <w:iCs w:val="0"/>
          <w:noProof/>
          <w:color w:val="auto"/>
          <w:sz w:val="24"/>
          <w:szCs w:val="24"/>
        </w:rPr>
        <w:t>7</w:t>
      </w:r>
      <w:r w:rsidR="00600100">
        <w:rPr>
          <w:b/>
          <w:bCs/>
          <w:i w:val="0"/>
          <w:iCs w:val="0"/>
          <w:color w:val="auto"/>
          <w:sz w:val="24"/>
          <w:szCs w:val="24"/>
        </w:rPr>
        <w:fldChar w:fldCharType="end"/>
      </w:r>
      <w:r w:rsidRPr="0003532A">
        <w:rPr>
          <w:b/>
          <w:bCs/>
          <w:i w:val="0"/>
          <w:iCs w:val="0"/>
          <w:color w:val="auto"/>
          <w:sz w:val="24"/>
          <w:szCs w:val="24"/>
        </w:rPr>
        <w:t>:</w:t>
      </w:r>
      <w:r w:rsidRPr="0003532A">
        <w:rPr>
          <w:i w:val="0"/>
          <w:iCs w:val="0"/>
          <w:color w:val="auto"/>
          <w:sz w:val="24"/>
          <w:szCs w:val="24"/>
        </w:rPr>
        <w:t xml:space="preserve"> Yield of phenolic species upon pyrolysis of different variants of switchgrass</w:t>
      </w:r>
      <w:bookmarkEnd w:id="89"/>
    </w:p>
    <w:p w14:paraId="0362FB5E" w14:textId="77777777" w:rsidR="00577A35" w:rsidRPr="00174DE3" w:rsidRDefault="00577A35" w:rsidP="00577A35">
      <w:pPr>
        <w:ind w:left="0" w:firstLine="0"/>
        <w:rPr>
          <w:szCs w:val="24"/>
        </w:rPr>
      </w:pPr>
    </w:p>
    <w:p w14:paraId="0751EC31" w14:textId="77777777" w:rsidR="00577A35" w:rsidRPr="00174DE3" w:rsidRDefault="00577A35" w:rsidP="00577A35">
      <w:pPr>
        <w:ind w:left="0" w:firstLine="0"/>
        <w:rPr>
          <w:rFonts w:eastAsiaTheme="minorEastAsia"/>
          <w:szCs w:val="24"/>
        </w:rPr>
      </w:pPr>
    </w:p>
    <w:p w14:paraId="6CDEB943" w14:textId="77777777" w:rsidR="00577A35" w:rsidRDefault="00577A35" w:rsidP="00577A35">
      <w:pPr>
        <w:ind w:left="0" w:firstLine="0"/>
        <w:rPr>
          <w:rFonts w:eastAsiaTheme="minorEastAsia"/>
          <w:szCs w:val="24"/>
        </w:rPr>
      </w:pPr>
    </w:p>
    <w:p w14:paraId="377638A6" w14:textId="77777777" w:rsidR="0003532A" w:rsidRDefault="0003532A" w:rsidP="00577A35">
      <w:pPr>
        <w:ind w:left="0" w:firstLine="0"/>
        <w:rPr>
          <w:rFonts w:eastAsiaTheme="minorEastAsia"/>
          <w:szCs w:val="24"/>
        </w:rPr>
      </w:pPr>
    </w:p>
    <w:p w14:paraId="4D681524" w14:textId="77777777" w:rsidR="0003532A" w:rsidRPr="00174DE3" w:rsidRDefault="0003532A" w:rsidP="00577A35">
      <w:pPr>
        <w:ind w:left="0" w:firstLine="0"/>
        <w:rPr>
          <w:rFonts w:eastAsiaTheme="minorEastAsia"/>
          <w:szCs w:val="24"/>
        </w:rPr>
      </w:pPr>
    </w:p>
    <w:p w14:paraId="2CFFE1F1" w14:textId="77777777" w:rsidR="00577A35" w:rsidRPr="00174DE3" w:rsidRDefault="00577A35" w:rsidP="00577A35">
      <w:pPr>
        <w:ind w:left="0" w:firstLine="0"/>
        <w:rPr>
          <w:rFonts w:eastAsiaTheme="minorEastAsia"/>
          <w:szCs w:val="24"/>
        </w:rPr>
      </w:pPr>
    </w:p>
    <w:p w14:paraId="6F8BA88C" w14:textId="77777777" w:rsidR="00577A35" w:rsidRPr="00174DE3" w:rsidRDefault="00547758" w:rsidP="00577A35">
      <w:pPr>
        <w:ind w:left="0" w:firstLine="0"/>
        <w:rPr>
          <w:rFonts w:eastAsiaTheme="minorEastAsia"/>
          <w:szCs w:val="24"/>
        </w:rPr>
      </w:pPr>
      <w:r w:rsidRPr="00547758">
        <w:rPr>
          <w:rFonts w:eastAsiaTheme="minorHAnsi"/>
          <w:noProof/>
          <w:color w:val="auto"/>
          <w:szCs w:val="24"/>
        </w:rPr>
        <mc:AlternateContent>
          <mc:Choice Requires="wps">
            <w:drawing>
              <wp:anchor distT="0" distB="0" distL="114300" distR="114300" simplePos="0" relativeHeight="251746304" behindDoc="0" locked="0" layoutInCell="1" allowOverlap="1" wp14:anchorId="39C148CE" wp14:editId="4712E612">
                <wp:simplePos x="0" y="0"/>
                <wp:positionH relativeFrom="margin">
                  <wp:posOffset>1638300</wp:posOffset>
                </wp:positionH>
                <wp:positionV relativeFrom="paragraph">
                  <wp:posOffset>0</wp:posOffset>
                </wp:positionV>
                <wp:extent cx="2076450" cy="5972175"/>
                <wp:effectExtent l="0" t="0" r="19050" b="28575"/>
                <wp:wrapNone/>
                <wp:docPr id="244" name="TextBox 4"/>
                <wp:cNvGraphicFramePr/>
                <a:graphic xmlns:a="http://schemas.openxmlformats.org/drawingml/2006/main">
                  <a:graphicData uri="http://schemas.microsoft.com/office/word/2010/wordprocessingShape">
                    <wps:wsp>
                      <wps:cNvSpPr txBox="1"/>
                      <wps:spPr>
                        <a:xfrm>
                          <a:off x="0" y="0"/>
                          <a:ext cx="2076450" cy="5972175"/>
                        </a:xfrm>
                        <a:prstGeom prst="rect">
                          <a:avLst/>
                        </a:prstGeom>
                        <a:solidFill>
                          <a:sysClr val="window" lastClr="FFFFFF"/>
                        </a:solidFill>
                        <a:ln w="9525" cmpd="sng">
                          <a:solidFill>
                            <a:sysClr val="window" lastClr="FFFFFF">
                              <a:shade val="50000"/>
                            </a:sysClr>
                          </a:solidFill>
                        </a:ln>
                        <a:effectLst/>
                      </wps:spPr>
                      <wps:txbx>
                        <w:txbxContent>
                          <w:p w14:paraId="112F403E" w14:textId="77777777" w:rsidR="00AA26F6" w:rsidRPr="00553340" w:rsidRDefault="00AA26F6" w:rsidP="00547758">
                            <w:pPr>
                              <w:jc w:val="center"/>
                              <w:rPr>
                                <w:sz w:val="28"/>
                                <w:szCs w:val="28"/>
                              </w:rPr>
                            </w:pPr>
                            <w:r w:rsidRPr="00553340">
                              <w:rPr>
                                <w:rFonts w:hAnsi="Calibri"/>
                                <w:b/>
                                <w:bCs/>
                                <w:color w:val="000000" w:themeColor="dark1"/>
                                <w:sz w:val="28"/>
                                <w:szCs w:val="28"/>
                                <w:u w:val="single"/>
                              </w:rPr>
                              <w:t>Alkyl Phenols:</w:t>
                            </w:r>
                          </w:p>
                          <w:p w14:paraId="5CC0402C"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Acetophenone</w:t>
                            </w:r>
                          </w:p>
                          <w:p w14:paraId="566AB3EC"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m-Cresol</w:t>
                            </w:r>
                          </w:p>
                          <w:p w14:paraId="568539B4"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p-Cresol</w:t>
                            </w:r>
                          </w:p>
                          <w:p w14:paraId="5003877B"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o-Cresol</w:t>
                            </w:r>
                          </w:p>
                          <w:p w14:paraId="32715266"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Phenol</w:t>
                            </w:r>
                          </w:p>
                          <w:p w14:paraId="4072EF4B"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Phenol,2-ethyl-</w:t>
                            </w:r>
                          </w:p>
                          <w:p w14:paraId="1452DABA"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Phenol,4-vinyl-</w:t>
                            </w:r>
                          </w:p>
                          <w:p w14:paraId="499DDA2D"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Catechol</w:t>
                            </w:r>
                          </w:p>
                          <w:p w14:paraId="47C7CA90"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Catechol,4-methyl-</w:t>
                            </w:r>
                          </w:p>
                          <w:p w14:paraId="56B2C476" w14:textId="77777777" w:rsidR="00AA26F6" w:rsidRPr="00553340" w:rsidRDefault="00AA26F6" w:rsidP="00547758">
                            <w:pPr>
                              <w:jc w:val="center"/>
                              <w:rPr>
                                <w:sz w:val="28"/>
                                <w:szCs w:val="28"/>
                              </w:rPr>
                            </w:pPr>
                            <w:r>
                              <w:rPr>
                                <w:rFonts w:hAnsi="Calibri"/>
                                <w:b/>
                                <w:bCs/>
                                <w:color w:val="000000" w:themeColor="dark1"/>
                                <w:sz w:val="28"/>
                                <w:szCs w:val="28"/>
                                <w:u w:val="single"/>
                              </w:rPr>
                              <w:br/>
                            </w:r>
                            <w:r w:rsidRPr="00553340">
                              <w:rPr>
                                <w:rFonts w:hAnsi="Calibri"/>
                                <w:b/>
                                <w:bCs/>
                                <w:color w:val="000000" w:themeColor="dark1"/>
                                <w:sz w:val="28"/>
                                <w:szCs w:val="28"/>
                                <w:u w:val="single"/>
                              </w:rPr>
                              <w:t>Methoxy Phenols:</w:t>
                            </w:r>
                          </w:p>
                          <w:p w14:paraId="2327CE04"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Guaiacol</w:t>
                            </w:r>
                          </w:p>
                          <w:p w14:paraId="49173F8D"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Guaiacol,3-methyl-</w:t>
                            </w:r>
                          </w:p>
                          <w:p w14:paraId="1BEDE4BC"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Guaiacol,4-ethyl-</w:t>
                            </w:r>
                          </w:p>
                          <w:p w14:paraId="106CB1FA"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Guaiacol,4-vinyl-</w:t>
                            </w:r>
                          </w:p>
                          <w:p w14:paraId="34F487B5"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Eugenol</w:t>
                            </w:r>
                          </w:p>
                          <w:p w14:paraId="2406F3F6"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Isoeugenol (cis/trans)</w:t>
                            </w:r>
                          </w:p>
                          <w:p w14:paraId="39C9E99A"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Syringol</w:t>
                            </w:r>
                          </w:p>
                          <w:p w14:paraId="12138C7E"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Syringol,4-methyl-</w:t>
                            </w:r>
                          </w:p>
                          <w:p w14:paraId="1301858F"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Syringol,4-ethyl-</w:t>
                            </w:r>
                          </w:p>
                          <w:p w14:paraId="3C6D72E0"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Syringol,4-vinyl-</w:t>
                            </w:r>
                          </w:p>
                          <w:p w14:paraId="4DDCD07E"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Syringol,4-propenyl- (cis/trans)</w:t>
                            </w:r>
                          </w:p>
                          <w:p w14:paraId="2B3758CD"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Acetoguaiacone</w:t>
                            </w:r>
                          </w:p>
                          <w:p w14:paraId="055680F3"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Vanillin</w:t>
                            </w:r>
                          </w:p>
                          <w:p w14:paraId="629DA0E6"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Homovanillin</w:t>
                            </w:r>
                          </w:p>
                          <w:p w14:paraId="5432815A"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Coniferaldehyde</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9C148CE" id="TextBox 4" o:spid="_x0000_s1054" type="#_x0000_t202" style="position:absolute;margin-left:129pt;margin-top:0;width:163.5pt;height:470.2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" fillcolor="window" strokecolor="#bcbcbc">
                <v:textbox>
                  <w:txbxContent>
                    <w:p w14:paraId="112F403E" w14:textId="77777777" w:rsidR="00AA26F6" w:rsidRPr="00553340" w:rsidRDefault="00AA26F6" w:rsidP="00547758">
                      <w:pPr>
                        <w:jc w:val="center"/>
                        <w:rPr>
                          <w:sz w:val="28"/>
                          <w:szCs w:val="28"/>
                        </w:rPr>
                      </w:pPr>
                      <w:r w:rsidRPr="00553340">
                        <w:rPr>
                          <w:rFonts w:hAnsi="Calibri"/>
                          <w:b/>
                          <w:bCs/>
                          <w:color w:val="000000" w:themeColor="dark1"/>
                          <w:sz w:val="28"/>
                          <w:szCs w:val="28"/>
                          <w:u w:val="single"/>
                        </w:rPr>
                        <w:t>Alkyl Phenols:</w:t>
                      </w:r>
                    </w:p>
                    <w:p w14:paraId="5CC0402C"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Acetophenone</w:t>
                      </w:r>
                    </w:p>
                    <w:p w14:paraId="566AB3EC"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m-Cresol</w:t>
                      </w:r>
                    </w:p>
                    <w:p w14:paraId="568539B4"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p-Cresol</w:t>
                      </w:r>
                    </w:p>
                    <w:p w14:paraId="5003877B"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o-Cresol</w:t>
                      </w:r>
                    </w:p>
                    <w:p w14:paraId="32715266"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Phenol</w:t>
                      </w:r>
                    </w:p>
                    <w:p w14:paraId="4072EF4B"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Phenol,2-ethyl-</w:t>
                      </w:r>
                    </w:p>
                    <w:p w14:paraId="1452DABA"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Phenol,4-vinyl-</w:t>
                      </w:r>
                    </w:p>
                    <w:p w14:paraId="499DDA2D"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Catechol</w:t>
                      </w:r>
                    </w:p>
                    <w:p w14:paraId="47C7CA90"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Catechol,4-methyl-</w:t>
                      </w:r>
                    </w:p>
                    <w:p w14:paraId="56B2C476" w14:textId="77777777" w:rsidR="00AA26F6" w:rsidRPr="00553340" w:rsidRDefault="00AA26F6" w:rsidP="00547758">
                      <w:pPr>
                        <w:jc w:val="center"/>
                        <w:rPr>
                          <w:sz w:val="28"/>
                          <w:szCs w:val="28"/>
                        </w:rPr>
                      </w:pPr>
                      <w:r>
                        <w:rPr>
                          <w:rFonts w:hAnsi="Calibri"/>
                          <w:b/>
                          <w:bCs/>
                          <w:color w:val="000000" w:themeColor="dark1"/>
                          <w:sz w:val="28"/>
                          <w:szCs w:val="28"/>
                          <w:u w:val="single"/>
                        </w:rPr>
                        <w:br/>
                      </w:r>
                      <w:r w:rsidRPr="00553340">
                        <w:rPr>
                          <w:rFonts w:hAnsi="Calibri"/>
                          <w:b/>
                          <w:bCs/>
                          <w:color w:val="000000" w:themeColor="dark1"/>
                          <w:sz w:val="28"/>
                          <w:szCs w:val="28"/>
                          <w:u w:val="single"/>
                        </w:rPr>
                        <w:t>Methoxy Phenols:</w:t>
                      </w:r>
                    </w:p>
                    <w:p w14:paraId="2327CE04"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Guaiacol</w:t>
                      </w:r>
                    </w:p>
                    <w:p w14:paraId="49173F8D"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Guaiacol,3-methyl-</w:t>
                      </w:r>
                    </w:p>
                    <w:p w14:paraId="1BEDE4BC"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Guaiacol,4-ethyl-</w:t>
                      </w:r>
                    </w:p>
                    <w:p w14:paraId="106CB1FA"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Guaiacol,4-vinyl-</w:t>
                      </w:r>
                    </w:p>
                    <w:p w14:paraId="34F487B5"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Eugenol</w:t>
                      </w:r>
                    </w:p>
                    <w:p w14:paraId="2406F3F6"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Isoeugenol (cis/trans)</w:t>
                      </w:r>
                    </w:p>
                    <w:p w14:paraId="39C9E99A"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Syringol</w:t>
                      </w:r>
                    </w:p>
                    <w:p w14:paraId="12138C7E"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Syringol,4-methyl-</w:t>
                      </w:r>
                    </w:p>
                    <w:p w14:paraId="1301858F"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Syringol,4-ethyl-</w:t>
                      </w:r>
                    </w:p>
                    <w:p w14:paraId="3C6D72E0"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Syringol,4-vinyl-</w:t>
                      </w:r>
                    </w:p>
                    <w:p w14:paraId="4DDCD07E"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Syringol,4-propenyl- (cis/trans)</w:t>
                      </w:r>
                    </w:p>
                    <w:p w14:paraId="2B3758CD"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Acetoguaiacone</w:t>
                      </w:r>
                    </w:p>
                    <w:p w14:paraId="055680F3"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Vanillin</w:t>
                      </w:r>
                    </w:p>
                    <w:p w14:paraId="629DA0E6"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Homovanillin</w:t>
                      </w:r>
                    </w:p>
                    <w:p w14:paraId="5432815A" w14:textId="77777777" w:rsidR="00AA26F6" w:rsidRPr="00553340" w:rsidRDefault="00AA26F6" w:rsidP="00553340">
                      <w:pPr>
                        <w:spacing w:line="240" w:lineRule="auto"/>
                        <w:ind w:left="14" w:right="58" w:hanging="14"/>
                        <w:jc w:val="center"/>
                        <w:rPr>
                          <w:szCs w:val="24"/>
                        </w:rPr>
                      </w:pPr>
                      <w:r w:rsidRPr="00553340">
                        <w:rPr>
                          <w:rFonts w:hAnsi="Calibri"/>
                          <w:color w:val="000000" w:themeColor="dark1"/>
                          <w:szCs w:val="24"/>
                        </w:rPr>
                        <w:t>Coniferaldehyde</w:t>
                      </w:r>
                    </w:p>
                  </w:txbxContent>
                </v:textbox>
                <w10:wrap anchorx="margin"/>
              </v:shape>
            </w:pict>
          </mc:Fallback>
        </mc:AlternateContent>
      </w:r>
    </w:p>
    <w:p w14:paraId="5BCE066F" w14:textId="77777777" w:rsidR="00577A35" w:rsidRPr="00174DE3" w:rsidRDefault="00577A35" w:rsidP="00577A35">
      <w:pPr>
        <w:ind w:left="0" w:firstLine="0"/>
        <w:rPr>
          <w:rFonts w:eastAsiaTheme="minorEastAsia"/>
          <w:szCs w:val="24"/>
        </w:rPr>
      </w:pPr>
    </w:p>
    <w:p w14:paraId="09D9A8AB" w14:textId="77777777" w:rsidR="00577A35" w:rsidRPr="00174DE3" w:rsidRDefault="00577A35" w:rsidP="00577A35">
      <w:pPr>
        <w:ind w:left="0" w:firstLine="0"/>
        <w:rPr>
          <w:rFonts w:eastAsiaTheme="minorEastAsia"/>
          <w:szCs w:val="24"/>
        </w:rPr>
      </w:pPr>
    </w:p>
    <w:p w14:paraId="7E286183" w14:textId="77777777" w:rsidR="00577A35" w:rsidRPr="00174DE3" w:rsidRDefault="00577A35" w:rsidP="00577A35">
      <w:pPr>
        <w:ind w:left="0" w:firstLine="0"/>
        <w:rPr>
          <w:rFonts w:eastAsiaTheme="minorEastAsia"/>
          <w:szCs w:val="24"/>
        </w:rPr>
      </w:pPr>
    </w:p>
    <w:p w14:paraId="6E31E409" w14:textId="77777777" w:rsidR="00577A35" w:rsidRPr="00174DE3" w:rsidRDefault="00577A35" w:rsidP="00577A35">
      <w:pPr>
        <w:ind w:left="0" w:firstLine="0"/>
        <w:rPr>
          <w:rFonts w:eastAsiaTheme="minorEastAsia"/>
          <w:szCs w:val="24"/>
        </w:rPr>
      </w:pPr>
    </w:p>
    <w:p w14:paraId="0B061A72" w14:textId="77777777" w:rsidR="00577A35" w:rsidRPr="00174DE3" w:rsidRDefault="00577A35" w:rsidP="00577A35">
      <w:pPr>
        <w:ind w:left="0" w:firstLine="0"/>
        <w:rPr>
          <w:rFonts w:eastAsiaTheme="minorEastAsia"/>
          <w:szCs w:val="24"/>
        </w:rPr>
      </w:pPr>
    </w:p>
    <w:p w14:paraId="04312D8E" w14:textId="77777777" w:rsidR="00577A35" w:rsidRPr="00174DE3" w:rsidRDefault="00577A35" w:rsidP="00577A35">
      <w:pPr>
        <w:ind w:left="0" w:firstLine="0"/>
        <w:rPr>
          <w:rFonts w:eastAsiaTheme="minorEastAsia"/>
          <w:szCs w:val="24"/>
        </w:rPr>
      </w:pPr>
    </w:p>
    <w:p w14:paraId="6DAD6584" w14:textId="77777777" w:rsidR="00577A35" w:rsidRPr="00174DE3" w:rsidRDefault="00577A35" w:rsidP="00577A35">
      <w:pPr>
        <w:ind w:left="0" w:firstLine="0"/>
        <w:rPr>
          <w:rFonts w:eastAsiaTheme="minorEastAsia"/>
          <w:szCs w:val="24"/>
        </w:rPr>
      </w:pPr>
    </w:p>
    <w:p w14:paraId="301C7D5A" w14:textId="77777777" w:rsidR="00577A35" w:rsidRPr="00174DE3" w:rsidRDefault="00577A35" w:rsidP="00577A35">
      <w:pPr>
        <w:ind w:left="0" w:firstLine="0"/>
        <w:rPr>
          <w:rFonts w:eastAsiaTheme="minorEastAsia"/>
          <w:szCs w:val="24"/>
        </w:rPr>
      </w:pPr>
    </w:p>
    <w:p w14:paraId="5001BE09" w14:textId="77777777" w:rsidR="00577A35" w:rsidRPr="00174DE3" w:rsidRDefault="00577A35" w:rsidP="00577A35">
      <w:pPr>
        <w:ind w:left="0" w:firstLine="0"/>
        <w:rPr>
          <w:rFonts w:eastAsiaTheme="minorEastAsia"/>
          <w:szCs w:val="24"/>
        </w:rPr>
      </w:pPr>
    </w:p>
    <w:p w14:paraId="6DE43F07" w14:textId="77777777" w:rsidR="00577A35" w:rsidRPr="00174DE3" w:rsidRDefault="00577A35" w:rsidP="00577A35">
      <w:pPr>
        <w:ind w:left="0" w:firstLine="0"/>
        <w:rPr>
          <w:rFonts w:eastAsiaTheme="minorEastAsia"/>
          <w:szCs w:val="24"/>
        </w:rPr>
      </w:pPr>
    </w:p>
    <w:p w14:paraId="6852CEA0" w14:textId="77777777" w:rsidR="00577A35" w:rsidRPr="00174DE3" w:rsidRDefault="00577A35" w:rsidP="00577A35">
      <w:pPr>
        <w:ind w:left="0" w:firstLine="0"/>
        <w:rPr>
          <w:rFonts w:eastAsiaTheme="minorEastAsia"/>
          <w:szCs w:val="24"/>
        </w:rPr>
      </w:pPr>
    </w:p>
    <w:p w14:paraId="4BCDBD4C" w14:textId="77777777" w:rsidR="00577A35" w:rsidRPr="00174DE3" w:rsidRDefault="00577A35" w:rsidP="00577A35">
      <w:pPr>
        <w:ind w:left="0" w:firstLine="0"/>
        <w:rPr>
          <w:rFonts w:eastAsiaTheme="minorEastAsia"/>
          <w:szCs w:val="24"/>
        </w:rPr>
      </w:pPr>
    </w:p>
    <w:p w14:paraId="2EE3D90A" w14:textId="77777777" w:rsidR="00577A35" w:rsidRPr="00174DE3" w:rsidRDefault="00577A35" w:rsidP="00577A35">
      <w:pPr>
        <w:ind w:left="0" w:firstLine="0"/>
        <w:rPr>
          <w:rFonts w:eastAsiaTheme="minorEastAsia"/>
          <w:szCs w:val="24"/>
        </w:rPr>
      </w:pPr>
    </w:p>
    <w:p w14:paraId="760A1298" w14:textId="77777777" w:rsidR="00577A35" w:rsidRPr="00174DE3" w:rsidRDefault="00577A35" w:rsidP="00577A35">
      <w:pPr>
        <w:ind w:left="0" w:firstLine="0"/>
        <w:rPr>
          <w:rFonts w:eastAsiaTheme="minorEastAsia"/>
          <w:szCs w:val="24"/>
        </w:rPr>
      </w:pPr>
    </w:p>
    <w:p w14:paraId="7B7859BC" w14:textId="77777777" w:rsidR="00577A35" w:rsidRPr="00174DE3" w:rsidRDefault="00577A35" w:rsidP="00577A35">
      <w:pPr>
        <w:ind w:left="0" w:firstLine="0"/>
        <w:rPr>
          <w:rFonts w:eastAsiaTheme="minorEastAsia"/>
          <w:szCs w:val="24"/>
        </w:rPr>
      </w:pPr>
    </w:p>
    <w:p w14:paraId="53177FB3" w14:textId="77777777" w:rsidR="001175C7" w:rsidRPr="00174DE3" w:rsidRDefault="001175C7" w:rsidP="00577A35">
      <w:pPr>
        <w:ind w:left="0" w:firstLine="0"/>
        <w:rPr>
          <w:rFonts w:eastAsiaTheme="minorEastAsia"/>
          <w:szCs w:val="24"/>
        </w:rPr>
      </w:pPr>
    </w:p>
    <w:p w14:paraId="478AE05A" w14:textId="77777777" w:rsidR="00577A35" w:rsidRDefault="001175C7" w:rsidP="00553340">
      <w:pPr>
        <w:ind w:left="0" w:firstLine="0"/>
        <w:rPr>
          <w:rFonts w:eastAsiaTheme="minorEastAsia"/>
          <w:szCs w:val="24"/>
        </w:rPr>
      </w:pPr>
      <w:r>
        <w:rPr>
          <w:noProof/>
        </w:rPr>
        <mc:AlternateContent>
          <mc:Choice Requires="wps">
            <w:drawing>
              <wp:anchor distT="0" distB="0" distL="114300" distR="114300" simplePos="0" relativeHeight="251814912" behindDoc="0" locked="0" layoutInCell="1" allowOverlap="1" wp14:anchorId="3B111535" wp14:editId="196775D6">
                <wp:simplePos x="0" y="0"/>
                <wp:positionH relativeFrom="margin">
                  <wp:align>right</wp:align>
                </wp:positionH>
                <wp:positionV relativeFrom="paragraph">
                  <wp:posOffset>91440</wp:posOffset>
                </wp:positionV>
                <wp:extent cx="5943600" cy="635"/>
                <wp:effectExtent l="0" t="0" r="0" b="8255"/>
                <wp:wrapNone/>
                <wp:docPr id="278" name="Text Box 278"/>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31840E4" w14:textId="57F146B2" w:rsidR="00AA26F6" w:rsidRPr="001175C7" w:rsidRDefault="00AA26F6" w:rsidP="001175C7">
                            <w:pPr>
                              <w:pStyle w:val="Caption"/>
                              <w:jc w:val="center"/>
                              <w:rPr>
                                <w:rFonts w:eastAsiaTheme="minorHAnsi"/>
                                <w:i w:val="0"/>
                                <w:iCs w:val="0"/>
                                <w:noProof/>
                                <w:color w:val="auto"/>
                                <w:sz w:val="24"/>
                                <w:szCs w:val="24"/>
                              </w:rPr>
                            </w:pPr>
                            <w:bookmarkStart w:id="90" w:name="_Toc14520665"/>
                            <w:r w:rsidRPr="001175C7">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8</w:t>
                            </w:r>
                            <w:r>
                              <w:rPr>
                                <w:b/>
                                <w:bCs/>
                                <w:i w:val="0"/>
                                <w:iCs w:val="0"/>
                                <w:color w:val="auto"/>
                                <w:sz w:val="24"/>
                                <w:szCs w:val="24"/>
                              </w:rPr>
                              <w:fldChar w:fldCharType="end"/>
                            </w:r>
                            <w:r w:rsidRPr="001175C7">
                              <w:rPr>
                                <w:b/>
                                <w:bCs/>
                                <w:i w:val="0"/>
                                <w:iCs w:val="0"/>
                                <w:color w:val="auto"/>
                                <w:sz w:val="24"/>
                                <w:szCs w:val="24"/>
                              </w:rPr>
                              <w:t>:</w:t>
                            </w:r>
                            <w:r w:rsidRPr="001175C7">
                              <w:rPr>
                                <w:i w:val="0"/>
                                <w:iCs w:val="0"/>
                                <w:color w:val="auto"/>
                                <w:sz w:val="24"/>
                                <w:szCs w:val="24"/>
                              </w:rPr>
                              <w:t xml:space="preserve"> List of phenolic compounds identified during analysis of thermal degradation experiments for this study</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B111535" id="Text Box 278" o:spid="_x0000_s1055" type="#_x0000_t202" style="position:absolute;margin-left:416.8pt;margin-top:7.2pt;width:468pt;height:.05pt;z-index:2518149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" stroked="f">
                <v:textbox style="mso-fit-shape-to-text:t" inset="0,0,0,0">
                  <w:txbxContent>
                    <w:p w14:paraId="031840E4" w14:textId="57F146B2" w:rsidR="00AA26F6" w:rsidRPr="001175C7" w:rsidRDefault="00AA26F6" w:rsidP="001175C7">
                      <w:pPr>
                        <w:pStyle w:val="Caption"/>
                        <w:jc w:val="center"/>
                        <w:rPr>
                          <w:rFonts w:eastAsiaTheme="minorHAnsi"/>
                          <w:i w:val="0"/>
                          <w:iCs w:val="0"/>
                          <w:noProof/>
                          <w:color w:val="auto"/>
                          <w:sz w:val="24"/>
                          <w:szCs w:val="24"/>
                        </w:rPr>
                      </w:pPr>
                      <w:bookmarkStart w:id="91" w:name="_Toc14520665"/>
                      <w:r w:rsidRPr="001175C7">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8</w:t>
                      </w:r>
                      <w:r>
                        <w:rPr>
                          <w:b/>
                          <w:bCs/>
                          <w:i w:val="0"/>
                          <w:iCs w:val="0"/>
                          <w:color w:val="auto"/>
                          <w:sz w:val="24"/>
                          <w:szCs w:val="24"/>
                        </w:rPr>
                        <w:fldChar w:fldCharType="end"/>
                      </w:r>
                      <w:r w:rsidRPr="001175C7">
                        <w:rPr>
                          <w:b/>
                          <w:bCs/>
                          <w:i w:val="0"/>
                          <w:iCs w:val="0"/>
                          <w:color w:val="auto"/>
                          <w:sz w:val="24"/>
                          <w:szCs w:val="24"/>
                        </w:rPr>
                        <w:t>:</w:t>
                      </w:r>
                      <w:r w:rsidRPr="001175C7">
                        <w:rPr>
                          <w:i w:val="0"/>
                          <w:iCs w:val="0"/>
                          <w:color w:val="auto"/>
                          <w:sz w:val="24"/>
                          <w:szCs w:val="24"/>
                        </w:rPr>
                        <w:t xml:space="preserve"> List of phenolic compounds identified during analysis of thermal degradation experiments for this study</w:t>
                      </w:r>
                      <w:bookmarkEnd w:id="91"/>
                    </w:p>
                  </w:txbxContent>
                </v:textbox>
                <w10:wrap anchorx="margin"/>
              </v:shape>
            </w:pict>
          </mc:Fallback>
        </mc:AlternateContent>
      </w:r>
    </w:p>
    <w:p w14:paraId="35CDACDF" w14:textId="77777777" w:rsidR="00553340" w:rsidRPr="00174DE3" w:rsidRDefault="00553340" w:rsidP="00553340">
      <w:pPr>
        <w:ind w:left="0" w:firstLine="0"/>
        <w:rPr>
          <w:rFonts w:eastAsiaTheme="minorEastAsia"/>
          <w:szCs w:val="24"/>
        </w:rPr>
      </w:pPr>
    </w:p>
    <w:p w14:paraId="2E6DA820" w14:textId="77777777" w:rsidR="001175C7" w:rsidRDefault="001175C7" w:rsidP="00ED4E6F">
      <w:pPr>
        <w:spacing w:line="480" w:lineRule="auto"/>
        <w:ind w:left="0" w:firstLine="720"/>
        <w:jc w:val="both"/>
        <w:rPr>
          <w:rFonts w:eastAsiaTheme="minorEastAsia"/>
          <w:szCs w:val="24"/>
        </w:rPr>
      </w:pPr>
    </w:p>
    <w:p w14:paraId="3FD7A78C" w14:textId="77777777" w:rsidR="001175C7" w:rsidRDefault="001175C7" w:rsidP="00ED4E6F">
      <w:pPr>
        <w:spacing w:line="480" w:lineRule="auto"/>
        <w:ind w:left="0" w:firstLine="720"/>
        <w:jc w:val="both"/>
        <w:rPr>
          <w:rFonts w:eastAsiaTheme="minorEastAsia"/>
          <w:szCs w:val="24"/>
        </w:rPr>
      </w:pPr>
    </w:p>
    <w:p w14:paraId="4F436A1E" w14:textId="77777777" w:rsidR="001175C7" w:rsidRDefault="001175C7" w:rsidP="00ED4E6F">
      <w:pPr>
        <w:spacing w:line="480" w:lineRule="auto"/>
        <w:ind w:left="0" w:firstLine="720"/>
        <w:jc w:val="both"/>
        <w:rPr>
          <w:rFonts w:eastAsiaTheme="minorEastAsia"/>
          <w:szCs w:val="24"/>
        </w:rPr>
      </w:pPr>
    </w:p>
    <w:p w14:paraId="684AECF1" w14:textId="77777777" w:rsidR="00577A35" w:rsidRPr="00174DE3" w:rsidRDefault="00577A35" w:rsidP="00ED4E6F">
      <w:pPr>
        <w:spacing w:line="480" w:lineRule="auto"/>
        <w:ind w:left="0" w:firstLine="720"/>
        <w:jc w:val="both"/>
        <w:rPr>
          <w:rFonts w:eastAsiaTheme="minorEastAsia"/>
          <w:szCs w:val="24"/>
        </w:rPr>
      </w:pPr>
      <w:r w:rsidRPr="00174DE3">
        <w:rPr>
          <w:rFonts w:eastAsiaTheme="minorEastAsia"/>
          <w:szCs w:val="24"/>
        </w:rPr>
        <w:lastRenderedPageBreak/>
        <w:t>Looking at the compound lumps of the torrefaction results, the hypothesis that the genetic modification performed on the mutant switchgrasses would lead to lower phenolic yields at the low temperature thermal degradation treatment as compared to their unmodified, isogenic wild type switchgrass holds true. However, looking at Figure 4.4 and Table 4.1, it is evident that the difference is more pronounced in the alkyl phenolic yields as opposed to methoxy phenol yields (although it is important to note that mutant methoxy phenol yield</w:t>
      </w:r>
      <w:r>
        <w:rPr>
          <w:rFonts w:eastAsiaTheme="minorEastAsia"/>
          <w:szCs w:val="24"/>
        </w:rPr>
        <w:t>s are still</w:t>
      </w:r>
      <w:r w:rsidRPr="00174DE3">
        <w:rPr>
          <w:rFonts w:eastAsiaTheme="minorEastAsia"/>
          <w:szCs w:val="24"/>
        </w:rPr>
        <w:t xml:space="preserve"> less than the wild type methoxy phenol</w:t>
      </w:r>
      <w:r>
        <w:rPr>
          <w:rFonts w:eastAsiaTheme="minorEastAsia"/>
          <w:szCs w:val="24"/>
        </w:rPr>
        <w:t xml:space="preserve"> yields</w:t>
      </w:r>
      <w:r w:rsidRPr="00174DE3">
        <w:rPr>
          <w:rFonts w:eastAsiaTheme="minorEastAsia"/>
          <w:szCs w:val="24"/>
        </w:rPr>
        <w:t>).</w:t>
      </w:r>
      <w:r>
        <w:rPr>
          <w:rFonts w:eastAsiaTheme="minorEastAsia"/>
          <w:szCs w:val="24"/>
        </w:rPr>
        <w:t xml:space="preserve">The COMT2 mutant produces 0.2 </w:t>
      </w:r>
      <w:r>
        <w:rPr>
          <w:rFonts w:ascii="Calibri" w:eastAsiaTheme="minorEastAsia" w:hAnsi="Calibri"/>
          <w:szCs w:val="24"/>
        </w:rPr>
        <w:t>µ</w:t>
      </w:r>
      <w:r>
        <w:rPr>
          <w:rFonts w:eastAsiaTheme="minorEastAsia"/>
          <w:szCs w:val="24"/>
        </w:rPr>
        <w:t xml:space="preserve">g of alkyl phenols and 0.25 </w:t>
      </w:r>
      <w:r>
        <w:rPr>
          <w:rFonts w:ascii="Calibri" w:eastAsiaTheme="minorEastAsia" w:hAnsi="Calibri"/>
          <w:szCs w:val="24"/>
        </w:rPr>
        <w:t>µ</w:t>
      </w:r>
      <w:r>
        <w:rPr>
          <w:rFonts w:eastAsiaTheme="minorEastAsia"/>
          <w:szCs w:val="24"/>
        </w:rPr>
        <w:t xml:space="preserve">g of methoxy phenols, while the COMT2 wild type produces 0.24 </w:t>
      </w:r>
      <w:r>
        <w:rPr>
          <w:rFonts w:ascii="Calibri" w:eastAsiaTheme="minorEastAsia" w:hAnsi="Calibri"/>
          <w:szCs w:val="24"/>
        </w:rPr>
        <w:t>µ</w:t>
      </w:r>
      <w:r>
        <w:rPr>
          <w:rFonts w:eastAsiaTheme="minorEastAsia"/>
          <w:szCs w:val="24"/>
        </w:rPr>
        <w:t xml:space="preserve">g of alkyl phenols and 0.26 </w:t>
      </w:r>
      <w:r>
        <w:rPr>
          <w:rFonts w:ascii="Calibri" w:eastAsiaTheme="minorEastAsia" w:hAnsi="Calibri"/>
          <w:szCs w:val="24"/>
        </w:rPr>
        <w:t>µ</w:t>
      </w:r>
      <w:r>
        <w:rPr>
          <w:rFonts w:eastAsiaTheme="minorEastAsia"/>
          <w:szCs w:val="24"/>
        </w:rPr>
        <w:t>g of methoxy phenols.</w:t>
      </w:r>
      <w:r w:rsidRPr="00174DE3">
        <w:rPr>
          <w:rFonts w:eastAsiaTheme="minorEastAsia"/>
          <w:szCs w:val="24"/>
        </w:rPr>
        <w:t xml:space="preserve"> The lowest alkyl phenolic yield amongst all the variants was exhibited by the natural diversity switchgrass sample</w:t>
      </w:r>
      <w:r>
        <w:rPr>
          <w:rFonts w:eastAsiaTheme="minorEastAsia"/>
          <w:szCs w:val="24"/>
        </w:rPr>
        <w:t xml:space="preserve"> (0.09 </w:t>
      </w:r>
      <w:r>
        <w:rPr>
          <w:rFonts w:ascii="Calibri" w:eastAsiaTheme="minorEastAsia" w:hAnsi="Calibri"/>
          <w:szCs w:val="24"/>
        </w:rPr>
        <w:t>µ</w:t>
      </w:r>
      <w:r>
        <w:rPr>
          <w:rFonts w:eastAsiaTheme="minorEastAsia"/>
          <w:szCs w:val="24"/>
        </w:rPr>
        <w:t>g)</w:t>
      </w:r>
      <w:r w:rsidRPr="00174DE3">
        <w:rPr>
          <w:rFonts w:eastAsiaTheme="minorEastAsia"/>
          <w:szCs w:val="24"/>
        </w:rPr>
        <w:t xml:space="preserve"> – which has a low </w:t>
      </w:r>
      <w:r w:rsidRPr="00174DE3">
        <w:rPr>
          <w:rFonts w:eastAsiaTheme="minorEastAsia"/>
          <w:b/>
          <w:bCs/>
          <w:i/>
          <w:iCs/>
          <w:szCs w:val="24"/>
        </w:rPr>
        <w:t xml:space="preserve">S/G </w:t>
      </w:r>
      <w:r w:rsidRPr="00174DE3">
        <w:rPr>
          <w:rFonts w:eastAsiaTheme="minorEastAsia"/>
          <w:szCs w:val="24"/>
        </w:rPr>
        <w:t>ratio</w:t>
      </w:r>
      <w:r>
        <w:rPr>
          <w:rFonts w:eastAsiaTheme="minorEastAsia"/>
          <w:szCs w:val="24"/>
        </w:rPr>
        <w:t>. A speculation of why such is the case in the natural diversity sample may be attributed to the samples containing lowered levels of p-Coumaric acid (pCA) (66). The basis behind this speculation lies in the observed 23% increase in the production of Guaiacol,4-vinyl- (a product of esterified ferulic acid) when compared to its yield through the COMT2 mutant switchgrass. Details as to how lowered levels of pCA may contribute to lower phenolic yields at low temperatures is debated in the discussion section below.</w:t>
      </w:r>
      <w:r w:rsidRPr="00174DE3">
        <w:rPr>
          <w:rFonts w:eastAsiaTheme="minorEastAsia"/>
          <w:szCs w:val="24"/>
        </w:rPr>
        <w:t xml:space="preserve"> </w:t>
      </w:r>
      <w:r>
        <w:rPr>
          <w:rFonts w:eastAsiaTheme="minorEastAsia"/>
          <w:szCs w:val="24"/>
        </w:rPr>
        <w:t>E</w:t>
      </w:r>
      <w:r w:rsidRPr="00174DE3">
        <w:rPr>
          <w:rFonts w:eastAsiaTheme="minorEastAsia"/>
          <w:szCs w:val="24"/>
        </w:rPr>
        <w:t xml:space="preserve">ven though natural diversity exhibits similar </w:t>
      </w:r>
      <w:r w:rsidRPr="009A0504">
        <w:rPr>
          <w:rFonts w:eastAsiaTheme="minorEastAsia"/>
          <w:b/>
          <w:bCs/>
          <w:i/>
          <w:iCs/>
          <w:szCs w:val="24"/>
        </w:rPr>
        <w:t>S/G</w:t>
      </w:r>
      <w:r w:rsidRPr="00174DE3">
        <w:rPr>
          <w:rFonts w:eastAsiaTheme="minorEastAsia"/>
          <w:szCs w:val="24"/>
        </w:rPr>
        <w:t xml:space="preserve"> ratio to the COMT2 mutant sample, the alkyl phenolic yield of COMT2 mutant</w:t>
      </w:r>
      <w:r>
        <w:rPr>
          <w:rFonts w:eastAsiaTheme="minorEastAsia"/>
          <w:szCs w:val="24"/>
        </w:rPr>
        <w:t xml:space="preserve"> (0.20 </w:t>
      </w:r>
      <w:r>
        <w:rPr>
          <w:rFonts w:ascii="Calibri" w:eastAsiaTheme="minorEastAsia" w:hAnsi="Calibri"/>
          <w:szCs w:val="24"/>
        </w:rPr>
        <w:t>µ</w:t>
      </w:r>
      <w:r>
        <w:rPr>
          <w:rFonts w:eastAsiaTheme="minorEastAsia"/>
          <w:szCs w:val="24"/>
        </w:rPr>
        <w:t>g)</w:t>
      </w:r>
      <w:r w:rsidRPr="00174DE3">
        <w:rPr>
          <w:rFonts w:eastAsiaTheme="minorEastAsia"/>
          <w:szCs w:val="24"/>
        </w:rPr>
        <w:t xml:space="preserve"> is more than double of the natural diversity sample.</w:t>
      </w:r>
      <w:r>
        <w:rPr>
          <w:rFonts w:eastAsiaTheme="minorEastAsia"/>
          <w:szCs w:val="24"/>
        </w:rPr>
        <w:t xml:space="preserve"> The </w:t>
      </w:r>
      <w:r>
        <w:rPr>
          <w:rFonts w:ascii="Calibri" w:eastAsiaTheme="minorEastAsia" w:hAnsi="Calibri"/>
          <w:szCs w:val="24"/>
        </w:rPr>
        <w:t>µ</w:t>
      </w:r>
      <w:r>
        <w:rPr>
          <w:rFonts w:eastAsiaTheme="minorEastAsia"/>
          <w:szCs w:val="24"/>
        </w:rPr>
        <w:t>g numbers reported are in the basis of per mg of raw biomass.</w:t>
      </w:r>
      <w:r w:rsidRPr="00174DE3">
        <w:rPr>
          <w:rFonts w:eastAsiaTheme="minorEastAsia"/>
          <w:szCs w:val="24"/>
        </w:rPr>
        <w:t xml:space="preserve"> In addition to this, the AP13 switchgrass sample had an identical alkyl phenolic yield to the COMT2 isogenic wild type switchgrass- both of which have high </w:t>
      </w:r>
      <w:r w:rsidRPr="00174DE3">
        <w:rPr>
          <w:rFonts w:eastAsiaTheme="minorEastAsia"/>
          <w:b/>
          <w:bCs/>
          <w:i/>
          <w:iCs/>
          <w:szCs w:val="24"/>
        </w:rPr>
        <w:t>S/G</w:t>
      </w:r>
      <w:r w:rsidRPr="00174DE3">
        <w:rPr>
          <w:rFonts w:eastAsiaTheme="minorEastAsia"/>
          <w:szCs w:val="24"/>
        </w:rPr>
        <w:t xml:space="preserve"> ratio. </w:t>
      </w:r>
    </w:p>
    <w:p w14:paraId="1D70D6E9" w14:textId="1931402E" w:rsidR="00577A35" w:rsidRPr="00174DE3" w:rsidRDefault="00577A35" w:rsidP="00ED4E6F">
      <w:pPr>
        <w:spacing w:line="480" w:lineRule="auto"/>
        <w:ind w:left="0" w:firstLine="720"/>
        <w:jc w:val="both"/>
        <w:rPr>
          <w:rFonts w:eastAsiaTheme="minorEastAsia"/>
          <w:szCs w:val="24"/>
        </w:rPr>
      </w:pPr>
      <w:r w:rsidRPr="00174DE3">
        <w:rPr>
          <w:szCs w:val="24"/>
        </w:rPr>
        <w:t xml:space="preserve">Comparable amounts of methoxy phenols (per </w:t>
      </w:r>
      <m:oMath>
        <m:r>
          <w:rPr>
            <w:rFonts w:ascii="Cambria Math" w:hAnsi="Cambria Math"/>
            <w:szCs w:val="24"/>
          </w:rPr>
          <m:t>mg</m:t>
        </m:r>
      </m:oMath>
      <w:r w:rsidRPr="00174DE3">
        <w:rPr>
          <w:rFonts w:eastAsiaTheme="minorEastAsia"/>
          <w:szCs w:val="24"/>
        </w:rPr>
        <w:t xml:space="preserve"> of raw biomass) were produced across all variants of switchgrass when subjected to torrefaction conditions. The methoxy phenol yield of the COMT2 mutant</w:t>
      </w:r>
      <w:r>
        <w:rPr>
          <w:rFonts w:eastAsiaTheme="minorEastAsia"/>
          <w:szCs w:val="24"/>
        </w:rPr>
        <w:t xml:space="preserve"> (0.25 </w:t>
      </w:r>
      <w:r>
        <w:rPr>
          <w:rFonts w:ascii="Calibri" w:eastAsiaTheme="minorEastAsia" w:hAnsi="Calibri"/>
          <w:szCs w:val="24"/>
        </w:rPr>
        <w:t>µ</w:t>
      </w:r>
      <w:r>
        <w:rPr>
          <w:rFonts w:eastAsiaTheme="minorEastAsia"/>
          <w:szCs w:val="24"/>
        </w:rPr>
        <w:t>g)</w:t>
      </w:r>
      <w:r w:rsidRPr="00174DE3">
        <w:rPr>
          <w:rFonts w:eastAsiaTheme="minorEastAsia"/>
          <w:szCs w:val="24"/>
        </w:rPr>
        <w:t xml:space="preserve"> was less than that of the COMT2 wild type</w:t>
      </w:r>
      <w:r>
        <w:rPr>
          <w:rFonts w:eastAsiaTheme="minorEastAsia"/>
          <w:szCs w:val="24"/>
        </w:rPr>
        <w:t xml:space="preserve"> (0.26 </w:t>
      </w:r>
      <w:r>
        <w:rPr>
          <w:rFonts w:ascii="Calibri" w:eastAsiaTheme="minorEastAsia" w:hAnsi="Calibri"/>
          <w:szCs w:val="24"/>
        </w:rPr>
        <w:t>µ</w:t>
      </w:r>
      <w:r>
        <w:rPr>
          <w:rFonts w:eastAsiaTheme="minorEastAsia"/>
          <w:szCs w:val="24"/>
        </w:rPr>
        <w:t>g)</w:t>
      </w:r>
      <w:r w:rsidRPr="00174DE3">
        <w:rPr>
          <w:rFonts w:eastAsiaTheme="minorEastAsia"/>
          <w:szCs w:val="24"/>
        </w:rPr>
        <w:t xml:space="preserve"> – however, </w:t>
      </w:r>
      <w:r w:rsidRPr="00174DE3">
        <w:rPr>
          <w:rFonts w:eastAsiaTheme="minorEastAsia"/>
          <w:szCs w:val="24"/>
        </w:rPr>
        <w:lastRenderedPageBreak/>
        <w:t xml:space="preserve">the difference is almost negligible. It is also notable that the natural diversity switchgrass sample (low </w:t>
      </w:r>
      <w:r w:rsidRPr="00174DE3">
        <w:rPr>
          <w:rFonts w:eastAsiaTheme="minorEastAsia"/>
          <w:b/>
          <w:bCs/>
          <w:i/>
          <w:iCs/>
          <w:szCs w:val="24"/>
        </w:rPr>
        <w:t>S/G</w:t>
      </w:r>
      <w:r w:rsidRPr="00174DE3">
        <w:rPr>
          <w:rFonts w:eastAsiaTheme="minorEastAsia"/>
          <w:szCs w:val="24"/>
        </w:rPr>
        <w:t xml:space="preserve"> ratio) had an identical methoxy phenol yield to the COMT2 wild type sample (high </w:t>
      </w:r>
      <w:r w:rsidRPr="00174DE3">
        <w:rPr>
          <w:rFonts w:eastAsiaTheme="minorEastAsia"/>
          <w:b/>
          <w:bCs/>
          <w:i/>
          <w:iCs/>
          <w:szCs w:val="24"/>
        </w:rPr>
        <w:t>S/G</w:t>
      </w:r>
      <w:r w:rsidRPr="00174DE3">
        <w:rPr>
          <w:rFonts w:eastAsiaTheme="minorEastAsia"/>
          <w:szCs w:val="24"/>
        </w:rPr>
        <w:t xml:space="preserve"> ratio); this ties back to the point made earlier that other factors within the contents of the biomass could also influence thermochemical product yields. The highest methoxy phenol yield upon torrefaction was observed in the standard AP13 grade sample</w:t>
      </w:r>
      <w:r>
        <w:rPr>
          <w:rFonts w:eastAsiaTheme="minorEastAsia"/>
          <w:szCs w:val="24"/>
        </w:rPr>
        <w:t xml:space="preserve"> (0.31 </w:t>
      </w:r>
      <w:r>
        <w:rPr>
          <w:rFonts w:ascii="Calibri" w:eastAsiaTheme="minorEastAsia" w:hAnsi="Calibri"/>
          <w:szCs w:val="24"/>
        </w:rPr>
        <w:t>µ</w:t>
      </w:r>
      <w:r>
        <w:rPr>
          <w:rFonts w:eastAsiaTheme="minorEastAsia"/>
          <w:szCs w:val="24"/>
        </w:rPr>
        <w:t xml:space="preserve">g). The </w:t>
      </w:r>
      <w:r>
        <w:rPr>
          <w:rFonts w:ascii="Calibri" w:eastAsiaTheme="minorEastAsia" w:hAnsi="Calibri"/>
          <w:szCs w:val="24"/>
        </w:rPr>
        <w:t>µ</w:t>
      </w:r>
      <w:r>
        <w:rPr>
          <w:rFonts w:eastAsiaTheme="minorEastAsia"/>
          <w:szCs w:val="24"/>
        </w:rPr>
        <w:t xml:space="preserve">g numbers reported are </w:t>
      </w:r>
      <w:r w:rsidR="001D2653">
        <w:rPr>
          <w:rFonts w:eastAsiaTheme="minorEastAsia"/>
          <w:szCs w:val="24"/>
        </w:rPr>
        <w:t>on</w:t>
      </w:r>
      <w:r>
        <w:rPr>
          <w:rFonts w:eastAsiaTheme="minorEastAsia"/>
          <w:szCs w:val="24"/>
        </w:rPr>
        <w:t xml:space="preserve"> the basis of per mg of raw biomass.</w:t>
      </w:r>
    </w:p>
    <w:p w14:paraId="0CF157B4" w14:textId="77777777" w:rsidR="00577A35" w:rsidRPr="00174DE3" w:rsidRDefault="00577A35" w:rsidP="00ED4E6F">
      <w:pPr>
        <w:spacing w:line="480" w:lineRule="auto"/>
        <w:ind w:left="0" w:firstLine="720"/>
        <w:contextualSpacing/>
        <w:jc w:val="both"/>
        <w:rPr>
          <w:rFonts w:eastAsiaTheme="minorEastAsia"/>
          <w:szCs w:val="24"/>
        </w:rPr>
      </w:pPr>
      <w:r w:rsidRPr="00174DE3">
        <w:rPr>
          <w:rFonts w:eastAsiaTheme="minorEastAsia"/>
          <w:szCs w:val="24"/>
        </w:rPr>
        <w:t>Reproducible amounts of other compound lumps were observed across all four variants of switchgrass samples upon torrefaction with a few exceptions; the natural diversity switchgrass sample produced almost double the amount of furfurals compared to the other three variants of switchgrass, while AP13 also produced almost double the amount of anhydrous sugars compared to the other three switchgrass samples.</w:t>
      </w:r>
      <w:r>
        <w:rPr>
          <w:rFonts w:eastAsiaTheme="minorEastAsia"/>
          <w:szCs w:val="24"/>
        </w:rPr>
        <w:t xml:space="preserve"> Table 4.1 shows the raw numbers of these observations.</w:t>
      </w:r>
      <w:r w:rsidRPr="00174DE3">
        <w:rPr>
          <w:rFonts w:eastAsiaTheme="minorEastAsia"/>
          <w:szCs w:val="24"/>
        </w:rPr>
        <w:t xml:space="preserve"> The anhydrous sugars detected in all the torrefaction switchgrass samples are hemicellulose-derived thermal products since no levoglucosan – a primary product of cellulose pyrolysis- was identified in any of the samples. </w:t>
      </w:r>
    </w:p>
    <w:p w14:paraId="21BE4A91" w14:textId="77777777" w:rsidR="00577A35" w:rsidRPr="00174DE3" w:rsidRDefault="00577A35" w:rsidP="00ED4E6F">
      <w:pPr>
        <w:spacing w:line="480" w:lineRule="auto"/>
        <w:ind w:left="0" w:firstLine="720"/>
        <w:jc w:val="both"/>
        <w:rPr>
          <w:rFonts w:eastAsiaTheme="minorEastAsia"/>
          <w:szCs w:val="24"/>
        </w:rPr>
      </w:pPr>
      <w:r w:rsidRPr="00174DE3">
        <w:rPr>
          <w:rFonts w:eastAsiaTheme="minorEastAsia"/>
          <w:szCs w:val="24"/>
        </w:rPr>
        <w:t xml:space="preserve">Looking at Figure 4.5 and Table 4.2, the pyrolysis trends are more erratic when compared to torrefaction trends. It is reasonable to state that the thermal treatment of the torrefied biomass at 500 </w:t>
      </w:r>
      <m:oMath>
        <m:r>
          <w:rPr>
            <w:rFonts w:ascii="Cambria Math" w:eastAsiaTheme="minorEastAsia" w:hAnsi="Cambria Math"/>
            <w:szCs w:val="24"/>
          </w:rPr>
          <m:t>℃</m:t>
        </m:r>
      </m:oMath>
      <w:r w:rsidRPr="00174DE3">
        <w:rPr>
          <w:rFonts w:eastAsiaTheme="minorEastAsia"/>
          <w:szCs w:val="24"/>
        </w:rPr>
        <w:t xml:space="preserve"> for 60 seconds leads to a rapid and near-complete conversion of the switchgrass samples. The degree of torrefaction decomposition seems to be the highest on AP13 switchgrass sample as it produced the least number of thermochemical products across all compound lumps upon pyrolysis – with the exception of anhydrous sugars and alkyl benzenes (whose thermochemical products are almost negligible anyway). The COMT2 mutant and natural diversity switchgrass – both exhibiting low </w:t>
      </w:r>
      <w:r w:rsidRPr="00174DE3">
        <w:rPr>
          <w:rFonts w:eastAsiaTheme="minorEastAsia"/>
          <w:b/>
          <w:bCs/>
          <w:i/>
          <w:iCs/>
          <w:szCs w:val="24"/>
        </w:rPr>
        <w:t>S/G</w:t>
      </w:r>
      <w:r w:rsidRPr="00174DE3">
        <w:rPr>
          <w:rFonts w:eastAsiaTheme="minorEastAsia"/>
          <w:szCs w:val="24"/>
        </w:rPr>
        <w:t xml:space="preserve"> ratio- produces reproducible amounts of thermochemical products across </w:t>
      </w:r>
      <w:r w:rsidRPr="00174DE3">
        <w:rPr>
          <w:rFonts w:eastAsiaTheme="minorEastAsia"/>
          <w:szCs w:val="24"/>
        </w:rPr>
        <w:lastRenderedPageBreak/>
        <w:t xml:space="preserve">all compound lumps. The isogenic COMT2 wild type switchgrass produces the most thermochemical products across all compound lumps upon pyrolysis.  </w:t>
      </w:r>
    </w:p>
    <w:p w14:paraId="1C3F5CAB" w14:textId="5347028D" w:rsidR="00577A35" w:rsidRPr="00174DE3" w:rsidRDefault="00577A35" w:rsidP="00ED4E6F">
      <w:pPr>
        <w:spacing w:line="480" w:lineRule="auto"/>
        <w:ind w:left="0" w:firstLine="720"/>
        <w:jc w:val="both"/>
        <w:rPr>
          <w:rFonts w:eastAsiaTheme="minorEastAsia"/>
          <w:szCs w:val="24"/>
        </w:rPr>
      </w:pPr>
      <w:r w:rsidRPr="00174DE3">
        <w:rPr>
          <w:rFonts w:eastAsiaTheme="minorEastAsia"/>
          <w:szCs w:val="24"/>
        </w:rPr>
        <w:t xml:space="preserve">Quantitatively, both the phenolic species produced greater numbers upon pyrolysis than torrefaction across all four variants of switchgrass samples – which is a rational expectation of lignin-derived phenolics to be decomposed to a larger extent with the rise in temperature treatment. Considering only the COMT2 variants of switchgrass samples, the combined total yield of alkyl phenolic species per mg of raw biomass </w:t>
      </w:r>
      <w:r>
        <w:rPr>
          <w:rFonts w:eastAsiaTheme="minorEastAsia"/>
          <w:szCs w:val="24"/>
        </w:rPr>
        <w:t>upon</w:t>
      </w:r>
      <w:r w:rsidRPr="00174DE3">
        <w:rPr>
          <w:rFonts w:eastAsiaTheme="minorEastAsia"/>
          <w:szCs w:val="24"/>
        </w:rPr>
        <w:t xml:space="preserve"> torrefaction and pyrolysis is 0.68 </w:t>
      </w:r>
      <m:oMath>
        <m:r>
          <w:rPr>
            <w:rFonts w:ascii="Cambria Math" w:eastAsiaTheme="minorEastAsia" w:hAnsi="Cambria Math"/>
            <w:szCs w:val="24"/>
          </w:rPr>
          <m:t>μg</m:t>
        </m:r>
      </m:oMath>
      <w:r>
        <w:rPr>
          <w:rFonts w:eastAsiaTheme="minorEastAsia"/>
          <w:szCs w:val="24"/>
        </w:rPr>
        <w:t xml:space="preserve"> for both the mutant and wild type sample.</w:t>
      </w:r>
      <w:r w:rsidRPr="00174DE3">
        <w:rPr>
          <w:rFonts w:eastAsiaTheme="minorEastAsia"/>
          <w:szCs w:val="24"/>
        </w:rPr>
        <w:t xml:space="preserve"> </w:t>
      </w:r>
      <w:r>
        <w:rPr>
          <w:rFonts w:eastAsiaTheme="minorEastAsia"/>
          <w:szCs w:val="24"/>
        </w:rPr>
        <w:t>H</w:t>
      </w:r>
      <w:r w:rsidRPr="00174DE3">
        <w:rPr>
          <w:rFonts w:eastAsiaTheme="minorEastAsia"/>
          <w:szCs w:val="24"/>
        </w:rPr>
        <w:t>owever,</w:t>
      </w:r>
      <w:r>
        <w:rPr>
          <w:rFonts w:eastAsiaTheme="minorEastAsia"/>
          <w:szCs w:val="24"/>
        </w:rPr>
        <w:t xml:space="preserve"> according to Table 4.1 and Table 4.2,</w:t>
      </w:r>
      <w:r w:rsidRPr="00174DE3">
        <w:rPr>
          <w:rFonts w:eastAsiaTheme="minorEastAsia"/>
          <w:szCs w:val="24"/>
        </w:rPr>
        <w:t xml:space="preserve"> the difference in their yields from torrefaction to pyrolysis is greater in the COMT2 mutant than in the COMT2 wild type switchgrass (</w:t>
      </w:r>
      <w:r>
        <w:rPr>
          <w:rFonts w:eastAsiaTheme="minorEastAsia"/>
          <w:szCs w:val="24"/>
        </w:rPr>
        <w:t xml:space="preserve">the mutant produces 0.2 </w:t>
      </w:r>
      <w:r>
        <w:rPr>
          <w:rFonts w:ascii="Calibri" w:eastAsiaTheme="minorEastAsia" w:hAnsi="Calibri"/>
          <w:szCs w:val="24"/>
        </w:rPr>
        <w:t>µ</w:t>
      </w:r>
      <w:r>
        <w:rPr>
          <w:rFonts w:eastAsiaTheme="minorEastAsia"/>
          <w:szCs w:val="24"/>
        </w:rPr>
        <w:t xml:space="preserve">g in torrefaction and 0.48 </w:t>
      </w:r>
      <w:r>
        <w:rPr>
          <w:rFonts w:ascii="Calibri" w:eastAsiaTheme="minorEastAsia" w:hAnsi="Calibri"/>
          <w:szCs w:val="24"/>
        </w:rPr>
        <w:t>µ</w:t>
      </w:r>
      <w:r>
        <w:rPr>
          <w:rFonts w:eastAsiaTheme="minorEastAsia"/>
          <w:szCs w:val="24"/>
        </w:rPr>
        <w:t>g in pyrolysis, while the wild type produces 0.24</w:t>
      </w:r>
      <w:r w:rsidR="00C25418">
        <w:rPr>
          <w:rFonts w:eastAsiaTheme="minorEastAsia"/>
          <w:szCs w:val="24"/>
        </w:rPr>
        <w:t xml:space="preserve"> </w:t>
      </w:r>
      <w:r>
        <w:rPr>
          <w:rFonts w:ascii="Calibri" w:eastAsiaTheme="minorEastAsia" w:hAnsi="Calibri"/>
          <w:szCs w:val="24"/>
        </w:rPr>
        <w:t>µ</w:t>
      </w:r>
      <w:r>
        <w:rPr>
          <w:rFonts w:eastAsiaTheme="minorEastAsia"/>
          <w:szCs w:val="24"/>
        </w:rPr>
        <w:t xml:space="preserve">g in torrefaction and 0.44 </w:t>
      </w:r>
      <w:r>
        <w:rPr>
          <w:rFonts w:ascii="Calibri" w:eastAsiaTheme="minorEastAsia" w:hAnsi="Calibri"/>
          <w:szCs w:val="24"/>
        </w:rPr>
        <w:t>µ</w:t>
      </w:r>
      <w:r>
        <w:rPr>
          <w:rFonts w:eastAsiaTheme="minorEastAsia"/>
          <w:szCs w:val="24"/>
        </w:rPr>
        <w:t>g in pyrolysis</w:t>
      </w:r>
      <w:r w:rsidRPr="00174DE3">
        <w:rPr>
          <w:rFonts w:eastAsiaTheme="minorEastAsia"/>
          <w:szCs w:val="24"/>
        </w:rPr>
        <w:t>).</w:t>
      </w:r>
      <w:r>
        <w:rPr>
          <w:rFonts w:eastAsiaTheme="minorEastAsia"/>
          <w:szCs w:val="24"/>
        </w:rPr>
        <w:t xml:space="preserve"> In addition to this, the combined total yield of phenolic species (both alkyl and methoxy) per mg of raw biomass upon torrefaction and pyrolysis is 1.66 </w:t>
      </w:r>
      <w:r>
        <w:rPr>
          <w:rFonts w:ascii="Calibri" w:eastAsiaTheme="minorEastAsia" w:hAnsi="Calibri"/>
          <w:szCs w:val="24"/>
        </w:rPr>
        <w:t>µ</w:t>
      </w:r>
      <w:r>
        <w:rPr>
          <w:rFonts w:eastAsiaTheme="minorEastAsia"/>
          <w:szCs w:val="24"/>
        </w:rPr>
        <w:t xml:space="preserve">g for the mutant sample and 1.54 </w:t>
      </w:r>
      <w:r>
        <w:rPr>
          <w:rFonts w:ascii="Calibri" w:eastAsiaTheme="minorEastAsia" w:hAnsi="Calibri"/>
          <w:szCs w:val="24"/>
        </w:rPr>
        <w:t>µ</w:t>
      </w:r>
      <w:r>
        <w:rPr>
          <w:rFonts w:eastAsiaTheme="minorEastAsia"/>
          <w:szCs w:val="24"/>
        </w:rPr>
        <w:t xml:space="preserve">g for the wild type sample; while producing less phenolics during torrefaction, it is observed that the mutants had a 7.5% increase phenolic production from the overall thermal degradation treatment (i.e. torrefaction followed by pyrolysis). </w:t>
      </w:r>
      <w:r w:rsidRPr="00174DE3">
        <w:rPr>
          <w:rFonts w:eastAsiaTheme="minorEastAsia"/>
          <w:szCs w:val="24"/>
        </w:rPr>
        <w:t xml:space="preserve">This observation – lower phenolics yield for the COMT2 mutants as opposed to their respective wild types due to a suppression of lignin decomposition at low temperature thermal treatment without altering the total lignin content present within the biomass sample- </w:t>
      </w:r>
      <w:r>
        <w:rPr>
          <w:rFonts w:eastAsiaTheme="minorEastAsia"/>
          <w:szCs w:val="24"/>
        </w:rPr>
        <w:t xml:space="preserve">is a positive reinforcement of the hypothesis made, and </w:t>
      </w:r>
      <w:r w:rsidRPr="00174DE3">
        <w:rPr>
          <w:rFonts w:eastAsiaTheme="minorEastAsia"/>
          <w:szCs w:val="24"/>
        </w:rPr>
        <w:t xml:space="preserve">can be attributed to the changes caused by the genetic modification. </w:t>
      </w:r>
    </w:p>
    <w:p w14:paraId="45D2C43E" w14:textId="5AA7B9DE" w:rsidR="00577A35" w:rsidRPr="00174DE3" w:rsidRDefault="00577A35" w:rsidP="00ED4E6F">
      <w:pPr>
        <w:spacing w:line="480" w:lineRule="auto"/>
        <w:ind w:left="0" w:firstLine="720"/>
        <w:jc w:val="both"/>
        <w:rPr>
          <w:rFonts w:eastAsiaTheme="minorEastAsia"/>
          <w:szCs w:val="24"/>
        </w:rPr>
      </w:pPr>
      <w:r w:rsidRPr="00174DE3">
        <w:rPr>
          <w:rFonts w:eastAsiaTheme="minorEastAsia"/>
          <w:szCs w:val="24"/>
        </w:rPr>
        <w:t xml:space="preserve">The natural diversity switchgrass (low </w:t>
      </w:r>
      <w:r w:rsidRPr="00174DE3">
        <w:rPr>
          <w:rFonts w:eastAsiaTheme="minorEastAsia"/>
          <w:b/>
          <w:bCs/>
          <w:i/>
          <w:iCs/>
          <w:szCs w:val="24"/>
        </w:rPr>
        <w:t xml:space="preserve">S/G </w:t>
      </w:r>
      <w:r w:rsidRPr="00174DE3">
        <w:rPr>
          <w:rFonts w:eastAsiaTheme="minorEastAsia"/>
          <w:szCs w:val="24"/>
        </w:rPr>
        <w:t xml:space="preserve">ratio) and the standard AP13 (high </w:t>
      </w:r>
      <w:r w:rsidRPr="00174DE3">
        <w:rPr>
          <w:rFonts w:eastAsiaTheme="minorEastAsia"/>
          <w:b/>
          <w:bCs/>
          <w:i/>
          <w:iCs/>
          <w:szCs w:val="24"/>
        </w:rPr>
        <w:t>S/G</w:t>
      </w:r>
      <w:r w:rsidRPr="00174DE3">
        <w:rPr>
          <w:rFonts w:eastAsiaTheme="minorEastAsia"/>
          <w:szCs w:val="24"/>
        </w:rPr>
        <w:t xml:space="preserve"> ratio) had an identical alkyl phenolic yield upon pyrolysis, but the natural diversity sample produced a greater amount of methoxy phenols than the AP13. In addition to this, Table 4.1 and Table 4.2 </w:t>
      </w:r>
      <w:r w:rsidRPr="00174DE3">
        <w:rPr>
          <w:rFonts w:eastAsiaTheme="minorEastAsia"/>
          <w:szCs w:val="24"/>
        </w:rPr>
        <w:lastRenderedPageBreak/>
        <w:t xml:space="preserve">indicate that the low </w:t>
      </w:r>
      <w:r w:rsidRPr="00A713A1">
        <w:rPr>
          <w:rFonts w:eastAsiaTheme="minorEastAsia"/>
          <w:b/>
          <w:bCs/>
          <w:i/>
          <w:iCs/>
          <w:szCs w:val="24"/>
        </w:rPr>
        <w:t>S/G</w:t>
      </w:r>
      <w:r w:rsidRPr="00174DE3">
        <w:rPr>
          <w:rFonts w:eastAsiaTheme="minorEastAsia"/>
          <w:szCs w:val="24"/>
        </w:rPr>
        <w:t xml:space="preserve"> ratio sample produced less phenolics (both alkyl phenols and methoxy phenols combined) than the high </w:t>
      </w:r>
      <w:r w:rsidRPr="00A713A1">
        <w:rPr>
          <w:rFonts w:eastAsiaTheme="minorEastAsia"/>
          <w:b/>
          <w:bCs/>
          <w:i/>
          <w:iCs/>
          <w:szCs w:val="24"/>
        </w:rPr>
        <w:t>S/G</w:t>
      </w:r>
      <w:r w:rsidRPr="00174DE3">
        <w:rPr>
          <w:rFonts w:eastAsiaTheme="minorEastAsia"/>
          <w:szCs w:val="24"/>
        </w:rPr>
        <w:t xml:space="preserve"> ratio sample</w:t>
      </w:r>
      <w:r>
        <w:rPr>
          <w:rFonts w:eastAsiaTheme="minorEastAsia"/>
          <w:szCs w:val="24"/>
        </w:rPr>
        <w:t xml:space="preserve"> (0.35 </w:t>
      </w:r>
      <w:r>
        <w:rPr>
          <w:rFonts w:ascii="Calibri" w:eastAsiaTheme="minorEastAsia" w:hAnsi="Calibri"/>
          <w:szCs w:val="24"/>
        </w:rPr>
        <w:t>µ</w:t>
      </w:r>
      <w:r>
        <w:rPr>
          <w:rFonts w:eastAsiaTheme="minorEastAsia"/>
          <w:szCs w:val="24"/>
        </w:rPr>
        <w:t xml:space="preserve">g for natural diversity sample compared to 0.55 </w:t>
      </w:r>
      <w:r>
        <w:rPr>
          <w:rFonts w:ascii="Calibri" w:eastAsiaTheme="minorEastAsia" w:hAnsi="Calibri"/>
          <w:szCs w:val="24"/>
        </w:rPr>
        <w:t>µ</w:t>
      </w:r>
      <w:r>
        <w:rPr>
          <w:rFonts w:eastAsiaTheme="minorEastAsia"/>
          <w:szCs w:val="24"/>
        </w:rPr>
        <w:t>g for AP13)</w:t>
      </w:r>
      <w:r w:rsidRPr="00174DE3">
        <w:rPr>
          <w:rFonts w:eastAsiaTheme="minorEastAsia"/>
          <w:szCs w:val="24"/>
        </w:rPr>
        <w:t xml:space="preserve"> at the low temperature treatment while the </w:t>
      </w:r>
      <w:r>
        <w:rPr>
          <w:rFonts w:eastAsiaTheme="minorEastAsia"/>
          <w:szCs w:val="24"/>
        </w:rPr>
        <w:t xml:space="preserve">total </w:t>
      </w:r>
      <w:r w:rsidRPr="00174DE3">
        <w:rPr>
          <w:rFonts w:eastAsiaTheme="minorEastAsia"/>
          <w:szCs w:val="24"/>
        </w:rPr>
        <w:t>combined phenolic yields upon torrefaction and pyrolysis is almost</w:t>
      </w:r>
      <w:r w:rsidR="00A917DD">
        <w:rPr>
          <w:rFonts w:eastAsiaTheme="minorEastAsia"/>
          <w:szCs w:val="24"/>
        </w:rPr>
        <w:t xml:space="preserve"> the</w:t>
      </w:r>
      <w:r w:rsidRPr="00174DE3">
        <w:rPr>
          <w:rFonts w:eastAsiaTheme="minorEastAsia"/>
          <w:szCs w:val="24"/>
        </w:rPr>
        <w:t xml:space="preserve"> same (1.39 </w:t>
      </w:r>
      <m:oMath>
        <m:r>
          <w:rPr>
            <w:rFonts w:ascii="Cambria Math" w:eastAsiaTheme="minorEastAsia" w:hAnsi="Cambria Math"/>
            <w:szCs w:val="24"/>
          </w:rPr>
          <m:t>μg</m:t>
        </m:r>
      </m:oMath>
      <w:r w:rsidRPr="00174DE3">
        <w:rPr>
          <w:rFonts w:eastAsiaTheme="minorEastAsia"/>
          <w:szCs w:val="24"/>
        </w:rPr>
        <w:t xml:space="preserve"> for the natural diversity sample as compared to 1.41 </w:t>
      </w:r>
      <m:oMath>
        <m:r>
          <w:rPr>
            <w:rFonts w:ascii="Cambria Math" w:eastAsiaTheme="minorEastAsia" w:hAnsi="Cambria Math"/>
            <w:szCs w:val="24"/>
          </w:rPr>
          <m:t>μg</m:t>
        </m:r>
      </m:oMath>
      <w:r w:rsidRPr="00174DE3">
        <w:rPr>
          <w:rFonts w:eastAsiaTheme="minorEastAsia"/>
          <w:szCs w:val="24"/>
        </w:rPr>
        <w:t xml:space="preserve"> for the AP13 switchgrass). </w:t>
      </w:r>
      <w:r>
        <w:rPr>
          <w:rFonts w:eastAsiaTheme="minorEastAsia"/>
          <w:szCs w:val="24"/>
        </w:rPr>
        <w:t>Even though</w:t>
      </w:r>
      <w:r w:rsidRPr="00174DE3">
        <w:rPr>
          <w:rFonts w:eastAsiaTheme="minorEastAsia"/>
          <w:szCs w:val="24"/>
        </w:rPr>
        <w:t xml:space="preserve"> there are other compositional factors that are different within these two specific species of switchgrass (other than the differences in their </w:t>
      </w:r>
      <w:r w:rsidRPr="00174DE3">
        <w:rPr>
          <w:rFonts w:eastAsiaTheme="minorEastAsia"/>
          <w:b/>
          <w:bCs/>
          <w:i/>
          <w:iCs/>
          <w:szCs w:val="24"/>
        </w:rPr>
        <w:t>S/G</w:t>
      </w:r>
      <w:r w:rsidRPr="00174DE3">
        <w:rPr>
          <w:rFonts w:eastAsiaTheme="minorEastAsia"/>
          <w:szCs w:val="24"/>
        </w:rPr>
        <w:t xml:space="preserve"> ratio) – which may contribute for the same alkyl phenolic yield</w:t>
      </w:r>
      <w:r>
        <w:rPr>
          <w:rFonts w:eastAsiaTheme="minorEastAsia"/>
          <w:szCs w:val="24"/>
        </w:rPr>
        <w:t xml:space="preserve"> (0.4 </w:t>
      </w:r>
      <w:r>
        <w:rPr>
          <w:rFonts w:ascii="Calibri" w:eastAsiaTheme="minorEastAsia" w:hAnsi="Calibri"/>
          <w:szCs w:val="24"/>
        </w:rPr>
        <w:t>µ</w:t>
      </w:r>
      <w:r>
        <w:rPr>
          <w:rFonts w:eastAsiaTheme="minorEastAsia"/>
          <w:szCs w:val="24"/>
        </w:rPr>
        <w:t>g)</w:t>
      </w:r>
      <w:r w:rsidRPr="00174DE3">
        <w:rPr>
          <w:rFonts w:eastAsiaTheme="minorEastAsia"/>
          <w:szCs w:val="24"/>
        </w:rPr>
        <w:t xml:space="preserve"> of pyrolysis, the observed total phenolic yields upon subsequent thermal treatments help to establish reference points as a positive indicator of the hypothesis made in this thesis.</w:t>
      </w:r>
      <w:r w:rsidRPr="00A713A1">
        <w:rPr>
          <w:rFonts w:eastAsiaTheme="minorEastAsia"/>
          <w:szCs w:val="24"/>
        </w:rPr>
        <w:t xml:space="preserve"> </w:t>
      </w:r>
      <w:r>
        <w:rPr>
          <w:rFonts w:eastAsiaTheme="minorEastAsia"/>
          <w:szCs w:val="24"/>
        </w:rPr>
        <w:t xml:space="preserve">The </w:t>
      </w:r>
      <w:r>
        <w:rPr>
          <w:rFonts w:ascii="Calibri" w:eastAsiaTheme="minorEastAsia" w:hAnsi="Calibri"/>
          <w:szCs w:val="24"/>
        </w:rPr>
        <w:t>µ</w:t>
      </w:r>
      <w:r>
        <w:rPr>
          <w:rFonts w:eastAsiaTheme="minorEastAsia"/>
          <w:szCs w:val="24"/>
        </w:rPr>
        <w:t xml:space="preserve">g numbers reported are </w:t>
      </w:r>
      <w:r w:rsidR="00A917DD">
        <w:rPr>
          <w:rFonts w:eastAsiaTheme="minorEastAsia"/>
          <w:szCs w:val="24"/>
        </w:rPr>
        <w:t>on</w:t>
      </w:r>
      <w:r>
        <w:rPr>
          <w:rFonts w:eastAsiaTheme="minorEastAsia"/>
          <w:szCs w:val="24"/>
        </w:rPr>
        <w:t xml:space="preserve"> the basis of per mg of raw biomass. </w:t>
      </w:r>
    </w:p>
    <w:p w14:paraId="41BF5A3C" w14:textId="63893D34" w:rsidR="00577A35" w:rsidRPr="00174DE3" w:rsidRDefault="00577A35" w:rsidP="00ED4E6F">
      <w:pPr>
        <w:spacing w:line="480" w:lineRule="auto"/>
        <w:ind w:left="0" w:firstLine="720"/>
        <w:jc w:val="both"/>
        <w:rPr>
          <w:szCs w:val="24"/>
        </w:rPr>
      </w:pPr>
      <w:r w:rsidRPr="00174DE3">
        <w:rPr>
          <w:szCs w:val="24"/>
        </w:rPr>
        <w:t>Figures 4.</w:t>
      </w:r>
      <w:r>
        <w:rPr>
          <w:szCs w:val="24"/>
        </w:rPr>
        <w:t>10</w:t>
      </w:r>
      <w:r w:rsidRPr="00174DE3">
        <w:rPr>
          <w:szCs w:val="24"/>
        </w:rPr>
        <w:t>-4.1</w:t>
      </w:r>
      <w:r>
        <w:rPr>
          <w:szCs w:val="24"/>
        </w:rPr>
        <w:t>3</w:t>
      </w:r>
      <w:r w:rsidRPr="00174DE3">
        <w:rPr>
          <w:szCs w:val="24"/>
        </w:rPr>
        <w:t xml:space="preserve"> display the distribution of </w:t>
      </w:r>
      <w:r w:rsidRPr="00174DE3">
        <w:rPr>
          <w:b/>
          <w:bCs/>
          <w:i/>
          <w:iCs/>
          <w:szCs w:val="24"/>
        </w:rPr>
        <w:t>S</w:t>
      </w:r>
      <w:r w:rsidRPr="00174DE3">
        <w:rPr>
          <w:szCs w:val="24"/>
        </w:rPr>
        <w:t xml:space="preserve">-lignin derived and </w:t>
      </w:r>
      <w:r w:rsidRPr="00174DE3">
        <w:rPr>
          <w:b/>
          <w:bCs/>
          <w:i/>
          <w:iCs/>
          <w:szCs w:val="24"/>
        </w:rPr>
        <w:t>G</w:t>
      </w:r>
      <w:r w:rsidRPr="00174DE3">
        <w:rPr>
          <w:szCs w:val="24"/>
        </w:rPr>
        <w:t>-lignin derived products amongst the identified phenolic species (considering both alkyl phenols and methoxy phenols) upon torrefaction and pyrolysis of the COMT2 variants of switchgrass. Figure 4.</w:t>
      </w:r>
      <w:r>
        <w:rPr>
          <w:szCs w:val="24"/>
        </w:rPr>
        <w:t>9</w:t>
      </w:r>
      <w:r w:rsidRPr="00174DE3">
        <w:rPr>
          <w:szCs w:val="24"/>
        </w:rPr>
        <w:t xml:space="preserve"> lists the individual identified phenolic compounds through their originating monomer unit. </w:t>
      </w:r>
    </w:p>
    <w:p w14:paraId="64F59639" w14:textId="77777777" w:rsidR="00577A35" w:rsidRPr="00174DE3" w:rsidRDefault="00577A35" w:rsidP="00577A35">
      <w:pPr>
        <w:spacing w:line="480" w:lineRule="auto"/>
        <w:ind w:left="0" w:firstLine="0"/>
        <w:jc w:val="both"/>
        <w:rPr>
          <w:szCs w:val="24"/>
        </w:rPr>
      </w:pPr>
      <w:r w:rsidRPr="00174DE3">
        <w:rPr>
          <w:szCs w:val="24"/>
        </w:rPr>
        <w:t>Considering torrefaction analysis (Figure 4.</w:t>
      </w:r>
      <w:r>
        <w:rPr>
          <w:szCs w:val="24"/>
        </w:rPr>
        <w:t>10</w:t>
      </w:r>
      <w:r w:rsidRPr="00174DE3">
        <w:rPr>
          <w:szCs w:val="24"/>
        </w:rPr>
        <w:t xml:space="preserve"> and Figure 4.</w:t>
      </w:r>
      <w:r>
        <w:rPr>
          <w:szCs w:val="24"/>
        </w:rPr>
        <w:t>11</w:t>
      </w:r>
      <w:r w:rsidRPr="00174DE3">
        <w:rPr>
          <w:szCs w:val="24"/>
        </w:rPr>
        <w:t>) between the COMT2 variants, the results are dominated by Guaiacol,4-vinyl- (</w:t>
      </w:r>
      <w:r w:rsidRPr="00174DE3">
        <w:rPr>
          <w:b/>
          <w:bCs/>
          <w:i/>
          <w:iCs/>
          <w:szCs w:val="24"/>
        </w:rPr>
        <w:t>G</w:t>
      </w:r>
      <w:r w:rsidRPr="00174DE3">
        <w:rPr>
          <w:szCs w:val="24"/>
        </w:rPr>
        <w:t xml:space="preserve"> monomer derived) as it constitutes approximately 45% and 56% of the </w:t>
      </w:r>
      <w:r w:rsidRPr="00EF2D6A">
        <w:rPr>
          <w:b/>
          <w:bCs/>
          <w:i/>
          <w:iCs/>
          <w:szCs w:val="24"/>
        </w:rPr>
        <w:t>G</w:t>
      </w:r>
      <w:r w:rsidRPr="00174DE3">
        <w:rPr>
          <w:szCs w:val="24"/>
        </w:rPr>
        <w:t xml:space="preserve">-lignin derived phenolic products for the mutant (low </w:t>
      </w:r>
      <w:r w:rsidRPr="00174DE3">
        <w:rPr>
          <w:b/>
          <w:bCs/>
          <w:i/>
          <w:iCs/>
          <w:szCs w:val="24"/>
        </w:rPr>
        <w:t>S/G</w:t>
      </w:r>
      <w:r w:rsidRPr="00174DE3">
        <w:rPr>
          <w:szCs w:val="24"/>
        </w:rPr>
        <w:t xml:space="preserve"> ratio) and wild type sample (high </w:t>
      </w:r>
      <w:r w:rsidRPr="00174DE3">
        <w:rPr>
          <w:b/>
          <w:bCs/>
          <w:i/>
          <w:iCs/>
          <w:szCs w:val="24"/>
        </w:rPr>
        <w:t>S/G</w:t>
      </w:r>
      <w:r w:rsidRPr="00174DE3">
        <w:rPr>
          <w:szCs w:val="24"/>
        </w:rPr>
        <w:t xml:space="preserve"> ratio) respectively. While it is expected that the wild type sample has a greater percentage of Guaiacol,4-vinyl- due to the increased abundance of the </w:t>
      </w:r>
      <w:r w:rsidRPr="00EF2D6A">
        <w:rPr>
          <w:b/>
          <w:bCs/>
          <w:i/>
          <w:iCs/>
          <w:szCs w:val="24"/>
        </w:rPr>
        <w:t>G</w:t>
      </w:r>
      <w:r w:rsidRPr="00174DE3">
        <w:rPr>
          <w:szCs w:val="24"/>
        </w:rPr>
        <w:t xml:space="preserve"> monomer units incorporated into the lignin network, the difference in the percentages between the two samples is relatively low; this could be a potential effect of the genetic modification made – the greater amount of </w:t>
      </w:r>
      <w:r w:rsidRPr="00EF2D6A">
        <w:rPr>
          <w:b/>
          <w:bCs/>
          <w:i/>
          <w:iCs/>
          <w:szCs w:val="24"/>
        </w:rPr>
        <w:t>G</w:t>
      </w:r>
      <w:r w:rsidRPr="00174DE3">
        <w:rPr>
          <w:szCs w:val="24"/>
        </w:rPr>
        <w:t xml:space="preserve"> monomers could be offset by the decrease in its decomposition as they are integrated into the polymer via stronger thermally resistant linkages. Few dimethoxy-substituted phenolic </w:t>
      </w:r>
      <w:r w:rsidRPr="00174DE3">
        <w:rPr>
          <w:szCs w:val="24"/>
        </w:rPr>
        <w:lastRenderedPageBreak/>
        <w:t xml:space="preserve">products (i.e. </w:t>
      </w:r>
      <w:r w:rsidRPr="00174DE3">
        <w:rPr>
          <w:b/>
          <w:bCs/>
          <w:i/>
          <w:iCs/>
          <w:szCs w:val="24"/>
        </w:rPr>
        <w:t>S</w:t>
      </w:r>
      <w:r w:rsidRPr="00174DE3">
        <w:rPr>
          <w:szCs w:val="24"/>
        </w:rPr>
        <w:t xml:space="preserve"> monomer derived thermal product) are detected for both samples. The yield is almost identical for the </w:t>
      </w:r>
      <w:r w:rsidRPr="00174DE3">
        <w:rPr>
          <w:b/>
          <w:bCs/>
          <w:i/>
          <w:iCs/>
          <w:szCs w:val="24"/>
        </w:rPr>
        <w:t>G</w:t>
      </w:r>
      <w:r w:rsidRPr="00174DE3">
        <w:rPr>
          <w:szCs w:val="24"/>
        </w:rPr>
        <w:t xml:space="preserve">-derived lignin phenolics products for the low temperature thermal treatment. However, the mutant sample produced approximately 1.6 times lower </w:t>
      </w:r>
      <w:r w:rsidRPr="00174DE3">
        <w:rPr>
          <w:b/>
          <w:bCs/>
          <w:i/>
          <w:iCs/>
          <w:szCs w:val="24"/>
        </w:rPr>
        <w:t>S</w:t>
      </w:r>
      <w:r w:rsidRPr="00174DE3">
        <w:rPr>
          <w:szCs w:val="24"/>
        </w:rPr>
        <w:t xml:space="preserve">-lignin derived thermal products as compared to its yield by the isogenic, wild type sample. The primary compound culpable for the majority of this difference was detected to be Syringol,4-vinyl- as the mutant sample produced approximately 75% less as compared to the wild type sample. </w:t>
      </w:r>
    </w:p>
    <w:p w14:paraId="3C90EE29" w14:textId="77777777" w:rsidR="00577A35" w:rsidRPr="00174DE3" w:rsidRDefault="00577A35" w:rsidP="00ED4E6F">
      <w:pPr>
        <w:spacing w:line="480" w:lineRule="auto"/>
        <w:ind w:left="0" w:firstLine="720"/>
        <w:jc w:val="both"/>
        <w:rPr>
          <w:szCs w:val="24"/>
        </w:rPr>
      </w:pPr>
      <w:r w:rsidRPr="00174DE3">
        <w:rPr>
          <w:szCs w:val="24"/>
        </w:rPr>
        <w:t xml:space="preserve">Of all the phenolic species identified in the low temperature thermal treatment, the most abundant thermochemical product for both mutant and wild type sample is Phenol,4-vinyl-, which is a </w:t>
      </w:r>
      <w:r w:rsidRPr="00174DE3">
        <w:rPr>
          <w:b/>
          <w:bCs/>
          <w:i/>
          <w:iCs/>
          <w:szCs w:val="24"/>
        </w:rPr>
        <w:t>H</w:t>
      </w:r>
      <w:r w:rsidRPr="00174DE3">
        <w:rPr>
          <w:szCs w:val="24"/>
        </w:rPr>
        <w:t xml:space="preserve"> monomer derived thermal product; it occupies approximately 40% and 46% of the phenolic thermal product stream for the COMT2 mutant and COMT2 wild type sample respectively. The </w:t>
      </w:r>
      <w:r w:rsidRPr="00174DE3">
        <w:rPr>
          <w:b/>
          <w:bCs/>
          <w:i/>
          <w:iCs/>
          <w:szCs w:val="24"/>
        </w:rPr>
        <w:t>H</w:t>
      </w:r>
      <w:r w:rsidRPr="00174DE3">
        <w:rPr>
          <w:szCs w:val="24"/>
        </w:rPr>
        <w:t xml:space="preserve"> monomer production pathway is not impacted by the COMT enzyme (7), and as such, the decrease in the </w:t>
      </w:r>
      <w:r w:rsidRPr="00174DE3">
        <w:rPr>
          <w:b/>
          <w:bCs/>
          <w:i/>
          <w:iCs/>
          <w:szCs w:val="24"/>
        </w:rPr>
        <w:t>H</w:t>
      </w:r>
      <w:r w:rsidRPr="00174DE3">
        <w:rPr>
          <w:szCs w:val="24"/>
        </w:rPr>
        <w:t xml:space="preserve"> monomer derived thermal product within the mutant sample as compared to the wild type is indicative of the fact that a greater portion of the </w:t>
      </w:r>
      <w:r w:rsidRPr="00174DE3">
        <w:rPr>
          <w:b/>
          <w:bCs/>
          <w:i/>
          <w:iCs/>
          <w:szCs w:val="24"/>
        </w:rPr>
        <w:t>H</w:t>
      </w:r>
      <w:r w:rsidRPr="00174DE3">
        <w:rPr>
          <w:szCs w:val="24"/>
        </w:rPr>
        <w:t xml:space="preserve"> monomer units may have been incorporated into the lignin synthesis network of the biomass via stronger crosslinks as a result of the mutation. </w:t>
      </w:r>
    </w:p>
    <w:p w14:paraId="1F0D727D" w14:textId="77777777" w:rsidR="00577A35" w:rsidRDefault="00577A35" w:rsidP="00577A35">
      <w:pPr>
        <w:ind w:left="0" w:firstLine="0"/>
        <w:rPr>
          <w:szCs w:val="24"/>
        </w:rPr>
      </w:pPr>
    </w:p>
    <w:p w14:paraId="61EDE5D9" w14:textId="77777777" w:rsidR="00577A35" w:rsidRDefault="00577A35" w:rsidP="00577A35">
      <w:pPr>
        <w:ind w:left="0" w:firstLine="0"/>
        <w:rPr>
          <w:szCs w:val="24"/>
        </w:rPr>
      </w:pPr>
    </w:p>
    <w:p w14:paraId="7E9797C3" w14:textId="77777777" w:rsidR="00577A35" w:rsidRDefault="00577A35" w:rsidP="00577A35">
      <w:pPr>
        <w:ind w:left="0" w:firstLine="0"/>
        <w:rPr>
          <w:szCs w:val="24"/>
        </w:rPr>
      </w:pPr>
    </w:p>
    <w:p w14:paraId="18A5FD31" w14:textId="77777777" w:rsidR="00577A35" w:rsidRDefault="00577A35" w:rsidP="00577A35">
      <w:pPr>
        <w:ind w:left="0" w:firstLine="0"/>
        <w:rPr>
          <w:szCs w:val="24"/>
        </w:rPr>
      </w:pPr>
    </w:p>
    <w:p w14:paraId="32EF0343" w14:textId="77777777" w:rsidR="00577A35" w:rsidRDefault="00577A35" w:rsidP="00577A35">
      <w:pPr>
        <w:ind w:left="0" w:firstLine="0"/>
        <w:rPr>
          <w:szCs w:val="24"/>
        </w:rPr>
      </w:pPr>
    </w:p>
    <w:p w14:paraId="165CFF9A" w14:textId="77777777" w:rsidR="00577A35" w:rsidRDefault="00577A35" w:rsidP="00577A35">
      <w:pPr>
        <w:ind w:left="0" w:firstLine="0"/>
        <w:rPr>
          <w:szCs w:val="24"/>
        </w:rPr>
      </w:pPr>
    </w:p>
    <w:p w14:paraId="08C67DC2" w14:textId="77777777" w:rsidR="00577A35" w:rsidRPr="00174DE3" w:rsidRDefault="00577A35" w:rsidP="00577A35">
      <w:pPr>
        <w:ind w:left="0" w:firstLine="0"/>
        <w:rPr>
          <w:szCs w:val="24"/>
        </w:rPr>
      </w:pPr>
    </w:p>
    <w:p w14:paraId="41D3218A" w14:textId="77777777" w:rsidR="00577A35" w:rsidRDefault="00577A35" w:rsidP="00577A35">
      <w:pPr>
        <w:ind w:left="0" w:firstLine="0"/>
        <w:rPr>
          <w:szCs w:val="24"/>
        </w:rPr>
      </w:pPr>
    </w:p>
    <w:p w14:paraId="5BBA8F76" w14:textId="77777777" w:rsidR="00577A35" w:rsidRDefault="00553340" w:rsidP="00577A35">
      <w:pPr>
        <w:ind w:left="0" w:firstLine="0"/>
        <w:rPr>
          <w:szCs w:val="24"/>
        </w:rPr>
      </w:pPr>
      <w:r w:rsidRPr="00174DE3">
        <w:rPr>
          <w:noProof/>
          <w:szCs w:val="24"/>
        </w:rPr>
        <w:lastRenderedPageBreak/>
        <mc:AlternateContent>
          <mc:Choice Requires="wps">
            <w:drawing>
              <wp:anchor distT="0" distB="0" distL="114300" distR="114300" simplePos="0" relativeHeight="251727872" behindDoc="0" locked="0" layoutInCell="1" allowOverlap="1" wp14:anchorId="31205594" wp14:editId="407FE981">
                <wp:simplePos x="0" y="0"/>
                <wp:positionH relativeFrom="margin">
                  <wp:posOffset>1619250</wp:posOffset>
                </wp:positionH>
                <wp:positionV relativeFrom="paragraph">
                  <wp:posOffset>5080</wp:posOffset>
                </wp:positionV>
                <wp:extent cx="2428875" cy="5000625"/>
                <wp:effectExtent l="0" t="0" r="28575" b="28575"/>
                <wp:wrapSquare wrapText="bothSides"/>
                <wp:docPr id="218" name="TextBox 9"/>
                <wp:cNvGraphicFramePr/>
                <a:graphic xmlns:a="http://schemas.openxmlformats.org/drawingml/2006/main">
                  <a:graphicData uri="http://schemas.microsoft.com/office/word/2010/wordprocessingShape">
                    <wps:wsp>
                      <wps:cNvSpPr txBox="1"/>
                      <wps:spPr>
                        <a:xfrm>
                          <a:off x="0" y="0"/>
                          <a:ext cx="2428875" cy="500062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415B6C2" w14:textId="77777777" w:rsidR="00AA26F6" w:rsidRPr="00553340" w:rsidRDefault="00AA26F6" w:rsidP="00577A35">
                            <w:pPr>
                              <w:jc w:val="center"/>
                              <w:rPr>
                                <w:sz w:val="32"/>
                                <w:szCs w:val="32"/>
                              </w:rPr>
                            </w:pPr>
                            <w:r w:rsidRPr="00553340">
                              <w:rPr>
                                <w:rFonts w:hAnsi="Calibri"/>
                                <w:b/>
                                <w:bCs/>
                                <w:color w:val="ED7D31" w:themeColor="accent2"/>
                                <w:sz w:val="32"/>
                                <w:szCs w:val="32"/>
                                <w:u w:val="single"/>
                              </w:rPr>
                              <w:t>G-monomer derived compounds identified:</w:t>
                            </w:r>
                          </w:p>
                          <w:p w14:paraId="5010DD95"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Vanillin</w:t>
                            </w:r>
                          </w:p>
                          <w:p w14:paraId="3211844E"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Homovanillin</w:t>
                            </w:r>
                          </w:p>
                          <w:p w14:paraId="650D82BE"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Eugenol</w:t>
                            </w:r>
                          </w:p>
                          <w:p w14:paraId="525DAE21"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Isoeugenol (cis/trans)</w:t>
                            </w:r>
                          </w:p>
                          <w:p w14:paraId="6EEE1289"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Guaiacol, 4-vinyl-</w:t>
                            </w:r>
                          </w:p>
                          <w:p w14:paraId="3E49F6D9"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Guaiacol, 4-ethyl-</w:t>
                            </w:r>
                          </w:p>
                          <w:p w14:paraId="368FBE05"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Guaiacol</w:t>
                            </w:r>
                          </w:p>
                          <w:p w14:paraId="4379A1D4"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Guaiacol, 3-methyl-</w:t>
                            </w:r>
                          </w:p>
                          <w:p w14:paraId="2C421DF4" w14:textId="77777777" w:rsidR="00AA26F6" w:rsidRDefault="00AA26F6" w:rsidP="00553340">
                            <w:pPr>
                              <w:spacing w:line="240" w:lineRule="auto"/>
                              <w:ind w:left="14" w:right="58" w:hanging="14"/>
                              <w:jc w:val="center"/>
                              <w:rPr>
                                <w:rFonts w:hAnsi="Calibri"/>
                                <w:color w:val="000000" w:themeColor="dark1"/>
                                <w:szCs w:val="24"/>
                              </w:rPr>
                            </w:pPr>
                            <w:r w:rsidRPr="003D75B9">
                              <w:rPr>
                                <w:rFonts w:hAnsi="Calibri"/>
                                <w:color w:val="000000" w:themeColor="dark1"/>
                                <w:szCs w:val="24"/>
                              </w:rPr>
                              <w:t>Guaiacyl acetone</w:t>
                            </w:r>
                          </w:p>
                          <w:p w14:paraId="7F83EE9B" w14:textId="77777777" w:rsidR="00AA26F6" w:rsidRDefault="00AA26F6" w:rsidP="00553340">
                            <w:pPr>
                              <w:spacing w:line="240" w:lineRule="auto"/>
                              <w:ind w:left="14" w:right="58" w:hanging="14"/>
                              <w:jc w:val="center"/>
                            </w:pPr>
                          </w:p>
                          <w:p w14:paraId="0365AFC4" w14:textId="77777777" w:rsidR="00AA26F6" w:rsidRPr="00553340" w:rsidRDefault="00AA26F6" w:rsidP="00577A35">
                            <w:pPr>
                              <w:jc w:val="center"/>
                              <w:rPr>
                                <w:sz w:val="32"/>
                                <w:szCs w:val="32"/>
                              </w:rPr>
                            </w:pPr>
                            <w:r w:rsidRPr="00553340">
                              <w:rPr>
                                <w:rFonts w:hAnsi="Calibri"/>
                                <w:b/>
                                <w:bCs/>
                                <w:color w:val="00B050"/>
                                <w:sz w:val="32"/>
                                <w:szCs w:val="32"/>
                                <w:u w:val="single"/>
                              </w:rPr>
                              <w:t>S-monomer derived compounds identified:</w:t>
                            </w:r>
                          </w:p>
                          <w:p w14:paraId="6F14A4A1"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Syringol</w:t>
                            </w:r>
                          </w:p>
                          <w:p w14:paraId="05FC97B2"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Syringol, 4-propenyl- (cis/trans)</w:t>
                            </w:r>
                          </w:p>
                          <w:p w14:paraId="46544E06"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Synringol, 4-vinyl-</w:t>
                            </w:r>
                          </w:p>
                          <w:p w14:paraId="2B420529"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Syringol, 4-ethyl-</w:t>
                            </w:r>
                          </w:p>
                          <w:p w14:paraId="1ECCCC97"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Syringol, 4-methyl-</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1205594" id="TextBox 9" o:spid="_x0000_s1056" type="#_x0000_t202" style="position:absolute;margin-left:127.5pt;margin-top:.4pt;width:191.25pt;height:393.7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" fillcolor="white [3201]" strokecolor="#7f7f7f [1601]">
                <v:textbox>
                  <w:txbxContent>
                    <w:p w14:paraId="0415B6C2" w14:textId="77777777" w:rsidR="00AA26F6" w:rsidRPr="00553340" w:rsidRDefault="00AA26F6" w:rsidP="00577A35">
                      <w:pPr>
                        <w:jc w:val="center"/>
                        <w:rPr>
                          <w:sz w:val="32"/>
                          <w:szCs w:val="32"/>
                        </w:rPr>
                      </w:pPr>
                      <w:r w:rsidRPr="00553340">
                        <w:rPr>
                          <w:rFonts w:hAnsi="Calibri"/>
                          <w:b/>
                          <w:bCs/>
                          <w:color w:val="ED7D31" w:themeColor="accent2"/>
                          <w:sz w:val="32"/>
                          <w:szCs w:val="32"/>
                          <w:u w:val="single"/>
                        </w:rPr>
                        <w:t>G-monomer derived compounds identified:</w:t>
                      </w:r>
                    </w:p>
                    <w:p w14:paraId="5010DD95"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Vanillin</w:t>
                      </w:r>
                    </w:p>
                    <w:p w14:paraId="3211844E"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Homovanillin</w:t>
                      </w:r>
                    </w:p>
                    <w:p w14:paraId="650D82BE"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Eugenol</w:t>
                      </w:r>
                    </w:p>
                    <w:p w14:paraId="525DAE21"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Isoeugenol (cis/trans)</w:t>
                      </w:r>
                    </w:p>
                    <w:p w14:paraId="6EEE1289"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Guaiacol, 4-vinyl-</w:t>
                      </w:r>
                    </w:p>
                    <w:p w14:paraId="3E49F6D9"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Guaiacol, 4-ethyl-</w:t>
                      </w:r>
                    </w:p>
                    <w:p w14:paraId="368FBE05"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Guaiacol</w:t>
                      </w:r>
                    </w:p>
                    <w:p w14:paraId="4379A1D4"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Guaiacol, 3-methyl-</w:t>
                      </w:r>
                    </w:p>
                    <w:p w14:paraId="2C421DF4" w14:textId="77777777" w:rsidR="00AA26F6" w:rsidRDefault="00AA26F6" w:rsidP="00553340">
                      <w:pPr>
                        <w:spacing w:line="240" w:lineRule="auto"/>
                        <w:ind w:left="14" w:right="58" w:hanging="14"/>
                        <w:jc w:val="center"/>
                        <w:rPr>
                          <w:rFonts w:hAnsi="Calibri"/>
                          <w:color w:val="000000" w:themeColor="dark1"/>
                          <w:szCs w:val="24"/>
                        </w:rPr>
                      </w:pPr>
                      <w:r w:rsidRPr="003D75B9">
                        <w:rPr>
                          <w:rFonts w:hAnsi="Calibri"/>
                          <w:color w:val="000000" w:themeColor="dark1"/>
                          <w:szCs w:val="24"/>
                        </w:rPr>
                        <w:t>Guaiacyl acetone</w:t>
                      </w:r>
                    </w:p>
                    <w:p w14:paraId="7F83EE9B" w14:textId="77777777" w:rsidR="00AA26F6" w:rsidRDefault="00AA26F6" w:rsidP="00553340">
                      <w:pPr>
                        <w:spacing w:line="240" w:lineRule="auto"/>
                        <w:ind w:left="14" w:right="58" w:hanging="14"/>
                        <w:jc w:val="center"/>
                      </w:pPr>
                    </w:p>
                    <w:p w14:paraId="0365AFC4" w14:textId="77777777" w:rsidR="00AA26F6" w:rsidRPr="00553340" w:rsidRDefault="00AA26F6" w:rsidP="00577A35">
                      <w:pPr>
                        <w:jc w:val="center"/>
                        <w:rPr>
                          <w:sz w:val="32"/>
                          <w:szCs w:val="32"/>
                        </w:rPr>
                      </w:pPr>
                      <w:r w:rsidRPr="00553340">
                        <w:rPr>
                          <w:rFonts w:hAnsi="Calibri"/>
                          <w:b/>
                          <w:bCs/>
                          <w:color w:val="00B050"/>
                          <w:sz w:val="32"/>
                          <w:szCs w:val="32"/>
                          <w:u w:val="single"/>
                        </w:rPr>
                        <w:t>S-monomer derived compounds identified:</w:t>
                      </w:r>
                    </w:p>
                    <w:p w14:paraId="6F14A4A1"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Syringol</w:t>
                      </w:r>
                    </w:p>
                    <w:p w14:paraId="05FC97B2"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Syringol, 4-propenyl- (cis/trans)</w:t>
                      </w:r>
                    </w:p>
                    <w:p w14:paraId="46544E06"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Synringol, 4-vinyl-</w:t>
                      </w:r>
                    </w:p>
                    <w:p w14:paraId="2B420529"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Syringol, 4-ethyl-</w:t>
                      </w:r>
                    </w:p>
                    <w:p w14:paraId="1ECCCC97" w14:textId="77777777" w:rsidR="00AA26F6" w:rsidRPr="003D75B9" w:rsidRDefault="00AA26F6" w:rsidP="00553340">
                      <w:pPr>
                        <w:spacing w:line="240" w:lineRule="auto"/>
                        <w:ind w:left="14" w:right="58" w:hanging="14"/>
                        <w:jc w:val="center"/>
                        <w:rPr>
                          <w:szCs w:val="24"/>
                        </w:rPr>
                      </w:pPr>
                      <w:r w:rsidRPr="003D75B9">
                        <w:rPr>
                          <w:rFonts w:hAnsi="Calibri"/>
                          <w:color w:val="000000" w:themeColor="dark1"/>
                          <w:szCs w:val="24"/>
                        </w:rPr>
                        <w:t>Syringol, 4-methyl-</w:t>
                      </w:r>
                    </w:p>
                  </w:txbxContent>
                </v:textbox>
                <w10:wrap type="square" anchorx="margin"/>
              </v:shape>
            </w:pict>
          </mc:Fallback>
        </mc:AlternateContent>
      </w:r>
    </w:p>
    <w:p w14:paraId="1F1E8407" w14:textId="77777777" w:rsidR="00577A35" w:rsidRDefault="00577A35" w:rsidP="00577A35">
      <w:pPr>
        <w:ind w:left="0" w:firstLine="0"/>
        <w:rPr>
          <w:szCs w:val="24"/>
        </w:rPr>
      </w:pPr>
    </w:p>
    <w:p w14:paraId="70BBB211" w14:textId="77777777" w:rsidR="00577A35" w:rsidRDefault="00577A35" w:rsidP="00577A35">
      <w:pPr>
        <w:ind w:left="0" w:firstLine="0"/>
        <w:rPr>
          <w:szCs w:val="24"/>
        </w:rPr>
      </w:pPr>
    </w:p>
    <w:p w14:paraId="6BAB38D9" w14:textId="77777777" w:rsidR="00577A35" w:rsidRDefault="00577A35" w:rsidP="00577A35">
      <w:pPr>
        <w:ind w:left="0" w:firstLine="0"/>
        <w:rPr>
          <w:szCs w:val="24"/>
        </w:rPr>
      </w:pPr>
    </w:p>
    <w:p w14:paraId="22B0D4A5" w14:textId="77777777" w:rsidR="00577A35" w:rsidRDefault="00577A35" w:rsidP="00577A35">
      <w:pPr>
        <w:ind w:left="0" w:firstLine="0"/>
        <w:rPr>
          <w:szCs w:val="24"/>
        </w:rPr>
      </w:pPr>
    </w:p>
    <w:p w14:paraId="74DA827F" w14:textId="77777777" w:rsidR="00577A35" w:rsidRDefault="00577A35" w:rsidP="00577A35">
      <w:pPr>
        <w:ind w:left="0" w:firstLine="0"/>
        <w:rPr>
          <w:szCs w:val="24"/>
        </w:rPr>
      </w:pPr>
    </w:p>
    <w:p w14:paraId="7DCD4A0E" w14:textId="77777777" w:rsidR="00577A35" w:rsidRDefault="00577A35" w:rsidP="00577A35">
      <w:pPr>
        <w:ind w:left="0" w:firstLine="0"/>
        <w:rPr>
          <w:szCs w:val="24"/>
        </w:rPr>
      </w:pPr>
    </w:p>
    <w:p w14:paraId="479EE81B" w14:textId="77777777" w:rsidR="00577A35" w:rsidRDefault="00577A35" w:rsidP="00577A35">
      <w:pPr>
        <w:ind w:left="0" w:firstLine="0"/>
        <w:rPr>
          <w:szCs w:val="24"/>
        </w:rPr>
      </w:pPr>
    </w:p>
    <w:p w14:paraId="363B38BD" w14:textId="77777777" w:rsidR="00577A35" w:rsidRDefault="00577A35" w:rsidP="00577A35">
      <w:pPr>
        <w:ind w:left="0" w:firstLine="0"/>
        <w:rPr>
          <w:szCs w:val="24"/>
        </w:rPr>
      </w:pPr>
    </w:p>
    <w:p w14:paraId="18FC77D7" w14:textId="77777777" w:rsidR="00577A35" w:rsidRDefault="00577A35" w:rsidP="00577A35">
      <w:pPr>
        <w:ind w:left="0" w:firstLine="0"/>
        <w:rPr>
          <w:szCs w:val="24"/>
        </w:rPr>
      </w:pPr>
    </w:p>
    <w:p w14:paraId="288E2A08" w14:textId="77777777" w:rsidR="00577A35" w:rsidRDefault="00577A35" w:rsidP="00577A35">
      <w:pPr>
        <w:ind w:left="0" w:firstLine="0"/>
        <w:rPr>
          <w:szCs w:val="24"/>
        </w:rPr>
      </w:pPr>
    </w:p>
    <w:p w14:paraId="70EF2DD9" w14:textId="77777777" w:rsidR="00577A35" w:rsidRDefault="00577A35" w:rsidP="00577A35">
      <w:pPr>
        <w:ind w:left="0" w:firstLine="0"/>
        <w:rPr>
          <w:szCs w:val="24"/>
        </w:rPr>
      </w:pPr>
    </w:p>
    <w:p w14:paraId="22BEDFD6" w14:textId="77777777" w:rsidR="00577A35" w:rsidRDefault="00577A35" w:rsidP="00577A35">
      <w:pPr>
        <w:ind w:left="0" w:firstLine="0"/>
        <w:rPr>
          <w:szCs w:val="24"/>
        </w:rPr>
      </w:pPr>
    </w:p>
    <w:p w14:paraId="0F9DCDEA" w14:textId="77777777" w:rsidR="00577A35" w:rsidRDefault="00F43E7C" w:rsidP="00577A35">
      <w:pPr>
        <w:ind w:left="0" w:firstLine="0"/>
        <w:rPr>
          <w:szCs w:val="24"/>
        </w:rPr>
      </w:pPr>
      <w:r>
        <w:rPr>
          <w:noProof/>
        </w:rPr>
        <mc:AlternateContent>
          <mc:Choice Requires="wps">
            <w:drawing>
              <wp:anchor distT="0" distB="0" distL="114300" distR="114300" simplePos="0" relativeHeight="251816960" behindDoc="0" locked="0" layoutInCell="1" allowOverlap="1" wp14:anchorId="062DD26F" wp14:editId="26EE9443">
                <wp:simplePos x="0" y="0"/>
                <wp:positionH relativeFrom="margin">
                  <wp:align>right</wp:align>
                </wp:positionH>
                <wp:positionV relativeFrom="paragraph">
                  <wp:posOffset>431800</wp:posOffset>
                </wp:positionV>
                <wp:extent cx="5943600" cy="635"/>
                <wp:effectExtent l="0" t="0" r="0" b="8255"/>
                <wp:wrapSquare wrapText="bothSides"/>
                <wp:docPr id="279" name="Text Box 279"/>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BB81413" w14:textId="789A2C39" w:rsidR="00AA26F6" w:rsidRPr="00F43E7C" w:rsidRDefault="00AA26F6" w:rsidP="00F43E7C">
                            <w:pPr>
                              <w:pStyle w:val="Caption"/>
                              <w:jc w:val="center"/>
                              <w:rPr>
                                <w:i w:val="0"/>
                                <w:iCs w:val="0"/>
                                <w:noProof/>
                                <w:color w:val="auto"/>
                                <w:sz w:val="24"/>
                                <w:szCs w:val="24"/>
                              </w:rPr>
                            </w:pPr>
                            <w:bookmarkStart w:id="92" w:name="_Toc14520666"/>
                            <w:r w:rsidRPr="00F43E7C">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9</w:t>
                            </w:r>
                            <w:r>
                              <w:rPr>
                                <w:b/>
                                <w:bCs/>
                                <w:i w:val="0"/>
                                <w:iCs w:val="0"/>
                                <w:color w:val="auto"/>
                                <w:sz w:val="24"/>
                                <w:szCs w:val="24"/>
                              </w:rPr>
                              <w:fldChar w:fldCharType="end"/>
                            </w:r>
                            <w:r w:rsidRPr="00F43E7C">
                              <w:rPr>
                                <w:b/>
                                <w:bCs/>
                                <w:i w:val="0"/>
                                <w:iCs w:val="0"/>
                                <w:color w:val="auto"/>
                                <w:sz w:val="24"/>
                                <w:szCs w:val="24"/>
                              </w:rPr>
                              <w:t>:</w:t>
                            </w:r>
                            <w:r w:rsidRPr="00F43E7C">
                              <w:rPr>
                                <w:i w:val="0"/>
                                <w:iCs w:val="0"/>
                                <w:color w:val="auto"/>
                                <w:sz w:val="24"/>
                                <w:szCs w:val="24"/>
                              </w:rPr>
                              <w:t xml:space="preserve"> List of organic phenolic species identified through their originating monomer units as used in this study</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62DD26F" id="Text Box 279" o:spid="_x0000_s1057" type="#_x0000_t202" style="position:absolute;margin-left:416.8pt;margin-top:34pt;width:468pt;height:.05pt;z-index:2518169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" stroked="f">
                <v:textbox style="mso-fit-shape-to-text:t" inset="0,0,0,0">
                  <w:txbxContent>
                    <w:p w14:paraId="4BB81413" w14:textId="789A2C39" w:rsidR="00AA26F6" w:rsidRPr="00F43E7C" w:rsidRDefault="00AA26F6" w:rsidP="00F43E7C">
                      <w:pPr>
                        <w:pStyle w:val="Caption"/>
                        <w:jc w:val="center"/>
                        <w:rPr>
                          <w:i w:val="0"/>
                          <w:iCs w:val="0"/>
                          <w:noProof/>
                          <w:color w:val="auto"/>
                          <w:sz w:val="24"/>
                          <w:szCs w:val="24"/>
                        </w:rPr>
                      </w:pPr>
                      <w:bookmarkStart w:id="93" w:name="_Toc14520666"/>
                      <w:r w:rsidRPr="00F43E7C">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9</w:t>
                      </w:r>
                      <w:r>
                        <w:rPr>
                          <w:b/>
                          <w:bCs/>
                          <w:i w:val="0"/>
                          <w:iCs w:val="0"/>
                          <w:color w:val="auto"/>
                          <w:sz w:val="24"/>
                          <w:szCs w:val="24"/>
                        </w:rPr>
                        <w:fldChar w:fldCharType="end"/>
                      </w:r>
                      <w:r w:rsidRPr="00F43E7C">
                        <w:rPr>
                          <w:b/>
                          <w:bCs/>
                          <w:i w:val="0"/>
                          <w:iCs w:val="0"/>
                          <w:color w:val="auto"/>
                          <w:sz w:val="24"/>
                          <w:szCs w:val="24"/>
                        </w:rPr>
                        <w:t>:</w:t>
                      </w:r>
                      <w:r w:rsidRPr="00F43E7C">
                        <w:rPr>
                          <w:i w:val="0"/>
                          <w:iCs w:val="0"/>
                          <w:color w:val="auto"/>
                          <w:sz w:val="24"/>
                          <w:szCs w:val="24"/>
                        </w:rPr>
                        <w:t xml:space="preserve"> List of organic phenolic species identified through their originating monomer units as used in this study</w:t>
                      </w:r>
                      <w:bookmarkEnd w:id="93"/>
                    </w:p>
                  </w:txbxContent>
                </v:textbox>
                <w10:wrap type="square" anchorx="margin"/>
              </v:shape>
            </w:pict>
          </mc:Fallback>
        </mc:AlternateContent>
      </w:r>
    </w:p>
    <w:p w14:paraId="33F15430" w14:textId="77777777" w:rsidR="00577A35" w:rsidRDefault="00577A35" w:rsidP="00577A35">
      <w:pPr>
        <w:ind w:left="0" w:firstLine="0"/>
        <w:rPr>
          <w:szCs w:val="24"/>
        </w:rPr>
      </w:pPr>
    </w:p>
    <w:p w14:paraId="4C378888" w14:textId="77777777" w:rsidR="00577A35" w:rsidRDefault="00577A35" w:rsidP="00577A35">
      <w:pPr>
        <w:ind w:left="0" w:firstLine="0"/>
        <w:rPr>
          <w:szCs w:val="24"/>
        </w:rPr>
      </w:pPr>
    </w:p>
    <w:p w14:paraId="097DB41C" w14:textId="77777777" w:rsidR="00577A35" w:rsidRDefault="00577A35" w:rsidP="00577A35">
      <w:pPr>
        <w:ind w:left="0" w:firstLine="0"/>
        <w:rPr>
          <w:szCs w:val="24"/>
        </w:rPr>
      </w:pPr>
    </w:p>
    <w:p w14:paraId="36733C76" w14:textId="77777777" w:rsidR="00577A35" w:rsidRDefault="00577A35" w:rsidP="00577A35">
      <w:pPr>
        <w:ind w:left="0" w:firstLine="0"/>
        <w:rPr>
          <w:szCs w:val="24"/>
        </w:rPr>
      </w:pPr>
    </w:p>
    <w:p w14:paraId="7DE34DBC" w14:textId="77777777" w:rsidR="00577A35" w:rsidRDefault="00577A35" w:rsidP="00577A35">
      <w:pPr>
        <w:ind w:left="0" w:firstLine="0"/>
        <w:rPr>
          <w:szCs w:val="24"/>
        </w:rPr>
      </w:pPr>
    </w:p>
    <w:p w14:paraId="142A2175" w14:textId="77777777" w:rsidR="00577A35" w:rsidRDefault="00577A35" w:rsidP="00577A35">
      <w:pPr>
        <w:ind w:left="0" w:firstLine="0"/>
        <w:rPr>
          <w:szCs w:val="24"/>
        </w:rPr>
      </w:pPr>
    </w:p>
    <w:p w14:paraId="2F52383B" w14:textId="77777777" w:rsidR="00F43E7C" w:rsidRDefault="00675DB8" w:rsidP="00F43E7C">
      <w:pPr>
        <w:keepNext/>
        <w:ind w:left="0" w:firstLine="0"/>
        <w:jc w:val="center"/>
      </w:pPr>
      <w:r w:rsidRPr="00174DE3">
        <w:rPr>
          <w:noProof/>
          <w:szCs w:val="24"/>
        </w:rPr>
        <w:lastRenderedPageBreak/>
        <w:drawing>
          <wp:inline distT="0" distB="0" distL="0" distR="0" wp14:anchorId="29BAA110" wp14:editId="77C1AAAA">
            <wp:extent cx="4895850" cy="2828925"/>
            <wp:effectExtent l="0" t="0" r="0" b="9525"/>
            <wp:docPr id="235" name="Chart 235">
              <a:extLst xmlns:a="http://schemas.openxmlformats.org/drawingml/2006/main">
                <a:ext uri="{FF2B5EF4-FFF2-40B4-BE49-F238E27FC236}">
                  <a16:creationId xmlns:a16="http://schemas.microsoft.com/office/drawing/2014/main" id="{234E07D2-00D3-40D0-9F70-679A9B1985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0440827" w14:textId="196448E7" w:rsidR="00577A35" w:rsidRPr="00F43E7C" w:rsidRDefault="00F43E7C" w:rsidP="00F43E7C">
      <w:pPr>
        <w:pStyle w:val="Caption"/>
        <w:jc w:val="center"/>
        <w:rPr>
          <w:i w:val="0"/>
          <w:iCs w:val="0"/>
          <w:color w:val="auto"/>
          <w:sz w:val="24"/>
          <w:szCs w:val="24"/>
        </w:rPr>
      </w:pPr>
      <w:bookmarkStart w:id="94" w:name="_Toc14520667"/>
      <w:r w:rsidRPr="00F43E7C">
        <w:rPr>
          <w:b/>
          <w:bCs/>
          <w:i w:val="0"/>
          <w:iCs w:val="0"/>
          <w:color w:val="auto"/>
          <w:sz w:val="24"/>
          <w:szCs w:val="24"/>
        </w:rPr>
        <w:t xml:space="preserve">Figure </w:t>
      </w:r>
      <w:r w:rsidR="00600100">
        <w:rPr>
          <w:b/>
          <w:bCs/>
          <w:i w:val="0"/>
          <w:iCs w:val="0"/>
          <w:color w:val="auto"/>
          <w:sz w:val="24"/>
          <w:szCs w:val="24"/>
        </w:rPr>
        <w:fldChar w:fldCharType="begin"/>
      </w:r>
      <w:r w:rsidR="00600100">
        <w:rPr>
          <w:b/>
          <w:bCs/>
          <w:i w:val="0"/>
          <w:iCs w:val="0"/>
          <w:color w:val="auto"/>
          <w:sz w:val="24"/>
          <w:szCs w:val="24"/>
        </w:rPr>
        <w:instrText xml:space="preserve"> STYLEREF 1 \s </w:instrText>
      </w:r>
      <w:r w:rsidR="00600100">
        <w:rPr>
          <w:b/>
          <w:bCs/>
          <w:i w:val="0"/>
          <w:iCs w:val="0"/>
          <w:color w:val="auto"/>
          <w:sz w:val="24"/>
          <w:szCs w:val="24"/>
        </w:rPr>
        <w:fldChar w:fldCharType="separate"/>
      </w:r>
      <w:r w:rsidR="00815371">
        <w:rPr>
          <w:b/>
          <w:bCs/>
          <w:i w:val="0"/>
          <w:iCs w:val="0"/>
          <w:noProof/>
          <w:color w:val="auto"/>
          <w:sz w:val="24"/>
          <w:szCs w:val="24"/>
        </w:rPr>
        <w:t>4</w:t>
      </w:r>
      <w:r w:rsidR="00600100">
        <w:rPr>
          <w:b/>
          <w:bCs/>
          <w:i w:val="0"/>
          <w:iCs w:val="0"/>
          <w:color w:val="auto"/>
          <w:sz w:val="24"/>
          <w:szCs w:val="24"/>
        </w:rPr>
        <w:fldChar w:fldCharType="end"/>
      </w:r>
      <w:r w:rsidR="00600100">
        <w:rPr>
          <w:b/>
          <w:bCs/>
          <w:i w:val="0"/>
          <w:iCs w:val="0"/>
          <w:color w:val="auto"/>
          <w:sz w:val="24"/>
          <w:szCs w:val="24"/>
        </w:rPr>
        <w:t>.</w:t>
      </w:r>
      <w:r w:rsidR="00600100">
        <w:rPr>
          <w:b/>
          <w:bCs/>
          <w:i w:val="0"/>
          <w:iCs w:val="0"/>
          <w:color w:val="auto"/>
          <w:sz w:val="24"/>
          <w:szCs w:val="24"/>
        </w:rPr>
        <w:fldChar w:fldCharType="begin"/>
      </w:r>
      <w:r w:rsidR="00600100">
        <w:rPr>
          <w:b/>
          <w:bCs/>
          <w:i w:val="0"/>
          <w:iCs w:val="0"/>
          <w:color w:val="auto"/>
          <w:sz w:val="24"/>
          <w:szCs w:val="24"/>
        </w:rPr>
        <w:instrText xml:space="preserve"> SEQ Figure \* ARABIC \s 1 </w:instrText>
      </w:r>
      <w:r w:rsidR="00600100">
        <w:rPr>
          <w:b/>
          <w:bCs/>
          <w:i w:val="0"/>
          <w:iCs w:val="0"/>
          <w:color w:val="auto"/>
          <w:sz w:val="24"/>
          <w:szCs w:val="24"/>
        </w:rPr>
        <w:fldChar w:fldCharType="separate"/>
      </w:r>
      <w:r w:rsidR="00815371">
        <w:rPr>
          <w:b/>
          <w:bCs/>
          <w:i w:val="0"/>
          <w:iCs w:val="0"/>
          <w:noProof/>
          <w:color w:val="auto"/>
          <w:sz w:val="24"/>
          <w:szCs w:val="24"/>
        </w:rPr>
        <w:t>10</w:t>
      </w:r>
      <w:r w:rsidR="00600100">
        <w:rPr>
          <w:b/>
          <w:bCs/>
          <w:i w:val="0"/>
          <w:iCs w:val="0"/>
          <w:color w:val="auto"/>
          <w:sz w:val="24"/>
          <w:szCs w:val="24"/>
        </w:rPr>
        <w:fldChar w:fldCharType="end"/>
      </w:r>
      <w:r w:rsidRPr="00F43E7C">
        <w:rPr>
          <w:b/>
          <w:bCs/>
          <w:i w:val="0"/>
          <w:iCs w:val="0"/>
          <w:color w:val="auto"/>
          <w:sz w:val="24"/>
          <w:szCs w:val="24"/>
        </w:rPr>
        <w:t>:</w:t>
      </w:r>
      <w:r w:rsidRPr="00F43E7C">
        <w:rPr>
          <w:i w:val="0"/>
          <w:iCs w:val="0"/>
          <w:color w:val="auto"/>
          <w:sz w:val="24"/>
          <w:szCs w:val="24"/>
        </w:rPr>
        <w:t xml:space="preserve"> Distribution of phenolic compounds displayed through their originating monomer unit upon torrefaction of COMT2 mutant switchgrass</w:t>
      </w:r>
      <w:bookmarkEnd w:id="94"/>
    </w:p>
    <w:p w14:paraId="4CF9760A" w14:textId="77777777" w:rsidR="00577A35" w:rsidRDefault="00577A35" w:rsidP="00577A35">
      <w:pPr>
        <w:ind w:left="0" w:firstLine="0"/>
        <w:rPr>
          <w:szCs w:val="24"/>
        </w:rPr>
      </w:pPr>
    </w:p>
    <w:p w14:paraId="19324E7B" w14:textId="77777777" w:rsidR="00F43E7C" w:rsidRDefault="00F43E7C" w:rsidP="00F43E7C">
      <w:pPr>
        <w:keepNext/>
        <w:ind w:left="0" w:firstLine="0"/>
        <w:jc w:val="center"/>
      </w:pPr>
      <w:r w:rsidRPr="00174DE3">
        <w:rPr>
          <w:noProof/>
          <w:szCs w:val="24"/>
        </w:rPr>
        <w:drawing>
          <wp:inline distT="0" distB="0" distL="0" distR="0" wp14:anchorId="5BBD4360" wp14:editId="06CEB164">
            <wp:extent cx="4981575" cy="2970530"/>
            <wp:effectExtent l="0" t="0" r="9525" b="1270"/>
            <wp:docPr id="236" name="Chart 236">
              <a:extLst xmlns:a="http://schemas.openxmlformats.org/drawingml/2006/main">
                <a:ext uri="{FF2B5EF4-FFF2-40B4-BE49-F238E27FC236}">
                  <a16:creationId xmlns:a16="http://schemas.microsoft.com/office/drawing/2014/main" id="{6569AC03-3901-41D2-96E7-CE5524C2A5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9F97550" w14:textId="3A809C1E" w:rsidR="00577A35" w:rsidRPr="00F43E7C" w:rsidRDefault="00F43E7C" w:rsidP="00F43E7C">
      <w:pPr>
        <w:pStyle w:val="Caption"/>
        <w:jc w:val="center"/>
        <w:rPr>
          <w:i w:val="0"/>
          <w:iCs w:val="0"/>
          <w:color w:val="auto"/>
          <w:sz w:val="24"/>
          <w:szCs w:val="24"/>
        </w:rPr>
      </w:pPr>
      <w:bookmarkStart w:id="95" w:name="_Toc14520668"/>
      <w:r w:rsidRPr="00F43E7C">
        <w:rPr>
          <w:b/>
          <w:bCs/>
          <w:i w:val="0"/>
          <w:iCs w:val="0"/>
          <w:color w:val="auto"/>
          <w:sz w:val="24"/>
          <w:szCs w:val="24"/>
        </w:rPr>
        <w:t xml:space="preserve">Figure </w:t>
      </w:r>
      <w:r w:rsidR="00600100">
        <w:rPr>
          <w:b/>
          <w:bCs/>
          <w:i w:val="0"/>
          <w:iCs w:val="0"/>
          <w:color w:val="auto"/>
          <w:sz w:val="24"/>
          <w:szCs w:val="24"/>
        </w:rPr>
        <w:fldChar w:fldCharType="begin"/>
      </w:r>
      <w:r w:rsidR="00600100">
        <w:rPr>
          <w:b/>
          <w:bCs/>
          <w:i w:val="0"/>
          <w:iCs w:val="0"/>
          <w:color w:val="auto"/>
          <w:sz w:val="24"/>
          <w:szCs w:val="24"/>
        </w:rPr>
        <w:instrText xml:space="preserve"> STYLEREF 1 \s </w:instrText>
      </w:r>
      <w:r w:rsidR="00600100">
        <w:rPr>
          <w:b/>
          <w:bCs/>
          <w:i w:val="0"/>
          <w:iCs w:val="0"/>
          <w:color w:val="auto"/>
          <w:sz w:val="24"/>
          <w:szCs w:val="24"/>
        </w:rPr>
        <w:fldChar w:fldCharType="separate"/>
      </w:r>
      <w:r w:rsidR="00815371">
        <w:rPr>
          <w:b/>
          <w:bCs/>
          <w:i w:val="0"/>
          <w:iCs w:val="0"/>
          <w:noProof/>
          <w:color w:val="auto"/>
          <w:sz w:val="24"/>
          <w:szCs w:val="24"/>
        </w:rPr>
        <w:t>4</w:t>
      </w:r>
      <w:r w:rsidR="00600100">
        <w:rPr>
          <w:b/>
          <w:bCs/>
          <w:i w:val="0"/>
          <w:iCs w:val="0"/>
          <w:color w:val="auto"/>
          <w:sz w:val="24"/>
          <w:szCs w:val="24"/>
        </w:rPr>
        <w:fldChar w:fldCharType="end"/>
      </w:r>
      <w:r w:rsidR="00600100">
        <w:rPr>
          <w:b/>
          <w:bCs/>
          <w:i w:val="0"/>
          <w:iCs w:val="0"/>
          <w:color w:val="auto"/>
          <w:sz w:val="24"/>
          <w:szCs w:val="24"/>
        </w:rPr>
        <w:t>.</w:t>
      </w:r>
      <w:r w:rsidR="00600100">
        <w:rPr>
          <w:b/>
          <w:bCs/>
          <w:i w:val="0"/>
          <w:iCs w:val="0"/>
          <w:color w:val="auto"/>
          <w:sz w:val="24"/>
          <w:szCs w:val="24"/>
        </w:rPr>
        <w:fldChar w:fldCharType="begin"/>
      </w:r>
      <w:r w:rsidR="00600100">
        <w:rPr>
          <w:b/>
          <w:bCs/>
          <w:i w:val="0"/>
          <w:iCs w:val="0"/>
          <w:color w:val="auto"/>
          <w:sz w:val="24"/>
          <w:szCs w:val="24"/>
        </w:rPr>
        <w:instrText xml:space="preserve"> SEQ Figure \* ARABIC \s 1 </w:instrText>
      </w:r>
      <w:r w:rsidR="00600100">
        <w:rPr>
          <w:b/>
          <w:bCs/>
          <w:i w:val="0"/>
          <w:iCs w:val="0"/>
          <w:color w:val="auto"/>
          <w:sz w:val="24"/>
          <w:szCs w:val="24"/>
        </w:rPr>
        <w:fldChar w:fldCharType="separate"/>
      </w:r>
      <w:r w:rsidR="00815371">
        <w:rPr>
          <w:b/>
          <w:bCs/>
          <w:i w:val="0"/>
          <w:iCs w:val="0"/>
          <w:noProof/>
          <w:color w:val="auto"/>
          <w:sz w:val="24"/>
          <w:szCs w:val="24"/>
        </w:rPr>
        <w:t>11</w:t>
      </w:r>
      <w:r w:rsidR="00600100">
        <w:rPr>
          <w:b/>
          <w:bCs/>
          <w:i w:val="0"/>
          <w:iCs w:val="0"/>
          <w:color w:val="auto"/>
          <w:sz w:val="24"/>
          <w:szCs w:val="24"/>
        </w:rPr>
        <w:fldChar w:fldCharType="end"/>
      </w:r>
      <w:r w:rsidRPr="00F43E7C">
        <w:rPr>
          <w:b/>
          <w:bCs/>
          <w:i w:val="0"/>
          <w:iCs w:val="0"/>
          <w:color w:val="auto"/>
          <w:sz w:val="24"/>
          <w:szCs w:val="24"/>
        </w:rPr>
        <w:t>:</w:t>
      </w:r>
      <w:r w:rsidRPr="00F43E7C">
        <w:rPr>
          <w:i w:val="0"/>
          <w:iCs w:val="0"/>
          <w:color w:val="auto"/>
          <w:sz w:val="24"/>
          <w:szCs w:val="24"/>
        </w:rPr>
        <w:t xml:space="preserve"> Distribution of phenolic compounds displayed through their originating monomer unit upon torrefaction of COMT2 isogenic, wildtype switchgrass</w:t>
      </w:r>
      <w:bookmarkEnd w:id="95"/>
    </w:p>
    <w:p w14:paraId="3216537B" w14:textId="77777777" w:rsidR="00577A35" w:rsidRDefault="00577A35" w:rsidP="00577A35">
      <w:pPr>
        <w:ind w:left="0" w:firstLine="0"/>
        <w:rPr>
          <w:szCs w:val="24"/>
        </w:rPr>
      </w:pPr>
    </w:p>
    <w:p w14:paraId="1D8D7239" w14:textId="77777777" w:rsidR="00577A35" w:rsidRDefault="00577A35" w:rsidP="00577A35">
      <w:pPr>
        <w:ind w:left="0" w:firstLine="0"/>
        <w:rPr>
          <w:szCs w:val="24"/>
        </w:rPr>
      </w:pPr>
    </w:p>
    <w:p w14:paraId="5663B4B2" w14:textId="77777777" w:rsidR="00577A35" w:rsidRDefault="00577A35" w:rsidP="00F43E7C">
      <w:pPr>
        <w:ind w:left="0" w:firstLine="0"/>
        <w:rPr>
          <w:szCs w:val="24"/>
        </w:rPr>
      </w:pPr>
    </w:p>
    <w:p w14:paraId="4A17EF26" w14:textId="77777777" w:rsidR="00F43E7C" w:rsidRDefault="00F43E7C" w:rsidP="00F43E7C">
      <w:pPr>
        <w:keepNext/>
        <w:ind w:left="0" w:firstLine="0"/>
        <w:jc w:val="center"/>
      </w:pPr>
      <w:r w:rsidRPr="00174DE3">
        <w:rPr>
          <w:noProof/>
          <w:szCs w:val="24"/>
        </w:rPr>
        <w:drawing>
          <wp:inline distT="0" distB="0" distL="0" distR="0" wp14:anchorId="4277F1F0" wp14:editId="0E896F43">
            <wp:extent cx="4946467" cy="2891888"/>
            <wp:effectExtent l="0" t="0" r="6985" b="3810"/>
            <wp:docPr id="237" name="Chart 237">
              <a:extLst xmlns:a="http://schemas.openxmlformats.org/drawingml/2006/main">
                <a:ext uri="{FF2B5EF4-FFF2-40B4-BE49-F238E27FC236}">
                  <a16:creationId xmlns:a16="http://schemas.microsoft.com/office/drawing/2014/main" id="{33114B72-2FCB-4F41-B481-9ADD793408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33E6085" w14:textId="032D88DB" w:rsidR="00577A35" w:rsidRPr="00F43E7C" w:rsidRDefault="00F43E7C" w:rsidP="00F43E7C">
      <w:pPr>
        <w:pStyle w:val="Caption"/>
        <w:jc w:val="center"/>
        <w:rPr>
          <w:i w:val="0"/>
          <w:iCs w:val="0"/>
          <w:color w:val="auto"/>
          <w:sz w:val="24"/>
          <w:szCs w:val="24"/>
        </w:rPr>
      </w:pPr>
      <w:bookmarkStart w:id="96" w:name="_Toc14520669"/>
      <w:r w:rsidRPr="00F43E7C">
        <w:rPr>
          <w:b/>
          <w:bCs/>
          <w:i w:val="0"/>
          <w:iCs w:val="0"/>
          <w:color w:val="auto"/>
          <w:sz w:val="24"/>
          <w:szCs w:val="24"/>
        </w:rPr>
        <w:t xml:space="preserve">Figure </w:t>
      </w:r>
      <w:r w:rsidR="00600100">
        <w:rPr>
          <w:b/>
          <w:bCs/>
          <w:i w:val="0"/>
          <w:iCs w:val="0"/>
          <w:color w:val="auto"/>
          <w:sz w:val="24"/>
          <w:szCs w:val="24"/>
        </w:rPr>
        <w:fldChar w:fldCharType="begin"/>
      </w:r>
      <w:r w:rsidR="00600100">
        <w:rPr>
          <w:b/>
          <w:bCs/>
          <w:i w:val="0"/>
          <w:iCs w:val="0"/>
          <w:color w:val="auto"/>
          <w:sz w:val="24"/>
          <w:szCs w:val="24"/>
        </w:rPr>
        <w:instrText xml:space="preserve"> STYLEREF 1 \s </w:instrText>
      </w:r>
      <w:r w:rsidR="00600100">
        <w:rPr>
          <w:b/>
          <w:bCs/>
          <w:i w:val="0"/>
          <w:iCs w:val="0"/>
          <w:color w:val="auto"/>
          <w:sz w:val="24"/>
          <w:szCs w:val="24"/>
        </w:rPr>
        <w:fldChar w:fldCharType="separate"/>
      </w:r>
      <w:r w:rsidR="00815371">
        <w:rPr>
          <w:b/>
          <w:bCs/>
          <w:i w:val="0"/>
          <w:iCs w:val="0"/>
          <w:noProof/>
          <w:color w:val="auto"/>
          <w:sz w:val="24"/>
          <w:szCs w:val="24"/>
        </w:rPr>
        <w:t>4</w:t>
      </w:r>
      <w:r w:rsidR="00600100">
        <w:rPr>
          <w:b/>
          <w:bCs/>
          <w:i w:val="0"/>
          <w:iCs w:val="0"/>
          <w:color w:val="auto"/>
          <w:sz w:val="24"/>
          <w:szCs w:val="24"/>
        </w:rPr>
        <w:fldChar w:fldCharType="end"/>
      </w:r>
      <w:r w:rsidR="00600100">
        <w:rPr>
          <w:b/>
          <w:bCs/>
          <w:i w:val="0"/>
          <w:iCs w:val="0"/>
          <w:color w:val="auto"/>
          <w:sz w:val="24"/>
          <w:szCs w:val="24"/>
        </w:rPr>
        <w:t>.</w:t>
      </w:r>
      <w:r w:rsidR="00600100">
        <w:rPr>
          <w:b/>
          <w:bCs/>
          <w:i w:val="0"/>
          <w:iCs w:val="0"/>
          <w:color w:val="auto"/>
          <w:sz w:val="24"/>
          <w:szCs w:val="24"/>
        </w:rPr>
        <w:fldChar w:fldCharType="begin"/>
      </w:r>
      <w:r w:rsidR="00600100">
        <w:rPr>
          <w:b/>
          <w:bCs/>
          <w:i w:val="0"/>
          <w:iCs w:val="0"/>
          <w:color w:val="auto"/>
          <w:sz w:val="24"/>
          <w:szCs w:val="24"/>
        </w:rPr>
        <w:instrText xml:space="preserve"> SEQ Figure \* ARABIC \s 1 </w:instrText>
      </w:r>
      <w:r w:rsidR="00600100">
        <w:rPr>
          <w:b/>
          <w:bCs/>
          <w:i w:val="0"/>
          <w:iCs w:val="0"/>
          <w:color w:val="auto"/>
          <w:sz w:val="24"/>
          <w:szCs w:val="24"/>
        </w:rPr>
        <w:fldChar w:fldCharType="separate"/>
      </w:r>
      <w:r w:rsidR="00815371">
        <w:rPr>
          <w:b/>
          <w:bCs/>
          <w:i w:val="0"/>
          <w:iCs w:val="0"/>
          <w:noProof/>
          <w:color w:val="auto"/>
          <w:sz w:val="24"/>
          <w:szCs w:val="24"/>
        </w:rPr>
        <w:t>12</w:t>
      </w:r>
      <w:r w:rsidR="00600100">
        <w:rPr>
          <w:b/>
          <w:bCs/>
          <w:i w:val="0"/>
          <w:iCs w:val="0"/>
          <w:color w:val="auto"/>
          <w:sz w:val="24"/>
          <w:szCs w:val="24"/>
        </w:rPr>
        <w:fldChar w:fldCharType="end"/>
      </w:r>
      <w:r w:rsidRPr="00F43E7C">
        <w:rPr>
          <w:b/>
          <w:bCs/>
          <w:i w:val="0"/>
          <w:iCs w:val="0"/>
          <w:color w:val="auto"/>
          <w:sz w:val="24"/>
          <w:szCs w:val="24"/>
        </w:rPr>
        <w:t>:</w:t>
      </w:r>
      <w:r w:rsidRPr="00F43E7C">
        <w:rPr>
          <w:i w:val="0"/>
          <w:iCs w:val="0"/>
          <w:color w:val="auto"/>
          <w:sz w:val="24"/>
          <w:szCs w:val="24"/>
        </w:rPr>
        <w:t xml:space="preserve"> Distribution of phenolic compounds displayed through their originating monomer unit upon pyrolysis of COMT2 mutant switchgrass</w:t>
      </w:r>
      <w:bookmarkEnd w:id="96"/>
    </w:p>
    <w:p w14:paraId="5B098E61" w14:textId="77777777" w:rsidR="00F43E7C" w:rsidRDefault="00F43E7C" w:rsidP="00F43E7C">
      <w:pPr>
        <w:keepNext/>
        <w:ind w:left="0" w:firstLine="0"/>
        <w:jc w:val="center"/>
      </w:pPr>
      <w:r w:rsidRPr="00174DE3">
        <w:rPr>
          <w:noProof/>
          <w:szCs w:val="24"/>
        </w:rPr>
        <w:drawing>
          <wp:inline distT="0" distB="0" distL="0" distR="0" wp14:anchorId="497E2678" wp14:editId="0796AE3A">
            <wp:extent cx="4987290" cy="2970530"/>
            <wp:effectExtent l="0" t="0" r="3810" b="1270"/>
            <wp:docPr id="238" name="Chart 238">
              <a:extLst xmlns:a="http://schemas.openxmlformats.org/drawingml/2006/main">
                <a:ext uri="{FF2B5EF4-FFF2-40B4-BE49-F238E27FC236}">
                  <a16:creationId xmlns:a16="http://schemas.microsoft.com/office/drawing/2014/main" id="{4C7776C8-7549-4F41-AF6D-5E5C1B1E99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8A804B2" w14:textId="501EE02F" w:rsidR="00577A35" w:rsidRPr="00F43E7C" w:rsidRDefault="00F43E7C" w:rsidP="00F43E7C">
      <w:pPr>
        <w:pStyle w:val="Caption"/>
        <w:jc w:val="center"/>
        <w:rPr>
          <w:i w:val="0"/>
          <w:iCs w:val="0"/>
          <w:color w:val="auto"/>
          <w:sz w:val="24"/>
          <w:szCs w:val="24"/>
        </w:rPr>
      </w:pPr>
      <w:bookmarkStart w:id="97" w:name="_Toc14520670"/>
      <w:r w:rsidRPr="00F43E7C">
        <w:rPr>
          <w:b/>
          <w:bCs/>
          <w:i w:val="0"/>
          <w:iCs w:val="0"/>
          <w:color w:val="auto"/>
          <w:sz w:val="24"/>
          <w:szCs w:val="24"/>
        </w:rPr>
        <w:t xml:space="preserve">Figure </w:t>
      </w:r>
      <w:r w:rsidR="00600100">
        <w:rPr>
          <w:b/>
          <w:bCs/>
          <w:i w:val="0"/>
          <w:iCs w:val="0"/>
          <w:color w:val="auto"/>
          <w:sz w:val="24"/>
          <w:szCs w:val="24"/>
        </w:rPr>
        <w:fldChar w:fldCharType="begin"/>
      </w:r>
      <w:r w:rsidR="00600100">
        <w:rPr>
          <w:b/>
          <w:bCs/>
          <w:i w:val="0"/>
          <w:iCs w:val="0"/>
          <w:color w:val="auto"/>
          <w:sz w:val="24"/>
          <w:szCs w:val="24"/>
        </w:rPr>
        <w:instrText xml:space="preserve"> STYLEREF 1 \s </w:instrText>
      </w:r>
      <w:r w:rsidR="00600100">
        <w:rPr>
          <w:b/>
          <w:bCs/>
          <w:i w:val="0"/>
          <w:iCs w:val="0"/>
          <w:color w:val="auto"/>
          <w:sz w:val="24"/>
          <w:szCs w:val="24"/>
        </w:rPr>
        <w:fldChar w:fldCharType="separate"/>
      </w:r>
      <w:r w:rsidR="00815371">
        <w:rPr>
          <w:b/>
          <w:bCs/>
          <w:i w:val="0"/>
          <w:iCs w:val="0"/>
          <w:noProof/>
          <w:color w:val="auto"/>
          <w:sz w:val="24"/>
          <w:szCs w:val="24"/>
        </w:rPr>
        <w:t>4</w:t>
      </w:r>
      <w:r w:rsidR="00600100">
        <w:rPr>
          <w:b/>
          <w:bCs/>
          <w:i w:val="0"/>
          <w:iCs w:val="0"/>
          <w:color w:val="auto"/>
          <w:sz w:val="24"/>
          <w:szCs w:val="24"/>
        </w:rPr>
        <w:fldChar w:fldCharType="end"/>
      </w:r>
      <w:r w:rsidR="00600100">
        <w:rPr>
          <w:b/>
          <w:bCs/>
          <w:i w:val="0"/>
          <w:iCs w:val="0"/>
          <w:color w:val="auto"/>
          <w:sz w:val="24"/>
          <w:szCs w:val="24"/>
        </w:rPr>
        <w:t>.</w:t>
      </w:r>
      <w:r w:rsidR="00600100">
        <w:rPr>
          <w:b/>
          <w:bCs/>
          <w:i w:val="0"/>
          <w:iCs w:val="0"/>
          <w:color w:val="auto"/>
          <w:sz w:val="24"/>
          <w:szCs w:val="24"/>
        </w:rPr>
        <w:fldChar w:fldCharType="begin"/>
      </w:r>
      <w:r w:rsidR="00600100">
        <w:rPr>
          <w:b/>
          <w:bCs/>
          <w:i w:val="0"/>
          <w:iCs w:val="0"/>
          <w:color w:val="auto"/>
          <w:sz w:val="24"/>
          <w:szCs w:val="24"/>
        </w:rPr>
        <w:instrText xml:space="preserve"> SEQ Figure \* ARABIC \s 1 </w:instrText>
      </w:r>
      <w:r w:rsidR="00600100">
        <w:rPr>
          <w:b/>
          <w:bCs/>
          <w:i w:val="0"/>
          <w:iCs w:val="0"/>
          <w:color w:val="auto"/>
          <w:sz w:val="24"/>
          <w:szCs w:val="24"/>
        </w:rPr>
        <w:fldChar w:fldCharType="separate"/>
      </w:r>
      <w:r w:rsidR="00815371">
        <w:rPr>
          <w:b/>
          <w:bCs/>
          <w:i w:val="0"/>
          <w:iCs w:val="0"/>
          <w:noProof/>
          <w:color w:val="auto"/>
          <w:sz w:val="24"/>
          <w:szCs w:val="24"/>
        </w:rPr>
        <w:t>13</w:t>
      </w:r>
      <w:r w:rsidR="00600100">
        <w:rPr>
          <w:b/>
          <w:bCs/>
          <w:i w:val="0"/>
          <w:iCs w:val="0"/>
          <w:color w:val="auto"/>
          <w:sz w:val="24"/>
          <w:szCs w:val="24"/>
        </w:rPr>
        <w:fldChar w:fldCharType="end"/>
      </w:r>
      <w:r w:rsidRPr="00F43E7C">
        <w:rPr>
          <w:b/>
          <w:bCs/>
          <w:i w:val="0"/>
          <w:iCs w:val="0"/>
          <w:color w:val="auto"/>
          <w:sz w:val="24"/>
          <w:szCs w:val="24"/>
        </w:rPr>
        <w:t>:</w:t>
      </w:r>
      <w:r w:rsidRPr="00F43E7C">
        <w:rPr>
          <w:i w:val="0"/>
          <w:iCs w:val="0"/>
          <w:color w:val="auto"/>
          <w:sz w:val="24"/>
          <w:szCs w:val="24"/>
        </w:rPr>
        <w:t xml:space="preserve"> Distribution of phenolic compounds displayed through their originating monomer unit upon pyrolysis of COMT2 isogenic, wildtype switchgrass</w:t>
      </w:r>
      <w:bookmarkEnd w:id="97"/>
    </w:p>
    <w:p w14:paraId="00C8D1E5" w14:textId="77777777" w:rsidR="00F43E7C" w:rsidRDefault="00F43E7C" w:rsidP="00F43E7C">
      <w:pPr>
        <w:ind w:left="0" w:firstLine="0"/>
        <w:rPr>
          <w:szCs w:val="24"/>
        </w:rPr>
      </w:pPr>
    </w:p>
    <w:p w14:paraId="3328FEA1" w14:textId="0901F3BE" w:rsidR="00577A35" w:rsidRPr="00174DE3" w:rsidRDefault="00577A35" w:rsidP="00F43E7C">
      <w:pPr>
        <w:ind w:left="0" w:firstLine="720"/>
        <w:jc w:val="both"/>
        <w:rPr>
          <w:noProof/>
          <w:szCs w:val="24"/>
        </w:rPr>
      </w:pPr>
      <w:r w:rsidRPr="00174DE3">
        <w:rPr>
          <w:szCs w:val="24"/>
        </w:rPr>
        <w:lastRenderedPageBreak/>
        <w:t>Figure 4.1</w:t>
      </w:r>
      <w:r>
        <w:rPr>
          <w:szCs w:val="24"/>
        </w:rPr>
        <w:t>2</w:t>
      </w:r>
      <w:r w:rsidRPr="00174DE3">
        <w:rPr>
          <w:szCs w:val="24"/>
        </w:rPr>
        <w:t xml:space="preserve"> and Figure 4.1</w:t>
      </w:r>
      <w:r>
        <w:rPr>
          <w:szCs w:val="24"/>
        </w:rPr>
        <w:t>3</w:t>
      </w:r>
      <w:r w:rsidRPr="00174DE3">
        <w:rPr>
          <w:szCs w:val="24"/>
        </w:rPr>
        <w:t xml:space="preserve"> show an expected increase in the quantity of both the </w:t>
      </w:r>
      <w:r w:rsidRPr="00174DE3">
        <w:rPr>
          <w:b/>
          <w:bCs/>
          <w:i/>
          <w:iCs/>
          <w:szCs w:val="24"/>
        </w:rPr>
        <w:t>G</w:t>
      </w:r>
      <w:r w:rsidRPr="00174DE3">
        <w:rPr>
          <w:szCs w:val="24"/>
        </w:rPr>
        <w:t>-derived and</w:t>
      </w:r>
      <w:r w:rsidRPr="00174DE3">
        <w:rPr>
          <w:b/>
          <w:bCs/>
          <w:i/>
          <w:iCs/>
          <w:szCs w:val="24"/>
        </w:rPr>
        <w:t xml:space="preserve"> S</w:t>
      </w:r>
      <w:r w:rsidRPr="00174DE3">
        <w:rPr>
          <w:szCs w:val="24"/>
        </w:rPr>
        <w:t xml:space="preserve">-derived thermal products as a greater portion of the lignin polymeric network is decomposed at higher temperatures. Pyrolysis of the torrefied COMT2 mutant sample results in 0.718 µg (per mg of raw biomass) of </w:t>
      </w:r>
      <w:r w:rsidRPr="00174DE3">
        <w:rPr>
          <w:b/>
          <w:bCs/>
          <w:i/>
          <w:iCs/>
          <w:szCs w:val="24"/>
        </w:rPr>
        <w:t>G</w:t>
      </w:r>
      <w:r w:rsidRPr="00174DE3">
        <w:rPr>
          <w:szCs w:val="24"/>
        </w:rPr>
        <w:t xml:space="preserve">-derived and </w:t>
      </w:r>
      <w:r w:rsidRPr="00174DE3">
        <w:rPr>
          <w:b/>
          <w:bCs/>
          <w:i/>
          <w:iCs/>
          <w:szCs w:val="24"/>
        </w:rPr>
        <w:t>S</w:t>
      </w:r>
      <w:r w:rsidRPr="00174DE3">
        <w:rPr>
          <w:szCs w:val="24"/>
        </w:rPr>
        <w:t xml:space="preserve">-derived phenolic products as compared to 0.604 µg (per mg of raw biomass) of phenolics from pyrolysis of torrefied COMT2 wild type switchgrass – this represents a 17.25% increase in the phenolic products (only considering the </w:t>
      </w:r>
      <w:r w:rsidRPr="00174DE3">
        <w:rPr>
          <w:b/>
          <w:bCs/>
          <w:i/>
          <w:iCs/>
          <w:szCs w:val="24"/>
        </w:rPr>
        <w:t>G</w:t>
      </w:r>
      <w:r w:rsidRPr="00174DE3">
        <w:rPr>
          <w:szCs w:val="24"/>
        </w:rPr>
        <w:t xml:space="preserve">-derived and </w:t>
      </w:r>
      <w:r w:rsidRPr="00174DE3">
        <w:rPr>
          <w:b/>
          <w:bCs/>
          <w:i/>
          <w:iCs/>
          <w:szCs w:val="24"/>
        </w:rPr>
        <w:t>S</w:t>
      </w:r>
      <w:r w:rsidRPr="00174DE3">
        <w:rPr>
          <w:szCs w:val="24"/>
        </w:rPr>
        <w:t>-derived lignin products) for the mutant switchgrass. This indicates that some lignin decomposition for the mutant sample was suppressed at lower temperatures.</w:t>
      </w:r>
    </w:p>
    <w:p w14:paraId="46BD486C" w14:textId="77777777" w:rsidR="00577A35" w:rsidRPr="00174DE3" w:rsidRDefault="00577A35" w:rsidP="00ED4E6F">
      <w:pPr>
        <w:spacing w:line="480" w:lineRule="auto"/>
        <w:ind w:left="0" w:firstLine="720"/>
        <w:jc w:val="both"/>
        <w:rPr>
          <w:szCs w:val="24"/>
        </w:rPr>
      </w:pPr>
      <w:r w:rsidRPr="00174DE3">
        <w:rPr>
          <w:szCs w:val="24"/>
        </w:rPr>
        <w:t xml:space="preserve">The </w:t>
      </w:r>
      <w:r>
        <w:rPr>
          <w:szCs w:val="24"/>
        </w:rPr>
        <w:t xml:space="preserve">distribution ratio of the </w:t>
      </w:r>
      <w:r w:rsidRPr="007D348A">
        <w:rPr>
          <w:b/>
          <w:bCs/>
          <w:i/>
          <w:iCs/>
          <w:szCs w:val="24"/>
        </w:rPr>
        <w:t>G</w:t>
      </w:r>
      <w:r>
        <w:rPr>
          <w:szCs w:val="24"/>
        </w:rPr>
        <w:t xml:space="preserve">-derived and </w:t>
      </w:r>
      <w:r w:rsidRPr="007D348A">
        <w:rPr>
          <w:b/>
          <w:bCs/>
          <w:i/>
          <w:iCs/>
          <w:szCs w:val="24"/>
        </w:rPr>
        <w:t>S</w:t>
      </w:r>
      <w:r>
        <w:rPr>
          <w:szCs w:val="24"/>
        </w:rPr>
        <w:t>-derived lignin products</w:t>
      </w:r>
      <w:r w:rsidRPr="00174DE3">
        <w:rPr>
          <w:szCs w:val="24"/>
        </w:rPr>
        <w:t xml:space="preserve"> (i.e. quantitative and qualitative) observed for both torrefaction and pyrolysis of COMT2 mutant sample were quite similar to the results analyzed from the same degradation treatment of the natural diversity switchgrass sample (both samples contain low </w:t>
      </w:r>
      <w:r w:rsidRPr="00174DE3">
        <w:rPr>
          <w:b/>
          <w:bCs/>
          <w:i/>
          <w:iCs/>
          <w:szCs w:val="24"/>
        </w:rPr>
        <w:t>S/G</w:t>
      </w:r>
      <w:r w:rsidRPr="00174DE3">
        <w:rPr>
          <w:szCs w:val="24"/>
        </w:rPr>
        <w:t xml:space="preserve"> ratio). The </w:t>
      </w:r>
      <w:r>
        <w:rPr>
          <w:szCs w:val="24"/>
        </w:rPr>
        <w:t>distribution of the lignin products through their originating monomeric units</w:t>
      </w:r>
      <w:r w:rsidRPr="00174DE3">
        <w:rPr>
          <w:szCs w:val="24"/>
        </w:rPr>
        <w:t xml:space="preserve"> of the natural diversity sample are illustrated in Figure 4.1</w:t>
      </w:r>
      <w:r>
        <w:rPr>
          <w:szCs w:val="24"/>
        </w:rPr>
        <w:t>4</w:t>
      </w:r>
      <w:r w:rsidRPr="00174DE3">
        <w:rPr>
          <w:szCs w:val="24"/>
        </w:rPr>
        <w:t xml:space="preserve"> and Figure 4.1</w:t>
      </w:r>
      <w:r>
        <w:rPr>
          <w:szCs w:val="24"/>
        </w:rPr>
        <w:t>5</w:t>
      </w:r>
      <w:r w:rsidRPr="00174DE3">
        <w:rPr>
          <w:szCs w:val="24"/>
        </w:rPr>
        <w:t>. The same</w:t>
      </w:r>
      <w:r>
        <w:rPr>
          <w:szCs w:val="24"/>
        </w:rPr>
        <w:t xml:space="preserve"> (i.e. the distribution ratio of </w:t>
      </w:r>
      <w:r w:rsidRPr="007D348A">
        <w:rPr>
          <w:b/>
          <w:bCs/>
          <w:i/>
          <w:iCs/>
          <w:szCs w:val="24"/>
        </w:rPr>
        <w:t>G</w:t>
      </w:r>
      <w:r>
        <w:rPr>
          <w:szCs w:val="24"/>
        </w:rPr>
        <w:t xml:space="preserve">-derived and </w:t>
      </w:r>
      <w:r w:rsidRPr="007D348A">
        <w:rPr>
          <w:b/>
          <w:bCs/>
          <w:i/>
          <w:iCs/>
          <w:szCs w:val="24"/>
        </w:rPr>
        <w:t>S</w:t>
      </w:r>
      <w:r>
        <w:rPr>
          <w:szCs w:val="24"/>
        </w:rPr>
        <w:t>-derived lignin products)</w:t>
      </w:r>
      <w:r w:rsidRPr="00174DE3">
        <w:rPr>
          <w:szCs w:val="24"/>
        </w:rPr>
        <w:t xml:space="preserve"> cannot be said when results of the isogenic wild type switchgrass and the standard grade AP13 sample (both of which contains high </w:t>
      </w:r>
      <w:r w:rsidRPr="007D348A">
        <w:rPr>
          <w:b/>
          <w:bCs/>
          <w:i/>
          <w:iCs/>
          <w:szCs w:val="24"/>
        </w:rPr>
        <w:t>S/G</w:t>
      </w:r>
      <w:r w:rsidRPr="00174DE3">
        <w:rPr>
          <w:szCs w:val="24"/>
        </w:rPr>
        <w:t xml:space="preserve"> ratio) were examined. Upon torrefaction, it was detected that AP13 sample produced double the amount of the </w:t>
      </w:r>
      <w:r w:rsidRPr="007D348A">
        <w:rPr>
          <w:b/>
          <w:bCs/>
          <w:i/>
          <w:iCs/>
          <w:szCs w:val="24"/>
        </w:rPr>
        <w:t>S</w:t>
      </w:r>
      <w:r w:rsidRPr="00174DE3">
        <w:rPr>
          <w:szCs w:val="24"/>
        </w:rPr>
        <w:t xml:space="preserve">-derived lignin phenolics as compared to the wild type sample, while both samples produced approximately an equivalent amount of the </w:t>
      </w:r>
      <w:r w:rsidRPr="007D348A">
        <w:rPr>
          <w:b/>
          <w:bCs/>
          <w:i/>
          <w:iCs/>
          <w:szCs w:val="24"/>
        </w:rPr>
        <w:t>G</w:t>
      </w:r>
      <w:r w:rsidRPr="00174DE3">
        <w:rPr>
          <w:szCs w:val="24"/>
        </w:rPr>
        <w:t xml:space="preserve">-derived phenolics. After pyrolysis, however, it was observed that both samples produced the same amount of </w:t>
      </w:r>
      <w:r w:rsidRPr="007D348A">
        <w:rPr>
          <w:b/>
          <w:bCs/>
          <w:i/>
          <w:iCs/>
          <w:szCs w:val="24"/>
        </w:rPr>
        <w:t>S</w:t>
      </w:r>
      <w:r w:rsidRPr="00174DE3">
        <w:rPr>
          <w:szCs w:val="24"/>
        </w:rPr>
        <w:t xml:space="preserve">-derived phenolics, while the wild type sample produced approximately 1.5 times more of the </w:t>
      </w:r>
      <w:r w:rsidRPr="007D348A">
        <w:rPr>
          <w:b/>
          <w:bCs/>
          <w:i/>
          <w:iCs/>
          <w:szCs w:val="24"/>
        </w:rPr>
        <w:t>G</w:t>
      </w:r>
      <w:r w:rsidRPr="00174DE3">
        <w:rPr>
          <w:szCs w:val="24"/>
        </w:rPr>
        <w:t>-derived phenolics. This is illustrated through Figures 4.</w:t>
      </w:r>
      <w:r>
        <w:rPr>
          <w:szCs w:val="24"/>
        </w:rPr>
        <w:t>11</w:t>
      </w:r>
      <w:r w:rsidRPr="00174DE3">
        <w:rPr>
          <w:szCs w:val="24"/>
        </w:rPr>
        <w:t>, 4.1</w:t>
      </w:r>
      <w:r>
        <w:rPr>
          <w:szCs w:val="24"/>
        </w:rPr>
        <w:t>3</w:t>
      </w:r>
      <w:r w:rsidRPr="00174DE3">
        <w:rPr>
          <w:szCs w:val="24"/>
        </w:rPr>
        <w:t>, and 4.1</w:t>
      </w:r>
      <w:r>
        <w:rPr>
          <w:szCs w:val="24"/>
        </w:rPr>
        <w:t>6</w:t>
      </w:r>
      <w:r w:rsidRPr="00174DE3">
        <w:rPr>
          <w:szCs w:val="24"/>
        </w:rPr>
        <w:t>-4.1</w:t>
      </w:r>
      <w:r>
        <w:rPr>
          <w:szCs w:val="24"/>
        </w:rPr>
        <w:t>7</w:t>
      </w:r>
      <w:r w:rsidRPr="00174DE3">
        <w:rPr>
          <w:szCs w:val="24"/>
        </w:rPr>
        <w:t xml:space="preserve">. </w:t>
      </w:r>
    </w:p>
    <w:p w14:paraId="669025B8" w14:textId="77777777" w:rsidR="00F43E7C" w:rsidRDefault="00577A35" w:rsidP="00F43E7C">
      <w:pPr>
        <w:keepNext/>
        <w:ind w:left="0" w:firstLine="0"/>
        <w:jc w:val="center"/>
      </w:pPr>
      <w:r w:rsidRPr="00174DE3">
        <w:rPr>
          <w:noProof/>
          <w:szCs w:val="24"/>
        </w:rPr>
        <w:lastRenderedPageBreak/>
        <w:drawing>
          <wp:inline distT="0" distB="0" distL="0" distR="0" wp14:anchorId="3AA69860" wp14:editId="24306249">
            <wp:extent cx="4860925" cy="2741930"/>
            <wp:effectExtent l="0" t="0" r="15875" b="1270"/>
            <wp:docPr id="239" name="Chart 239">
              <a:extLst xmlns:a="http://schemas.openxmlformats.org/drawingml/2006/main">
                <a:ext uri="{FF2B5EF4-FFF2-40B4-BE49-F238E27FC236}">
                  <a16:creationId xmlns:a16="http://schemas.microsoft.com/office/drawing/2014/main" id="{AFF92830-459D-4A82-9DEC-8AAEF7E5EE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303FB21" w14:textId="0D75F0DF" w:rsidR="00577A35" w:rsidRPr="00F43E7C" w:rsidRDefault="00F43E7C" w:rsidP="00F43E7C">
      <w:pPr>
        <w:pStyle w:val="Caption"/>
        <w:jc w:val="center"/>
        <w:rPr>
          <w:i w:val="0"/>
          <w:iCs w:val="0"/>
          <w:color w:val="auto"/>
          <w:sz w:val="24"/>
          <w:szCs w:val="24"/>
        </w:rPr>
      </w:pPr>
      <w:bookmarkStart w:id="98" w:name="_Toc14520671"/>
      <w:r w:rsidRPr="00F43E7C">
        <w:rPr>
          <w:b/>
          <w:bCs/>
          <w:i w:val="0"/>
          <w:iCs w:val="0"/>
          <w:color w:val="auto"/>
          <w:sz w:val="24"/>
          <w:szCs w:val="24"/>
        </w:rPr>
        <w:t xml:space="preserve">Figure </w:t>
      </w:r>
      <w:r w:rsidR="00600100">
        <w:rPr>
          <w:b/>
          <w:bCs/>
          <w:i w:val="0"/>
          <w:iCs w:val="0"/>
          <w:color w:val="auto"/>
          <w:sz w:val="24"/>
          <w:szCs w:val="24"/>
        </w:rPr>
        <w:fldChar w:fldCharType="begin"/>
      </w:r>
      <w:r w:rsidR="00600100">
        <w:rPr>
          <w:b/>
          <w:bCs/>
          <w:i w:val="0"/>
          <w:iCs w:val="0"/>
          <w:color w:val="auto"/>
          <w:sz w:val="24"/>
          <w:szCs w:val="24"/>
        </w:rPr>
        <w:instrText xml:space="preserve"> STYLEREF 1 \s </w:instrText>
      </w:r>
      <w:r w:rsidR="00600100">
        <w:rPr>
          <w:b/>
          <w:bCs/>
          <w:i w:val="0"/>
          <w:iCs w:val="0"/>
          <w:color w:val="auto"/>
          <w:sz w:val="24"/>
          <w:szCs w:val="24"/>
        </w:rPr>
        <w:fldChar w:fldCharType="separate"/>
      </w:r>
      <w:r w:rsidR="00815371">
        <w:rPr>
          <w:b/>
          <w:bCs/>
          <w:i w:val="0"/>
          <w:iCs w:val="0"/>
          <w:noProof/>
          <w:color w:val="auto"/>
          <w:sz w:val="24"/>
          <w:szCs w:val="24"/>
        </w:rPr>
        <w:t>4</w:t>
      </w:r>
      <w:r w:rsidR="00600100">
        <w:rPr>
          <w:b/>
          <w:bCs/>
          <w:i w:val="0"/>
          <w:iCs w:val="0"/>
          <w:color w:val="auto"/>
          <w:sz w:val="24"/>
          <w:szCs w:val="24"/>
        </w:rPr>
        <w:fldChar w:fldCharType="end"/>
      </w:r>
      <w:r w:rsidR="00600100">
        <w:rPr>
          <w:b/>
          <w:bCs/>
          <w:i w:val="0"/>
          <w:iCs w:val="0"/>
          <w:color w:val="auto"/>
          <w:sz w:val="24"/>
          <w:szCs w:val="24"/>
        </w:rPr>
        <w:t>.</w:t>
      </w:r>
      <w:r w:rsidR="00600100">
        <w:rPr>
          <w:b/>
          <w:bCs/>
          <w:i w:val="0"/>
          <w:iCs w:val="0"/>
          <w:color w:val="auto"/>
          <w:sz w:val="24"/>
          <w:szCs w:val="24"/>
        </w:rPr>
        <w:fldChar w:fldCharType="begin"/>
      </w:r>
      <w:r w:rsidR="00600100">
        <w:rPr>
          <w:b/>
          <w:bCs/>
          <w:i w:val="0"/>
          <w:iCs w:val="0"/>
          <w:color w:val="auto"/>
          <w:sz w:val="24"/>
          <w:szCs w:val="24"/>
        </w:rPr>
        <w:instrText xml:space="preserve"> SEQ Figure \* ARABIC \s 1 </w:instrText>
      </w:r>
      <w:r w:rsidR="00600100">
        <w:rPr>
          <w:b/>
          <w:bCs/>
          <w:i w:val="0"/>
          <w:iCs w:val="0"/>
          <w:color w:val="auto"/>
          <w:sz w:val="24"/>
          <w:szCs w:val="24"/>
        </w:rPr>
        <w:fldChar w:fldCharType="separate"/>
      </w:r>
      <w:r w:rsidR="00815371">
        <w:rPr>
          <w:b/>
          <w:bCs/>
          <w:i w:val="0"/>
          <w:iCs w:val="0"/>
          <w:noProof/>
          <w:color w:val="auto"/>
          <w:sz w:val="24"/>
          <w:szCs w:val="24"/>
        </w:rPr>
        <w:t>14</w:t>
      </w:r>
      <w:r w:rsidR="00600100">
        <w:rPr>
          <w:b/>
          <w:bCs/>
          <w:i w:val="0"/>
          <w:iCs w:val="0"/>
          <w:color w:val="auto"/>
          <w:sz w:val="24"/>
          <w:szCs w:val="24"/>
        </w:rPr>
        <w:fldChar w:fldCharType="end"/>
      </w:r>
      <w:r w:rsidRPr="00F43E7C">
        <w:rPr>
          <w:b/>
          <w:bCs/>
          <w:i w:val="0"/>
          <w:iCs w:val="0"/>
          <w:color w:val="auto"/>
          <w:sz w:val="24"/>
          <w:szCs w:val="24"/>
        </w:rPr>
        <w:t>:</w:t>
      </w:r>
      <w:r w:rsidRPr="00F43E7C">
        <w:rPr>
          <w:i w:val="0"/>
          <w:iCs w:val="0"/>
          <w:color w:val="auto"/>
          <w:sz w:val="24"/>
          <w:szCs w:val="24"/>
        </w:rPr>
        <w:t xml:space="preserve"> Distribution of phenolic compounds displayed through their originating monomer unit upon torrefaction of natural diversity switchgrass</w:t>
      </w:r>
      <w:bookmarkEnd w:id="98"/>
    </w:p>
    <w:p w14:paraId="0AC6016D" w14:textId="77777777" w:rsidR="00577A35" w:rsidRPr="00174DE3" w:rsidRDefault="00577A35" w:rsidP="00577A35">
      <w:pPr>
        <w:ind w:left="0" w:firstLine="0"/>
        <w:rPr>
          <w:szCs w:val="24"/>
        </w:rPr>
      </w:pPr>
    </w:p>
    <w:p w14:paraId="69315D4E" w14:textId="77777777" w:rsidR="00F43E7C" w:rsidRDefault="00F43E7C" w:rsidP="00F43E7C">
      <w:pPr>
        <w:keepNext/>
        <w:ind w:left="0" w:firstLine="0"/>
        <w:jc w:val="center"/>
      </w:pPr>
      <w:r w:rsidRPr="00174DE3">
        <w:rPr>
          <w:noProof/>
          <w:szCs w:val="24"/>
        </w:rPr>
        <w:drawing>
          <wp:inline distT="0" distB="0" distL="0" distR="0" wp14:anchorId="6F3741F7" wp14:editId="35EA8A75">
            <wp:extent cx="4857750" cy="2733675"/>
            <wp:effectExtent l="0" t="0" r="0" b="9525"/>
            <wp:docPr id="240" name="Chart 240">
              <a:extLst xmlns:a="http://schemas.openxmlformats.org/drawingml/2006/main">
                <a:ext uri="{FF2B5EF4-FFF2-40B4-BE49-F238E27FC236}">
                  <a16:creationId xmlns:a16="http://schemas.microsoft.com/office/drawing/2014/main" id="{B4674CCE-7EB8-48BB-BC1C-4BA662870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5D567B5" w14:textId="584ED626" w:rsidR="00577A35" w:rsidRPr="00F43E7C" w:rsidRDefault="00F43E7C" w:rsidP="00F43E7C">
      <w:pPr>
        <w:pStyle w:val="Caption"/>
        <w:jc w:val="center"/>
        <w:rPr>
          <w:i w:val="0"/>
          <w:iCs w:val="0"/>
          <w:color w:val="auto"/>
          <w:sz w:val="24"/>
          <w:szCs w:val="24"/>
        </w:rPr>
      </w:pPr>
      <w:bookmarkStart w:id="99" w:name="_Toc14520672"/>
      <w:r w:rsidRPr="00F43E7C">
        <w:rPr>
          <w:b/>
          <w:bCs/>
          <w:i w:val="0"/>
          <w:iCs w:val="0"/>
          <w:color w:val="auto"/>
          <w:sz w:val="24"/>
          <w:szCs w:val="24"/>
        </w:rPr>
        <w:t xml:space="preserve">Figure </w:t>
      </w:r>
      <w:r w:rsidR="00600100">
        <w:rPr>
          <w:b/>
          <w:bCs/>
          <w:i w:val="0"/>
          <w:iCs w:val="0"/>
          <w:color w:val="auto"/>
          <w:sz w:val="24"/>
          <w:szCs w:val="24"/>
        </w:rPr>
        <w:fldChar w:fldCharType="begin"/>
      </w:r>
      <w:r w:rsidR="00600100">
        <w:rPr>
          <w:b/>
          <w:bCs/>
          <w:i w:val="0"/>
          <w:iCs w:val="0"/>
          <w:color w:val="auto"/>
          <w:sz w:val="24"/>
          <w:szCs w:val="24"/>
        </w:rPr>
        <w:instrText xml:space="preserve"> STYLEREF 1 \s </w:instrText>
      </w:r>
      <w:r w:rsidR="00600100">
        <w:rPr>
          <w:b/>
          <w:bCs/>
          <w:i w:val="0"/>
          <w:iCs w:val="0"/>
          <w:color w:val="auto"/>
          <w:sz w:val="24"/>
          <w:szCs w:val="24"/>
        </w:rPr>
        <w:fldChar w:fldCharType="separate"/>
      </w:r>
      <w:r w:rsidR="00815371">
        <w:rPr>
          <w:b/>
          <w:bCs/>
          <w:i w:val="0"/>
          <w:iCs w:val="0"/>
          <w:noProof/>
          <w:color w:val="auto"/>
          <w:sz w:val="24"/>
          <w:szCs w:val="24"/>
        </w:rPr>
        <w:t>4</w:t>
      </w:r>
      <w:r w:rsidR="00600100">
        <w:rPr>
          <w:b/>
          <w:bCs/>
          <w:i w:val="0"/>
          <w:iCs w:val="0"/>
          <w:color w:val="auto"/>
          <w:sz w:val="24"/>
          <w:szCs w:val="24"/>
        </w:rPr>
        <w:fldChar w:fldCharType="end"/>
      </w:r>
      <w:r w:rsidR="00600100">
        <w:rPr>
          <w:b/>
          <w:bCs/>
          <w:i w:val="0"/>
          <w:iCs w:val="0"/>
          <w:color w:val="auto"/>
          <w:sz w:val="24"/>
          <w:szCs w:val="24"/>
        </w:rPr>
        <w:t>.</w:t>
      </w:r>
      <w:r w:rsidR="00600100">
        <w:rPr>
          <w:b/>
          <w:bCs/>
          <w:i w:val="0"/>
          <w:iCs w:val="0"/>
          <w:color w:val="auto"/>
          <w:sz w:val="24"/>
          <w:szCs w:val="24"/>
        </w:rPr>
        <w:fldChar w:fldCharType="begin"/>
      </w:r>
      <w:r w:rsidR="00600100">
        <w:rPr>
          <w:b/>
          <w:bCs/>
          <w:i w:val="0"/>
          <w:iCs w:val="0"/>
          <w:color w:val="auto"/>
          <w:sz w:val="24"/>
          <w:szCs w:val="24"/>
        </w:rPr>
        <w:instrText xml:space="preserve"> SEQ Figure \* ARABIC \s 1 </w:instrText>
      </w:r>
      <w:r w:rsidR="00600100">
        <w:rPr>
          <w:b/>
          <w:bCs/>
          <w:i w:val="0"/>
          <w:iCs w:val="0"/>
          <w:color w:val="auto"/>
          <w:sz w:val="24"/>
          <w:szCs w:val="24"/>
        </w:rPr>
        <w:fldChar w:fldCharType="separate"/>
      </w:r>
      <w:r w:rsidR="00815371">
        <w:rPr>
          <w:b/>
          <w:bCs/>
          <w:i w:val="0"/>
          <w:iCs w:val="0"/>
          <w:noProof/>
          <w:color w:val="auto"/>
          <w:sz w:val="24"/>
          <w:szCs w:val="24"/>
        </w:rPr>
        <w:t>15</w:t>
      </w:r>
      <w:r w:rsidR="00600100">
        <w:rPr>
          <w:b/>
          <w:bCs/>
          <w:i w:val="0"/>
          <w:iCs w:val="0"/>
          <w:color w:val="auto"/>
          <w:sz w:val="24"/>
          <w:szCs w:val="24"/>
        </w:rPr>
        <w:fldChar w:fldCharType="end"/>
      </w:r>
      <w:r w:rsidRPr="00F43E7C">
        <w:rPr>
          <w:b/>
          <w:bCs/>
          <w:i w:val="0"/>
          <w:iCs w:val="0"/>
          <w:color w:val="auto"/>
          <w:sz w:val="24"/>
          <w:szCs w:val="24"/>
        </w:rPr>
        <w:t>:</w:t>
      </w:r>
      <w:r w:rsidRPr="00F43E7C">
        <w:rPr>
          <w:i w:val="0"/>
          <w:iCs w:val="0"/>
          <w:color w:val="auto"/>
          <w:sz w:val="24"/>
          <w:szCs w:val="24"/>
        </w:rPr>
        <w:t xml:space="preserve"> Distribution of phenolic compounds displayed through their originating monomer unit upon pyrolysis of natural diversity switchgrass</w:t>
      </w:r>
      <w:bookmarkEnd w:id="99"/>
    </w:p>
    <w:p w14:paraId="06F85397" w14:textId="77777777" w:rsidR="00577A35" w:rsidRPr="00174DE3" w:rsidRDefault="00577A35" w:rsidP="00577A35">
      <w:pPr>
        <w:ind w:left="0" w:firstLine="0"/>
        <w:rPr>
          <w:szCs w:val="24"/>
        </w:rPr>
      </w:pPr>
    </w:p>
    <w:p w14:paraId="7FAB6A3E" w14:textId="77777777" w:rsidR="00577A35" w:rsidRPr="00174DE3" w:rsidRDefault="00577A35" w:rsidP="00577A35">
      <w:pPr>
        <w:ind w:left="0" w:firstLine="0"/>
        <w:rPr>
          <w:szCs w:val="24"/>
        </w:rPr>
      </w:pPr>
    </w:p>
    <w:p w14:paraId="6E17DB09" w14:textId="77777777" w:rsidR="00577A35" w:rsidRPr="00174DE3" w:rsidRDefault="00577A35" w:rsidP="00577A35">
      <w:pPr>
        <w:ind w:left="0" w:firstLine="0"/>
        <w:rPr>
          <w:szCs w:val="24"/>
        </w:rPr>
      </w:pPr>
    </w:p>
    <w:p w14:paraId="243AD4B1" w14:textId="77777777" w:rsidR="00600100" w:rsidRDefault="00600100" w:rsidP="00600100">
      <w:pPr>
        <w:keepNext/>
        <w:ind w:left="0" w:firstLine="0"/>
        <w:jc w:val="center"/>
      </w:pPr>
      <w:r w:rsidRPr="00174DE3">
        <w:rPr>
          <w:noProof/>
          <w:szCs w:val="24"/>
        </w:rPr>
        <w:lastRenderedPageBreak/>
        <w:drawing>
          <wp:inline distT="0" distB="0" distL="0" distR="0" wp14:anchorId="01CE695F" wp14:editId="66AD2432">
            <wp:extent cx="4824352" cy="2742002"/>
            <wp:effectExtent l="0" t="0" r="14605" b="1270"/>
            <wp:docPr id="241" name="Chart 241">
              <a:extLst xmlns:a="http://schemas.openxmlformats.org/drawingml/2006/main">
                <a:ext uri="{FF2B5EF4-FFF2-40B4-BE49-F238E27FC236}">
                  <a16:creationId xmlns:a16="http://schemas.microsoft.com/office/drawing/2014/main" id="{0C561A48-5132-4306-9D3E-88694FE735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FFE5DD8" w14:textId="62213EC0" w:rsidR="00577A35" w:rsidRPr="00600100" w:rsidRDefault="00600100" w:rsidP="00600100">
      <w:pPr>
        <w:pStyle w:val="Caption"/>
        <w:jc w:val="center"/>
        <w:rPr>
          <w:i w:val="0"/>
          <w:iCs w:val="0"/>
          <w:color w:val="auto"/>
          <w:sz w:val="24"/>
          <w:szCs w:val="24"/>
        </w:rPr>
      </w:pPr>
      <w:bookmarkStart w:id="100" w:name="_Toc14520673"/>
      <w:r w:rsidRPr="00600100">
        <w:rPr>
          <w:b/>
          <w:bCs/>
          <w:i w:val="0"/>
          <w:iCs w:val="0"/>
          <w:color w:val="auto"/>
          <w:sz w:val="24"/>
          <w:szCs w:val="24"/>
        </w:rPr>
        <w:t xml:space="preserve">Figure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sidR="00815371">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Figure \* ARABIC \s 1 </w:instrText>
      </w:r>
      <w:r>
        <w:rPr>
          <w:b/>
          <w:bCs/>
          <w:i w:val="0"/>
          <w:iCs w:val="0"/>
          <w:color w:val="auto"/>
          <w:sz w:val="24"/>
          <w:szCs w:val="24"/>
        </w:rPr>
        <w:fldChar w:fldCharType="separate"/>
      </w:r>
      <w:r w:rsidR="00815371">
        <w:rPr>
          <w:b/>
          <w:bCs/>
          <w:i w:val="0"/>
          <w:iCs w:val="0"/>
          <w:noProof/>
          <w:color w:val="auto"/>
          <w:sz w:val="24"/>
          <w:szCs w:val="24"/>
        </w:rPr>
        <w:t>16</w:t>
      </w:r>
      <w:r>
        <w:rPr>
          <w:b/>
          <w:bCs/>
          <w:i w:val="0"/>
          <w:iCs w:val="0"/>
          <w:color w:val="auto"/>
          <w:sz w:val="24"/>
          <w:szCs w:val="24"/>
        </w:rPr>
        <w:fldChar w:fldCharType="end"/>
      </w:r>
      <w:r w:rsidRPr="00600100">
        <w:rPr>
          <w:b/>
          <w:bCs/>
          <w:i w:val="0"/>
          <w:iCs w:val="0"/>
          <w:color w:val="auto"/>
          <w:sz w:val="24"/>
          <w:szCs w:val="24"/>
        </w:rPr>
        <w:t>:</w:t>
      </w:r>
      <w:r w:rsidRPr="00600100">
        <w:rPr>
          <w:i w:val="0"/>
          <w:iCs w:val="0"/>
          <w:color w:val="auto"/>
          <w:sz w:val="24"/>
          <w:szCs w:val="24"/>
        </w:rPr>
        <w:t xml:space="preserve"> Distribution of phenolic compounds displayed through their originating monomer unit upon torrefaction of AP13 switchgrass</w:t>
      </w:r>
      <w:bookmarkEnd w:id="100"/>
    </w:p>
    <w:p w14:paraId="5C63159D" w14:textId="77777777" w:rsidR="00577A35" w:rsidRPr="00174DE3" w:rsidRDefault="00577A35" w:rsidP="00577A35">
      <w:pPr>
        <w:ind w:left="0" w:firstLine="0"/>
        <w:rPr>
          <w:szCs w:val="24"/>
        </w:rPr>
      </w:pPr>
    </w:p>
    <w:p w14:paraId="60410279" w14:textId="77777777" w:rsidR="00600100" w:rsidRDefault="00600100" w:rsidP="00600100">
      <w:pPr>
        <w:keepNext/>
        <w:ind w:left="0" w:firstLine="0"/>
        <w:jc w:val="center"/>
      </w:pPr>
      <w:r w:rsidRPr="00174DE3">
        <w:rPr>
          <w:noProof/>
          <w:szCs w:val="24"/>
        </w:rPr>
        <w:drawing>
          <wp:inline distT="0" distB="0" distL="0" distR="0" wp14:anchorId="1B528555" wp14:editId="47D1DF53">
            <wp:extent cx="4910943" cy="2739047"/>
            <wp:effectExtent l="0" t="0" r="4445" b="4445"/>
            <wp:docPr id="242" name="Chart 242">
              <a:extLst xmlns:a="http://schemas.openxmlformats.org/drawingml/2006/main">
                <a:ext uri="{FF2B5EF4-FFF2-40B4-BE49-F238E27FC236}">
                  <a16:creationId xmlns:a16="http://schemas.microsoft.com/office/drawing/2014/main" id="{88ED92D4-4B7E-4C27-863E-2F6C390BA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908BF03" w14:textId="5478F919" w:rsidR="00577A35" w:rsidRPr="00600100" w:rsidRDefault="00600100" w:rsidP="00600100">
      <w:pPr>
        <w:pStyle w:val="Caption"/>
        <w:jc w:val="center"/>
        <w:rPr>
          <w:i w:val="0"/>
          <w:iCs w:val="0"/>
          <w:color w:val="auto"/>
          <w:sz w:val="24"/>
          <w:szCs w:val="24"/>
        </w:rPr>
      </w:pPr>
      <w:bookmarkStart w:id="101" w:name="_Toc14520674"/>
      <w:r w:rsidRPr="00600100">
        <w:rPr>
          <w:b/>
          <w:bCs/>
          <w:i w:val="0"/>
          <w:iCs w:val="0"/>
          <w:color w:val="auto"/>
          <w:sz w:val="24"/>
          <w:szCs w:val="24"/>
        </w:rPr>
        <w:t xml:space="preserve">Figure </w:t>
      </w:r>
      <w:r w:rsidRPr="00600100">
        <w:rPr>
          <w:b/>
          <w:bCs/>
          <w:i w:val="0"/>
          <w:iCs w:val="0"/>
          <w:color w:val="auto"/>
          <w:sz w:val="24"/>
          <w:szCs w:val="24"/>
        </w:rPr>
        <w:fldChar w:fldCharType="begin"/>
      </w:r>
      <w:r w:rsidRPr="00600100">
        <w:rPr>
          <w:b/>
          <w:bCs/>
          <w:i w:val="0"/>
          <w:iCs w:val="0"/>
          <w:color w:val="auto"/>
          <w:sz w:val="24"/>
          <w:szCs w:val="24"/>
        </w:rPr>
        <w:instrText xml:space="preserve"> STYLEREF 1 \s </w:instrText>
      </w:r>
      <w:r w:rsidRPr="00600100">
        <w:rPr>
          <w:b/>
          <w:bCs/>
          <w:i w:val="0"/>
          <w:iCs w:val="0"/>
          <w:color w:val="auto"/>
          <w:sz w:val="24"/>
          <w:szCs w:val="24"/>
        </w:rPr>
        <w:fldChar w:fldCharType="separate"/>
      </w:r>
      <w:r w:rsidR="00815371">
        <w:rPr>
          <w:b/>
          <w:bCs/>
          <w:i w:val="0"/>
          <w:iCs w:val="0"/>
          <w:noProof/>
          <w:color w:val="auto"/>
          <w:sz w:val="24"/>
          <w:szCs w:val="24"/>
        </w:rPr>
        <w:t>4</w:t>
      </w:r>
      <w:r w:rsidRPr="00600100">
        <w:rPr>
          <w:b/>
          <w:bCs/>
          <w:i w:val="0"/>
          <w:iCs w:val="0"/>
          <w:color w:val="auto"/>
          <w:sz w:val="24"/>
          <w:szCs w:val="24"/>
        </w:rPr>
        <w:fldChar w:fldCharType="end"/>
      </w:r>
      <w:r w:rsidRPr="00600100">
        <w:rPr>
          <w:b/>
          <w:bCs/>
          <w:i w:val="0"/>
          <w:iCs w:val="0"/>
          <w:color w:val="auto"/>
          <w:sz w:val="24"/>
          <w:szCs w:val="24"/>
        </w:rPr>
        <w:t>.</w:t>
      </w:r>
      <w:r w:rsidRPr="00600100">
        <w:rPr>
          <w:b/>
          <w:bCs/>
          <w:i w:val="0"/>
          <w:iCs w:val="0"/>
          <w:color w:val="auto"/>
          <w:sz w:val="24"/>
          <w:szCs w:val="24"/>
        </w:rPr>
        <w:fldChar w:fldCharType="begin"/>
      </w:r>
      <w:r w:rsidRPr="00600100">
        <w:rPr>
          <w:b/>
          <w:bCs/>
          <w:i w:val="0"/>
          <w:iCs w:val="0"/>
          <w:color w:val="auto"/>
          <w:sz w:val="24"/>
          <w:szCs w:val="24"/>
        </w:rPr>
        <w:instrText xml:space="preserve"> SEQ Figure \* ARABIC \s 1 </w:instrText>
      </w:r>
      <w:r w:rsidRPr="00600100">
        <w:rPr>
          <w:b/>
          <w:bCs/>
          <w:i w:val="0"/>
          <w:iCs w:val="0"/>
          <w:color w:val="auto"/>
          <w:sz w:val="24"/>
          <w:szCs w:val="24"/>
        </w:rPr>
        <w:fldChar w:fldCharType="separate"/>
      </w:r>
      <w:r w:rsidR="00815371">
        <w:rPr>
          <w:b/>
          <w:bCs/>
          <w:i w:val="0"/>
          <w:iCs w:val="0"/>
          <w:noProof/>
          <w:color w:val="auto"/>
          <w:sz w:val="24"/>
          <w:szCs w:val="24"/>
        </w:rPr>
        <w:t>17</w:t>
      </w:r>
      <w:r w:rsidRPr="00600100">
        <w:rPr>
          <w:b/>
          <w:bCs/>
          <w:i w:val="0"/>
          <w:iCs w:val="0"/>
          <w:color w:val="auto"/>
          <w:sz w:val="24"/>
          <w:szCs w:val="24"/>
        </w:rPr>
        <w:fldChar w:fldCharType="end"/>
      </w:r>
      <w:r w:rsidRPr="00600100">
        <w:rPr>
          <w:b/>
          <w:bCs/>
          <w:i w:val="0"/>
          <w:iCs w:val="0"/>
          <w:color w:val="auto"/>
          <w:sz w:val="24"/>
          <w:szCs w:val="24"/>
        </w:rPr>
        <w:t>:</w:t>
      </w:r>
      <w:r w:rsidRPr="00600100">
        <w:rPr>
          <w:i w:val="0"/>
          <w:iCs w:val="0"/>
          <w:color w:val="auto"/>
          <w:sz w:val="24"/>
          <w:szCs w:val="24"/>
        </w:rPr>
        <w:t xml:space="preserve"> Distribution of phenolic compounds displayed through their originating monomer unit upon pyrolysis of AP13 switchgrass</w:t>
      </w:r>
      <w:bookmarkEnd w:id="101"/>
    </w:p>
    <w:p w14:paraId="1F94B4E0" w14:textId="77777777" w:rsidR="00577A35" w:rsidRPr="00174DE3" w:rsidRDefault="00577A35" w:rsidP="00577A35">
      <w:pPr>
        <w:ind w:left="0" w:firstLine="0"/>
        <w:rPr>
          <w:szCs w:val="24"/>
        </w:rPr>
      </w:pPr>
    </w:p>
    <w:p w14:paraId="26EBC699" w14:textId="77777777" w:rsidR="00577A35" w:rsidRPr="00174DE3" w:rsidRDefault="00577A35" w:rsidP="00577A35">
      <w:pPr>
        <w:ind w:left="0" w:firstLine="0"/>
        <w:rPr>
          <w:szCs w:val="24"/>
        </w:rPr>
      </w:pPr>
    </w:p>
    <w:p w14:paraId="3E2EB186" w14:textId="77777777" w:rsidR="00577A35" w:rsidRPr="00174DE3" w:rsidRDefault="00577A35" w:rsidP="00577A35">
      <w:pPr>
        <w:ind w:left="0" w:firstLine="0"/>
        <w:rPr>
          <w:szCs w:val="24"/>
        </w:rPr>
      </w:pPr>
    </w:p>
    <w:p w14:paraId="205D48A2" w14:textId="77777777" w:rsidR="00577A35" w:rsidRPr="001555A6" w:rsidRDefault="00577A35" w:rsidP="00D9716E">
      <w:pPr>
        <w:pStyle w:val="Heading2"/>
        <w:rPr>
          <w:rFonts w:ascii="Times New Roman" w:hAnsi="Times New Roman" w:cs="Times New Roman"/>
          <w:b/>
          <w:bCs/>
          <w:color w:val="auto"/>
          <w:sz w:val="24"/>
          <w:szCs w:val="24"/>
        </w:rPr>
      </w:pPr>
      <w:bookmarkStart w:id="102" w:name="_Toc14521047"/>
      <w:r w:rsidRPr="001555A6">
        <w:rPr>
          <w:rFonts w:ascii="Times New Roman" w:hAnsi="Times New Roman" w:cs="Times New Roman"/>
          <w:b/>
          <w:bCs/>
          <w:color w:val="auto"/>
          <w:sz w:val="24"/>
          <w:szCs w:val="24"/>
        </w:rPr>
        <w:lastRenderedPageBreak/>
        <w:t>4.5 D</w:t>
      </w:r>
      <w:r w:rsidR="001555A6">
        <w:rPr>
          <w:rFonts w:ascii="Times New Roman" w:hAnsi="Times New Roman" w:cs="Times New Roman"/>
          <w:b/>
          <w:bCs/>
          <w:color w:val="auto"/>
          <w:sz w:val="24"/>
          <w:szCs w:val="24"/>
        </w:rPr>
        <w:t>iscussion</w:t>
      </w:r>
      <w:bookmarkEnd w:id="102"/>
    </w:p>
    <w:p w14:paraId="35B8385B" w14:textId="77777777" w:rsidR="00577A35" w:rsidRPr="00174DE3" w:rsidRDefault="00577A35" w:rsidP="00ED4E6F">
      <w:pPr>
        <w:spacing w:line="480" w:lineRule="auto"/>
        <w:ind w:left="0" w:firstLine="720"/>
        <w:jc w:val="both"/>
        <w:rPr>
          <w:szCs w:val="24"/>
        </w:rPr>
      </w:pPr>
      <w:r w:rsidRPr="00174DE3">
        <w:rPr>
          <w:szCs w:val="24"/>
        </w:rPr>
        <w:t xml:space="preserve">As hypothesized, the COMT2 mutant samples produced less phenolic products than the COMT2 wild type samples when subjected to a low temperature (“Stage 1” as mentioned in chapter 1) thermal degradation treatment for the clean removal of hemicellulose. This observation could be a result of the decreased presence of the β-O-4 (Figure 4.2) inter-unit linkages within the lignin polymeric network due to the suppression of the </w:t>
      </w:r>
      <w:r w:rsidRPr="00174DE3">
        <w:rPr>
          <w:i/>
          <w:iCs/>
          <w:szCs w:val="24"/>
        </w:rPr>
        <w:t>S</w:t>
      </w:r>
      <w:r w:rsidRPr="00174DE3">
        <w:rPr>
          <w:szCs w:val="24"/>
        </w:rPr>
        <w:t xml:space="preserve"> monomer formation – leading to higher bond dissociation enthalpy distributions- brought about by the genetic modification.</w:t>
      </w:r>
      <w:r>
        <w:rPr>
          <w:szCs w:val="24"/>
        </w:rPr>
        <w:t xml:space="preserve"> The suppression of </w:t>
      </w:r>
      <w:r w:rsidRPr="00275754">
        <w:rPr>
          <w:b/>
          <w:bCs/>
          <w:i/>
          <w:iCs/>
          <w:szCs w:val="24"/>
        </w:rPr>
        <w:t>S</w:t>
      </w:r>
      <w:r>
        <w:rPr>
          <w:szCs w:val="24"/>
        </w:rPr>
        <w:t xml:space="preserve"> monomer formation allows the </w:t>
      </w:r>
      <w:r w:rsidRPr="00275754">
        <w:rPr>
          <w:b/>
          <w:bCs/>
          <w:i/>
          <w:iCs/>
          <w:szCs w:val="24"/>
        </w:rPr>
        <w:t>G</w:t>
      </w:r>
      <w:r>
        <w:rPr>
          <w:szCs w:val="24"/>
        </w:rPr>
        <w:t xml:space="preserve"> monomer unit to have a greater exposure to the “-5” reaction site; this leads to stronger thermally resistant crosslinks, and thus the low </w:t>
      </w:r>
      <w:r w:rsidRPr="00275754">
        <w:rPr>
          <w:b/>
          <w:bCs/>
          <w:i/>
          <w:iCs/>
          <w:szCs w:val="24"/>
        </w:rPr>
        <w:t>S/G</w:t>
      </w:r>
      <w:r>
        <w:rPr>
          <w:szCs w:val="24"/>
        </w:rPr>
        <w:t xml:space="preserve"> ratio samples have a greater fraction of the stronger bonds leading to lesser decomposition at low temperatures.</w:t>
      </w:r>
      <w:r w:rsidRPr="00174DE3">
        <w:rPr>
          <w:szCs w:val="24"/>
        </w:rPr>
        <w:t xml:space="preserve"> At low temperatures, the most abundant individual thermochemical product in both the wild type and mutant sample is Phenol, 4-vinyl-, which is a </w:t>
      </w:r>
      <w:r w:rsidRPr="00275754">
        <w:rPr>
          <w:b/>
          <w:bCs/>
          <w:i/>
          <w:iCs/>
          <w:szCs w:val="24"/>
        </w:rPr>
        <w:t>H</w:t>
      </w:r>
      <w:r w:rsidRPr="00174DE3">
        <w:rPr>
          <w:i/>
          <w:iCs/>
          <w:szCs w:val="24"/>
        </w:rPr>
        <w:t xml:space="preserve"> </w:t>
      </w:r>
      <w:r w:rsidRPr="00174DE3">
        <w:rPr>
          <w:szCs w:val="24"/>
        </w:rPr>
        <w:t xml:space="preserve">monomer derived product. Although the mutant samples were enhanced in </w:t>
      </w:r>
      <w:r w:rsidRPr="00275754">
        <w:rPr>
          <w:b/>
          <w:bCs/>
          <w:i/>
          <w:iCs/>
          <w:szCs w:val="24"/>
        </w:rPr>
        <w:t>G</w:t>
      </w:r>
      <w:r w:rsidRPr="00174DE3">
        <w:rPr>
          <w:szCs w:val="24"/>
        </w:rPr>
        <w:t xml:space="preserve"> monomers, they virtually produced an equivalent amount of the </w:t>
      </w:r>
      <w:r w:rsidRPr="00275754">
        <w:rPr>
          <w:b/>
          <w:bCs/>
          <w:i/>
          <w:iCs/>
          <w:szCs w:val="24"/>
        </w:rPr>
        <w:t>G</w:t>
      </w:r>
      <w:r w:rsidRPr="00174DE3">
        <w:rPr>
          <w:szCs w:val="24"/>
        </w:rPr>
        <w:t xml:space="preserve"> derived phenolics as the wild type samples. </w:t>
      </w:r>
    </w:p>
    <w:p w14:paraId="7756DC2A" w14:textId="1A1D5085" w:rsidR="00577A35" w:rsidRPr="00174DE3" w:rsidRDefault="00577A35" w:rsidP="00ED4E6F">
      <w:pPr>
        <w:spacing w:line="480" w:lineRule="auto"/>
        <w:ind w:left="0" w:firstLine="720"/>
        <w:jc w:val="both"/>
        <w:rPr>
          <w:szCs w:val="24"/>
        </w:rPr>
      </w:pPr>
      <w:r w:rsidRPr="00174DE3">
        <w:rPr>
          <w:szCs w:val="24"/>
        </w:rPr>
        <w:t>Another plausible explanation for the observed differences in the phenolic yields between the mutant and wild type sample</w:t>
      </w:r>
      <w:r>
        <w:rPr>
          <w:szCs w:val="24"/>
        </w:rPr>
        <w:t>s</w:t>
      </w:r>
      <w:r w:rsidRPr="00174DE3">
        <w:rPr>
          <w:szCs w:val="24"/>
        </w:rPr>
        <w:t xml:space="preserve"> at low temperatures may be due to differing amounts of p-coumaric acid (pCA). It is possible for the genetic modification to lower the levels of pCA within the mutant biomass (an indirect result). Palmer et al. (66) detected low levels of cell wall-bound pCA in a couple variety of COMT-deficient sorghum mutants as opposed to their respective wild types. In conjunction with decreased abundance of pCA, the study also revealed an increase in the levels of ferulic acid (66). The relative decrease in the production of Phenol,4-vinyl- within the mutant switchgrass samples via torrefaction could be attributable to lowered amounts of pCA. However, the COMT2 deficient mutant switchgrass samples produced l</w:t>
      </w:r>
      <w:r w:rsidR="00CB668D">
        <w:rPr>
          <w:szCs w:val="24"/>
        </w:rPr>
        <w:t>ower</w:t>
      </w:r>
      <w:r w:rsidRPr="00174DE3">
        <w:rPr>
          <w:szCs w:val="24"/>
        </w:rPr>
        <w:t xml:space="preserve"> amounts of </w:t>
      </w:r>
      <w:r w:rsidRPr="00174DE3">
        <w:rPr>
          <w:szCs w:val="24"/>
        </w:rPr>
        <w:lastRenderedPageBreak/>
        <w:t>Guaiacol,4-vinyl- (discussed above), which is a product of the ferulic acid (7), than the wild type switchgrass. This could be interpreted to assume that the assimilation of the esterified ferulic acid is obtained through the more thermally stable inter</w:t>
      </w:r>
      <w:r w:rsidR="00276568">
        <w:rPr>
          <w:szCs w:val="24"/>
        </w:rPr>
        <w:t>-</w:t>
      </w:r>
      <w:r w:rsidRPr="00174DE3">
        <w:rPr>
          <w:szCs w:val="24"/>
        </w:rPr>
        <w:t>unit linkages. However, this alternative explanation was not examined for the purposes of this thesis since the samples utilized throughout did not have</w:t>
      </w:r>
      <w:r>
        <w:rPr>
          <w:szCs w:val="24"/>
        </w:rPr>
        <w:t xml:space="preserve"> any</w:t>
      </w:r>
      <w:r w:rsidRPr="00174DE3">
        <w:rPr>
          <w:szCs w:val="24"/>
        </w:rPr>
        <w:t xml:space="preserve"> available data for esterified hydroxycinnamic acids (HCA) measurements.</w:t>
      </w:r>
      <w:r>
        <w:rPr>
          <w:szCs w:val="24"/>
        </w:rPr>
        <w:t xml:space="preserve"> Phenolic products obtained through thermal degradation experiments can come from both HCAs and decomposing polymerized lignin. Hence, it is important to consider the HCA derived phenolic products when any study investigating lignin’s thermal stability is examined. Removal of the HCAs from biomass contents can be achieved using a sodium hydroxide extraction technique which allows the lignin polymeric network to be intact.</w:t>
      </w:r>
      <w:r w:rsidRPr="00174DE3">
        <w:rPr>
          <w:szCs w:val="24"/>
        </w:rPr>
        <w:t xml:space="preserve"> Pretreatment of biomass samples</w:t>
      </w:r>
      <w:r>
        <w:rPr>
          <w:szCs w:val="24"/>
        </w:rPr>
        <w:t xml:space="preserve"> in such a way</w:t>
      </w:r>
      <w:r w:rsidRPr="00174DE3">
        <w:rPr>
          <w:szCs w:val="24"/>
        </w:rPr>
        <w:t xml:space="preserve"> before subjecting to low temperature thermal degradation would facilitate the comprehension regarding the influence of</w:t>
      </w:r>
      <w:r>
        <w:rPr>
          <w:szCs w:val="24"/>
        </w:rPr>
        <w:t xml:space="preserve"> only heritable traits</w:t>
      </w:r>
      <w:r w:rsidRPr="00174DE3">
        <w:rPr>
          <w:szCs w:val="24"/>
        </w:rPr>
        <w:t xml:space="preserve"> on observed phenolic thermochemical products</w:t>
      </w:r>
      <w:r>
        <w:rPr>
          <w:szCs w:val="24"/>
        </w:rPr>
        <w:t xml:space="preserve"> as no results would be obscured due to the presence of HCA products</w:t>
      </w:r>
      <w:r w:rsidRPr="00174DE3">
        <w:rPr>
          <w:szCs w:val="24"/>
        </w:rPr>
        <w:t xml:space="preserve">. </w:t>
      </w:r>
    </w:p>
    <w:p w14:paraId="5A4920AE" w14:textId="77777777" w:rsidR="00577A35" w:rsidRPr="00174DE3" w:rsidRDefault="00577A35" w:rsidP="00ED4E6F">
      <w:pPr>
        <w:spacing w:line="480" w:lineRule="auto"/>
        <w:ind w:left="0" w:firstLine="720"/>
        <w:jc w:val="both"/>
        <w:rPr>
          <w:szCs w:val="24"/>
        </w:rPr>
      </w:pPr>
      <w:r w:rsidRPr="00174DE3">
        <w:rPr>
          <w:szCs w:val="24"/>
        </w:rPr>
        <w:t xml:space="preserve">If the relative abundance of pCA levels are indifferent between the COMT deficient mutant samples and their respective isogenic wild types, then the observed differences in the lowered phenolic products within the mutants via torrefaction is likely due to the magnified thermal stability of the lignin polymeric network incorporated into the cellular framework of the biomass. </w:t>
      </w:r>
    </w:p>
    <w:p w14:paraId="4277A2EE" w14:textId="77777777" w:rsidR="00577A35" w:rsidRDefault="00577A35" w:rsidP="003874B9">
      <w:pPr>
        <w:ind w:left="0" w:firstLine="0"/>
        <w:rPr>
          <w:szCs w:val="24"/>
        </w:rPr>
      </w:pPr>
    </w:p>
    <w:p w14:paraId="02B257A3" w14:textId="77777777" w:rsidR="00ED4E6F" w:rsidRDefault="00ED4E6F" w:rsidP="00AC4B85">
      <w:pPr>
        <w:spacing w:line="480" w:lineRule="auto"/>
        <w:ind w:left="0" w:firstLine="0"/>
        <w:rPr>
          <w:szCs w:val="24"/>
        </w:rPr>
      </w:pPr>
    </w:p>
    <w:p w14:paraId="0ED8AD28" w14:textId="77777777" w:rsidR="00600100" w:rsidRDefault="00600100" w:rsidP="00AC4B85">
      <w:pPr>
        <w:spacing w:line="480" w:lineRule="auto"/>
        <w:ind w:left="0" w:firstLine="0"/>
        <w:rPr>
          <w:b/>
          <w:bCs/>
          <w:szCs w:val="24"/>
        </w:rPr>
      </w:pPr>
    </w:p>
    <w:p w14:paraId="2977A011" w14:textId="77777777" w:rsidR="00AC4B85" w:rsidRPr="001555A6" w:rsidRDefault="00AC4B85" w:rsidP="006742E2">
      <w:pPr>
        <w:pStyle w:val="Heading1"/>
        <w:numPr>
          <w:ilvl w:val="0"/>
          <w:numId w:val="0"/>
        </w:numPr>
        <w:jc w:val="center"/>
        <w:rPr>
          <w:rFonts w:ascii="Times New Roman" w:hAnsi="Times New Roman" w:cs="Times New Roman"/>
          <w:b/>
          <w:bCs/>
          <w:color w:val="auto"/>
          <w:sz w:val="28"/>
          <w:szCs w:val="28"/>
        </w:rPr>
      </w:pPr>
      <w:bookmarkStart w:id="103" w:name="_Toc14521048"/>
      <w:r w:rsidRPr="001555A6">
        <w:rPr>
          <w:rFonts w:ascii="Times New Roman" w:hAnsi="Times New Roman" w:cs="Times New Roman"/>
          <w:b/>
          <w:bCs/>
          <w:color w:val="auto"/>
          <w:sz w:val="28"/>
          <w:szCs w:val="28"/>
        </w:rPr>
        <w:lastRenderedPageBreak/>
        <w:t>References:</w:t>
      </w:r>
      <w:bookmarkEnd w:id="103"/>
    </w:p>
    <w:p w14:paraId="6D44700F"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G. W. Huber, S. Iborra, A. Corma, Synthesis of transportation fuels from biomass: chemistry, catalysts, and engineering. </w:t>
      </w:r>
      <w:r w:rsidRPr="0058380A">
        <w:rPr>
          <w:rFonts w:ascii="Times New Roman" w:hAnsi="Times New Roman" w:cs="Times New Roman"/>
          <w:i/>
          <w:iCs/>
          <w:sz w:val="24"/>
          <w:szCs w:val="24"/>
        </w:rPr>
        <w:t>Chem Rev.</w:t>
      </w:r>
      <w:r w:rsidRPr="0058380A">
        <w:rPr>
          <w:rFonts w:ascii="Times New Roman" w:hAnsi="Times New Roman" w:cs="Times New Roman"/>
          <w:sz w:val="24"/>
          <w:szCs w:val="24"/>
        </w:rPr>
        <w:t xml:space="preserve"> (2006).</w:t>
      </w:r>
      <w:r w:rsidR="00266DB2">
        <w:rPr>
          <w:rFonts w:ascii="Times New Roman" w:hAnsi="Times New Roman" w:cs="Times New Roman"/>
          <w:sz w:val="24"/>
          <w:szCs w:val="24"/>
        </w:rPr>
        <w:br/>
      </w:r>
    </w:p>
    <w:p w14:paraId="758BDF04"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M. J. C. Stelt, H. Gerhauser, J.H.A. Kiel, K.J. Ptasinski, Biomass upgrading by torrefaction for the production of biofuels: A review. </w:t>
      </w:r>
      <w:r w:rsidRPr="0058380A">
        <w:rPr>
          <w:rFonts w:ascii="Times New Roman" w:hAnsi="Times New Roman" w:cs="Times New Roman"/>
          <w:i/>
          <w:iCs/>
          <w:sz w:val="24"/>
          <w:szCs w:val="24"/>
        </w:rPr>
        <w:t xml:space="preserve">Biomass and Bioenergy. </w:t>
      </w:r>
      <w:r w:rsidRPr="0058380A">
        <w:rPr>
          <w:rFonts w:ascii="Times New Roman" w:hAnsi="Times New Roman" w:cs="Times New Roman"/>
          <w:sz w:val="24"/>
          <w:szCs w:val="24"/>
        </w:rPr>
        <w:t>(2011).</w:t>
      </w:r>
      <w:r w:rsidR="00266DB2">
        <w:rPr>
          <w:rFonts w:ascii="Times New Roman" w:hAnsi="Times New Roman" w:cs="Times New Roman"/>
          <w:sz w:val="24"/>
          <w:szCs w:val="24"/>
        </w:rPr>
        <w:br/>
      </w:r>
    </w:p>
    <w:p w14:paraId="11F78821"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W. Chen, J. Peng, Xiaotao T. Bi, A state-of-the-art review of biomass torrefaction, densification and applications. </w:t>
      </w:r>
      <w:r w:rsidRPr="0058380A">
        <w:rPr>
          <w:rFonts w:ascii="Times New Roman" w:hAnsi="Times New Roman" w:cs="Times New Roman"/>
          <w:i/>
          <w:iCs/>
          <w:sz w:val="24"/>
          <w:szCs w:val="24"/>
        </w:rPr>
        <w:t>Renewable and Sustainable Energy Reviews</w:t>
      </w:r>
      <w:r w:rsidRPr="0058380A">
        <w:rPr>
          <w:rFonts w:ascii="Times New Roman" w:hAnsi="Times New Roman" w:cs="Times New Roman"/>
          <w:sz w:val="24"/>
          <w:szCs w:val="24"/>
        </w:rPr>
        <w:t>. (2015).</w:t>
      </w:r>
      <w:r w:rsidR="00266DB2">
        <w:rPr>
          <w:rFonts w:ascii="Times New Roman" w:hAnsi="Times New Roman" w:cs="Times New Roman"/>
          <w:sz w:val="24"/>
          <w:szCs w:val="24"/>
        </w:rPr>
        <w:br/>
      </w:r>
    </w:p>
    <w:p w14:paraId="602E0E36"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T. Shahzadi, S. Mehmood, M. Irshad, Z. Anwar, A. Afroz, N. Zeeshan, U. Rashid, K. Sughra, Advances in Lignocellulosic Biotechnology: A Brief Review on Lignocellulosic Biomass and Cellulases. </w:t>
      </w:r>
      <w:r w:rsidRPr="0058380A">
        <w:rPr>
          <w:rFonts w:ascii="Times New Roman" w:hAnsi="Times New Roman" w:cs="Times New Roman"/>
          <w:i/>
          <w:iCs/>
          <w:sz w:val="24"/>
          <w:szCs w:val="24"/>
        </w:rPr>
        <w:t>Advances in Bioscience and Biotechnology.</w:t>
      </w:r>
      <w:r w:rsidRPr="0058380A">
        <w:rPr>
          <w:rFonts w:ascii="Times New Roman" w:hAnsi="Times New Roman" w:cs="Times New Roman"/>
          <w:sz w:val="24"/>
          <w:szCs w:val="24"/>
        </w:rPr>
        <w:t xml:space="preserve"> (2014).</w:t>
      </w:r>
      <w:r w:rsidR="00266DB2">
        <w:rPr>
          <w:rFonts w:ascii="Times New Roman" w:hAnsi="Times New Roman" w:cs="Times New Roman"/>
          <w:sz w:val="24"/>
          <w:szCs w:val="24"/>
        </w:rPr>
        <w:br/>
      </w:r>
    </w:p>
    <w:p w14:paraId="61E41E9B"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P. de Wild, H. Reith, E. Heeres, Biomass pyrolysis for chemicals. </w:t>
      </w:r>
      <w:r w:rsidRPr="0058380A">
        <w:rPr>
          <w:rFonts w:ascii="Times New Roman" w:hAnsi="Times New Roman" w:cs="Times New Roman"/>
          <w:i/>
          <w:iCs/>
          <w:sz w:val="24"/>
          <w:szCs w:val="24"/>
        </w:rPr>
        <w:t>Biofuels.</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2</w:t>
      </w:r>
      <w:r w:rsidRPr="0058380A">
        <w:rPr>
          <w:rFonts w:ascii="Times New Roman" w:hAnsi="Times New Roman" w:cs="Times New Roman"/>
          <w:sz w:val="24"/>
          <w:szCs w:val="24"/>
        </w:rPr>
        <w:t xml:space="preserve">, 185-208 (2011). </w:t>
      </w:r>
      <w:r w:rsidR="00266DB2">
        <w:rPr>
          <w:rFonts w:ascii="Times New Roman" w:hAnsi="Times New Roman" w:cs="Times New Roman"/>
          <w:sz w:val="24"/>
          <w:szCs w:val="24"/>
        </w:rPr>
        <w:br/>
      </w:r>
    </w:p>
    <w:p w14:paraId="07771D38"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Janupala, R. (2016), Staged Thermal Fractionation of Biomass for Segregation of Hemicellulose, Cellulose and Lignin Derived Products (Master of Science), The University of Oklahoma, Norman, USA. </w:t>
      </w:r>
      <w:r w:rsidR="00266DB2">
        <w:rPr>
          <w:rFonts w:ascii="Times New Roman" w:hAnsi="Times New Roman" w:cs="Times New Roman"/>
          <w:sz w:val="24"/>
          <w:szCs w:val="24"/>
        </w:rPr>
        <w:br/>
      </w:r>
    </w:p>
    <w:p w14:paraId="7FA898F3"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Waters, C. (2016), Understanding Thermochemical Process and Feedstock Compositional Impacts on Strategies to Control Pyrolysis and Torrefaction Product Distributions (Doctor of Philosophy), The University of Oklahoma, Norman, USA.</w:t>
      </w:r>
      <w:r w:rsidR="00266DB2">
        <w:rPr>
          <w:rFonts w:ascii="Times New Roman" w:hAnsi="Times New Roman" w:cs="Times New Roman"/>
          <w:sz w:val="24"/>
          <w:szCs w:val="24"/>
        </w:rPr>
        <w:br/>
      </w:r>
    </w:p>
    <w:p w14:paraId="0200978B"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W. H. Chen, P. C. Kuo, A study on torrefaction of various biomass materials and its impact on lignocellulosic structure simulated by a thermogravimetry. </w:t>
      </w:r>
      <w:r w:rsidRPr="0058380A">
        <w:rPr>
          <w:rFonts w:ascii="Times New Roman" w:hAnsi="Times New Roman" w:cs="Times New Roman"/>
          <w:i/>
          <w:iCs/>
          <w:sz w:val="24"/>
          <w:szCs w:val="24"/>
        </w:rPr>
        <w:t>Energy.</w:t>
      </w:r>
      <w:r w:rsidRPr="0058380A">
        <w:rPr>
          <w:rFonts w:ascii="Times New Roman" w:hAnsi="Times New Roman" w:cs="Times New Roman"/>
          <w:sz w:val="24"/>
          <w:szCs w:val="24"/>
        </w:rPr>
        <w:t xml:space="preserve"> (2010).</w:t>
      </w:r>
      <w:r w:rsidR="00266DB2">
        <w:rPr>
          <w:rFonts w:ascii="Times New Roman" w:hAnsi="Times New Roman" w:cs="Times New Roman"/>
          <w:sz w:val="24"/>
          <w:szCs w:val="24"/>
        </w:rPr>
        <w:br/>
      </w:r>
    </w:p>
    <w:p w14:paraId="6BC26D4F"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H. Yang, R. Yan, H. Chen, D. H. Lee, C. Zheng, Characteristics of hemicellulose, cellulose and lignin pyrolysis. </w:t>
      </w:r>
      <w:r w:rsidRPr="0058380A">
        <w:rPr>
          <w:rFonts w:ascii="Times New Roman" w:hAnsi="Times New Roman" w:cs="Times New Roman"/>
          <w:i/>
          <w:iCs/>
          <w:sz w:val="24"/>
          <w:szCs w:val="24"/>
        </w:rPr>
        <w:t>Fuel.</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86</w:t>
      </w:r>
      <w:r w:rsidRPr="0058380A">
        <w:rPr>
          <w:rFonts w:ascii="Times New Roman" w:hAnsi="Times New Roman" w:cs="Times New Roman"/>
          <w:sz w:val="24"/>
          <w:szCs w:val="24"/>
        </w:rPr>
        <w:t>, 1781-1788 (2007).</w:t>
      </w:r>
      <w:r w:rsidR="00266DB2">
        <w:rPr>
          <w:rFonts w:ascii="Times New Roman" w:hAnsi="Times New Roman" w:cs="Times New Roman"/>
          <w:sz w:val="24"/>
          <w:szCs w:val="24"/>
        </w:rPr>
        <w:br/>
      </w:r>
      <w:r w:rsidRPr="0058380A">
        <w:rPr>
          <w:rFonts w:ascii="Times New Roman" w:hAnsi="Times New Roman" w:cs="Times New Roman"/>
          <w:sz w:val="24"/>
          <w:szCs w:val="24"/>
        </w:rPr>
        <w:t xml:space="preserve"> </w:t>
      </w:r>
    </w:p>
    <w:p w14:paraId="1CE86A49"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O. Faix, D. Meier, I. Fortmann, Thermal degradation products of wood: Gas Chromatographic separation and mass spectrometric characterization of monomeric lignin-derived products. Holz als Roh-und Werkstoff (1990).</w:t>
      </w:r>
      <w:r w:rsidR="00266DB2">
        <w:rPr>
          <w:rFonts w:ascii="Times New Roman" w:hAnsi="Times New Roman" w:cs="Times New Roman"/>
          <w:sz w:val="24"/>
          <w:szCs w:val="24"/>
        </w:rPr>
        <w:br/>
      </w:r>
    </w:p>
    <w:p w14:paraId="1B42435F"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O. Faix, I. Fortmann, J. Bremer, D. Meier, Thermal degradation products of wood: Gas chromatographic separation and mass spectrometric characterization of polysaccharide derived products. Holz als Roh-und Werkstoff (1991).</w:t>
      </w:r>
      <w:r w:rsidR="00266DB2">
        <w:rPr>
          <w:rFonts w:ascii="Times New Roman" w:hAnsi="Times New Roman" w:cs="Times New Roman"/>
          <w:sz w:val="24"/>
          <w:szCs w:val="24"/>
        </w:rPr>
        <w:br/>
      </w:r>
    </w:p>
    <w:p w14:paraId="581F469D"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P. J. Dauenhauer, A.D. Paulsen, M.S. Mettler, The Role of Sample Dimension and Temperature in Cellulose Pyrolysis. </w:t>
      </w:r>
      <w:r w:rsidRPr="0058380A">
        <w:rPr>
          <w:rFonts w:ascii="Times New Roman" w:hAnsi="Times New Roman" w:cs="Times New Roman"/>
          <w:i/>
          <w:iCs/>
          <w:sz w:val="24"/>
          <w:szCs w:val="24"/>
        </w:rPr>
        <w:t>Energy &amp; Fuels.</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27</w:t>
      </w:r>
      <w:r w:rsidRPr="0058380A">
        <w:rPr>
          <w:rFonts w:ascii="Times New Roman" w:hAnsi="Times New Roman" w:cs="Times New Roman"/>
          <w:sz w:val="24"/>
          <w:szCs w:val="24"/>
        </w:rPr>
        <w:t xml:space="preserve">, 2126-2134 (2013). </w:t>
      </w:r>
      <w:r w:rsidR="00266DB2">
        <w:rPr>
          <w:rFonts w:ascii="Times New Roman" w:hAnsi="Times New Roman" w:cs="Times New Roman"/>
          <w:sz w:val="24"/>
          <w:szCs w:val="24"/>
        </w:rPr>
        <w:br/>
      </w:r>
    </w:p>
    <w:p w14:paraId="42E4CA3B"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Nhung, D. (2014). Analysis and Catalytic Upgrading of Different Bio-Oil Fractions (Master of Science). The University of Oklahoma, Norman, USA.</w:t>
      </w:r>
      <w:r w:rsidR="00266DB2">
        <w:rPr>
          <w:rFonts w:ascii="Times New Roman" w:hAnsi="Times New Roman" w:cs="Times New Roman"/>
          <w:sz w:val="24"/>
          <w:szCs w:val="24"/>
        </w:rPr>
        <w:br/>
      </w:r>
    </w:p>
    <w:p w14:paraId="5E2F0110"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lastRenderedPageBreak/>
        <w:t xml:space="preserve">W. A. Dietz. (1967). Response factors for gass chromatographic analyses. J. </w:t>
      </w:r>
      <w:r w:rsidRPr="0058380A">
        <w:rPr>
          <w:rFonts w:ascii="Times New Roman" w:hAnsi="Times New Roman" w:cs="Times New Roman"/>
          <w:i/>
          <w:iCs/>
          <w:sz w:val="24"/>
          <w:szCs w:val="24"/>
        </w:rPr>
        <w:t>Gas Chromatoge.</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5</w:t>
      </w:r>
      <w:r w:rsidRPr="0058380A">
        <w:rPr>
          <w:rFonts w:ascii="Times New Roman" w:hAnsi="Times New Roman" w:cs="Times New Roman"/>
          <w:sz w:val="24"/>
          <w:szCs w:val="24"/>
        </w:rPr>
        <w:t>, 68-71.</w:t>
      </w:r>
      <w:r w:rsidR="00266DB2">
        <w:rPr>
          <w:rFonts w:ascii="Times New Roman" w:hAnsi="Times New Roman" w:cs="Times New Roman"/>
          <w:sz w:val="24"/>
          <w:szCs w:val="24"/>
        </w:rPr>
        <w:br/>
      </w:r>
    </w:p>
    <w:p w14:paraId="4C48B587"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Katritzky, A. R.; Ignatchenko, E.S.; Barcock, R. A.; Lobanov, V. S.; Kareison. (1994). Prediction of Gas Chromatographic Retention Times and Response Factors Using a General Quantitative Structure-Property Relationship Treatment. </w:t>
      </w:r>
      <w:r w:rsidRPr="0058380A">
        <w:rPr>
          <w:rFonts w:ascii="Times New Roman" w:hAnsi="Times New Roman" w:cs="Times New Roman"/>
          <w:i/>
          <w:iCs/>
          <w:sz w:val="24"/>
          <w:szCs w:val="24"/>
        </w:rPr>
        <w:t>M. Anal. Chem.</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66</w:t>
      </w:r>
      <w:r w:rsidRPr="0058380A">
        <w:rPr>
          <w:rFonts w:ascii="Times New Roman" w:hAnsi="Times New Roman" w:cs="Times New Roman"/>
          <w:sz w:val="24"/>
          <w:szCs w:val="24"/>
        </w:rPr>
        <w:t>, 1799-1807.</w:t>
      </w:r>
      <w:r w:rsidR="00266DB2">
        <w:rPr>
          <w:rFonts w:ascii="Times New Roman" w:hAnsi="Times New Roman" w:cs="Times New Roman"/>
          <w:sz w:val="24"/>
          <w:szCs w:val="24"/>
        </w:rPr>
        <w:br/>
      </w:r>
    </w:p>
    <w:p w14:paraId="1C68D968"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Scanlon, J. T.; Willis, D. E. (1985). Calculation of Flame Ionization Detector Relative Response Factors Using the Effective Carbon Number Concept. </w:t>
      </w:r>
      <w:r w:rsidRPr="0058380A">
        <w:rPr>
          <w:rFonts w:ascii="Times New Roman" w:hAnsi="Times New Roman" w:cs="Times New Roman"/>
          <w:i/>
          <w:iCs/>
          <w:sz w:val="24"/>
          <w:szCs w:val="24"/>
        </w:rPr>
        <w:t>J. Chromatogr. Sci.</w:t>
      </w:r>
      <w:r w:rsidRPr="0058380A">
        <w:rPr>
          <w:rFonts w:ascii="Times New Roman" w:hAnsi="Times New Roman" w:cs="Times New Roman"/>
          <w:sz w:val="24"/>
          <w:szCs w:val="24"/>
        </w:rPr>
        <w:t xml:space="preserve"> 23, 333-340.</w:t>
      </w:r>
      <w:r w:rsidR="00266DB2">
        <w:rPr>
          <w:rFonts w:ascii="Times New Roman" w:hAnsi="Times New Roman" w:cs="Times New Roman"/>
          <w:sz w:val="24"/>
          <w:szCs w:val="24"/>
        </w:rPr>
        <w:br/>
      </w:r>
    </w:p>
    <w:p w14:paraId="7D692AB1"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Schofield, K. (2008). The enigmatic mechanism of the flame ionization detector: Its overlooked implications for fossil fuel combustion modeling. </w:t>
      </w:r>
      <w:r w:rsidRPr="0058380A">
        <w:rPr>
          <w:rFonts w:ascii="Times New Roman" w:hAnsi="Times New Roman" w:cs="Times New Roman"/>
          <w:i/>
          <w:iCs/>
          <w:sz w:val="24"/>
          <w:szCs w:val="24"/>
        </w:rPr>
        <w:t>Progress in energy and Combustion Science</w:t>
      </w:r>
      <w:r w:rsidRPr="0058380A">
        <w:rPr>
          <w:rFonts w:ascii="Times New Roman" w:hAnsi="Times New Roman" w:cs="Times New Roman"/>
          <w:sz w:val="24"/>
          <w:szCs w:val="24"/>
        </w:rPr>
        <w:t>. 34, 330-350.</w:t>
      </w:r>
      <w:r w:rsidR="00266DB2">
        <w:rPr>
          <w:rFonts w:ascii="Times New Roman" w:hAnsi="Times New Roman" w:cs="Times New Roman"/>
          <w:sz w:val="24"/>
          <w:szCs w:val="24"/>
        </w:rPr>
        <w:br/>
      </w:r>
    </w:p>
    <w:p w14:paraId="4697C62E"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Detectors: Flame Ionization Detector – FID. (n.d.) Retrieved from </w:t>
      </w:r>
      <w:hyperlink r:id="rId76" w:history="1">
        <w:r w:rsidRPr="0058380A">
          <w:rPr>
            <w:rFonts w:ascii="Times New Roman" w:hAnsi="Times New Roman" w:cs="Times New Roman"/>
            <w:color w:val="0563C1" w:themeColor="hyperlink"/>
            <w:sz w:val="24"/>
            <w:szCs w:val="24"/>
            <w:u w:val="single"/>
          </w:rPr>
          <w:t>http://www.srigc.com/FID.pdf</w:t>
        </w:r>
      </w:hyperlink>
      <w:r w:rsidR="00266DB2">
        <w:rPr>
          <w:rFonts w:ascii="Times New Roman" w:hAnsi="Times New Roman" w:cs="Times New Roman"/>
          <w:color w:val="0563C1" w:themeColor="hyperlink"/>
          <w:sz w:val="24"/>
          <w:szCs w:val="24"/>
          <w:u w:val="single"/>
        </w:rPr>
        <w:br/>
      </w:r>
    </w:p>
    <w:p w14:paraId="479AB28B"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J.C. Sternberg, W.S. Gallaway, and D.T.L. Jones. (1962). The mechanism of response of flame ionization detectors in Gas Chromatography. N. Brenner, J.E. Callen, and M.D. Weiss, eds. Academic Press, New York, 231-67.</w:t>
      </w:r>
      <w:r w:rsidR="00266DB2">
        <w:rPr>
          <w:rFonts w:ascii="Times New Roman" w:hAnsi="Times New Roman" w:cs="Times New Roman"/>
          <w:sz w:val="24"/>
          <w:szCs w:val="24"/>
        </w:rPr>
        <w:br/>
      </w:r>
    </w:p>
    <w:p w14:paraId="14C0648D"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Meier, Oassmaa and Peacocke. (1997). Properties of fast pyrolysis liquid: status of test methods. Development in thermochemical biomass conversion, 391-408.</w:t>
      </w:r>
      <w:r w:rsidR="00200F66">
        <w:rPr>
          <w:rFonts w:ascii="Times New Roman" w:hAnsi="Times New Roman" w:cs="Times New Roman"/>
          <w:sz w:val="24"/>
          <w:szCs w:val="24"/>
        </w:rPr>
        <w:br/>
      </w:r>
    </w:p>
    <w:p w14:paraId="33DE37D6"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P. Tanger, J. L. Field, C. E. Jahn, M. W. DeFoort, J. E. Leach, Biomass for thermochemical conversion: targets and challenges. </w:t>
      </w:r>
      <w:r w:rsidRPr="0058380A">
        <w:rPr>
          <w:rFonts w:ascii="Times New Roman" w:hAnsi="Times New Roman" w:cs="Times New Roman"/>
          <w:i/>
          <w:iCs/>
          <w:sz w:val="24"/>
          <w:szCs w:val="24"/>
        </w:rPr>
        <w:t>Front Plant. Sci.</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4</w:t>
      </w:r>
      <w:r w:rsidRPr="0058380A">
        <w:rPr>
          <w:rFonts w:ascii="Times New Roman" w:hAnsi="Times New Roman" w:cs="Times New Roman"/>
          <w:sz w:val="24"/>
          <w:szCs w:val="24"/>
        </w:rPr>
        <w:t xml:space="preserve"> (2013), doi: 10.3389/fpls.2013.00218.</w:t>
      </w:r>
      <w:r w:rsidR="00200F66">
        <w:rPr>
          <w:rFonts w:ascii="Times New Roman" w:hAnsi="Times New Roman" w:cs="Times New Roman"/>
          <w:sz w:val="24"/>
          <w:szCs w:val="24"/>
        </w:rPr>
        <w:br/>
      </w:r>
    </w:p>
    <w:p w14:paraId="6F10D293"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M. A. ONeill, W. S. York, in </w:t>
      </w:r>
      <w:r w:rsidRPr="0058380A">
        <w:rPr>
          <w:rFonts w:ascii="Times New Roman" w:hAnsi="Times New Roman" w:cs="Times New Roman"/>
          <w:i/>
          <w:iCs/>
          <w:sz w:val="24"/>
          <w:szCs w:val="24"/>
        </w:rPr>
        <w:t>Annual Plant Reviews</w:t>
      </w:r>
      <w:r w:rsidRPr="0058380A">
        <w:rPr>
          <w:rFonts w:ascii="Times New Roman" w:hAnsi="Times New Roman" w:cs="Times New Roman"/>
          <w:sz w:val="24"/>
          <w:szCs w:val="24"/>
        </w:rPr>
        <w:t>, J. K. C. Rose, Ed. (John Wiley &amp; Sons, 2009), p. 400.</w:t>
      </w:r>
      <w:r w:rsidR="00200F66">
        <w:rPr>
          <w:rFonts w:ascii="Times New Roman" w:hAnsi="Times New Roman" w:cs="Times New Roman"/>
          <w:sz w:val="24"/>
          <w:szCs w:val="24"/>
        </w:rPr>
        <w:br/>
      </w:r>
    </w:p>
    <w:p w14:paraId="736B3654"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K. P. Vogel </w:t>
      </w:r>
      <w:r w:rsidRPr="0058380A">
        <w:rPr>
          <w:rFonts w:ascii="Times New Roman" w:hAnsi="Times New Roman" w:cs="Times New Roman"/>
          <w:i/>
          <w:iCs/>
          <w:sz w:val="24"/>
          <w:szCs w:val="24"/>
        </w:rPr>
        <w:t>et al.,</w:t>
      </w:r>
      <w:r w:rsidRPr="0058380A">
        <w:rPr>
          <w:rFonts w:ascii="Times New Roman" w:hAnsi="Times New Roman" w:cs="Times New Roman"/>
          <w:sz w:val="24"/>
          <w:szCs w:val="24"/>
        </w:rPr>
        <w:t xml:space="preserve"> Quantifying Actual and Theoretical Ethanol Yields for Switchgrass Strains Using NIRS Analyses. </w:t>
      </w:r>
      <w:r w:rsidRPr="0058380A">
        <w:rPr>
          <w:rFonts w:ascii="Times New Roman" w:hAnsi="Times New Roman" w:cs="Times New Roman"/>
          <w:i/>
          <w:iCs/>
          <w:sz w:val="24"/>
          <w:szCs w:val="24"/>
        </w:rPr>
        <w:t>Bioenerg. Res.</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4</w:t>
      </w:r>
      <w:r w:rsidRPr="0058380A">
        <w:rPr>
          <w:rFonts w:ascii="Times New Roman" w:hAnsi="Times New Roman" w:cs="Times New Roman"/>
          <w:sz w:val="24"/>
          <w:szCs w:val="24"/>
        </w:rPr>
        <w:t>, 96-110 (2011)</w:t>
      </w:r>
      <w:r w:rsidR="00200F66">
        <w:rPr>
          <w:rFonts w:ascii="Times New Roman" w:hAnsi="Times New Roman" w:cs="Times New Roman"/>
          <w:sz w:val="24"/>
          <w:szCs w:val="24"/>
        </w:rPr>
        <w:br/>
      </w:r>
    </w:p>
    <w:p w14:paraId="73102821"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M. Pauly, K. Keegstra, Cell-wall carbohydrates and their modification as a resource for biofuel. </w:t>
      </w:r>
      <w:r w:rsidRPr="0058380A">
        <w:rPr>
          <w:rFonts w:ascii="Times New Roman" w:hAnsi="Times New Roman" w:cs="Times New Roman"/>
          <w:i/>
          <w:iCs/>
          <w:sz w:val="24"/>
          <w:szCs w:val="24"/>
        </w:rPr>
        <w:t>Plant J.</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54</w:t>
      </w:r>
      <w:r w:rsidRPr="0058380A">
        <w:rPr>
          <w:rFonts w:ascii="Times New Roman" w:hAnsi="Times New Roman" w:cs="Times New Roman"/>
          <w:sz w:val="24"/>
          <w:szCs w:val="24"/>
        </w:rPr>
        <w:t>, 559-568 (2008).</w:t>
      </w:r>
      <w:r w:rsidR="00200F66">
        <w:rPr>
          <w:rFonts w:ascii="Times New Roman" w:hAnsi="Times New Roman" w:cs="Times New Roman"/>
          <w:sz w:val="24"/>
          <w:szCs w:val="24"/>
        </w:rPr>
        <w:br/>
      </w:r>
    </w:p>
    <w:p w14:paraId="4DE05E51"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C. Somerville, Cellulose Synthesis in Higher Plants. </w:t>
      </w:r>
      <w:r w:rsidRPr="0058380A">
        <w:rPr>
          <w:rFonts w:ascii="Times New Roman" w:hAnsi="Times New Roman" w:cs="Times New Roman"/>
          <w:i/>
          <w:iCs/>
          <w:sz w:val="24"/>
          <w:szCs w:val="24"/>
        </w:rPr>
        <w:t>Annu. Rev. Cell Dev. Biol.</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22</w:t>
      </w:r>
      <w:r w:rsidRPr="0058380A">
        <w:rPr>
          <w:rFonts w:ascii="Times New Roman" w:hAnsi="Times New Roman" w:cs="Times New Roman"/>
          <w:sz w:val="24"/>
          <w:szCs w:val="24"/>
        </w:rPr>
        <w:t xml:space="preserve">, 53-78 (2006). </w:t>
      </w:r>
      <w:r w:rsidR="00200F66">
        <w:rPr>
          <w:rFonts w:ascii="Times New Roman" w:hAnsi="Times New Roman" w:cs="Times New Roman"/>
          <w:sz w:val="24"/>
          <w:szCs w:val="24"/>
        </w:rPr>
        <w:br/>
      </w:r>
    </w:p>
    <w:p w14:paraId="338F2BA8" w14:textId="1B039F7A"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H. V. Scheller, P. Ulvskov, Hemicelluloses. </w:t>
      </w:r>
      <w:r w:rsidRPr="0058380A">
        <w:rPr>
          <w:rFonts w:ascii="Times New Roman" w:hAnsi="Times New Roman" w:cs="Times New Roman"/>
          <w:i/>
          <w:iCs/>
          <w:sz w:val="24"/>
          <w:szCs w:val="24"/>
        </w:rPr>
        <w:t>Annu Rev Plant Biol.</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61</w:t>
      </w:r>
      <w:r w:rsidRPr="0058380A">
        <w:rPr>
          <w:rFonts w:ascii="Times New Roman" w:hAnsi="Times New Roman" w:cs="Times New Roman"/>
          <w:sz w:val="24"/>
          <w:szCs w:val="24"/>
        </w:rPr>
        <w:t>, 263-289 (2010).</w:t>
      </w:r>
      <w:r w:rsidR="00512F20">
        <w:rPr>
          <w:rFonts w:ascii="Times New Roman" w:hAnsi="Times New Roman" w:cs="Times New Roman"/>
          <w:sz w:val="24"/>
          <w:szCs w:val="24"/>
        </w:rPr>
        <w:br/>
      </w:r>
    </w:p>
    <w:p w14:paraId="168AAAE5"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M. E. Vega-Sanchez </w:t>
      </w:r>
      <w:r w:rsidRPr="0058380A">
        <w:rPr>
          <w:rFonts w:ascii="Times New Roman" w:hAnsi="Times New Roman" w:cs="Times New Roman"/>
          <w:i/>
          <w:iCs/>
          <w:sz w:val="24"/>
          <w:szCs w:val="24"/>
        </w:rPr>
        <w:t>et al.</w:t>
      </w:r>
      <w:r w:rsidRPr="0058380A">
        <w:rPr>
          <w:rFonts w:ascii="Times New Roman" w:hAnsi="Times New Roman" w:cs="Times New Roman"/>
          <w:sz w:val="24"/>
          <w:szCs w:val="24"/>
        </w:rPr>
        <w:t xml:space="preserve">, Loss of Cellulose Synthase-Like F6 Function Affects Mixed-Linkage Glucan Deposition, Cell Wall Mechanical Properties, and Defense Responses in </w:t>
      </w:r>
      <w:r w:rsidRPr="0058380A">
        <w:rPr>
          <w:rFonts w:ascii="Times New Roman" w:hAnsi="Times New Roman" w:cs="Times New Roman"/>
          <w:sz w:val="24"/>
          <w:szCs w:val="24"/>
        </w:rPr>
        <w:lastRenderedPageBreak/>
        <w:t xml:space="preserve">Vegetative Tissues of Rice. </w:t>
      </w:r>
      <w:r w:rsidRPr="0058380A">
        <w:rPr>
          <w:rFonts w:ascii="Times New Roman" w:hAnsi="Times New Roman" w:cs="Times New Roman"/>
          <w:i/>
          <w:iCs/>
          <w:sz w:val="24"/>
          <w:szCs w:val="24"/>
        </w:rPr>
        <w:t>Plant Physiol.</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159</w:t>
      </w:r>
      <w:r w:rsidRPr="0058380A">
        <w:rPr>
          <w:rFonts w:ascii="Times New Roman" w:hAnsi="Times New Roman" w:cs="Times New Roman"/>
          <w:sz w:val="24"/>
          <w:szCs w:val="24"/>
        </w:rPr>
        <w:t xml:space="preserve">, 56-69 (2012). </w:t>
      </w:r>
      <w:r w:rsidR="00200F66">
        <w:rPr>
          <w:rFonts w:ascii="Times New Roman" w:hAnsi="Times New Roman" w:cs="Times New Roman"/>
          <w:sz w:val="24"/>
          <w:szCs w:val="24"/>
        </w:rPr>
        <w:br/>
      </w:r>
    </w:p>
    <w:p w14:paraId="60CAC504"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K. Freudenberg &amp; A.C. Nash (eds) (1968). </w:t>
      </w:r>
      <w:r w:rsidRPr="0058380A">
        <w:rPr>
          <w:rFonts w:ascii="Times New Roman" w:hAnsi="Times New Roman" w:cs="Times New Roman"/>
          <w:i/>
          <w:iCs/>
          <w:sz w:val="24"/>
          <w:szCs w:val="24"/>
        </w:rPr>
        <w:t xml:space="preserve">Constitution and Biosynthesis of Lignin. </w:t>
      </w:r>
      <w:r w:rsidRPr="0058380A">
        <w:rPr>
          <w:rFonts w:ascii="Times New Roman" w:hAnsi="Times New Roman" w:cs="Times New Roman"/>
          <w:sz w:val="24"/>
          <w:szCs w:val="24"/>
        </w:rPr>
        <w:t xml:space="preserve">Berlin: Springer-Verlag. </w:t>
      </w:r>
      <w:r w:rsidR="00200F66">
        <w:rPr>
          <w:rFonts w:ascii="Times New Roman" w:hAnsi="Times New Roman" w:cs="Times New Roman"/>
          <w:sz w:val="24"/>
          <w:szCs w:val="24"/>
        </w:rPr>
        <w:br/>
      </w:r>
    </w:p>
    <w:p w14:paraId="5DF522A3"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W. Boerjan; J. Ralph; M. Baucher (June 2003). “Lignin biosynthesis”. </w:t>
      </w:r>
      <w:r w:rsidRPr="0058380A">
        <w:rPr>
          <w:rFonts w:ascii="Times New Roman" w:hAnsi="Times New Roman" w:cs="Times New Roman"/>
          <w:i/>
          <w:iCs/>
          <w:sz w:val="24"/>
          <w:szCs w:val="24"/>
        </w:rPr>
        <w:t xml:space="preserve">Annu. Rev. Plant Biol. </w:t>
      </w:r>
      <w:r w:rsidRPr="0058380A">
        <w:rPr>
          <w:rFonts w:ascii="Times New Roman" w:hAnsi="Times New Roman" w:cs="Times New Roman"/>
          <w:b/>
          <w:bCs/>
          <w:sz w:val="24"/>
          <w:szCs w:val="24"/>
        </w:rPr>
        <w:t xml:space="preserve">54 </w:t>
      </w:r>
      <w:r w:rsidRPr="0058380A">
        <w:rPr>
          <w:rFonts w:ascii="Times New Roman" w:hAnsi="Times New Roman" w:cs="Times New Roman"/>
          <w:sz w:val="24"/>
          <w:szCs w:val="24"/>
        </w:rPr>
        <w:t>(1): 519-549. Doi:10. 1146/annurev.arplant.54.031902.134938. PMID 14503002.</w:t>
      </w:r>
      <w:r w:rsidR="00200F66">
        <w:rPr>
          <w:rFonts w:ascii="Times New Roman" w:hAnsi="Times New Roman" w:cs="Times New Roman"/>
          <w:sz w:val="24"/>
          <w:szCs w:val="24"/>
        </w:rPr>
        <w:br/>
      </w:r>
    </w:p>
    <w:p w14:paraId="203EAE8B"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D. L. Petrik </w:t>
      </w:r>
      <w:r w:rsidRPr="0058380A">
        <w:rPr>
          <w:rFonts w:ascii="Times New Roman" w:hAnsi="Times New Roman" w:cs="Times New Roman"/>
          <w:i/>
          <w:iCs/>
          <w:sz w:val="24"/>
          <w:szCs w:val="24"/>
        </w:rPr>
        <w:t>et al.</w:t>
      </w:r>
      <w:r w:rsidRPr="0058380A">
        <w:rPr>
          <w:rFonts w:ascii="Times New Roman" w:hAnsi="Times New Roman" w:cs="Times New Roman"/>
          <w:sz w:val="24"/>
          <w:szCs w:val="24"/>
        </w:rPr>
        <w:t xml:space="preserve">, p-Coumaroyl-CoA: monolignol transferase (PMT) acts specifically in the lignin, biosynthetic pathway in Brachypodium distachyon. </w:t>
      </w:r>
      <w:r w:rsidRPr="0058380A">
        <w:rPr>
          <w:rFonts w:ascii="Times New Roman" w:hAnsi="Times New Roman" w:cs="Times New Roman"/>
          <w:i/>
          <w:iCs/>
          <w:sz w:val="24"/>
          <w:szCs w:val="24"/>
        </w:rPr>
        <w:t>Plant J.</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77</w:t>
      </w:r>
      <w:r w:rsidRPr="0058380A">
        <w:rPr>
          <w:rFonts w:ascii="Times New Roman" w:hAnsi="Times New Roman" w:cs="Times New Roman"/>
          <w:sz w:val="24"/>
          <w:szCs w:val="24"/>
        </w:rPr>
        <w:t xml:space="preserve">, 713-726 (2014). </w:t>
      </w:r>
      <w:r w:rsidR="00200F66">
        <w:rPr>
          <w:rFonts w:ascii="Times New Roman" w:hAnsi="Times New Roman" w:cs="Times New Roman"/>
          <w:sz w:val="24"/>
          <w:szCs w:val="24"/>
        </w:rPr>
        <w:br/>
      </w:r>
    </w:p>
    <w:p w14:paraId="1FBAD07B"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F. Lu </w:t>
      </w:r>
      <w:r w:rsidRPr="0058380A">
        <w:rPr>
          <w:rFonts w:ascii="Times New Roman" w:hAnsi="Times New Roman" w:cs="Times New Roman"/>
          <w:i/>
          <w:iCs/>
          <w:sz w:val="24"/>
          <w:szCs w:val="24"/>
        </w:rPr>
        <w:t>et al.</w:t>
      </w:r>
      <w:r w:rsidRPr="0058380A">
        <w:rPr>
          <w:rFonts w:ascii="Times New Roman" w:hAnsi="Times New Roman" w:cs="Times New Roman"/>
          <w:sz w:val="24"/>
          <w:szCs w:val="24"/>
        </w:rPr>
        <w:t xml:space="preserve">, Naturally p-Hydroxybenzoylated Lignins in Palms. </w:t>
      </w:r>
      <w:r w:rsidRPr="0058380A">
        <w:rPr>
          <w:rFonts w:ascii="Times New Roman" w:hAnsi="Times New Roman" w:cs="Times New Roman"/>
          <w:i/>
          <w:iCs/>
          <w:sz w:val="24"/>
          <w:szCs w:val="24"/>
        </w:rPr>
        <w:t>Bioenerg. Res.</w:t>
      </w:r>
      <w:r w:rsidRPr="0058380A">
        <w:rPr>
          <w:rFonts w:ascii="Times New Roman" w:hAnsi="Times New Roman" w:cs="Times New Roman"/>
          <w:sz w:val="24"/>
          <w:szCs w:val="24"/>
        </w:rPr>
        <w:t xml:space="preserve">, 1-19 (2015). </w:t>
      </w:r>
      <w:r w:rsidR="00200F66">
        <w:rPr>
          <w:rFonts w:ascii="Times New Roman" w:hAnsi="Times New Roman" w:cs="Times New Roman"/>
          <w:sz w:val="24"/>
          <w:szCs w:val="24"/>
        </w:rPr>
        <w:br/>
      </w:r>
    </w:p>
    <w:p w14:paraId="5CDCCB2F"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R. D. Hatfield, J. M. Marita, K. Frost, Characterization of p-coumarate accumulation, p-coumaroyl transferase, and cell wall changes during the development of corn stems</w:t>
      </w:r>
      <w:r w:rsidRPr="0058380A">
        <w:rPr>
          <w:rFonts w:ascii="Times New Roman" w:hAnsi="Times New Roman" w:cs="Times New Roman"/>
          <w:i/>
          <w:iCs/>
          <w:sz w:val="24"/>
          <w:szCs w:val="24"/>
        </w:rPr>
        <w:t>. J. Sci. Food Agric.</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88</w:t>
      </w:r>
      <w:r w:rsidRPr="0058380A">
        <w:rPr>
          <w:rFonts w:ascii="Times New Roman" w:hAnsi="Times New Roman" w:cs="Times New Roman"/>
          <w:sz w:val="24"/>
          <w:szCs w:val="24"/>
        </w:rPr>
        <w:t>, 2529-2537 (2008).</w:t>
      </w:r>
      <w:r w:rsidR="00200F66">
        <w:rPr>
          <w:rFonts w:ascii="Times New Roman" w:hAnsi="Times New Roman" w:cs="Times New Roman"/>
          <w:sz w:val="24"/>
          <w:szCs w:val="24"/>
        </w:rPr>
        <w:br/>
      </w:r>
      <w:r w:rsidRPr="0058380A">
        <w:rPr>
          <w:rFonts w:ascii="Times New Roman" w:hAnsi="Times New Roman" w:cs="Times New Roman"/>
          <w:sz w:val="24"/>
          <w:szCs w:val="24"/>
        </w:rPr>
        <w:t xml:space="preserve"> </w:t>
      </w:r>
    </w:p>
    <w:p w14:paraId="1D6BB560"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J. Ralph, J. H. Grabber, R. D. Hatfield, Lignin-Ferulate Cross-Links in Grasses- Active Incorporation of Ferulate Polysaccharide Esters into Ryegrass Lignins. </w:t>
      </w:r>
      <w:r w:rsidRPr="0058380A">
        <w:rPr>
          <w:rFonts w:ascii="Times New Roman" w:hAnsi="Times New Roman" w:cs="Times New Roman"/>
          <w:i/>
          <w:iCs/>
          <w:sz w:val="24"/>
          <w:szCs w:val="24"/>
        </w:rPr>
        <w:t>Carbohyd Res.</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275</w:t>
      </w:r>
      <w:r w:rsidRPr="0058380A">
        <w:rPr>
          <w:rFonts w:ascii="Times New Roman" w:hAnsi="Times New Roman" w:cs="Times New Roman"/>
          <w:sz w:val="24"/>
          <w:szCs w:val="24"/>
        </w:rPr>
        <w:t xml:space="preserve">, 167-178 (1995).  </w:t>
      </w:r>
      <w:r w:rsidR="00200F66">
        <w:rPr>
          <w:rFonts w:ascii="Times New Roman" w:hAnsi="Times New Roman" w:cs="Times New Roman"/>
          <w:sz w:val="24"/>
          <w:szCs w:val="24"/>
        </w:rPr>
        <w:br/>
      </w:r>
    </w:p>
    <w:p w14:paraId="4819DB8C"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W. Lan </w:t>
      </w:r>
      <w:r w:rsidRPr="0058380A">
        <w:rPr>
          <w:rFonts w:ascii="Times New Roman" w:hAnsi="Times New Roman" w:cs="Times New Roman"/>
          <w:i/>
          <w:iCs/>
          <w:sz w:val="24"/>
          <w:szCs w:val="24"/>
        </w:rPr>
        <w:t>et al.</w:t>
      </w:r>
      <w:r w:rsidRPr="0058380A">
        <w:rPr>
          <w:rFonts w:ascii="Times New Roman" w:hAnsi="Times New Roman" w:cs="Times New Roman"/>
          <w:sz w:val="24"/>
          <w:szCs w:val="24"/>
        </w:rPr>
        <w:t xml:space="preserve">, Tricin, a Flavonoid Monomer in Monocot Lignification. </w:t>
      </w:r>
      <w:r w:rsidRPr="0058380A">
        <w:rPr>
          <w:rFonts w:ascii="Times New Roman" w:hAnsi="Times New Roman" w:cs="Times New Roman"/>
          <w:i/>
          <w:iCs/>
          <w:sz w:val="24"/>
          <w:szCs w:val="24"/>
        </w:rPr>
        <w:t>Plant Physiol.</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167</w:t>
      </w:r>
      <w:r w:rsidRPr="0058380A">
        <w:rPr>
          <w:rFonts w:ascii="Times New Roman" w:hAnsi="Times New Roman" w:cs="Times New Roman"/>
          <w:sz w:val="24"/>
          <w:szCs w:val="24"/>
        </w:rPr>
        <w:t xml:space="preserve">, 1284-1295 (2015). </w:t>
      </w:r>
      <w:r w:rsidR="00200F66">
        <w:rPr>
          <w:rFonts w:ascii="Times New Roman" w:hAnsi="Times New Roman" w:cs="Times New Roman"/>
          <w:sz w:val="24"/>
          <w:szCs w:val="24"/>
        </w:rPr>
        <w:br/>
      </w:r>
    </w:p>
    <w:p w14:paraId="23086221"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A. A. Tortosa Masia, B. J. P. Buhre, R. P. Gupta, T. F. Wall, Characterising ash of biomass and waste. </w:t>
      </w:r>
      <w:r w:rsidRPr="0058380A">
        <w:rPr>
          <w:rFonts w:ascii="Times New Roman" w:hAnsi="Times New Roman" w:cs="Times New Roman"/>
          <w:i/>
          <w:iCs/>
          <w:sz w:val="24"/>
          <w:szCs w:val="24"/>
        </w:rPr>
        <w:t>Fuel Processing Technology.</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88</w:t>
      </w:r>
      <w:r w:rsidRPr="0058380A">
        <w:rPr>
          <w:rFonts w:ascii="Times New Roman" w:hAnsi="Times New Roman" w:cs="Times New Roman"/>
          <w:sz w:val="24"/>
          <w:szCs w:val="24"/>
        </w:rPr>
        <w:t>, 1071-1081 (2007).</w:t>
      </w:r>
      <w:r w:rsidR="00200F66">
        <w:rPr>
          <w:rFonts w:ascii="Times New Roman" w:hAnsi="Times New Roman" w:cs="Times New Roman"/>
          <w:sz w:val="24"/>
          <w:szCs w:val="24"/>
        </w:rPr>
        <w:br/>
      </w:r>
    </w:p>
    <w:p w14:paraId="13A93E6B"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S. V. Vassilev, D. Baxter, L. K. Andersen, C. G. Vassileva, An overview of the chemical composition of biomass. </w:t>
      </w:r>
      <w:r w:rsidRPr="0058380A">
        <w:rPr>
          <w:rFonts w:ascii="Times New Roman" w:hAnsi="Times New Roman" w:cs="Times New Roman"/>
          <w:i/>
          <w:iCs/>
          <w:sz w:val="24"/>
          <w:szCs w:val="24"/>
        </w:rPr>
        <w:t>Fuel.</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89</w:t>
      </w:r>
      <w:r w:rsidRPr="0058380A">
        <w:rPr>
          <w:rFonts w:ascii="Times New Roman" w:hAnsi="Times New Roman" w:cs="Times New Roman"/>
          <w:sz w:val="24"/>
          <w:szCs w:val="24"/>
        </w:rPr>
        <w:t xml:space="preserve">, 913-933 (2010). </w:t>
      </w:r>
      <w:r w:rsidR="00200F66">
        <w:rPr>
          <w:rFonts w:ascii="Times New Roman" w:hAnsi="Times New Roman" w:cs="Times New Roman"/>
          <w:sz w:val="24"/>
          <w:szCs w:val="24"/>
        </w:rPr>
        <w:br/>
      </w:r>
    </w:p>
    <w:p w14:paraId="5ECC4BB6"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O. D. Mante, S. P. Babu, T. E. Amidon, A comprehensive study on relating cell-wall components of lignocellulosic biomass to oxygenated species formed during pyrolysis</w:t>
      </w:r>
      <w:r w:rsidRPr="0058380A">
        <w:rPr>
          <w:rFonts w:ascii="Times New Roman" w:hAnsi="Times New Roman" w:cs="Times New Roman"/>
          <w:i/>
          <w:iCs/>
          <w:sz w:val="24"/>
          <w:szCs w:val="24"/>
        </w:rPr>
        <w:t>. Journal of Analytical and Applied Pyrolysis.</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108</w:t>
      </w:r>
      <w:r w:rsidRPr="0058380A">
        <w:rPr>
          <w:rFonts w:ascii="Times New Roman" w:hAnsi="Times New Roman" w:cs="Times New Roman"/>
          <w:sz w:val="24"/>
          <w:szCs w:val="24"/>
        </w:rPr>
        <w:t xml:space="preserve">, 56-67 (2014). </w:t>
      </w:r>
      <w:r w:rsidR="00200F66">
        <w:rPr>
          <w:rFonts w:ascii="Times New Roman" w:hAnsi="Times New Roman" w:cs="Times New Roman"/>
          <w:sz w:val="24"/>
          <w:szCs w:val="24"/>
        </w:rPr>
        <w:br/>
      </w:r>
    </w:p>
    <w:p w14:paraId="5E8171D6"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Mirko Bunzel, john Ralph, Fachuang Lu, A. Ronald D Hatfield, H. Steinhart, Lignins and Ferulate-Coniferyl Alcohol Cross-Coupling Products in Cereal Grains. </w:t>
      </w:r>
      <w:r w:rsidRPr="0058380A">
        <w:rPr>
          <w:rFonts w:ascii="Times New Roman" w:hAnsi="Times New Roman" w:cs="Times New Roman"/>
          <w:i/>
          <w:iCs/>
          <w:sz w:val="24"/>
          <w:szCs w:val="24"/>
        </w:rPr>
        <w:t>J. Agric. Food Chem.</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52</w:t>
      </w:r>
      <w:r w:rsidRPr="0058380A">
        <w:rPr>
          <w:rFonts w:ascii="Times New Roman" w:hAnsi="Times New Roman" w:cs="Times New Roman"/>
          <w:sz w:val="24"/>
          <w:szCs w:val="24"/>
        </w:rPr>
        <w:t xml:space="preserve">, 6496-6502 (2004). </w:t>
      </w:r>
      <w:r w:rsidR="00200F66">
        <w:rPr>
          <w:rFonts w:ascii="Times New Roman" w:hAnsi="Times New Roman" w:cs="Times New Roman"/>
          <w:sz w:val="24"/>
          <w:szCs w:val="24"/>
        </w:rPr>
        <w:br/>
      </w:r>
    </w:p>
    <w:p w14:paraId="26F90E16" w14:textId="7509C4CA"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T. -Q. Yuan, S. -N. Sun, F. Xu, R. -C. Sun, Characterization of lignin structures and lignin-carbohydrate complex (LCC) linkages by quantitative 13C abd 2D HSQC NMR spectroscopy. </w:t>
      </w:r>
      <w:r w:rsidRPr="0058380A">
        <w:rPr>
          <w:rFonts w:ascii="Times New Roman" w:hAnsi="Times New Roman" w:cs="Times New Roman"/>
          <w:i/>
          <w:iCs/>
          <w:sz w:val="24"/>
          <w:szCs w:val="24"/>
        </w:rPr>
        <w:t>J. Agric. Food Chem.</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59</w:t>
      </w:r>
      <w:r w:rsidRPr="0058380A">
        <w:rPr>
          <w:rFonts w:ascii="Times New Roman" w:hAnsi="Times New Roman" w:cs="Times New Roman"/>
          <w:sz w:val="24"/>
          <w:szCs w:val="24"/>
        </w:rPr>
        <w:t>, 10604-10614 (2011).</w:t>
      </w:r>
      <w:r w:rsidR="00512F20">
        <w:rPr>
          <w:rFonts w:ascii="Times New Roman" w:hAnsi="Times New Roman" w:cs="Times New Roman"/>
          <w:sz w:val="24"/>
          <w:szCs w:val="24"/>
        </w:rPr>
        <w:br/>
      </w:r>
    </w:p>
    <w:p w14:paraId="3B9E38AF"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F. -X. Collard, J. Blin, A review on pyrolysis of biomass constituents: Mechanisms and composition of the products obtained from the conversion of cellulose, hemicellulose and </w:t>
      </w:r>
      <w:r w:rsidRPr="0058380A">
        <w:rPr>
          <w:rFonts w:ascii="Times New Roman" w:hAnsi="Times New Roman" w:cs="Times New Roman"/>
          <w:sz w:val="24"/>
          <w:szCs w:val="24"/>
        </w:rPr>
        <w:lastRenderedPageBreak/>
        <w:t>lignin</w:t>
      </w:r>
      <w:r w:rsidRPr="0058380A">
        <w:rPr>
          <w:rFonts w:ascii="Times New Roman" w:hAnsi="Times New Roman" w:cs="Times New Roman"/>
          <w:i/>
          <w:iCs/>
          <w:sz w:val="24"/>
          <w:szCs w:val="24"/>
        </w:rPr>
        <w:t>. Renewable and Sustainable Energy Reviews.</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38</w:t>
      </w:r>
      <w:r w:rsidRPr="0058380A">
        <w:rPr>
          <w:rFonts w:ascii="Times New Roman" w:hAnsi="Times New Roman" w:cs="Times New Roman"/>
          <w:sz w:val="24"/>
          <w:szCs w:val="24"/>
        </w:rPr>
        <w:t xml:space="preserve">, 594-608 (2014).  </w:t>
      </w:r>
      <w:r w:rsidR="00200F66">
        <w:rPr>
          <w:rFonts w:ascii="Times New Roman" w:hAnsi="Times New Roman" w:cs="Times New Roman"/>
          <w:sz w:val="24"/>
          <w:szCs w:val="24"/>
        </w:rPr>
        <w:br/>
      </w:r>
      <w:r w:rsidRPr="0058380A">
        <w:rPr>
          <w:rFonts w:ascii="Times New Roman" w:hAnsi="Times New Roman" w:cs="Times New Roman"/>
          <w:sz w:val="24"/>
          <w:szCs w:val="24"/>
        </w:rPr>
        <w:t xml:space="preserve"> </w:t>
      </w:r>
    </w:p>
    <w:p w14:paraId="3FF1717C"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A. Pictet, J. Sarasin, Sur la distillation de la cellulose et de l’amidon sous pression reduite. </w:t>
      </w:r>
      <w:r w:rsidRPr="0058380A">
        <w:rPr>
          <w:rFonts w:ascii="Times New Roman" w:hAnsi="Times New Roman" w:cs="Times New Roman"/>
          <w:i/>
          <w:iCs/>
          <w:sz w:val="24"/>
          <w:szCs w:val="24"/>
        </w:rPr>
        <w:t>Helvetica Chimica Acta</w:t>
      </w:r>
      <w:r w:rsidRPr="0058380A">
        <w:rPr>
          <w:rFonts w:ascii="Times New Roman" w:hAnsi="Times New Roman" w:cs="Times New Roman"/>
          <w:sz w:val="24"/>
          <w:szCs w:val="24"/>
        </w:rPr>
        <w:t xml:space="preserve"> (1918),</w:t>
      </w:r>
      <w:r w:rsidR="00200F66">
        <w:rPr>
          <w:rFonts w:ascii="Times New Roman" w:hAnsi="Times New Roman" w:cs="Times New Roman"/>
          <w:sz w:val="24"/>
          <w:szCs w:val="24"/>
        </w:rPr>
        <w:t xml:space="preserve"> </w:t>
      </w:r>
      <w:r w:rsidRPr="0058380A">
        <w:rPr>
          <w:rFonts w:ascii="Times New Roman" w:hAnsi="Times New Roman" w:cs="Times New Roman"/>
          <w:sz w:val="24"/>
          <w:szCs w:val="24"/>
        </w:rPr>
        <w:t>doi: 10.1002/hlca.19180010109/abstract.</w:t>
      </w:r>
      <w:r w:rsidR="00200F66">
        <w:rPr>
          <w:rFonts w:ascii="Times New Roman" w:hAnsi="Times New Roman" w:cs="Times New Roman"/>
          <w:sz w:val="24"/>
          <w:szCs w:val="24"/>
        </w:rPr>
        <w:br/>
      </w:r>
    </w:p>
    <w:p w14:paraId="2C9B68B5"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A. G. W. Bradbury, Y. Sakai, F. Shafizadeh, A kinetic model for pyrolysis of cellulose. </w:t>
      </w:r>
      <w:r w:rsidRPr="0058380A">
        <w:rPr>
          <w:rFonts w:ascii="Times New Roman" w:hAnsi="Times New Roman" w:cs="Times New Roman"/>
          <w:i/>
          <w:iCs/>
          <w:sz w:val="24"/>
          <w:szCs w:val="24"/>
        </w:rPr>
        <w:t>Journal of Applied Polymer Science.</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23</w:t>
      </w:r>
      <w:r w:rsidRPr="0058380A">
        <w:rPr>
          <w:rFonts w:ascii="Times New Roman" w:hAnsi="Times New Roman" w:cs="Times New Roman"/>
          <w:sz w:val="24"/>
          <w:szCs w:val="24"/>
        </w:rPr>
        <w:t xml:space="preserve">, 3271-3280 (1979). </w:t>
      </w:r>
      <w:r w:rsidR="00200F66">
        <w:rPr>
          <w:rFonts w:ascii="Times New Roman" w:hAnsi="Times New Roman" w:cs="Times New Roman"/>
          <w:sz w:val="24"/>
          <w:szCs w:val="24"/>
        </w:rPr>
        <w:br/>
      </w:r>
    </w:p>
    <w:p w14:paraId="610CA63E"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P. R. Patwardhan, D. L. Dalluge, B. H. Shanks, Distinguishing primary and secondary reactions of cellulose pyrolysis. Bioresource technology (2011),</w:t>
      </w:r>
      <w:r w:rsidRPr="0058380A">
        <w:rPr>
          <w:rFonts w:ascii="Times New Roman" w:hAnsi="Times New Roman" w:cs="Times New Roman"/>
          <w:sz w:val="24"/>
          <w:szCs w:val="24"/>
        </w:rPr>
        <w:br/>
        <w:t xml:space="preserve">doi: 10.1016/j.biotech.2011.02.018. </w:t>
      </w:r>
      <w:r w:rsidR="00200F66">
        <w:rPr>
          <w:rFonts w:ascii="Times New Roman" w:hAnsi="Times New Roman" w:cs="Times New Roman"/>
          <w:sz w:val="24"/>
          <w:szCs w:val="24"/>
        </w:rPr>
        <w:br/>
      </w:r>
    </w:p>
    <w:p w14:paraId="3D528518"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F. Shafizadeh, G. D. McGinnis, C. W. Philpot, Thermal degradation of xylan and related model compounds. </w:t>
      </w:r>
      <w:r w:rsidRPr="0058380A">
        <w:rPr>
          <w:rFonts w:ascii="Times New Roman" w:hAnsi="Times New Roman" w:cs="Times New Roman"/>
          <w:i/>
          <w:iCs/>
          <w:sz w:val="24"/>
          <w:szCs w:val="24"/>
        </w:rPr>
        <w:t>Carbohyd Res.</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25</w:t>
      </w:r>
      <w:r w:rsidRPr="0058380A">
        <w:rPr>
          <w:rFonts w:ascii="Times New Roman" w:hAnsi="Times New Roman" w:cs="Times New Roman"/>
          <w:sz w:val="24"/>
          <w:szCs w:val="24"/>
        </w:rPr>
        <w:t xml:space="preserve">, 23-33 (1972). </w:t>
      </w:r>
      <w:r w:rsidR="00200F66">
        <w:rPr>
          <w:rFonts w:ascii="Times New Roman" w:hAnsi="Times New Roman" w:cs="Times New Roman"/>
          <w:sz w:val="24"/>
          <w:szCs w:val="24"/>
        </w:rPr>
        <w:br/>
      </w:r>
    </w:p>
    <w:p w14:paraId="21C8CB21"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U. Raisanen, I. Pitkanen, H, Halttunen, Formation of the main degradation compounds from arabinose, xylose, mannose and arabinitol during pyrolysis. </w:t>
      </w:r>
      <w:r w:rsidRPr="0058380A">
        <w:rPr>
          <w:rFonts w:ascii="Times New Roman" w:hAnsi="Times New Roman" w:cs="Times New Roman"/>
          <w:i/>
          <w:iCs/>
          <w:sz w:val="24"/>
          <w:szCs w:val="24"/>
        </w:rPr>
        <w:t>Journal of Thermal Analysis and Calorimetry.</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72</w:t>
      </w:r>
      <w:r w:rsidRPr="0058380A">
        <w:rPr>
          <w:rFonts w:ascii="Times New Roman" w:hAnsi="Times New Roman" w:cs="Times New Roman"/>
          <w:sz w:val="24"/>
          <w:szCs w:val="24"/>
        </w:rPr>
        <w:t xml:space="preserve">, 481-488 (2003). </w:t>
      </w:r>
      <w:r w:rsidR="00200F66">
        <w:rPr>
          <w:rFonts w:ascii="Times New Roman" w:hAnsi="Times New Roman" w:cs="Times New Roman"/>
          <w:sz w:val="24"/>
          <w:szCs w:val="24"/>
        </w:rPr>
        <w:br/>
      </w:r>
    </w:p>
    <w:p w14:paraId="2F25698F"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C. Saiz-Jimenez, J. W. De Leeuw, Lignin pyrolysis products: their structures and their significance as biomarkers. </w:t>
      </w:r>
      <w:r w:rsidRPr="0058380A">
        <w:rPr>
          <w:rFonts w:ascii="Times New Roman" w:hAnsi="Times New Roman" w:cs="Times New Roman"/>
          <w:i/>
          <w:iCs/>
          <w:sz w:val="24"/>
          <w:szCs w:val="24"/>
        </w:rPr>
        <w:t>Organic Geochemistry</w:t>
      </w:r>
      <w:r w:rsidRPr="0058380A">
        <w:rPr>
          <w:rFonts w:ascii="Times New Roman" w:hAnsi="Times New Roman" w:cs="Times New Roman"/>
          <w:sz w:val="24"/>
          <w:szCs w:val="24"/>
        </w:rPr>
        <w:t xml:space="preserve"> (1986).</w:t>
      </w:r>
      <w:r w:rsidR="00200F66">
        <w:rPr>
          <w:rFonts w:ascii="Times New Roman" w:hAnsi="Times New Roman" w:cs="Times New Roman"/>
          <w:sz w:val="24"/>
          <w:szCs w:val="24"/>
        </w:rPr>
        <w:br/>
      </w:r>
    </w:p>
    <w:p w14:paraId="494F721C"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B. W. Penning </w:t>
      </w:r>
      <w:r w:rsidRPr="0058380A">
        <w:rPr>
          <w:rFonts w:ascii="Times New Roman" w:hAnsi="Times New Roman" w:cs="Times New Roman"/>
          <w:i/>
          <w:iCs/>
          <w:sz w:val="24"/>
          <w:szCs w:val="24"/>
        </w:rPr>
        <w:t>et al.</w:t>
      </w:r>
      <w:r w:rsidRPr="0058380A">
        <w:rPr>
          <w:rFonts w:ascii="Times New Roman" w:hAnsi="Times New Roman" w:cs="Times New Roman"/>
          <w:sz w:val="24"/>
          <w:szCs w:val="24"/>
        </w:rPr>
        <w:t xml:space="preserve">, Validation of PyMBMS as a High-thoroughput Screen for Lignin Abundance in Lignocellulosic Biomass of Grasses. </w:t>
      </w:r>
      <w:r w:rsidRPr="0058380A">
        <w:rPr>
          <w:rFonts w:ascii="Times New Roman" w:hAnsi="Times New Roman" w:cs="Times New Roman"/>
          <w:i/>
          <w:iCs/>
          <w:sz w:val="24"/>
          <w:szCs w:val="24"/>
        </w:rPr>
        <w:t>Bioeneg. Res.</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7</w:t>
      </w:r>
      <w:r w:rsidRPr="0058380A">
        <w:rPr>
          <w:rFonts w:ascii="Times New Roman" w:hAnsi="Times New Roman" w:cs="Times New Roman"/>
          <w:sz w:val="24"/>
          <w:szCs w:val="24"/>
        </w:rPr>
        <w:t xml:space="preserve">, 899-908 (2014). </w:t>
      </w:r>
      <w:r w:rsidR="00200F66">
        <w:rPr>
          <w:rFonts w:ascii="Times New Roman" w:hAnsi="Times New Roman" w:cs="Times New Roman"/>
          <w:sz w:val="24"/>
          <w:szCs w:val="24"/>
        </w:rPr>
        <w:br/>
      </w:r>
    </w:p>
    <w:p w14:paraId="07D969E0"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R. Lou, S. Wu, G. Lv, A. Zhang, Factors Related to Minerals and Ingredients Influencing the Distribution of Pyrolysates Derived from Herbaceous Biomass. </w:t>
      </w:r>
      <w:r w:rsidRPr="0058380A">
        <w:rPr>
          <w:rFonts w:ascii="Times New Roman" w:hAnsi="Times New Roman" w:cs="Times New Roman"/>
          <w:i/>
          <w:iCs/>
          <w:sz w:val="24"/>
          <w:szCs w:val="24"/>
        </w:rPr>
        <w:t xml:space="preserve">Bioresources </w:t>
      </w:r>
      <w:r w:rsidRPr="0058380A">
        <w:rPr>
          <w:rFonts w:ascii="Times New Roman" w:hAnsi="Times New Roman" w:cs="Times New Roman"/>
          <w:sz w:val="24"/>
          <w:szCs w:val="24"/>
        </w:rPr>
        <w:t xml:space="preserve">(2013). </w:t>
      </w:r>
      <w:r w:rsidR="00200F66">
        <w:rPr>
          <w:rFonts w:ascii="Times New Roman" w:hAnsi="Times New Roman" w:cs="Times New Roman"/>
          <w:sz w:val="24"/>
          <w:szCs w:val="24"/>
        </w:rPr>
        <w:br/>
      </w:r>
    </w:p>
    <w:p w14:paraId="3ABF77B7"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F. Ronsse, X. Bai, W. Prins, R. C. Brown, Secondary reactions of levoglucosan and char in the fast pyrolysis of cellulose. </w:t>
      </w:r>
      <w:r w:rsidRPr="0058380A">
        <w:rPr>
          <w:rFonts w:ascii="Times New Roman" w:hAnsi="Times New Roman" w:cs="Times New Roman"/>
          <w:i/>
          <w:iCs/>
          <w:sz w:val="24"/>
          <w:szCs w:val="24"/>
        </w:rPr>
        <w:t>Environ. Prog. Sustainable Energy.</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31</w:t>
      </w:r>
      <w:r w:rsidRPr="0058380A">
        <w:rPr>
          <w:rFonts w:ascii="Times New Roman" w:hAnsi="Times New Roman" w:cs="Times New Roman"/>
          <w:sz w:val="24"/>
          <w:szCs w:val="24"/>
        </w:rPr>
        <w:t>, 256-260 (2012).</w:t>
      </w:r>
      <w:r w:rsidR="00200F66">
        <w:rPr>
          <w:rFonts w:ascii="Times New Roman" w:hAnsi="Times New Roman" w:cs="Times New Roman"/>
          <w:sz w:val="24"/>
          <w:szCs w:val="24"/>
        </w:rPr>
        <w:br/>
      </w:r>
      <w:r w:rsidRPr="0058380A">
        <w:rPr>
          <w:rFonts w:ascii="Times New Roman" w:hAnsi="Times New Roman" w:cs="Times New Roman"/>
          <w:sz w:val="24"/>
          <w:szCs w:val="24"/>
        </w:rPr>
        <w:t xml:space="preserve"> </w:t>
      </w:r>
    </w:p>
    <w:p w14:paraId="5E6069F1"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R. Fahmi </w:t>
      </w:r>
      <w:r w:rsidRPr="0058380A">
        <w:rPr>
          <w:rFonts w:ascii="Times New Roman" w:hAnsi="Times New Roman" w:cs="Times New Roman"/>
          <w:i/>
          <w:iCs/>
          <w:sz w:val="24"/>
          <w:szCs w:val="24"/>
        </w:rPr>
        <w:t>et al.</w:t>
      </w:r>
      <w:r w:rsidRPr="0058380A">
        <w:rPr>
          <w:rFonts w:ascii="Times New Roman" w:hAnsi="Times New Roman" w:cs="Times New Roman"/>
          <w:sz w:val="24"/>
          <w:szCs w:val="24"/>
        </w:rPr>
        <w:t xml:space="preserve">, The effect of alkali metals on combustion and pyrolysis of Lolium and Festuca grasses, switchgrass and willow. </w:t>
      </w:r>
      <w:r w:rsidRPr="0058380A">
        <w:rPr>
          <w:rFonts w:ascii="Times New Roman" w:hAnsi="Times New Roman" w:cs="Times New Roman"/>
          <w:i/>
          <w:iCs/>
          <w:sz w:val="24"/>
          <w:szCs w:val="24"/>
        </w:rPr>
        <w:t>Fuel.</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86</w:t>
      </w:r>
      <w:r w:rsidRPr="0058380A">
        <w:rPr>
          <w:rFonts w:ascii="Times New Roman" w:hAnsi="Times New Roman" w:cs="Times New Roman"/>
          <w:sz w:val="24"/>
          <w:szCs w:val="24"/>
        </w:rPr>
        <w:t>, 1560-1569 (2007).</w:t>
      </w:r>
      <w:r w:rsidR="00200F66">
        <w:rPr>
          <w:rFonts w:ascii="Times New Roman" w:hAnsi="Times New Roman" w:cs="Times New Roman"/>
          <w:sz w:val="24"/>
          <w:szCs w:val="24"/>
        </w:rPr>
        <w:br/>
      </w:r>
    </w:p>
    <w:p w14:paraId="33CD20D0"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P. R. Patwardhan, J. A. Satrio, R. C. Brown, B. H. Shanks, Influence of inorganic salts on the primary pyrolysis products of cellulose. </w:t>
      </w:r>
      <w:r w:rsidRPr="0058380A">
        <w:rPr>
          <w:rFonts w:ascii="Times New Roman" w:hAnsi="Times New Roman" w:cs="Times New Roman"/>
          <w:i/>
          <w:iCs/>
          <w:sz w:val="24"/>
          <w:szCs w:val="24"/>
        </w:rPr>
        <w:t>Bioresource technology.</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101</w:t>
      </w:r>
      <w:r w:rsidRPr="0058380A">
        <w:rPr>
          <w:rFonts w:ascii="Times New Roman" w:hAnsi="Times New Roman" w:cs="Times New Roman"/>
          <w:sz w:val="24"/>
          <w:szCs w:val="24"/>
        </w:rPr>
        <w:t>, 4646-4655 (2010).</w:t>
      </w:r>
      <w:r w:rsidR="00200F66">
        <w:rPr>
          <w:rFonts w:ascii="Times New Roman" w:hAnsi="Times New Roman" w:cs="Times New Roman"/>
          <w:sz w:val="24"/>
          <w:szCs w:val="24"/>
        </w:rPr>
        <w:br/>
      </w:r>
    </w:p>
    <w:p w14:paraId="5F70925E"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M. Kleen, G. Gellerstedt, Influence of Inorganic Species on the Formation of Polysaccharide and Lignin Degradation Products in the Analytical Pyrolysis of Pulps. </w:t>
      </w:r>
      <w:r w:rsidRPr="0058380A">
        <w:rPr>
          <w:rFonts w:ascii="Times New Roman" w:hAnsi="Times New Roman" w:cs="Times New Roman"/>
          <w:i/>
          <w:iCs/>
          <w:sz w:val="24"/>
          <w:szCs w:val="24"/>
        </w:rPr>
        <w:t xml:space="preserve">Journal of Analytical and Applied Pyrolysis. </w:t>
      </w:r>
      <w:r w:rsidRPr="0058380A">
        <w:rPr>
          <w:rFonts w:ascii="Times New Roman" w:hAnsi="Times New Roman" w:cs="Times New Roman"/>
          <w:b/>
          <w:bCs/>
          <w:sz w:val="24"/>
          <w:szCs w:val="24"/>
        </w:rPr>
        <w:t>35</w:t>
      </w:r>
      <w:r w:rsidRPr="0058380A">
        <w:rPr>
          <w:rFonts w:ascii="Times New Roman" w:hAnsi="Times New Roman" w:cs="Times New Roman"/>
          <w:sz w:val="24"/>
          <w:szCs w:val="24"/>
        </w:rPr>
        <w:t xml:space="preserve">, 15-41 (1995). </w:t>
      </w:r>
      <w:r w:rsidR="00200F66">
        <w:rPr>
          <w:rFonts w:ascii="Times New Roman" w:hAnsi="Times New Roman" w:cs="Times New Roman"/>
          <w:sz w:val="24"/>
          <w:szCs w:val="24"/>
        </w:rPr>
        <w:br/>
      </w:r>
    </w:p>
    <w:p w14:paraId="7CAC12EF"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I. -Y. Eom et al., Effect of essential inorganic metals on primary thermal degradation of lignocellulosic biomass. </w:t>
      </w:r>
      <w:r w:rsidRPr="0058380A">
        <w:rPr>
          <w:rFonts w:ascii="Times New Roman" w:hAnsi="Times New Roman" w:cs="Times New Roman"/>
          <w:i/>
          <w:iCs/>
          <w:sz w:val="24"/>
          <w:szCs w:val="24"/>
        </w:rPr>
        <w:t>Bioresource technology.</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104</w:t>
      </w:r>
      <w:r w:rsidRPr="0058380A">
        <w:rPr>
          <w:rFonts w:ascii="Times New Roman" w:hAnsi="Times New Roman" w:cs="Times New Roman"/>
          <w:sz w:val="24"/>
          <w:szCs w:val="24"/>
        </w:rPr>
        <w:t xml:space="preserve">, 687-694 (2012). </w:t>
      </w:r>
    </w:p>
    <w:p w14:paraId="705F6584"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lastRenderedPageBreak/>
        <w:t xml:space="preserve">J. Zhang </w:t>
      </w:r>
      <w:r w:rsidRPr="0058380A">
        <w:rPr>
          <w:rFonts w:ascii="Times New Roman" w:hAnsi="Times New Roman" w:cs="Times New Roman"/>
          <w:i/>
          <w:iCs/>
          <w:sz w:val="24"/>
          <w:szCs w:val="24"/>
        </w:rPr>
        <w:t>et al.</w:t>
      </w:r>
      <w:r w:rsidRPr="0058380A">
        <w:rPr>
          <w:rFonts w:ascii="Times New Roman" w:hAnsi="Times New Roman" w:cs="Times New Roman"/>
          <w:sz w:val="24"/>
          <w:szCs w:val="24"/>
        </w:rPr>
        <w:t xml:space="preserve">, Cellulose-Hemicellulose and Cellulose-Lignin Interactions during Fast Pyrolysis. </w:t>
      </w:r>
      <w:r w:rsidRPr="0058380A">
        <w:rPr>
          <w:rFonts w:ascii="Times New Roman" w:hAnsi="Times New Roman" w:cs="Times New Roman"/>
          <w:i/>
          <w:iCs/>
          <w:sz w:val="24"/>
          <w:szCs w:val="24"/>
        </w:rPr>
        <w:t>ACS Sustainable Chem. Eng.</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3</w:t>
      </w:r>
      <w:r w:rsidRPr="0058380A">
        <w:rPr>
          <w:rFonts w:ascii="Times New Roman" w:hAnsi="Times New Roman" w:cs="Times New Roman"/>
          <w:sz w:val="24"/>
          <w:szCs w:val="24"/>
        </w:rPr>
        <w:t xml:space="preserve">, 293-301 (2015). </w:t>
      </w:r>
      <w:r w:rsidR="00200F66">
        <w:rPr>
          <w:rFonts w:ascii="Times New Roman" w:hAnsi="Times New Roman" w:cs="Times New Roman"/>
          <w:sz w:val="24"/>
          <w:szCs w:val="24"/>
        </w:rPr>
        <w:br/>
      </w:r>
    </w:p>
    <w:p w14:paraId="16C65B30"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X. Du </w:t>
      </w:r>
      <w:r w:rsidRPr="0058380A">
        <w:rPr>
          <w:rFonts w:ascii="Times New Roman" w:hAnsi="Times New Roman" w:cs="Times New Roman"/>
          <w:i/>
          <w:iCs/>
          <w:sz w:val="24"/>
          <w:szCs w:val="24"/>
        </w:rPr>
        <w:t>et al.</w:t>
      </w:r>
      <w:r w:rsidRPr="0058380A">
        <w:rPr>
          <w:rFonts w:ascii="Times New Roman" w:hAnsi="Times New Roman" w:cs="Times New Roman"/>
          <w:sz w:val="24"/>
          <w:szCs w:val="24"/>
        </w:rPr>
        <w:t xml:space="preserve">, Analysis of lignin-carbohydrate and lignin-lignin linkages after hydrolase treatment of xylan-lignin, glucomannan-lignin and glucan-lignin complexes from spruce wood. </w:t>
      </w:r>
      <w:r w:rsidRPr="0058380A">
        <w:rPr>
          <w:rFonts w:ascii="Times New Roman" w:hAnsi="Times New Roman" w:cs="Times New Roman"/>
          <w:i/>
          <w:iCs/>
          <w:sz w:val="24"/>
          <w:szCs w:val="24"/>
        </w:rPr>
        <w:t>Planta.</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239</w:t>
      </w:r>
      <w:r w:rsidRPr="0058380A">
        <w:rPr>
          <w:rFonts w:ascii="Times New Roman" w:hAnsi="Times New Roman" w:cs="Times New Roman"/>
          <w:sz w:val="24"/>
          <w:szCs w:val="24"/>
        </w:rPr>
        <w:t xml:space="preserve">, 1079-1090 (2014). </w:t>
      </w:r>
      <w:r w:rsidR="00200F66">
        <w:rPr>
          <w:rFonts w:ascii="Times New Roman" w:hAnsi="Times New Roman" w:cs="Times New Roman"/>
          <w:sz w:val="24"/>
          <w:szCs w:val="24"/>
        </w:rPr>
        <w:br/>
      </w:r>
    </w:p>
    <w:p w14:paraId="52A4F902"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Z. Jin, K. S. Katsumata, T. B. T. Lam, K. Iiyama, Covalent linkages between cellulose and lignin in cell walls of coniferous and nonconiferous woods. </w:t>
      </w:r>
      <w:r w:rsidRPr="0058380A">
        <w:rPr>
          <w:rFonts w:ascii="Times New Roman" w:hAnsi="Times New Roman" w:cs="Times New Roman"/>
          <w:i/>
          <w:iCs/>
          <w:sz w:val="24"/>
          <w:szCs w:val="24"/>
        </w:rPr>
        <w:t>Biopolymers.</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83</w:t>
      </w:r>
      <w:r w:rsidRPr="0058380A">
        <w:rPr>
          <w:rFonts w:ascii="Times New Roman" w:hAnsi="Times New Roman" w:cs="Times New Roman"/>
          <w:sz w:val="24"/>
          <w:szCs w:val="24"/>
        </w:rPr>
        <w:t xml:space="preserve">, 103-110 (2006). </w:t>
      </w:r>
      <w:r w:rsidR="00200F66">
        <w:rPr>
          <w:rFonts w:ascii="Times New Roman" w:hAnsi="Times New Roman" w:cs="Times New Roman"/>
          <w:sz w:val="24"/>
          <w:szCs w:val="24"/>
        </w:rPr>
        <w:br/>
      </w:r>
    </w:p>
    <w:p w14:paraId="1DF1A0E3"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N. D. Bonawitz, C. Chapple, The Genetics of Lignin Biosynthesis: Connecting Genotype to Phenotype. </w:t>
      </w:r>
      <w:r w:rsidRPr="0058380A">
        <w:rPr>
          <w:rFonts w:ascii="Times New Roman" w:hAnsi="Times New Roman" w:cs="Times New Roman"/>
          <w:i/>
          <w:iCs/>
          <w:sz w:val="24"/>
          <w:szCs w:val="24"/>
        </w:rPr>
        <w:t>Annu. Rev. Genet.</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44</w:t>
      </w:r>
      <w:r w:rsidRPr="0058380A">
        <w:rPr>
          <w:rFonts w:ascii="Times New Roman" w:hAnsi="Times New Roman" w:cs="Times New Roman"/>
          <w:sz w:val="24"/>
          <w:szCs w:val="24"/>
        </w:rPr>
        <w:t xml:space="preserve">, 337-363 (2010). </w:t>
      </w:r>
      <w:r w:rsidR="00200F66">
        <w:rPr>
          <w:rFonts w:ascii="Times New Roman" w:hAnsi="Times New Roman" w:cs="Times New Roman"/>
          <w:sz w:val="24"/>
          <w:szCs w:val="24"/>
        </w:rPr>
        <w:br/>
      </w:r>
    </w:p>
    <w:p w14:paraId="59B5F22A"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Q. Zhao, R. A. Dixon, Transcriptional networks for lignin biosynthesis: more complex than we thought? </w:t>
      </w:r>
      <w:r w:rsidRPr="0058380A">
        <w:rPr>
          <w:rFonts w:ascii="Times New Roman" w:hAnsi="Times New Roman" w:cs="Times New Roman"/>
          <w:i/>
          <w:iCs/>
          <w:sz w:val="24"/>
          <w:szCs w:val="24"/>
        </w:rPr>
        <w:t>Trends in Plant Science.</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16</w:t>
      </w:r>
      <w:r w:rsidRPr="0058380A">
        <w:rPr>
          <w:rFonts w:ascii="Times New Roman" w:hAnsi="Times New Roman" w:cs="Times New Roman"/>
          <w:sz w:val="24"/>
          <w:szCs w:val="24"/>
        </w:rPr>
        <w:t xml:space="preserve">, 227-233 (2011). </w:t>
      </w:r>
      <w:r w:rsidR="00200F66">
        <w:rPr>
          <w:rFonts w:ascii="Times New Roman" w:hAnsi="Times New Roman" w:cs="Times New Roman"/>
          <w:sz w:val="24"/>
          <w:szCs w:val="24"/>
        </w:rPr>
        <w:br/>
      </w:r>
    </w:p>
    <w:p w14:paraId="34181CF6"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N. Yamaji, J. F. Ma, A Transporter at the Node Responsible for Intervascular Transfer of Silicon in Rice. </w:t>
      </w:r>
      <w:r w:rsidRPr="0058380A">
        <w:rPr>
          <w:rFonts w:ascii="Times New Roman" w:hAnsi="Times New Roman" w:cs="Times New Roman"/>
          <w:i/>
          <w:iCs/>
          <w:sz w:val="24"/>
          <w:szCs w:val="24"/>
        </w:rPr>
        <w:t>Plant Cell.</w:t>
      </w:r>
      <w:r w:rsidRPr="0058380A">
        <w:rPr>
          <w:rFonts w:ascii="Times New Roman" w:hAnsi="Times New Roman" w:cs="Times New Roman"/>
          <w:b/>
          <w:bCs/>
          <w:sz w:val="24"/>
          <w:szCs w:val="24"/>
        </w:rPr>
        <w:t xml:space="preserve"> 21</w:t>
      </w:r>
      <w:r w:rsidRPr="0058380A">
        <w:rPr>
          <w:rFonts w:ascii="Times New Roman" w:hAnsi="Times New Roman" w:cs="Times New Roman"/>
          <w:sz w:val="24"/>
          <w:szCs w:val="24"/>
        </w:rPr>
        <w:t xml:space="preserve">, 2878-2883 (2009). </w:t>
      </w:r>
      <w:r w:rsidR="00200F66">
        <w:rPr>
          <w:rFonts w:ascii="Times New Roman" w:hAnsi="Times New Roman" w:cs="Times New Roman"/>
          <w:sz w:val="24"/>
          <w:szCs w:val="24"/>
        </w:rPr>
        <w:br/>
      </w:r>
    </w:p>
    <w:p w14:paraId="1C1BCBD5"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R. Zhong, Z. H. Ye, Secondary Cell Walls: Biosynthesis, Patterned Deposition and Transcriptional Regulation. </w:t>
      </w:r>
      <w:r w:rsidRPr="0058380A">
        <w:rPr>
          <w:rFonts w:ascii="Times New Roman" w:hAnsi="Times New Roman" w:cs="Times New Roman"/>
          <w:i/>
          <w:iCs/>
          <w:sz w:val="24"/>
          <w:szCs w:val="24"/>
        </w:rPr>
        <w:t>Plant &amp; cell physiology.</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56</w:t>
      </w:r>
      <w:r w:rsidRPr="0058380A">
        <w:rPr>
          <w:rFonts w:ascii="Times New Roman" w:hAnsi="Times New Roman" w:cs="Times New Roman"/>
          <w:sz w:val="24"/>
          <w:szCs w:val="24"/>
        </w:rPr>
        <w:t xml:space="preserve">, 195-214 (2015). </w:t>
      </w:r>
      <w:r w:rsidR="00200F66">
        <w:rPr>
          <w:rFonts w:ascii="Times New Roman" w:hAnsi="Times New Roman" w:cs="Times New Roman"/>
          <w:sz w:val="24"/>
          <w:szCs w:val="24"/>
        </w:rPr>
        <w:br/>
      </w:r>
    </w:p>
    <w:p w14:paraId="71676246"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A. Zheng </w:t>
      </w:r>
      <w:r w:rsidRPr="0058380A">
        <w:rPr>
          <w:rFonts w:ascii="Times New Roman" w:hAnsi="Times New Roman" w:cs="Times New Roman"/>
          <w:i/>
          <w:iCs/>
          <w:sz w:val="24"/>
          <w:szCs w:val="24"/>
        </w:rPr>
        <w:t>et al.</w:t>
      </w:r>
      <w:r w:rsidRPr="0058380A">
        <w:rPr>
          <w:rFonts w:ascii="Times New Roman" w:hAnsi="Times New Roman" w:cs="Times New Roman"/>
          <w:sz w:val="24"/>
          <w:szCs w:val="24"/>
        </w:rPr>
        <w:t xml:space="preserve">, Effect of torrefaction on structure and fast pyrolysis behavior of corncobs. </w:t>
      </w:r>
      <w:r w:rsidRPr="0058380A">
        <w:rPr>
          <w:rFonts w:ascii="Times New Roman" w:hAnsi="Times New Roman" w:cs="Times New Roman"/>
          <w:i/>
          <w:iCs/>
          <w:sz w:val="24"/>
          <w:szCs w:val="24"/>
        </w:rPr>
        <w:t>Bioresource technology.</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128</w:t>
      </w:r>
      <w:r w:rsidRPr="0058380A">
        <w:rPr>
          <w:rFonts w:ascii="Times New Roman" w:hAnsi="Times New Roman" w:cs="Times New Roman"/>
          <w:sz w:val="24"/>
          <w:szCs w:val="24"/>
        </w:rPr>
        <w:t xml:space="preserve">, 370-377 (2013). </w:t>
      </w:r>
      <w:r w:rsidR="00200F66">
        <w:rPr>
          <w:rFonts w:ascii="Times New Roman" w:hAnsi="Times New Roman" w:cs="Times New Roman"/>
          <w:sz w:val="24"/>
          <w:szCs w:val="24"/>
        </w:rPr>
        <w:br/>
      </w:r>
    </w:p>
    <w:p w14:paraId="2632049A"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P. A. Horne, P. T. Williams, Influence of temperature on the products from the flash pyrolysis of biomass. </w:t>
      </w:r>
      <w:r w:rsidRPr="0058380A">
        <w:rPr>
          <w:rFonts w:ascii="Times New Roman" w:hAnsi="Times New Roman" w:cs="Times New Roman"/>
          <w:i/>
          <w:iCs/>
          <w:sz w:val="24"/>
          <w:szCs w:val="24"/>
        </w:rPr>
        <w:t xml:space="preserve">Fuel </w:t>
      </w:r>
      <w:r w:rsidRPr="0058380A">
        <w:rPr>
          <w:rFonts w:ascii="Times New Roman" w:hAnsi="Times New Roman" w:cs="Times New Roman"/>
          <w:sz w:val="24"/>
          <w:szCs w:val="24"/>
        </w:rPr>
        <w:t xml:space="preserve">(1996). </w:t>
      </w:r>
      <w:r w:rsidR="00200F66">
        <w:rPr>
          <w:rFonts w:ascii="Times New Roman" w:hAnsi="Times New Roman" w:cs="Times New Roman"/>
          <w:sz w:val="24"/>
          <w:szCs w:val="24"/>
        </w:rPr>
        <w:br/>
      </w:r>
    </w:p>
    <w:p w14:paraId="67E75472"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W. H. Chen, P. C. Kuo, Isothermal torrefaction kinetics of hemicellulose, cellulose, lignin and xylan using thermogravimetric analysis. </w:t>
      </w:r>
      <w:r w:rsidRPr="0058380A">
        <w:rPr>
          <w:rFonts w:ascii="Times New Roman" w:hAnsi="Times New Roman" w:cs="Times New Roman"/>
          <w:i/>
          <w:iCs/>
          <w:sz w:val="24"/>
          <w:szCs w:val="24"/>
        </w:rPr>
        <w:t>Energy</w:t>
      </w:r>
      <w:r w:rsidRPr="0058380A">
        <w:rPr>
          <w:rFonts w:ascii="Times New Roman" w:hAnsi="Times New Roman" w:cs="Times New Roman"/>
          <w:sz w:val="24"/>
          <w:szCs w:val="24"/>
        </w:rPr>
        <w:t xml:space="preserve"> (2011), doi: 10.1016/j.energy.2011.09.022. </w:t>
      </w:r>
      <w:r w:rsidR="00200F66">
        <w:rPr>
          <w:rFonts w:ascii="Times New Roman" w:hAnsi="Times New Roman" w:cs="Times New Roman"/>
          <w:sz w:val="24"/>
          <w:szCs w:val="24"/>
        </w:rPr>
        <w:br/>
      </w:r>
    </w:p>
    <w:p w14:paraId="309F84B6"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M. J. Antal Jr., G. Varhegyi, Cellulose Pyrolysis Kinetics: The Current State of Knowledge. </w:t>
      </w:r>
      <w:r w:rsidRPr="0058380A">
        <w:rPr>
          <w:rFonts w:ascii="Times New Roman" w:hAnsi="Times New Roman" w:cs="Times New Roman"/>
          <w:i/>
          <w:iCs/>
          <w:sz w:val="24"/>
          <w:szCs w:val="24"/>
        </w:rPr>
        <w:t xml:space="preserve">Ind. Eng. Chem. Res. </w:t>
      </w:r>
      <w:r w:rsidRPr="0058380A">
        <w:rPr>
          <w:rFonts w:ascii="Times New Roman" w:hAnsi="Times New Roman" w:cs="Times New Roman"/>
          <w:b/>
          <w:bCs/>
          <w:sz w:val="24"/>
          <w:szCs w:val="24"/>
        </w:rPr>
        <w:t>34</w:t>
      </w:r>
      <w:r w:rsidRPr="0058380A">
        <w:rPr>
          <w:rFonts w:ascii="Times New Roman" w:hAnsi="Times New Roman" w:cs="Times New Roman"/>
          <w:sz w:val="24"/>
          <w:szCs w:val="24"/>
        </w:rPr>
        <w:t xml:space="preserve">, 703-717 (1995). </w:t>
      </w:r>
      <w:r w:rsidR="00200F66">
        <w:rPr>
          <w:rFonts w:ascii="Times New Roman" w:hAnsi="Times New Roman" w:cs="Times New Roman"/>
          <w:sz w:val="24"/>
          <w:szCs w:val="24"/>
        </w:rPr>
        <w:br/>
      </w:r>
    </w:p>
    <w:p w14:paraId="72B31826"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H. l. Baxter </w:t>
      </w:r>
      <w:r w:rsidRPr="0058380A">
        <w:rPr>
          <w:rFonts w:ascii="Times New Roman" w:hAnsi="Times New Roman" w:cs="Times New Roman"/>
          <w:i/>
          <w:iCs/>
          <w:sz w:val="24"/>
          <w:szCs w:val="24"/>
        </w:rPr>
        <w:t>et al.</w:t>
      </w:r>
      <w:r w:rsidRPr="0058380A">
        <w:rPr>
          <w:rFonts w:ascii="Times New Roman" w:hAnsi="Times New Roman" w:cs="Times New Roman"/>
          <w:sz w:val="24"/>
          <w:szCs w:val="24"/>
        </w:rPr>
        <w:t xml:space="preserve">, Two-year field analysis of reduced recalcitrance transgenic switchgrass. </w:t>
      </w:r>
      <w:r w:rsidRPr="0058380A">
        <w:rPr>
          <w:rFonts w:ascii="Times New Roman" w:hAnsi="Times New Roman" w:cs="Times New Roman"/>
          <w:i/>
          <w:iCs/>
          <w:sz w:val="24"/>
          <w:szCs w:val="24"/>
        </w:rPr>
        <w:t>Plant Biotechnol J.</w:t>
      </w:r>
      <w:r w:rsidRPr="0058380A">
        <w:rPr>
          <w:rFonts w:ascii="Times New Roman" w:hAnsi="Times New Roman" w:cs="Times New Roman"/>
          <w:sz w:val="24"/>
          <w:szCs w:val="24"/>
        </w:rPr>
        <w:t xml:space="preserve"> </w:t>
      </w:r>
      <w:r w:rsidRPr="0058380A">
        <w:rPr>
          <w:rFonts w:ascii="Times New Roman" w:hAnsi="Times New Roman" w:cs="Times New Roman"/>
          <w:b/>
          <w:bCs/>
          <w:sz w:val="24"/>
          <w:szCs w:val="24"/>
        </w:rPr>
        <w:t>12</w:t>
      </w:r>
      <w:r w:rsidRPr="0058380A">
        <w:rPr>
          <w:rFonts w:ascii="Times New Roman" w:hAnsi="Times New Roman" w:cs="Times New Roman"/>
          <w:sz w:val="24"/>
          <w:szCs w:val="24"/>
        </w:rPr>
        <w:t xml:space="preserve">, 914-924 (2014). </w:t>
      </w:r>
      <w:r w:rsidR="00200F66">
        <w:rPr>
          <w:rFonts w:ascii="Times New Roman" w:hAnsi="Times New Roman" w:cs="Times New Roman"/>
          <w:sz w:val="24"/>
          <w:szCs w:val="24"/>
        </w:rPr>
        <w:br/>
      </w:r>
    </w:p>
    <w:p w14:paraId="5BB2686F" w14:textId="77777777" w:rsidR="00AC4B85" w:rsidRPr="0058380A" w:rsidRDefault="00AC4B85" w:rsidP="00266DB2">
      <w:pPr>
        <w:pStyle w:val="ListParagraph"/>
        <w:numPr>
          <w:ilvl w:val="0"/>
          <w:numId w:val="4"/>
        </w:numPr>
        <w:spacing w:line="240" w:lineRule="auto"/>
        <w:rPr>
          <w:rFonts w:ascii="Times New Roman" w:hAnsi="Times New Roman" w:cs="Times New Roman"/>
          <w:sz w:val="24"/>
          <w:szCs w:val="24"/>
        </w:rPr>
      </w:pPr>
      <w:r w:rsidRPr="0058380A">
        <w:rPr>
          <w:rFonts w:ascii="Times New Roman" w:hAnsi="Times New Roman" w:cs="Times New Roman"/>
          <w:sz w:val="24"/>
          <w:szCs w:val="24"/>
        </w:rPr>
        <w:t xml:space="preserve">N. A. palmer </w:t>
      </w:r>
      <w:r w:rsidRPr="0058380A">
        <w:rPr>
          <w:rFonts w:ascii="Times New Roman" w:hAnsi="Times New Roman" w:cs="Times New Roman"/>
          <w:i/>
          <w:iCs/>
          <w:sz w:val="24"/>
          <w:szCs w:val="24"/>
        </w:rPr>
        <w:t>et al.</w:t>
      </w:r>
      <w:r w:rsidRPr="0058380A">
        <w:rPr>
          <w:rFonts w:ascii="Times New Roman" w:hAnsi="Times New Roman" w:cs="Times New Roman"/>
          <w:sz w:val="24"/>
          <w:szCs w:val="24"/>
        </w:rPr>
        <w:t xml:space="preserve">, Genetic background impacts soluble and cell wall-bound aromatics in brown midrib mutants of sorghum. </w:t>
      </w:r>
      <w:r w:rsidRPr="0058380A">
        <w:rPr>
          <w:rFonts w:ascii="Times New Roman" w:hAnsi="Times New Roman" w:cs="Times New Roman"/>
          <w:i/>
          <w:iCs/>
          <w:sz w:val="24"/>
          <w:szCs w:val="24"/>
        </w:rPr>
        <w:t>Planta.</w:t>
      </w:r>
      <w:r w:rsidRPr="0058380A">
        <w:rPr>
          <w:rFonts w:ascii="Times New Roman" w:hAnsi="Times New Roman" w:cs="Times New Roman"/>
          <w:b/>
          <w:bCs/>
          <w:sz w:val="24"/>
          <w:szCs w:val="24"/>
        </w:rPr>
        <w:t xml:space="preserve"> 229</w:t>
      </w:r>
      <w:r w:rsidRPr="0058380A">
        <w:rPr>
          <w:rFonts w:ascii="Times New Roman" w:hAnsi="Times New Roman" w:cs="Times New Roman"/>
          <w:sz w:val="24"/>
          <w:szCs w:val="24"/>
        </w:rPr>
        <w:t xml:space="preserve">, 115-127 (2008). </w:t>
      </w:r>
    </w:p>
    <w:p w14:paraId="665D4343" w14:textId="77777777" w:rsidR="00AC4B85" w:rsidRDefault="00AC4B85" w:rsidP="00266DB2">
      <w:pPr>
        <w:spacing w:line="240" w:lineRule="auto"/>
        <w:ind w:left="0" w:firstLine="0"/>
        <w:rPr>
          <w:szCs w:val="24"/>
        </w:rPr>
      </w:pPr>
    </w:p>
    <w:p w14:paraId="22EA527C" w14:textId="77777777" w:rsidR="00AC4B85" w:rsidRDefault="00AC4B85" w:rsidP="00AC4B85">
      <w:pPr>
        <w:spacing w:line="240" w:lineRule="auto"/>
        <w:ind w:left="0" w:firstLine="0"/>
        <w:rPr>
          <w:szCs w:val="24"/>
        </w:rPr>
      </w:pPr>
    </w:p>
    <w:p w14:paraId="126B1D2A" w14:textId="77777777" w:rsidR="00AC4B85" w:rsidRDefault="00AC4B85" w:rsidP="00AC4B85">
      <w:pPr>
        <w:spacing w:line="240" w:lineRule="auto"/>
        <w:ind w:left="0" w:firstLine="0"/>
        <w:rPr>
          <w:szCs w:val="24"/>
        </w:rPr>
      </w:pPr>
    </w:p>
    <w:p w14:paraId="324A9DFD" w14:textId="77777777" w:rsidR="00D9716E" w:rsidRDefault="00D9716E" w:rsidP="00AC4B85">
      <w:pPr>
        <w:spacing w:line="240" w:lineRule="auto"/>
        <w:ind w:left="0" w:firstLine="0"/>
        <w:rPr>
          <w:szCs w:val="24"/>
        </w:rPr>
      </w:pPr>
    </w:p>
    <w:p w14:paraId="739BC28E" w14:textId="77777777" w:rsidR="00AC4B85" w:rsidRDefault="00AC4B85" w:rsidP="00AC4B85">
      <w:pPr>
        <w:spacing w:line="240" w:lineRule="auto"/>
        <w:ind w:left="0" w:firstLine="0"/>
        <w:rPr>
          <w:szCs w:val="24"/>
        </w:rPr>
      </w:pPr>
    </w:p>
    <w:p w14:paraId="3983C503" w14:textId="77777777" w:rsidR="006742E2" w:rsidRPr="00711866" w:rsidRDefault="00AC4B85" w:rsidP="00711866">
      <w:pPr>
        <w:pStyle w:val="Heading1"/>
        <w:numPr>
          <w:ilvl w:val="0"/>
          <w:numId w:val="0"/>
        </w:numPr>
        <w:jc w:val="center"/>
        <w:rPr>
          <w:rFonts w:ascii="Times New Roman" w:eastAsiaTheme="minorHAnsi" w:hAnsi="Times New Roman" w:cs="Times New Roman"/>
          <w:b/>
          <w:bCs/>
          <w:color w:val="auto"/>
          <w:sz w:val="28"/>
          <w:szCs w:val="28"/>
        </w:rPr>
      </w:pPr>
      <w:bookmarkStart w:id="104" w:name="_Toc14521049"/>
      <w:r w:rsidRPr="001555A6">
        <w:rPr>
          <w:rFonts w:ascii="Times New Roman" w:eastAsiaTheme="minorHAnsi" w:hAnsi="Times New Roman" w:cs="Times New Roman"/>
          <w:b/>
          <w:bCs/>
          <w:color w:val="auto"/>
          <w:sz w:val="28"/>
          <w:szCs w:val="28"/>
        </w:rPr>
        <w:lastRenderedPageBreak/>
        <w:t>Appendix: Supplementary Tables</w:t>
      </w:r>
      <w:r w:rsidR="00711866" w:rsidRPr="00BC3CDC">
        <w:rPr>
          <w:i/>
          <w:iCs/>
          <w:noProof/>
          <w:color w:val="auto"/>
          <w:sz w:val="24"/>
          <w:szCs w:val="24"/>
        </w:rPr>
        <mc:AlternateContent>
          <mc:Choice Requires="wps">
            <w:drawing>
              <wp:anchor distT="45720" distB="45720" distL="114300" distR="114300" simplePos="0" relativeHeight="251821056" behindDoc="0" locked="0" layoutInCell="1" allowOverlap="1" wp14:anchorId="59715E00" wp14:editId="6D300096">
                <wp:simplePos x="0" y="0"/>
                <wp:positionH relativeFrom="margin">
                  <wp:align>right</wp:align>
                </wp:positionH>
                <wp:positionV relativeFrom="paragraph">
                  <wp:posOffset>359410</wp:posOffset>
                </wp:positionV>
                <wp:extent cx="5915025" cy="1404620"/>
                <wp:effectExtent l="0" t="0" r="9525" b="3175"/>
                <wp:wrapSquare wrapText="bothSides"/>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noFill/>
                          <a:miter lim="800000"/>
                          <a:headEnd/>
                          <a:tailEnd/>
                        </a:ln>
                      </wps:spPr>
                      <wps:txbx>
                        <w:txbxContent>
                          <w:p w14:paraId="0C3B35B0" w14:textId="38AEE6C4" w:rsidR="00BC3CDC" w:rsidRPr="00711866" w:rsidRDefault="00BC3CDC" w:rsidP="00711866">
                            <w:pPr>
                              <w:spacing w:line="240" w:lineRule="auto"/>
                              <w:ind w:left="14" w:right="58" w:hanging="14"/>
                              <w:jc w:val="center"/>
                              <w:rPr>
                                <w:color w:val="auto"/>
                              </w:rPr>
                            </w:pPr>
                            <w:r w:rsidRPr="00711866">
                              <w:rPr>
                                <w:b/>
                                <w:bCs/>
                                <w:color w:val="auto"/>
                              </w:rPr>
                              <w:t>Table A.1:</w:t>
                            </w:r>
                            <w:r w:rsidRPr="00711866">
                              <w:rPr>
                                <w:color w:val="auto"/>
                              </w:rPr>
                              <w:t xml:space="preserve"> Individual thermochemical compounds </w:t>
                            </w:r>
                            <w:r w:rsidR="00711866" w:rsidRPr="00711866">
                              <w:rPr>
                                <w:color w:val="auto"/>
                              </w:rPr>
                              <w:t xml:space="preserve">categorized </w:t>
                            </w:r>
                            <w:r w:rsidR="00CF2119">
                              <w:rPr>
                                <w:color w:val="auto"/>
                              </w:rPr>
                              <w:t>in</w:t>
                            </w:r>
                            <w:r w:rsidR="00711866" w:rsidRPr="00711866">
                              <w:rPr>
                                <w:color w:val="auto"/>
                              </w:rPr>
                              <w:t xml:space="preserve"> their compound lumps for this study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715E00" id="_x0000_s1058" type="#_x0000_t202" style="position:absolute;left:0;text-align:left;margin-left:414.55pt;margin-top:28.3pt;width:465.75pt;height:110.6pt;z-index:2518210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" stroked="f">
                <v:textbox style="mso-fit-shape-to-text:t">
                  <w:txbxContent>
                    <w:p w14:paraId="0C3B35B0" w14:textId="38AEE6C4" w:rsidR="00BC3CDC" w:rsidRPr="00711866" w:rsidRDefault="00BC3CDC" w:rsidP="00711866">
                      <w:pPr>
                        <w:spacing w:line="240" w:lineRule="auto"/>
                        <w:ind w:left="14" w:right="58" w:hanging="14"/>
                        <w:jc w:val="center"/>
                        <w:rPr>
                          <w:color w:val="auto"/>
                        </w:rPr>
                      </w:pPr>
                      <w:r w:rsidRPr="00711866">
                        <w:rPr>
                          <w:b/>
                          <w:bCs/>
                          <w:color w:val="auto"/>
                        </w:rPr>
                        <w:t>Table A.1:</w:t>
                      </w:r>
                      <w:r w:rsidRPr="00711866">
                        <w:rPr>
                          <w:color w:val="auto"/>
                        </w:rPr>
                        <w:t xml:space="preserve"> Individual thermochemical compounds </w:t>
                      </w:r>
                      <w:r w:rsidR="00711866" w:rsidRPr="00711866">
                        <w:rPr>
                          <w:color w:val="auto"/>
                        </w:rPr>
                        <w:t xml:space="preserve">categorized </w:t>
                      </w:r>
                      <w:r w:rsidR="00CF2119">
                        <w:rPr>
                          <w:color w:val="auto"/>
                        </w:rPr>
                        <w:t>in</w:t>
                      </w:r>
                      <w:r w:rsidR="00711866" w:rsidRPr="00711866">
                        <w:rPr>
                          <w:color w:val="auto"/>
                        </w:rPr>
                        <w:t xml:space="preserve"> their compound lumps for this study</w:t>
                      </w:r>
                    </w:p>
                  </w:txbxContent>
                </v:textbox>
                <w10:wrap type="square" anchorx="margin"/>
              </v:shape>
            </w:pict>
          </mc:Fallback>
        </mc:AlternateContent>
      </w:r>
      <w:bookmarkEnd w:id="104"/>
    </w:p>
    <w:tbl>
      <w:tblPr>
        <w:tblStyle w:val="TableGrid1"/>
        <w:tblW w:w="0" w:type="auto"/>
        <w:jc w:val="center"/>
        <w:tblLook w:val="04A0" w:firstRow="1" w:lastRow="0" w:firstColumn="1" w:lastColumn="0" w:noHBand="0" w:noVBand="1"/>
      </w:tblPr>
      <w:tblGrid>
        <w:gridCol w:w="4280"/>
        <w:gridCol w:w="1840"/>
      </w:tblGrid>
      <w:tr w:rsidR="00AC4B85" w:rsidRPr="00AC4B85" w14:paraId="0102210D" w14:textId="77777777" w:rsidTr="0078039E">
        <w:trPr>
          <w:trHeight w:val="600"/>
          <w:jc w:val="center"/>
        </w:trPr>
        <w:tc>
          <w:tcPr>
            <w:tcW w:w="4280" w:type="dxa"/>
            <w:noWrap/>
            <w:hideMark/>
          </w:tcPr>
          <w:p w14:paraId="0F29CEA6" w14:textId="77777777" w:rsidR="00AC4B85" w:rsidRPr="00AC4B85" w:rsidRDefault="00AC4B85" w:rsidP="00AC4B85">
            <w:pPr>
              <w:spacing w:after="0" w:line="240" w:lineRule="auto"/>
              <w:ind w:left="0" w:right="0" w:firstLine="0"/>
              <w:jc w:val="center"/>
              <w:rPr>
                <w:rFonts w:eastAsiaTheme="minorHAnsi"/>
                <w:b/>
                <w:bCs/>
                <w:color w:val="auto"/>
                <w:szCs w:val="24"/>
              </w:rPr>
            </w:pPr>
            <w:r w:rsidRPr="00AC4B85">
              <w:rPr>
                <w:rFonts w:eastAsiaTheme="minorHAnsi"/>
                <w:b/>
                <w:bCs/>
                <w:color w:val="auto"/>
                <w:szCs w:val="24"/>
              </w:rPr>
              <w:t>Name of the compound</w:t>
            </w:r>
          </w:p>
        </w:tc>
        <w:tc>
          <w:tcPr>
            <w:tcW w:w="1840" w:type="dxa"/>
            <w:noWrap/>
            <w:hideMark/>
          </w:tcPr>
          <w:p w14:paraId="51E95F84" w14:textId="77777777" w:rsidR="00AC4B85" w:rsidRPr="00AC4B85" w:rsidRDefault="00AC4B85" w:rsidP="00AC4B85">
            <w:pPr>
              <w:spacing w:after="0" w:line="240" w:lineRule="auto"/>
              <w:ind w:left="0" w:right="0" w:firstLine="0"/>
              <w:jc w:val="center"/>
              <w:rPr>
                <w:rFonts w:eastAsiaTheme="minorHAnsi"/>
                <w:b/>
                <w:bCs/>
                <w:color w:val="auto"/>
                <w:szCs w:val="24"/>
              </w:rPr>
            </w:pPr>
            <w:r w:rsidRPr="00AC4B85">
              <w:rPr>
                <w:rFonts w:eastAsiaTheme="minorHAnsi"/>
                <w:b/>
                <w:bCs/>
                <w:color w:val="auto"/>
                <w:szCs w:val="24"/>
              </w:rPr>
              <w:t>Compound group</w:t>
            </w:r>
          </w:p>
        </w:tc>
      </w:tr>
      <w:tr w:rsidR="00AC4B85" w:rsidRPr="00AC4B85" w14:paraId="3A5FECE4" w14:textId="77777777" w:rsidTr="0078039E">
        <w:trPr>
          <w:trHeight w:val="315"/>
          <w:jc w:val="center"/>
        </w:trPr>
        <w:tc>
          <w:tcPr>
            <w:tcW w:w="4280" w:type="dxa"/>
            <w:noWrap/>
            <w:hideMark/>
          </w:tcPr>
          <w:p w14:paraId="49BA97E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Acetic acid</w:t>
            </w:r>
          </w:p>
        </w:tc>
        <w:tc>
          <w:tcPr>
            <w:tcW w:w="1840" w:type="dxa"/>
            <w:noWrap/>
            <w:hideMark/>
          </w:tcPr>
          <w:p w14:paraId="1661A0BB"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Acetic Acid</w:t>
            </w:r>
          </w:p>
        </w:tc>
      </w:tr>
      <w:tr w:rsidR="00AC4B85" w:rsidRPr="00AC4B85" w14:paraId="52F2F75F" w14:textId="77777777" w:rsidTr="0078039E">
        <w:trPr>
          <w:trHeight w:val="315"/>
          <w:jc w:val="center"/>
        </w:trPr>
        <w:tc>
          <w:tcPr>
            <w:tcW w:w="4280" w:type="dxa"/>
            <w:noWrap/>
            <w:hideMark/>
          </w:tcPr>
          <w:p w14:paraId="0D0FC13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2-Propenal</w:t>
            </w:r>
          </w:p>
        </w:tc>
        <w:tc>
          <w:tcPr>
            <w:tcW w:w="1840" w:type="dxa"/>
            <w:noWrap/>
            <w:hideMark/>
          </w:tcPr>
          <w:p w14:paraId="307350E4"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6074BBA8" w14:textId="77777777" w:rsidTr="0078039E">
        <w:trPr>
          <w:trHeight w:val="315"/>
          <w:jc w:val="center"/>
        </w:trPr>
        <w:tc>
          <w:tcPr>
            <w:tcW w:w="4280" w:type="dxa"/>
            <w:noWrap/>
            <w:hideMark/>
          </w:tcPr>
          <w:p w14:paraId="4E08C85C"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Propanal-2-one</w:t>
            </w:r>
          </w:p>
        </w:tc>
        <w:tc>
          <w:tcPr>
            <w:tcW w:w="1840" w:type="dxa"/>
            <w:noWrap/>
            <w:hideMark/>
          </w:tcPr>
          <w:p w14:paraId="41FB4AE3"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4A8080A0" w14:textId="77777777" w:rsidTr="0078039E">
        <w:trPr>
          <w:trHeight w:val="315"/>
          <w:jc w:val="center"/>
        </w:trPr>
        <w:tc>
          <w:tcPr>
            <w:tcW w:w="4280" w:type="dxa"/>
            <w:noWrap/>
            <w:hideMark/>
          </w:tcPr>
          <w:p w14:paraId="79500A06"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Butanal</w:t>
            </w:r>
          </w:p>
        </w:tc>
        <w:tc>
          <w:tcPr>
            <w:tcW w:w="1840" w:type="dxa"/>
            <w:noWrap/>
            <w:hideMark/>
          </w:tcPr>
          <w:p w14:paraId="0E9D7AE6"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3844F67D" w14:textId="77777777" w:rsidTr="0078039E">
        <w:trPr>
          <w:trHeight w:val="315"/>
          <w:jc w:val="center"/>
        </w:trPr>
        <w:tc>
          <w:tcPr>
            <w:tcW w:w="4280" w:type="dxa"/>
            <w:noWrap/>
            <w:hideMark/>
          </w:tcPr>
          <w:p w14:paraId="3ED3675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1-Penten-3-one</w:t>
            </w:r>
          </w:p>
        </w:tc>
        <w:tc>
          <w:tcPr>
            <w:tcW w:w="1840" w:type="dxa"/>
            <w:noWrap/>
            <w:hideMark/>
          </w:tcPr>
          <w:p w14:paraId="4F317AE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4101C571" w14:textId="77777777" w:rsidTr="0078039E">
        <w:trPr>
          <w:trHeight w:val="315"/>
          <w:jc w:val="center"/>
        </w:trPr>
        <w:tc>
          <w:tcPr>
            <w:tcW w:w="4280" w:type="dxa"/>
            <w:noWrap/>
            <w:hideMark/>
          </w:tcPr>
          <w:p w14:paraId="48B0FBF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2,3-Butanedione</w:t>
            </w:r>
          </w:p>
        </w:tc>
        <w:tc>
          <w:tcPr>
            <w:tcW w:w="1840" w:type="dxa"/>
            <w:noWrap/>
            <w:hideMark/>
          </w:tcPr>
          <w:p w14:paraId="48BE20EB"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7FA67879" w14:textId="77777777" w:rsidTr="0078039E">
        <w:trPr>
          <w:trHeight w:val="315"/>
          <w:jc w:val="center"/>
        </w:trPr>
        <w:tc>
          <w:tcPr>
            <w:tcW w:w="4280" w:type="dxa"/>
            <w:noWrap/>
            <w:hideMark/>
          </w:tcPr>
          <w:p w14:paraId="7C00535E"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3-Pentanone</w:t>
            </w:r>
          </w:p>
        </w:tc>
        <w:tc>
          <w:tcPr>
            <w:tcW w:w="1840" w:type="dxa"/>
            <w:noWrap/>
            <w:hideMark/>
          </w:tcPr>
          <w:p w14:paraId="338B3CC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513BF02A" w14:textId="77777777" w:rsidTr="0078039E">
        <w:trPr>
          <w:trHeight w:val="315"/>
          <w:jc w:val="center"/>
        </w:trPr>
        <w:tc>
          <w:tcPr>
            <w:tcW w:w="4280" w:type="dxa"/>
            <w:noWrap/>
            <w:hideMark/>
          </w:tcPr>
          <w:p w14:paraId="3068BB4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2-Butanone</w:t>
            </w:r>
          </w:p>
        </w:tc>
        <w:tc>
          <w:tcPr>
            <w:tcW w:w="1840" w:type="dxa"/>
            <w:noWrap/>
            <w:hideMark/>
          </w:tcPr>
          <w:p w14:paraId="3CE5A6C7"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5324034C" w14:textId="77777777" w:rsidTr="0078039E">
        <w:trPr>
          <w:trHeight w:val="315"/>
          <w:jc w:val="center"/>
        </w:trPr>
        <w:tc>
          <w:tcPr>
            <w:tcW w:w="4280" w:type="dxa"/>
            <w:noWrap/>
            <w:hideMark/>
          </w:tcPr>
          <w:p w14:paraId="03796D3A"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Hydroxyacetaldehyde</w:t>
            </w:r>
          </w:p>
        </w:tc>
        <w:tc>
          <w:tcPr>
            <w:tcW w:w="1840" w:type="dxa"/>
            <w:noWrap/>
            <w:hideMark/>
          </w:tcPr>
          <w:p w14:paraId="6460081C"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6FCC4105" w14:textId="77777777" w:rsidTr="0078039E">
        <w:trPr>
          <w:trHeight w:val="315"/>
          <w:jc w:val="center"/>
        </w:trPr>
        <w:tc>
          <w:tcPr>
            <w:tcW w:w="4280" w:type="dxa"/>
            <w:noWrap/>
            <w:hideMark/>
          </w:tcPr>
          <w:p w14:paraId="279F4E6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2-Butenal (cis or trans)</w:t>
            </w:r>
          </w:p>
        </w:tc>
        <w:tc>
          <w:tcPr>
            <w:tcW w:w="1840" w:type="dxa"/>
            <w:noWrap/>
            <w:hideMark/>
          </w:tcPr>
          <w:p w14:paraId="258EBBE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3EB34BEB" w14:textId="77777777" w:rsidTr="0078039E">
        <w:trPr>
          <w:trHeight w:val="315"/>
          <w:jc w:val="center"/>
        </w:trPr>
        <w:tc>
          <w:tcPr>
            <w:tcW w:w="4280" w:type="dxa"/>
            <w:noWrap/>
            <w:hideMark/>
          </w:tcPr>
          <w:p w14:paraId="09E7596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2-Hydroxypropanal</w:t>
            </w:r>
          </w:p>
        </w:tc>
        <w:tc>
          <w:tcPr>
            <w:tcW w:w="1840" w:type="dxa"/>
            <w:noWrap/>
            <w:hideMark/>
          </w:tcPr>
          <w:p w14:paraId="0B5E60C6"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62B70A7E" w14:textId="77777777" w:rsidTr="0078039E">
        <w:trPr>
          <w:trHeight w:val="315"/>
          <w:jc w:val="center"/>
        </w:trPr>
        <w:tc>
          <w:tcPr>
            <w:tcW w:w="4280" w:type="dxa"/>
            <w:noWrap/>
            <w:hideMark/>
          </w:tcPr>
          <w:p w14:paraId="7F7454DA"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Hydroxypropanone</w:t>
            </w:r>
          </w:p>
        </w:tc>
        <w:tc>
          <w:tcPr>
            <w:tcW w:w="1840" w:type="dxa"/>
            <w:noWrap/>
            <w:hideMark/>
          </w:tcPr>
          <w:p w14:paraId="2CE83146"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0A6A1333" w14:textId="77777777" w:rsidTr="0078039E">
        <w:trPr>
          <w:trHeight w:val="315"/>
          <w:jc w:val="center"/>
        </w:trPr>
        <w:tc>
          <w:tcPr>
            <w:tcW w:w="4280" w:type="dxa"/>
            <w:noWrap/>
            <w:hideMark/>
          </w:tcPr>
          <w:p w14:paraId="231A693A"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2-Propenoic acid methyl ester</w:t>
            </w:r>
          </w:p>
        </w:tc>
        <w:tc>
          <w:tcPr>
            <w:tcW w:w="1840" w:type="dxa"/>
            <w:noWrap/>
            <w:hideMark/>
          </w:tcPr>
          <w:p w14:paraId="4743ADA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0D246DDB" w14:textId="77777777" w:rsidTr="0078039E">
        <w:trPr>
          <w:trHeight w:val="315"/>
          <w:jc w:val="center"/>
        </w:trPr>
        <w:tc>
          <w:tcPr>
            <w:tcW w:w="4280" w:type="dxa"/>
            <w:noWrap/>
            <w:hideMark/>
          </w:tcPr>
          <w:p w14:paraId="226F471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1-Hydroxy-2-butanone</w:t>
            </w:r>
          </w:p>
        </w:tc>
        <w:tc>
          <w:tcPr>
            <w:tcW w:w="1840" w:type="dxa"/>
            <w:noWrap/>
            <w:hideMark/>
          </w:tcPr>
          <w:p w14:paraId="22074D1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0F703ED4" w14:textId="77777777" w:rsidTr="0078039E">
        <w:trPr>
          <w:trHeight w:val="315"/>
          <w:jc w:val="center"/>
        </w:trPr>
        <w:tc>
          <w:tcPr>
            <w:tcW w:w="4280" w:type="dxa"/>
            <w:noWrap/>
            <w:hideMark/>
          </w:tcPr>
          <w:p w14:paraId="49971485"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3-Hydroxypropanal</w:t>
            </w:r>
          </w:p>
        </w:tc>
        <w:tc>
          <w:tcPr>
            <w:tcW w:w="1840" w:type="dxa"/>
            <w:noWrap/>
            <w:hideMark/>
          </w:tcPr>
          <w:p w14:paraId="43FB015E"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40B42E38" w14:textId="77777777" w:rsidTr="0078039E">
        <w:trPr>
          <w:trHeight w:val="315"/>
          <w:jc w:val="center"/>
        </w:trPr>
        <w:tc>
          <w:tcPr>
            <w:tcW w:w="4280" w:type="dxa"/>
            <w:noWrap/>
            <w:hideMark/>
          </w:tcPr>
          <w:p w14:paraId="60271006"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2-Hydroxy-3-oxobutanal</w:t>
            </w:r>
          </w:p>
        </w:tc>
        <w:tc>
          <w:tcPr>
            <w:tcW w:w="1840" w:type="dxa"/>
            <w:noWrap/>
            <w:hideMark/>
          </w:tcPr>
          <w:p w14:paraId="559E9B2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29773FC3" w14:textId="77777777" w:rsidTr="0078039E">
        <w:trPr>
          <w:trHeight w:val="315"/>
          <w:jc w:val="center"/>
        </w:trPr>
        <w:tc>
          <w:tcPr>
            <w:tcW w:w="4280" w:type="dxa"/>
            <w:noWrap/>
            <w:hideMark/>
          </w:tcPr>
          <w:p w14:paraId="5B5DF38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1-Acetyloxypropane-2-one</w:t>
            </w:r>
          </w:p>
        </w:tc>
        <w:tc>
          <w:tcPr>
            <w:tcW w:w="1840" w:type="dxa"/>
            <w:noWrap/>
            <w:hideMark/>
          </w:tcPr>
          <w:p w14:paraId="3E53A1E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4E032E5C" w14:textId="77777777" w:rsidTr="0078039E">
        <w:trPr>
          <w:trHeight w:val="315"/>
          <w:jc w:val="center"/>
        </w:trPr>
        <w:tc>
          <w:tcPr>
            <w:tcW w:w="4280" w:type="dxa"/>
            <w:noWrap/>
            <w:hideMark/>
          </w:tcPr>
          <w:p w14:paraId="5ED5E6B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2-Hydroxy-butanedial</w:t>
            </w:r>
          </w:p>
        </w:tc>
        <w:tc>
          <w:tcPr>
            <w:tcW w:w="1840" w:type="dxa"/>
            <w:noWrap/>
            <w:hideMark/>
          </w:tcPr>
          <w:p w14:paraId="4EFFFFB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643BE9E0" w14:textId="77777777" w:rsidTr="0078039E">
        <w:trPr>
          <w:trHeight w:val="315"/>
          <w:jc w:val="center"/>
        </w:trPr>
        <w:tc>
          <w:tcPr>
            <w:tcW w:w="4280" w:type="dxa"/>
            <w:noWrap/>
            <w:hideMark/>
          </w:tcPr>
          <w:p w14:paraId="6B164F7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Butanedial</w:t>
            </w:r>
          </w:p>
        </w:tc>
        <w:tc>
          <w:tcPr>
            <w:tcW w:w="1840" w:type="dxa"/>
            <w:noWrap/>
            <w:hideMark/>
          </w:tcPr>
          <w:p w14:paraId="51F2A1F4"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101BDF7F" w14:textId="77777777" w:rsidTr="0078039E">
        <w:trPr>
          <w:trHeight w:val="315"/>
          <w:jc w:val="center"/>
        </w:trPr>
        <w:tc>
          <w:tcPr>
            <w:tcW w:w="4280" w:type="dxa"/>
            <w:noWrap/>
            <w:hideMark/>
          </w:tcPr>
          <w:p w14:paraId="69882737"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2,3-Dihydroxyhex-1-ene-4-one</w:t>
            </w:r>
          </w:p>
        </w:tc>
        <w:tc>
          <w:tcPr>
            <w:tcW w:w="1840" w:type="dxa"/>
            <w:noWrap/>
            <w:hideMark/>
          </w:tcPr>
          <w:p w14:paraId="275557F3"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Light Oxygenate</w:t>
            </w:r>
          </w:p>
        </w:tc>
      </w:tr>
      <w:tr w:rsidR="00AC4B85" w:rsidRPr="00AC4B85" w14:paraId="4B3F9833" w14:textId="77777777" w:rsidTr="0078039E">
        <w:trPr>
          <w:trHeight w:val="315"/>
          <w:jc w:val="center"/>
        </w:trPr>
        <w:tc>
          <w:tcPr>
            <w:tcW w:w="4280" w:type="dxa"/>
            <w:noWrap/>
            <w:hideMark/>
          </w:tcPr>
          <w:p w14:paraId="1859B2E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Furan</w:t>
            </w:r>
          </w:p>
        </w:tc>
        <w:tc>
          <w:tcPr>
            <w:tcW w:w="1840" w:type="dxa"/>
            <w:noWrap/>
            <w:hideMark/>
          </w:tcPr>
          <w:p w14:paraId="4431F2E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Furans</w:t>
            </w:r>
          </w:p>
        </w:tc>
      </w:tr>
      <w:tr w:rsidR="00AC4B85" w:rsidRPr="00AC4B85" w14:paraId="1DD1F2F3" w14:textId="77777777" w:rsidTr="0078039E">
        <w:trPr>
          <w:trHeight w:val="315"/>
          <w:jc w:val="center"/>
        </w:trPr>
        <w:tc>
          <w:tcPr>
            <w:tcW w:w="4280" w:type="dxa"/>
            <w:noWrap/>
            <w:hideMark/>
          </w:tcPr>
          <w:p w14:paraId="61BEBD0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2-Methylfuran</w:t>
            </w:r>
          </w:p>
        </w:tc>
        <w:tc>
          <w:tcPr>
            <w:tcW w:w="1840" w:type="dxa"/>
            <w:noWrap/>
            <w:hideMark/>
          </w:tcPr>
          <w:p w14:paraId="6D66DA4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Furans</w:t>
            </w:r>
          </w:p>
        </w:tc>
      </w:tr>
      <w:tr w:rsidR="00AC4B85" w:rsidRPr="00AC4B85" w14:paraId="42D5E87C" w14:textId="77777777" w:rsidTr="0078039E">
        <w:trPr>
          <w:trHeight w:val="315"/>
          <w:jc w:val="center"/>
        </w:trPr>
        <w:tc>
          <w:tcPr>
            <w:tcW w:w="4280" w:type="dxa"/>
            <w:noWrap/>
            <w:hideMark/>
          </w:tcPr>
          <w:p w14:paraId="1A621DA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2-Acetylfuran</w:t>
            </w:r>
          </w:p>
        </w:tc>
        <w:tc>
          <w:tcPr>
            <w:tcW w:w="1840" w:type="dxa"/>
            <w:noWrap/>
            <w:hideMark/>
          </w:tcPr>
          <w:p w14:paraId="4117A306"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Furans</w:t>
            </w:r>
          </w:p>
        </w:tc>
      </w:tr>
      <w:tr w:rsidR="00AC4B85" w:rsidRPr="00AC4B85" w14:paraId="22A12F5D" w14:textId="77777777" w:rsidTr="0078039E">
        <w:trPr>
          <w:trHeight w:val="315"/>
          <w:jc w:val="center"/>
        </w:trPr>
        <w:tc>
          <w:tcPr>
            <w:tcW w:w="4280" w:type="dxa"/>
            <w:noWrap/>
            <w:hideMark/>
          </w:tcPr>
          <w:p w14:paraId="2344A594"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2,3-Dihydro Furan</w:t>
            </w:r>
          </w:p>
        </w:tc>
        <w:tc>
          <w:tcPr>
            <w:tcW w:w="1840" w:type="dxa"/>
            <w:noWrap/>
            <w:hideMark/>
          </w:tcPr>
          <w:p w14:paraId="1B90F203"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Furans</w:t>
            </w:r>
          </w:p>
        </w:tc>
      </w:tr>
      <w:tr w:rsidR="00AC4B85" w:rsidRPr="00AC4B85" w14:paraId="174B99C6" w14:textId="77777777" w:rsidTr="0078039E">
        <w:trPr>
          <w:trHeight w:val="315"/>
          <w:jc w:val="center"/>
        </w:trPr>
        <w:tc>
          <w:tcPr>
            <w:tcW w:w="4280" w:type="dxa"/>
            <w:noWrap/>
            <w:hideMark/>
          </w:tcPr>
          <w:p w14:paraId="1CA2C73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(2H)-Furan-3-one</w:t>
            </w:r>
          </w:p>
        </w:tc>
        <w:tc>
          <w:tcPr>
            <w:tcW w:w="1840" w:type="dxa"/>
            <w:noWrap/>
            <w:hideMark/>
          </w:tcPr>
          <w:p w14:paraId="2BC09CC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Furans</w:t>
            </w:r>
          </w:p>
        </w:tc>
      </w:tr>
      <w:tr w:rsidR="00AC4B85" w:rsidRPr="00AC4B85" w14:paraId="2CA8F5E4" w14:textId="77777777" w:rsidTr="0078039E">
        <w:trPr>
          <w:trHeight w:val="315"/>
          <w:jc w:val="center"/>
        </w:trPr>
        <w:tc>
          <w:tcPr>
            <w:tcW w:w="4280" w:type="dxa"/>
            <w:noWrap/>
            <w:hideMark/>
          </w:tcPr>
          <w:p w14:paraId="4A56F0BC"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2-Furaldehyde</w:t>
            </w:r>
          </w:p>
        </w:tc>
        <w:tc>
          <w:tcPr>
            <w:tcW w:w="1840" w:type="dxa"/>
            <w:noWrap/>
            <w:hideMark/>
          </w:tcPr>
          <w:p w14:paraId="045E31CB"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3675CADF" w14:textId="77777777" w:rsidTr="0078039E">
        <w:trPr>
          <w:trHeight w:val="315"/>
          <w:jc w:val="center"/>
        </w:trPr>
        <w:tc>
          <w:tcPr>
            <w:tcW w:w="4280" w:type="dxa"/>
            <w:noWrap/>
            <w:hideMark/>
          </w:tcPr>
          <w:p w14:paraId="68EDE7B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2-Furfuryl alcohol</w:t>
            </w:r>
          </w:p>
        </w:tc>
        <w:tc>
          <w:tcPr>
            <w:tcW w:w="1840" w:type="dxa"/>
            <w:noWrap/>
            <w:hideMark/>
          </w:tcPr>
          <w:p w14:paraId="09DE7687"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73523DBC" w14:textId="77777777" w:rsidTr="0078039E">
        <w:trPr>
          <w:trHeight w:val="315"/>
          <w:jc w:val="center"/>
        </w:trPr>
        <w:tc>
          <w:tcPr>
            <w:tcW w:w="4280" w:type="dxa"/>
            <w:noWrap/>
            <w:hideMark/>
          </w:tcPr>
          <w:p w14:paraId="5FF49ED5"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5-Methyl-2-furaldehyde</w:t>
            </w:r>
          </w:p>
        </w:tc>
        <w:tc>
          <w:tcPr>
            <w:tcW w:w="1840" w:type="dxa"/>
            <w:noWrap/>
            <w:hideMark/>
          </w:tcPr>
          <w:p w14:paraId="467E38B4"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5CD36DB4" w14:textId="77777777" w:rsidTr="0078039E">
        <w:trPr>
          <w:trHeight w:val="315"/>
          <w:jc w:val="center"/>
        </w:trPr>
        <w:tc>
          <w:tcPr>
            <w:tcW w:w="4280" w:type="dxa"/>
            <w:noWrap/>
            <w:hideMark/>
          </w:tcPr>
          <w:p w14:paraId="3517482A"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(5H)-Furan-2-one</w:t>
            </w:r>
          </w:p>
        </w:tc>
        <w:tc>
          <w:tcPr>
            <w:tcW w:w="1840" w:type="dxa"/>
            <w:noWrap/>
            <w:hideMark/>
          </w:tcPr>
          <w:p w14:paraId="59383844"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73466E86" w14:textId="77777777" w:rsidTr="0078039E">
        <w:trPr>
          <w:trHeight w:val="315"/>
          <w:jc w:val="center"/>
        </w:trPr>
        <w:tc>
          <w:tcPr>
            <w:tcW w:w="4280" w:type="dxa"/>
            <w:noWrap/>
            <w:hideMark/>
          </w:tcPr>
          <w:p w14:paraId="36248CE6"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Dihydro-methyl-furanone</w:t>
            </w:r>
          </w:p>
        </w:tc>
        <w:tc>
          <w:tcPr>
            <w:tcW w:w="1840" w:type="dxa"/>
            <w:noWrap/>
            <w:hideMark/>
          </w:tcPr>
          <w:p w14:paraId="333E2CB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15D36EE9" w14:textId="77777777" w:rsidTr="0078039E">
        <w:trPr>
          <w:trHeight w:val="315"/>
          <w:jc w:val="center"/>
        </w:trPr>
        <w:tc>
          <w:tcPr>
            <w:tcW w:w="4280" w:type="dxa"/>
            <w:noWrap/>
            <w:hideMark/>
          </w:tcPr>
          <w:p w14:paraId="700B092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2-Hydroxy-1-methyl-1-cyclopentene-3-one</w:t>
            </w:r>
          </w:p>
        </w:tc>
        <w:tc>
          <w:tcPr>
            <w:tcW w:w="1840" w:type="dxa"/>
            <w:noWrap/>
            <w:hideMark/>
          </w:tcPr>
          <w:p w14:paraId="726B34B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6B91B7A0" w14:textId="77777777" w:rsidTr="0078039E">
        <w:trPr>
          <w:trHeight w:val="315"/>
          <w:jc w:val="center"/>
        </w:trPr>
        <w:tc>
          <w:tcPr>
            <w:tcW w:w="4280" w:type="dxa"/>
            <w:noWrap/>
            <w:hideMark/>
          </w:tcPr>
          <w:p w14:paraId="6B52AD4B"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Methyl-butyraldehyde derivative</w:t>
            </w:r>
          </w:p>
        </w:tc>
        <w:tc>
          <w:tcPr>
            <w:tcW w:w="1840" w:type="dxa"/>
            <w:noWrap/>
            <w:hideMark/>
          </w:tcPr>
          <w:p w14:paraId="5DCF0F7B"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767E0A69" w14:textId="77777777" w:rsidTr="0078039E">
        <w:trPr>
          <w:trHeight w:val="315"/>
          <w:jc w:val="center"/>
        </w:trPr>
        <w:tc>
          <w:tcPr>
            <w:tcW w:w="4280" w:type="dxa"/>
            <w:noWrap/>
            <w:hideMark/>
          </w:tcPr>
          <w:p w14:paraId="503E5C13"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gamma-Lactone derivative</w:t>
            </w:r>
          </w:p>
        </w:tc>
        <w:tc>
          <w:tcPr>
            <w:tcW w:w="1840" w:type="dxa"/>
            <w:noWrap/>
            <w:hideMark/>
          </w:tcPr>
          <w:p w14:paraId="035F34E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5716BEE8" w14:textId="77777777" w:rsidTr="0078039E">
        <w:trPr>
          <w:trHeight w:val="315"/>
          <w:jc w:val="center"/>
        </w:trPr>
        <w:tc>
          <w:tcPr>
            <w:tcW w:w="4280" w:type="dxa"/>
            <w:noWrap/>
            <w:hideMark/>
          </w:tcPr>
          <w:p w14:paraId="5C6265B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lastRenderedPageBreak/>
              <w:t>gamma-Butyrolactone</w:t>
            </w:r>
          </w:p>
        </w:tc>
        <w:tc>
          <w:tcPr>
            <w:tcW w:w="1840" w:type="dxa"/>
            <w:noWrap/>
            <w:hideMark/>
          </w:tcPr>
          <w:p w14:paraId="45E4016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18FB1D9A" w14:textId="77777777" w:rsidTr="0078039E">
        <w:trPr>
          <w:trHeight w:val="315"/>
          <w:jc w:val="center"/>
        </w:trPr>
        <w:tc>
          <w:tcPr>
            <w:tcW w:w="4280" w:type="dxa"/>
            <w:noWrap/>
            <w:hideMark/>
          </w:tcPr>
          <w:p w14:paraId="1EA6B91A"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5-Hydroxymethyl-2-furaldehyde</w:t>
            </w:r>
          </w:p>
        </w:tc>
        <w:tc>
          <w:tcPr>
            <w:tcW w:w="1840" w:type="dxa"/>
            <w:noWrap/>
            <w:hideMark/>
          </w:tcPr>
          <w:p w14:paraId="7D17E6B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285A4166" w14:textId="77777777" w:rsidTr="0078039E">
        <w:trPr>
          <w:trHeight w:val="315"/>
          <w:jc w:val="center"/>
        </w:trPr>
        <w:tc>
          <w:tcPr>
            <w:tcW w:w="4280" w:type="dxa"/>
            <w:noWrap/>
            <w:hideMark/>
          </w:tcPr>
          <w:p w14:paraId="74AB610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4-Cyclopentene-1,3-dione</w:t>
            </w:r>
          </w:p>
        </w:tc>
        <w:tc>
          <w:tcPr>
            <w:tcW w:w="1840" w:type="dxa"/>
            <w:noWrap/>
            <w:hideMark/>
          </w:tcPr>
          <w:p w14:paraId="6DB7343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7B61281B" w14:textId="77777777" w:rsidTr="0078039E">
        <w:trPr>
          <w:trHeight w:val="315"/>
          <w:jc w:val="center"/>
        </w:trPr>
        <w:tc>
          <w:tcPr>
            <w:tcW w:w="4280" w:type="dxa"/>
            <w:noWrap/>
            <w:hideMark/>
          </w:tcPr>
          <w:p w14:paraId="298BBAC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2-Furoic acid methyl ester</w:t>
            </w:r>
          </w:p>
        </w:tc>
        <w:tc>
          <w:tcPr>
            <w:tcW w:w="1840" w:type="dxa"/>
            <w:noWrap/>
            <w:hideMark/>
          </w:tcPr>
          <w:p w14:paraId="708A0EA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3A6E4C22" w14:textId="77777777" w:rsidTr="0078039E">
        <w:trPr>
          <w:trHeight w:val="315"/>
          <w:jc w:val="center"/>
        </w:trPr>
        <w:tc>
          <w:tcPr>
            <w:tcW w:w="4280" w:type="dxa"/>
            <w:noWrap/>
            <w:hideMark/>
          </w:tcPr>
          <w:p w14:paraId="594C955C"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OH-methyl-dihydropyranone</w:t>
            </w:r>
          </w:p>
        </w:tc>
        <w:tc>
          <w:tcPr>
            <w:tcW w:w="1840" w:type="dxa"/>
            <w:noWrap/>
            <w:hideMark/>
          </w:tcPr>
          <w:p w14:paraId="6A0AC68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40CEBB78" w14:textId="77777777" w:rsidTr="0078039E">
        <w:trPr>
          <w:trHeight w:val="315"/>
          <w:jc w:val="center"/>
        </w:trPr>
        <w:tc>
          <w:tcPr>
            <w:tcW w:w="4280" w:type="dxa"/>
            <w:noWrap/>
            <w:hideMark/>
          </w:tcPr>
          <w:p w14:paraId="346B8533"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4-Hydroxy-5,6-dihydro-(2H)-pyran-2-one</w:t>
            </w:r>
          </w:p>
        </w:tc>
        <w:tc>
          <w:tcPr>
            <w:tcW w:w="1840" w:type="dxa"/>
            <w:noWrap/>
            <w:hideMark/>
          </w:tcPr>
          <w:p w14:paraId="1BE1CEF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07B93799" w14:textId="77777777" w:rsidTr="0078039E">
        <w:trPr>
          <w:trHeight w:val="315"/>
          <w:jc w:val="center"/>
        </w:trPr>
        <w:tc>
          <w:tcPr>
            <w:tcW w:w="4280" w:type="dxa"/>
            <w:noWrap/>
            <w:hideMark/>
          </w:tcPr>
          <w:p w14:paraId="55FAB23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3-Hydroxy-2-methyl-pyran-4-one</w:t>
            </w:r>
          </w:p>
        </w:tc>
        <w:tc>
          <w:tcPr>
            <w:tcW w:w="1840" w:type="dxa"/>
            <w:noWrap/>
            <w:hideMark/>
          </w:tcPr>
          <w:p w14:paraId="0D94276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1825D181" w14:textId="77777777" w:rsidTr="0078039E">
        <w:trPr>
          <w:trHeight w:val="315"/>
          <w:jc w:val="center"/>
        </w:trPr>
        <w:tc>
          <w:tcPr>
            <w:tcW w:w="4280" w:type="dxa"/>
            <w:noWrap/>
            <w:hideMark/>
          </w:tcPr>
          <w:p w14:paraId="6796A87E"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Methyl-dihydro-(2H)-pyran-2-one</w:t>
            </w:r>
          </w:p>
        </w:tc>
        <w:tc>
          <w:tcPr>
            <w:tcW w:w="1840" w:type="dxa"/>
            <w:noWrap/>
            <w:hideMark/>
          </w:tcPr>
          <w:p w14:paraId="19CAE7A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Furfurals</w:t>
            </w:r>
          </w:p>
        </w:tc>
      </w:tr>
      <w:tr w:rsidR="00AC4B85" w:rsidRPr="00AC4B85" w14:paraId="31E6D570" w14:textId="77777777" w:rsidTr="0078039E">
        <w:trPr>
          <w:trHeight w:val="315"/>
          <w:jc w:val="center"/>
        </w:trPr>
        <w:tc>
          <w:tcPr>
            <w:tcW w:w="4280" w:type="dxa"/>
            <w:noWrap/>
            <w:hideMark/>
          </w:tcPr>
          <w:p w14:paraId="7DE3018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Levoglucosan</w:t>
            </w:r>
          </w:p>
        </w:tc>
        <w:tc>
          <w:tcPr>
            <w:tcW w:w="1840" w:type="dxa"/>
            <w:noWrap/>
            <w:hideMark/>
          </w:tcPr>
          <w:p w14:paraId="08BF6733"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Anhydrous Sugars</w:t>
            </w:r>
          </w:p>
        </w:tc>
      </w:tr>
      <w:tr w:rsidR="00AC4B85" w:rsidRPr="00AC4B85" w14:paraId="092FE494" w14:textId="77777777" w:rsidTr="0078039E">
        <w:trPr>
          <w:trHeight w:val="315"/>
          <w:jc w:val="center"/>
        </w:trPr>
        <w:tc>
          <w:tcPr>
            <w:tcW w:w="4280" w:type="dxa"/>
            <w:noWrap/>
            <w:hideMark/>
          </w:tcPr>
          <w:p w14:paraId="7F96EF3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1,4:3,6-Dianhydro-glucopyranose</w:t>
            </w:r>
          </w:p>
        </w:tc>
        <w:tc>
          <w:tcPr>
            <w:tcW w:w="1840" w:type="dxa"/>
            <w:noWrap/>
            <w:hideMark/>
          </w:tcPr>
          <w:p w14:paraId="5C6426C3"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Anhydrous Sugars</w:t>
            </w:r>
          </w:p>
        </w:tc>
      </w:tr>
      <w:tr w:rsidR="00AC4B85" w:rsidRPr="00AC4B85" w14:paraId="6E8ED98A" w14:textId="77777777" w:rsidTr="0078039E">
        <w:trPr>
          <w:trHeight w:val="315"/>
          <w:jc w:val="center"/>
        </w:trPr>
        <w:tc>
          <w:tcPr>
            <w:tcW w:w="4280" w:type="dxa"/>
            <w:noWrap/>
            <w:hideMark/>
          </w:tcPr>
          <w:p w14:paraId="0D60BE2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1,6-Anhydro-beta-D-mannopyranose</w:t>
            </w:r>
          </w:p>
        </w:tc>
        <w:tc>
          <w:tcPr>
            <w:tcW w:w="1840" w:type="dxa"/>
            <w:noWrap/>
            <w:hideMark/>
          </w:tcPr>
          <w:p w14:paraId="536BEDCE"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Anhydrous Sugars</w:t>
            </w:r>
          </w:p>
        </w:tc>
      </w:tr>
      <w:tr w:rsidR="00AC4B85" w:rsidRPr="00AC4B85" w14:paraId="5AAD4137" w14:textId="77777777" w:rsidTr="0078039E">
        <w:trPr>
          <w:trHeight w:val="315"/>
          <w:jc w:val="center"/>
        </w:trPr>
        <w:tc>
          <w:tcPr>
            <w:tcW w:w="4280" w:type="dxa"/>
            <w:noWrap/>
            <w:hideMark/>
          </w:tcPr>
          <w:p w14:paraId="793C7DF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1,5-Anhydro-beta-D-xylofuranose</w:t>
            </w:r>
          </w:p>
        </w:tc>
        <w:tc>
          <w:tcPr>
            <w:tcW w:w="1840" w:type="dxa"/>
            <w:noWrap/>
            <w:hideMark/>
          </w:tcPr>
          <w:p w14:paraId="20B8554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Anhydrous Sugars</w:t>
            </w:r>
          </w:p>
        </w:tc>
      </w:tr>
      <w:tr w:rsidR="00AC4B85" w:rsidRPr="00AC4B85" w14:paraId="527309EE" w14:textId="77777777" w:rsidTr="0078039E">
        <w:trPr>
          <w:trHeight w:val="315"/>
          <w:jc w:val="center"/>
        </w:trPr>
        <w:tc>
          <w:tcPr>
            <w:tcW w:w="4280" w:type="dxa"/>
            <w:noWrap/>
            <w:hideMark/>
          </w:tcPr>
          <w:p w14:paraId="43ABB77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Anhydrosugar: unknown</w:t>
            </w:r>
          </w:p>
        </w:tc>
        <w:tc>
          <w:tcPr>
            <w:tcW w:w="1840" w:type="dxa"/>
            <w:noWrap/>
            <w:hideMark/>
          </w:tcPr>
          <w:p w14:paraId="2DA9497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Anhydrous Sugars</w:t>
            </w:r>
          </w:p>
        </w:tc>
      </w:tr>
      <w:tr w:rsidR="00AC4B85" w:rsidRPr="00AC4B85" w14:paraId="3AD3B925" w14:textId="77777777" w:rsidTr="0078039E">
        <w:trPr>
          <w:trHeight w:val="315"/>
          <w:jc w:val="center"/>
        </w:trPr>
        <w:tc>
          <w:tcPr>
            <w:tcW w:w="4280" w:type="dxa"/>
            <w:noWrap/>
            <w:hideMark/>
          </w:tcPr>
          <w:p w14:paraId="2250CAC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Toluene</w:t>
            </w:r>
          </w:p>
        </w:tc>
        <w:tc>
          <w:tcPr>
            <w:tcW w:w="1840" w:type="dxa"/>
            <w:noWrap/>
            <w:hideMark/>
          </w:tcPr>
          <w:p w14:paraId="1080DE1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Benzenes</w:t>
            </w:r>
          </w:p>
        </w:tc>
      </w:tr>
      <w:tr w:rsidR="00AC4B85" w:rsidRPr="00AC4B85" w14:paraId="7D4E176A" w14:textId="77777777" w:rsidTr="0078039E">
        <w:trPr>
          <w:trHeight w:val="315"/>
          <w:jc w:val="center"/>
        </w:trPr>
        <w:tc>
          <w:tcPr>
            <w:tcW w:w="4280" w:type="dxa"/>
            <w:noWrap/>
            <w:hideMark/>
          </w:tcPr>
          <w:p w14:paraId="6772962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Phenol</w:t>
            </w:r>
          </w:p>
        </w:tc>
        <w:tc>
          <w:tcPr>
            <w:tcW w:w="1840" w:type="dxa"/>
            <w:noWrap/>
            <w:hideMark/>
          </w:tcPr>
          <w:p w14:paraId="31F774F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Phenols</w:t>
            </w:r>
          </w:p>
        </w:tc>
      </w:tr>
      <w:tr w:rsidR="00AC4B85" w:rsidRPr="00AC4B85" w14:paraId="62BC29AD" w14:textId="77777777" w:rsidTr="0078039E">
        <w:trPr>
          <w:trHeight w:val="315"/>
          <w:jc w:val="center"/>
        </w:trPr>
        <w:tc>
          <w:tcPr>
            <w:tcW w:w="4280" w:type="dxa"/>
            <w:noWrap/>
            <w:hideMark/>
          </w:tcPr>
          <w:p w14:paraId="37E543DB"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Styrene</w:t>
            </w:r>
          </w:p>
        </w:tc>
        <w:tc>
          <w:tcPr>
            <w:tcW w:w="1840" w:type="dxa"/>
            <w:noWrap/>
            <w:hideMark/>
          </w:tcPr>
          <w:p w14:paraId="7168F64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Benzenes</w:t>
            </w:r>
          </w:p>
        </w:tc>
      </w:tr>
      <w:tr w:rsidR="00AC4B85" w:rsidRPr="00AC4B85" w14:paraId="54FE0431" w14:textId="77777777" w:rsidTr="0078039E">
        <w:trPr>
          <w:trHeight w:val="315"/>
          <w:jc w:val="center"/>
        </w:trPr>
        <w:tc>
          <w:tcPr>
            <w:tcW w:w="4280" w:type="dxa"/>
            <w:noWrap/>
            <w:hideMark/>
          </w:tcPr>
          <w:p w14:paraId="6797BAAC"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Benzene, ethyl-</w:t>
            </w:r>
          </w:p>
        </w:tc>
        <w:tc>
          <w:tcPr>
            <w:tcW w:w="1840" w:type="dxa"/>
            <w:noWrap/>
            <w:hideMark/>
          </w:tcPr>
          <w:p w14:paraId="42E136B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Benzenes</w:t>
            </w:r>
          </w:p>
        </w:tc>
      </w:tr>
      <w:tr w:rsidR="00AC4B85" w:rsidRPr="00AC4B85" w14:paraId="185F6C3C" w14:textId="77777777" w:rsidTr="0078039E">
        <w:trPr>
          <w:trHeight w:val="315"/>
          <w:jc w:val="center"/>
        </w:trPr>
        <w:tc>
          <w:tcPr>
            <w:tcW w:w="4280" w:type="dxa"/>
            <w:noWrap/>
            <w:hideMark/>
          </w:tcPr>
          <w:p w14:paraId="2FF3BE9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Benzene, 1,2-dimethyl-</w:t>
            </w:r>
          </w:p>
        </w:tc>
        <w:tc>
          <w:tcPr>
            <w:tcW w:w="1840" w:type="dxa"/>
            <w:noWrap/>
            <w:hideMark/>
          </w:tcPr>
          <w:p w14:paraId="34E38B2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Benzenes</w:t>
            </w:r>
          </w:p>
        </w:tc>
      </w:tr>
      <w:tr w:rsidR="00AC4B85" w:rsidRPr="00AC4B85" w14:paraId="160DC5AE" w14:textId="77777777" w:rsidTr="0078039E">
        <w:trPr>
          <w:trHeight w:val="315"/>
          <w:jc w:val="center"/>
        </w:trPr>
        <w:tc>
          <w:tcPr>
            <w:tcW w:w="4280" w:type="dxa"/>
            <w:noWrap/>
            <w:hideMark/>
          </w:tcPr>
          <w:p w14:paraId="1FC7EB54"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Benzaldehyde</w:t>
            </w:r>
          </w:p>
        </w:tc>
        <w:tc>
          <w:tcPr>
            <w:tcW w:w="1840" w:type="dxa"/>
            <w:noWrap/>
            <w:hideMark/>
          </w:tcPr>
          <w:p w14:paraId="539BAB77"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Benzenes</w:t>
            </w:r>
          </w:p>
        </w:tc>
      </w:tr>
      <w:tr w:rsidR="00AC4B85" w:rsidRPr="00AC4B85" w14:paraId="4CE33B3E" w14:textId="77777777" w:rsidTr="0078039E">
        <w:trPr>
          <w:trHeight w:val="315"/>
          <w:jc w:val="center"/>
        </w:trPr>
        <w:tc>
          <w:tcPr>
            <w:tcW w:w="4280" w:type="dxa"/>
            <w:noWrap/>
            <w:hideMark/>
          </w:tcPr>
          <w:p w14:paraId="296568B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Anisole</w:t>
            </w:r>
          </w:p>
        </w:tc>
        <w:tc>
          <w:tcPr>
            <w:tcW w:w="1840" w:type="dxa"/>
            <w:noWrap/>
            <w:hideMark/>
          </w:tcPr>
          <w:p w14:paraId="326E4F4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Benzenes</w:t>
            </w:r>
          </w:p>
        </w:tc>
      </w:tr>
      <w:tr w:rsidR="00AC4B85" w:rsidRPr="00AC4B85" w14:paraId="18E0B6B5" w14:textId="77777777" w:rsidTr="0078039E">
        <w:trPr>
          <w:trHeight w:val="315"/>
          <w:jc w:val="center"/>
        </w:trPr>
        <w:tc>
          <w:tcPr>
            <w:tcW w:w="4280" w:type="dxa"/>
            <w:noWrap/>
            <w:hideMark/>
          </w:tcPr>
          <w:p w14:paraId="4464901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Benzylalcohol</w:t>
            </w:r>
          </w:p>
        </w:tc>
        <w:tc>
          <w:tcPr>
            <w:tcW w:w="1840" w:type="dxa"/>
            <w:noWrap/>
            <w:hideMark/>
          </w:tcPr>
          <w:p w14:paraId="60F7AE25"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Benzenes</w:t>
            </w:r>
          </w:p>
        </w:tc>
      </w:tr>
      <w:tr w:rsidR="00AC4B85" w:rsidRPr="00AC4B85" w14:paraId="5F532E4B" w14:textId="77777777" w:rsidTr="0078039E">
        <w:trPr>
          <w:trHeight w:val="315"/>
          <w:jc w:val="center"/>
        </w:trPr>
        <w:tc>
          <w:tcPr>
            <w:tcW w:w="4280" w:type="dxa"/>
            <w:noWrap/>
            <w:hideMark/>
          </w:tcPr>
          <w:p w14:paraId="7FCDFB7E"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o-Cresol</w:t>
            </w:r>
          </w:p>
        </w:tc>
        <w:tc>
          <w:tcPr>
            <w:tcW w:w="1840" w:type="dxa"/>
            <w:noWrap/>
            <w:hideMark/>
          </w:tcPr>
          <w:p w14:paraId="1C360464"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Phenols</w:t>
            </w:r>
          </w:p>
        </w:tc>
      </w:tr>
      <w:tr w:rsidR="00AC4B85" w:rsidRPr="00AC4B85" w14:paraId="1F4BBB03" w14:textId="77777777" w:rsidTr="0078039E">
        <w:trPr>
          <w:trHeight w:val="315"/>
          <w:jc w:val="center"/>
        </w:trPr>
        <w:tc>
          <w:tcPr>
            <w:tcW w:w="4280" w:type="dxa"/>
            <w:noWrap/>
            <w:hideMark/>
          </w:tcPr>
          <w:p w14:paraId="1523D56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Catechol</w:t>
            </w:r>
          </w:p>
        </w:tc>
        <w:tc>
          <w:tcPr>
            <w:tcW w:w="1840" w:type="dxa"/>
            <w:noWrap/>
            <w:hideMark/>
          </w:tcPr>
          <w:p w14:paraId="1ABEA85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Phenols</w:t>
            </w:r>
          </w:p>
        </w:tc>
      </w:tr>
      <w:tr w:rsidR="00AC4B85" w:rsidRPr="00AC4B85" w14:paraId="1967FCFD" w14:textId="77777777" w:rsidTr="0078039E">
        <w:trPr>
          <w:trHeight w:val="315"/>
          <w:jc w:val="center"/>
        </w:trPr>
        <w:tc>
          <w:tcPr>
            <w:tcW w:w="4280" w:type="dxa"/>
            <w:noWrap/>
            <w:hideMark/>
          </w:tcPr>
          <w:p w14:paraId="3752338A"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Acetophenone</w:t>
            </w:r>
          </w:p>
        </w:tc>
        <w:tc>
          <w:tcPr>
            <w:tcW w:w="1840" w:type="dxa"/>
            <w:noWrap/>
            <w:hideMark/>
          </w:tcPr>
          <w:p w14:paraId="678FF99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Phenols</w:t>
            </w:r>
          </w:p>
        </w:tc>
      </w:tr>
      <w:tr w:rsidR="00AC4B85" w:rsidRPr="00AC4B85" w14:paraId="7586F2D1" w14:textId="77777777" w:rsidTr="0078039E">
        <w:trPr>
          <w:trHeight w:val="315"/>
          <w:jc w:val="center"/>
        </w:trPr>
        <w:tc>
          <w:tcPr>
            <w:tcW w:w="4280" w:type="dxa"/>
            <w:noWrap/>
            <w:hideMark/>
          </w:tcPr>
          <w:p w14:paraId="4561408A"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Phenol, 4-vinyl-</w:t>
            </w:r>
          </w:p>
        </w:tc>
        <w:tc>
          <w:tcPr>
            <w:tcW w:w="1840" w:type="dxa"/>
            <w:noWrap/>
            <w:hideMark/>
          </w:tcPr>
          <w:p w14:paraId="3EF5C4A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Phenols</w:t>
            </w:r>
          </w:p>
        </w:tc>
      </w:tr>
      <w:tr w:rsidR="00AC4B85" w:rsidRPr="00AC4B85" w14:paraId="1A6F9B9F" w14:textId="77777777" w:rsidTr="0078039E">
        <w:trPr>
          <w:trHeight w:val="315"/>
          <w:jc w:val="center"/>
        </w:trPr>
        <w:tc>
          <w:tcPr>
            <w:tcW w:w="4280" w:type="dxa"/>
            <w:noWrap/>
            <w:hideMark/>
          </w:tcPr>
          <w:p w14:paraId="551E313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Phenol, 2,6-dimethyl-</w:t>
            </w:r>
          </w:p>
        </w:tc>
        <w:tc>
          <w:tcPr>
            <w:tcW w:w="1840" w:type="dxa"/>
            <w:noWrap/>
            <w:hideMark/>
          </w:tcPr>
          <w:p w14:paraId="0251E29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Phenols</w:t>
            </w:r>
          </w:p>
        </w:tc>
      </w:tr>
      <w:tr w:rsidR="00AC4B85" w:rsidRPr="00AC4B85" w14:paraId="5DB102E1" w14:textId="77777777" w:rsidTr="0078039E">
        <w:trPr>
          <w:trHeight w:val="315"/>
          <w:jc w:val="center"/>
        </w:trPr>
        <w:tc>
          <w:tcPr>
            <w:tcW w:w="4280" w:type="dxa"/>
            <w:noWrap/>
            <w:hideMark/>
          </w:tcPr>
          <w:p w14:paraId="46B1DC8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Phenol, 2-ethyl-</w:t>
            </w:r>
          </w:p>
        </w:tc>
        <w:tc>
          <w:tcPr>
            <w:tcW w:w="1840" w:type="dxa"/>
            <w:noWrap/>
            <w:hideMark/>
          </w:tcPr>
          <w:p w14:paraId="30663FF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Phenols</w:t>
            </w:r>
          </w:p>
        </w:tc>
      </w:tr>
      <w:tr w:rsidR="00AC4B85" w:rsidRPr="00AC4B85" w14:paraId="383A520D" w14:textId="77777777" w:rsidTr="0078039E">
        <w:trPr>
          <w:trHeight w:val="315"/>
          <w:jc w:val="center"/>
        </w:trPr>
        <w:tc>
          <w:tcPr>
            <w:tcW w:w="4280" w:type="dxa"/>
            <w:noWrap/>
            <w:hideMark/>
          </w:tcPr>
          <w:p w14:paraId="6AC8604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Benzaldehyde, 4-hydroxy-</w:t>
            </w:r>
          </w:p>
        </w:tc>
        <w:tc>
          <w:tcPr>
            <w:tcW w:w="1840" w:type="dxa"/>
            <w:noWrap/>
            <w:hideMark/>
          </w:tcPr>
          <w:p w14:paraId="24219AB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Benzenes</w:t>
            </w:r>
          </w:p>
        </w:tc>
      </w:tr>
      <w:tr w:rsidR="00AC4B85" w:rsidRPr="00AC4B85" w14:paraId="57BB5F9A" w14:textId="77777777" w:rsidTr="0078039E">
        <w:trPr>
          <w:trHeight w:val="315"/>
          <w:jc w:val="center"/>
        </w:trPr>
        <w:tc>
          <w:tcPr>
            <w:tcW w:w="4280" w:type="dxa"/>
            <w:noWrap/>
            <w:hideMark/>
          </w:tcPr>
          <w:p w14:paraId="306A8D3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Guaiacol</w:t>
            </w:r>
          </w:p>
        </w:tc>
        <w:tc>
          <w:tcPr>
            <w:tcW w:w="1840" w:type="dxa"/>
            <w:noWrap/>
            <w:hideMark/>
          </w:tcPr>
          <w:p w14:paraId="02B79427"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05FEE550" w14:textId="77777777" w:rsidTr="0078039E">
        <w:trPr>
          <w:trHeight w:val="315"/>
          <w:jc w:val="center"/>
        </w:trPr>
        <w:tc>
          <w:tcPr>
            <w:tcW w:w="4280" w:type="dxa"/>
            <w:noWrap/>
            <w:hideMark/>
          </w:tcPr>
          <w:p w14:paraId="4A4F831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Catechol, 3-methyl-</w:t>
            </w:r>
          </w:p>
        </w:tc>
        <w:tc>
          <w:tcPr>
            <w:tcW w:w="1840" w:type="dxa"/>
            <w:noWrap/>
            <w:hideMark/>
          </w:tcPr>
          <w:p w14:paraId="67641823"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Phenols</w:t>
            </w:r>
          </w:p>
        </w:tc>
      </w:tr>
      <w:tr w:rsidR="00AC4B85" w:rsidRPr="00AC4B85" w14:paraId="25B3068B" w14:textId="77777777" w:rsidTr="0078039E">
        <w:trPr>
          <w:trHeight w:val="315"/>
          <w:jc w:val="center"/>
        </w:trPr>
        <w:tc>
          <w:tcPr>
            <w:tcW w:w="4280" w:type="dxa"/>
            <w:noWrap/>
            <w:hideMark/>
          </w:tcPr>
          <w:p w14:paraId="1EAFE57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Phenol, 4-allyl-</w:t>
            </w:r>
          </w:p>
        </w:tc>
        <w:tc>
          <w:tcPr>
            <w:tcW w:w="1840" w:type="dxa"/>
            <w:noWrap/>
            <w:hideMark/>
          </w:tcPr>
          <w:p w14:paraId="5D01B614"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Phenols</w:t>
            </w:r>
          </w:p>
        </w:tc>
      </w:tr>
      <w:tr w:rsidR="00AC4B85" w:rsidRPr="00AC4B85" w14:paraId="7A62B0E5" w14:textId="77777777" w:rsidTr="0078039E">
        <w:trPr>
          <w:trHeight w:val="315"/>
          <w:jc w:val="center"/>
        </w:trPr>
        <w:tc>
          <w:tcPr>
            <w:tcW w:w="4280" w:type="dxa"/>
            <w:noWrap/>
            <w:hideMark/>
          </w:tcPr>
          <w:p w14:paraId="600EBDD6"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Phenol, 4-propenyl-</w:t>
            </w:r>
          </w:p>
        </w:tc>
        <w:tc>
          <w:tcPr>
            <w:tcW w:w="1840" w:type="dxa"/>
            <w:noWrap/>
            <w:hideMark/>
          </w:tcPr>
          <w:p w14:paraId="3095B58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Phenols</w:t>
            </w:r>
          </w:p>
        </w:tc>
      </w:tr>
      <w:tr w:rsidR="00AC4B85" w:rsidRPr="00AC4B85" w14:paraId="32CF9992" w14:textId="77777777" w:rsidTr="0078039E">
        <w:trPr>
          <w:trHeight w:val="315"/>
          <w:jc w:val="center"/>
        </w:trPr>
        <w:tc>
          <w:tcPr>
            <w:tcW w:w="4280" w:type="dxa"/>
            <w:noWrap/>
            <w:hideMark/>
          </w:tcPr>
          <w:p w14:paraId="372936C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furan-2-one</w:t>
            </w:r>
          </w:p>
        </w:tc>
        <w:tc>
          <w:tcPr>
            <w:tcW w:w="1840" w:type="dxa"/>
            <w:noWrap/>
            <w:hideMark/>
          </w:tcPr>
          <w:p w14:paraId="432663C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Benzenes</w:t>
            </w:r>
          </w:p>
        </w:tc>
      </w:tr>
      <w:tr w:rsidR="00AC4B85" w:rsidRPr="00AC4B85" w14:paraId="3021662A" w14:textId="77777777" w:rsidTr="0078039E">
        <w:trPr>
          <w:trHeight w:val="315"/>
          <w:jc w:val="center"/>
        </w:trPr>
        <w:tc>
          <w:tcPr>
            <w:tcW w:w="4280" w:type="dxa"/>
            <w:noWrap/>
            <w:hideMark/>
          </w:tcPr>
          <w:p w14:paraId="614357AB"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Phenol, 2-propyl-</w:t>
            </w:r>
          </w:p>
        </w:tc>
        <w:tc>
          <w:tcPr>
            <w:tcW w:w="1840" w:type="dxa"/>
            <w:noWrap/>
            <w:hideMark/>
          </w:tcPr>
          <w:p w14:paraId="6F872EF5"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Alkyl Phenols</w:t>
            </w:r>
          </w:p>
        </w:tc>
      </w:tr>
      <w:tr w:rsidR="00AC4B85" w:rsidRPr="00AC4B85" w14:paraId="1B15BC78" w14:textId="77777777" w:rsidTr="0078039E">
        <w:trPr>
          <w:trHeight w:val="315"/>
          <w:jc w:val="center"/>
        </w:trPr>
        <w:tc>
          <w:tcPr>
            <w:tcW w:w="4280" w:type="dxa"/>
            <w:noWrap/>
            <w:hideMark/>
          </w:tcPr>
          <w:p w14:paraId="0C59282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lastRenderedPageBreak/>
              <w:t>Guaiacol, 3-methyl-</w:t>
            </w:r>
          </w:p>
        </w:tc>
        <w:tc>
          <w:tcPr>
            <w:tcW w:w="1840" w:type="dxa"/>
            <w:noWrap/>
            <w:hideMark/>
          </w:tcPr>
          <w:p w14:paraId="53666AA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172276D0" w14:textId="77777777" w:rsidTr="0078039E">
        <w:trPr>
          <w:trHeight w:val="315"/>
          <w:jc w:val="center"/>
        </w:trPr>
        <w:tc>
          <w:tcPr>
            <w:tcW w:w="4280" w:type="dxa"/>
            <w:noWrap/>
            <w:hideMark/>
          </w:tcPr>
          <w:p w14:paraId="2BEC057C"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Guaiacol, 4-vinyl-</w:t>
            </w:r>
          </w:p>
        </w:tc>
        <w:tc>
          <w:tcPr>
            <w:tcW w:w="1840" w:type="dxa"/>
            <w:noWrap/>
            <w:hideMark/>
          </w:tcPr>
          <w:p w14:paraId="189B413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5AF6F0AA" w14:textId="77777777" w:rsidTr="0078039E">
        <w:trPr>
          <w:trHeight w:val="315"/>
          <w:jc w:val="center"/>
        </w:trPr>
        <w:tc>
          <w:tcPr>
            <w:tcW w:w="4280" w:type="dxa"/>
            <w:noWrap/>
            <w:hideMark/>
          </w:tcPr>
          <w:p w14:paraId="2034BF23"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Guaiacol, 3-ethyl</w:t>
            </w:r>
          </w:p>
        </w:tc>
        <w:tc>
          <w:tcPr>
            <w:tcW w:w="1840" w:type="dxa"/>
            <w:noWrap/>
            <w:hideMark/>
          </w:tcPr>
          <w:p w14:paraId="229576B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5AFDA0A4" w14:textId="77777777" w:rsidTr="0078039E">
        <w:trPr>
          <w:trHeight w:val="315"/>
          <w:jc w:val="center"/>
        </w:trPr>
        <w:tc>
          <w:tcPr>
            <w:tcW w:w="4280" w:type="dxa"/>
            <w:noWrap/>
            <w:hideMark/>
          </w:tcPr>
          <w:p w14:paraId="4E7B827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Vanillin</w:t>
            </w:r>
          </w:p>
        </w:tc>
        <w:tc>
          <w:tcPr>
            <w:tcW w:w="1840" w:type="dxa"/>
            <w:noWrap/>
            <w:hideMark/>
          </w:tcPr>
          <w:p w14:paraId="7349383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23E60DD6" w14:textId="77777777" w:rsidTr="0078039E">
        <w:trPr>
          <w:trHeight w:val="315"/>
          <w:jc w:val="center"/>
        </w:trPr>
        <w:tc>
          <w:tcPr>
            <w:tcW w:w="4280" w:type="dxa"/>
            <w:noWrap/>
            <w:hideMark/>
          </w:tcPr>
          <w:p w14:paraId="4F08A2B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Syringol</w:t>
            </w:r>
          </w:p>
        </w:tc>
        <w:tc>
          <w:tcPr>
            <w:tcW w:w="1840" w:type="dxa"/>
            <w:noWrap/>
            <w:hideMark/>
          </w:tcPr>
          <w:p w14:paraId="19566ED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6B4DAE7D" w14:textId="77777777" w:rsidTr="0078039E">
        <w:trPr>
          <w:trHeight w:val="315"/>
          <w:jc w:val="center"/>
        </w:trPr>
        <w:tc>
          <w:tcPr>
            <w:tcW w:w="4280" w:type="dxa"/>
            <w:noWrap/>
            <w:hideMark/>
          </w:tcPr>
          <w:p w14:paraId="4BAD9046"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Eugenol</w:t>
            </w:r>
          </w:p>
        </w:tc>
        <w:tc>
          <w:tcPr>
            <w:tcW w:w="1840" w:type="dxa"/>
            <w:noWrap/>
            <w:hideMark/>
          </w:tcPr>
          <w:p w14:paraId="5C84BCD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0002CB2D" w14:textId="77777777" w:rsidTr="0078039E">
        <w:trPr>
          <w:trHeight w:val="315"/>
          <w:jc w:val="center"/>
        </w:trPr>
        <w:tc>
          <w:tcPr>
            <w:tcW w:w="4280" w:type="dxa"/>
            <w:noWrap/>
            <w:hideMark/>
          </w:tcPr>
          <w:p w14:paraId="1E2BF39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Isoeugenol</w:t>
            </w:r>
          </w:p>
        </w:tc>
        <w:tc>
          <w:tcPr>
            <w:tcW w:w="1840" w:type="dxa"/>
            <w:noWrap/>
            <w:hideMark/>
          </w:tcPr>
          <w:p w14:paraId="172BA26C"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0833A020" w14:textId="77777777" w:rsidTr="0078039E">
        <w:trPr>
          <w:trHeight w:val="315"/>
          <w:jc w:val="center"/>
        </w:trPr>
        <w:tc>
          <w:tcPr>
            <w:tcW w:w="4280" w:type="dxa"/>
            <w:noWrap/>
            <w:hideMark/>
          </w:tcPr>
          <w:p w14:paraId="06392AD5"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Guaiacol, 4-propyl-</w:t>
            </w:r>
          </w:p>
        </w:tc>
        <w:tc>
          <w:tcPr>
            <w:tcW w:w="1840" w:type="dxa"/>
            <w:noWrap/>
            <w:hideMark/>
          </w:tcPr>
          <w:p w14:paraId="5A2CEAAC"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25BEBE08" w14:textId="77777777" w:rsidTr="0078039E">
        <w:trPr>
          <w:trHeight w:val="315"/>
          <w:jc w:val="center"/>
        </w:trPr>
        <w:tc>
          <w:tcPr>
            <w:tcW w:w="4280" w:type="dxa"/>
            <w:noWrap/>
            <w:hideMark/>
          </w:tcPr>
          <w:p w14:paraId="3F92AB9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Homovanillin</w:t>
            </w:r>
          </w:p>
        </w:tc>
        <w:tc>
          <w:tcPr>
            <w:tcW w:w="1840" w:type="dxa"/>
            <w:noWrap/>
            <w:hideMark/>
          </w:tcPr>
          <w:p w14:paraId="78CE8484"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5D51FD73" w14:textId="77777777" w:rsidTr="0078039E">
        <w:trPr>
          <w:trHeight w:val="315"/>
          <w:jc w:val="center"/>
        </w:trPr>
        <w:tc>
          <w:tcPr>
            <w:tcW w:w="4280" w:type="dxa"/>
            <w:noWrap/>
            <w:hideMark/>
          </w:tcPr>
          <w:p w14:paraId="218CF8F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Acetoguaiacone</w:t>
            </w:r>
          </w:p>
        </w:tc>
        <w:tc>
          <w:tcPr>
            <w:tcW w:w="1840" w:type="dxa"/>
            <w:noWrap/>
            <w:hideMark/>
          </w:tcPr>
          <w:p w14:paraId="3838278C"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7A22AC03" w14:textId="77777777" w:rsidTr="0078039E">
        <w:trPr>
          <w:trHeight w:val="315"/>
          <w:jc w:val="center"/>
        </w:trPr>
        <w:tc>
          <w:tcPr>
            <w:tcW w:w="4280" w:type="dxa"/>
            <w:noWrap/>
            <w:hideMark/>
          </w:tcPr>
          <w:p w14:paraId="2D750B95"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Syringol, 4-methyl-</w:t>
            </w:r>
          </w:p>
        </w:tc>
        <w:tc>
          <w:tcPr>
            <w:tcW w:w="1840" w:type="dxa"/>
            <w:noWrap/>
            <w:hideMark/>
          </w:tcPr>
          <w:p w14:paraId="7E4A0EB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54B69FBE" w14:textId="77777777" w:rsidTr="0078039E">
        <w:trPr>
          <w:trHeight w:val="315"/>
          <w:jc w:val="center"/>
        </w:trPr>
        <w:tc>
          <w:tcPr>
            <w:tcW w:w="4280" w:type="dxa"/>
            <w:noWrap/>
            <w:hideMark/>
          </w:tcPr>
          <w:p w14:paraId="1F2DD7EB"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Vanillic acid</w:t>
            </w:r>
          </w:p>
        </w:tc>
        <w:tc>
          <w:tcPr>
            <w:tcW w:w="1840" w:type="dxa"/>
            <w:noWrap/>
            <w:hideMark/>
          </w:tcPr>
          <w:p w14:paraId="3CC10A5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7096DDFF" w14:textId="77777777" w:rsidTr="0078039E">
        <w:trPr>
          <w:trHeight w:val="315"/>
          <w:jc w:val="center"/>
        </w:trPr>
        <w:tc>
          <w:tcPr>
            <w:tcW w:w="4280" w:type="dxa"/>
            <w:noWrap/>
            <w:hideMark/>
          </w:tcPr>
          <w:p w14:paraId="7D1B2AB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Guaiacol, 4-(oxy-allyl)-</w:t>
            </w:r>
          </w:p>
        </w:tc>
        <w:tc>
          <w:tcPr>
            <w:tcW w:w="1840" w:type="dxa"/>
            <w:noWrap/>
            <w:hideMark/>
          </w:tcPr>
          <w:p w14:paraId="1641AD0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2BC5E656" w14:textId="77777777" w:rsidTr="0078039E">
        <w:trPr>
          <w:trHeight w:val="315"/>
          <w:jc w:val="center"/>
        </w:trPr>
        <w:tc>
          <w:tcPr>
            <w:tcW w:w="4280" w:type="dxa"/>
            <w:noWrap/>
            <w:hideMark/>
          </w:tcPr>
          <w:p w14:paraId="66CF6949"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Coniferaldehyde</w:t>
            </w:r>
          </w:p>
        </w:tc>
        <w:tc>
          <w:tcPr>
            <w:tcW w:w="1840" w:type="dxa"/>
            <w:noWrap/>
            <w:hideMark/>
          </w:tcPr>
          <w:p w14:paraId="3E06F3DB"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557E36F2" w14:textId="77777777" w:rsidTr="0078039E">
        <w:trPr>
          <w:trHeight w:val="315"/>
          <w:jc w:val="center"/>
        </w:trPr>
        <w:tc>
          <w:tcPr>
            <w:tcW w:w="4280" w:type="dxa"/>
            <w:noWrap/>
            <w:hideMark/>
          </w:tcPr>
          <w:p w14:paraId="6222398C"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Syringol, 4-vinyl-</w:t>
            </w:r>
          </w:p>
        </w:tc>
        <w:tc>
          <w:tcPr>
            <w:tcW w:w="1840" w:type="dxa"/>
            <w:noWrap/>
            <w:hideMark/>
          </w:tcPr>
          <w:p w14:paraId="5606949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160BBB57" w14:textId="77777777" w:rsidTr="0078039E">
        <w:trPr>
          <w:trHeight w:val="315"/>
          <w:jc w:val="center"/>
        </w:trPr>
        <w:tc>
          <w:tcPr>
            <w:tcW w:w="4280" w:type="dxa"/>
            <w:noWrap/>
            <w:hideMark/>
          </w:tcPr>
          <w:p w14:paraId="660ECB9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Guaiacyl acetone</w:t>
            </w:r>
          </w:p>
        </w:tc>
        <w:tc>
          <w:tcPr>
            <w:tcW w:w="1840" w:type="dxa"/>
            <w:noWrap/>
            <w:hideMark/>
          </w:tcPr>
          <w:p w14:paraId="60A4317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7558A7F0" w14:textId="77777777" w:rsidTr="0078039E">
        <w:trPr>
          <w:trHeight w:val="315"/>
          <w:jc w:val="center"/>
        </w:trPr>
        <w:tc>
          <w:tcPr>
            <w:tcW w:w="4280" w:type="dxa"/>
            <w:noWrap/>
            <w:hideMark/>
          </w:tcPr>
          <w:p w14:paraId="5B1EC927"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Propioguaiacone</w:t>
            </w:r>
          </w:p>
        </w:tc>
        <w:tc>
          <w:tcPr>
            <w:tcW w:w="1840" w:type="dxa"/>
            <w:noWrap/>
            <w:hideMark/>
          </w:tcPr>
          <w:p w14:paraId="4717C11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45641825" w14:textId="77777777" w:rsidTr="0078039E">
        <w:trPr>
          <w:trHeight w:val="315"/>
          <w:jc w:val="center"/>
        </w:trPr>
        <w:tc>
          <w:tcPr>
            <w:tcW w:w="4280" w:type="dxa"/>
            <w:noWrap/>
            <w:hideMark/>
          </w:tcPr>
          <w:p w14:paraId="652F8EA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Coniferyl alcohol</w:t>
            </w:r>
          </w:p>
        </w:tc>
        <w:tc>
          <w:tcPr>
            <w:tcW w:w="1840" w:type="dxa"/>
            <w:noWrap/>
            <w:hideMark/>
          </w:tcPr>
          <w:p w14:paraId="6C81AA03"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452CD2F8" w14:textId="77777777" w:rsidTr="0078039E">
        <w:trPr>
          <w:trHeight w:val="315"/>
          <w:jc w:val="center"/>
        </w:trPr>
        <w:tc>
          <w:tcPr>
            <w:tcW w:w="4280" w:type="dxa"/>
            <w:noWrap/>
            <w:hideMark/>
          </w:tcPr>
          <w:p w14:paraId="2BFF226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Syringol, 3-ethyl-</w:t>
            </w:r>
          </w:p>
        </w:tc>
        <w:tc>
          <w:tcPr>
            <w:tcW w:w="1840" w:type="dxa"/>
            <w:noWrap/>
            <w:hideMark/>
          </w:tcPr>
          <w:p w14:paraId="75D69C08"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4A6B2030" w14:textId="77777777" w:rsidTr="0078039E">
        <w:trPr>
          <w:trHeight w:val="315"/>
          <w:jc w:val="center"/>
        </w:trPr>
        <w:tc>
          <w:tcPr>
            <w:tcW w:w="4280" w:type="dxa"/>
            <w:noWrap/>
            <w:hideMark/>
          </w:tcPr>
          <w:p w14:paraId="63A65BDE"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Dihydroconiferyl alcohol</w:t>
            </w:r>
          </w:p>
        </w:tc>
        <w:tc>
          <w:tcPr>
            <w:tcW w:w="1840" w:type="dxa"/>
            <w:noWrap/>
            <w:hideMark/>
          </w:tcPr>
          <w:p w14:paraId="001F437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0374230A" w14:textId="77777777" w:rsidTr="0078039E">
        <w:trPr>
          <w:trHeight w:val="315"/>
          <w:jc w:val="center"/>
        </w:trPr>
        <w:tc>
          <w:tcPr>
            <w:tcW w:w="4280" w:type="dxa"/>
            <w:noWrap/>
            <w:hideMark/>
          </w:tcPr>
          <w:p w14:paraId="0ABEBEFD"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Syringaldehyde</w:t>
            </w:r>
          </w:p>
        </w:tc>
        <w:tc>
          <w:tcPr>
            <w:tcW w:w="1840" w:type="dxa"/>
            <w:noWrap/>
            <w:hideMark/>
          </w:tcPr>
          <w:p w14:paraId="52B1A0D6"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209AECFA" w14:textId="77777777" w:rsidTr="0078039E">
        <w:trPr>
          <w:trHeight w:val="315"/>
          <w:jc w:val="center"/>
        </w:trPr>
        <w:tc>
          <w:tcPr>
            <w:tcW w:w="4280" w:type="dxa"/>
            <w:noWrap/>
            <w:hideMark/>
          </w:tcPr>
          <w:p w14:paraId="1970DC53"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Syringol, 4-allyl-</w:t>
            </w:r>
          </w:p>
        </w:tc>
        <w:tc>
          <w:tcPr>
            <w:tcW w:w="1840" w:type="dxa"/>
            <w:noWrap/>
            <w:hideMark/>
          </w:tcPr>
          <w:p w14:paraId="19C11DA4"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08592A38" w14:textId="77777777" w:rsidTr="0078039E">
        <w:trPr>
          <w:trHeight w:val="315"/>
          <w:jc w:val="center"/>
        </w:trPr>
        <w:tc>
          <w:tcPr>
            <w:tcW w:w="4280" w:type="dxa"/>
            <w:noWrap/>
            <w:hideMark/>
          </w:tcPr>
          <w:p w14:paraId="728208D6"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Propioguaiacone, alpha-oxy-</w:t>
            </w:r>
          </w:p>
        </w:tc>
        <w:tc>
          <w:tcPr>
            <w:tcW w:w="1840" w:type="dxa"/>
            <w:noWrap/>
            <w:hideMark/>
          </w:tcPr>
          <w:p w14:paraId="0199E7AB"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7D92019E" w14:textId="77777777" w:rsidTr="0078039E">
        <w:trPr>
          <w:trHeight w:val="315"/>
          <w:jc w:val="center"/>
        </w:trPr>
        <w:tc>
          <w:tcPr>
            <w:tcW w:w="4280" w:type="dxa"/>
            <w:noWrap/>
            <w:hideMark/>
          </w:tcPr>
          <w:p w14:paraId="5FB5686E"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lastRenderedPageBreak/>
              <w:t>Syringol, 4-propenyl-</w:t>
            </w:r>
          </w:p>
        </w:tc>
        <w:tc>
          <w:tcPr>
            <w:tcW w:w="1840" w:type="dxa"/>
            <w:noWrap/>
            <w:hideMark/>
          </w:tcPr>
          <w:p w14:paraId="4D74313E"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65F17649" w14:textId="77777777" w:rsidTr="0078039E">
        <w:trPr>
          <w:trHeight w:val="315"/>
          <w:jc w:val="center"/>
        </w:trPr>
        <w:tc>
          <w:tcPr>
            <w:tcW w:w="4280" w:type="dxa"/>
            <w:noWrap/>
            <w:hideMark/>
          </w:tcPr>
          <w:p w14:paraId="65551264"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Syringol, 4-propyl-</w:t>
            </w:r>
          </w:p>
        </w:tc>
        <w:tc>
          <w:tcPr>
            <w:tcW w:w="1840" w:type="dxa"/>
            <w:noWrap/>
            <w:hideMark/>
          </w:tcPr>
          <w:p w14:paraId="0BAF7A3F"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5FB7E336" w14:textId="77777777" w:rsidTr="0078039E">
        <w:trPr>
          <w:trHeight w:val="315"/>
          <w:jc w:val="center"/>
        </w:trPr>
        <w:tc>
          <w:tcPr>
            <w:tcW w:w="4280" w:type="dxa"/>
            <w:noWrap/>
            <w:hideMark/>
          </w:tcPr>
          <w:p w14:paraId="7B53BF95"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Homosyringaldehyde</w:t>
            </w:r>
          </w:p>
        </w:tc>
        <w:tc>
          <w:tcPr>
            <w:tcW w:w="1840" w:type="dxa"/>
            <w:noWrap/>
            <w:hideMark/>
          </w:tcPr>
          <w:p w14:paraId="56E9BB00"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6FCF672C" w14:textId="77777777" w:rsidTr="0078039E">
        <w:trPr>
          <w:trHeight w:val="315"/>
          <w:jc w:val="center"/>
        </w:trPr>
        <w:tc>
          <w:tcPr>
            <w:tcW w:w="4280" w:type="dxa"/>
            <w:noWrap/>
            <w:hideMark/>
          </w:tcPr>
          <w:p w14:paraId="2C94844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Acetosyringone</w:t>
            </w:r>
          </w:p>
        </w:tc>
        <w:tc>
          <w:tcPr>
            <w:tcW w:w="1840" w:type="dxa"/>
            <w:noWrap/>
            <w:hideMark/>
          </w:tcPr>
          <w:p w14:paraId="58A29232"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40326B7C" w14:textId="77777777" w:rsidTr="0078039E">
        <w:trPr>
          <w:trHeight w:val="315"/>
          <w:jc w:val="center"/>
        </w:trPr>
        <w:tc>
          <w:tcPr>
            <w:tcW w:w="4280" w:type="dxa"/>
            <w:noWrap/>
            <w:hideMark/>
          </w:tcPr>
          <w:p w14:paraId="02B5E91E"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Syringol, 4-(oxy-allyl)-</w:t>
            </w:r>
          </w:p>
        </w:tc>
        <w:tc>
          <w:tcPr>
            <w:tcW w:w="1840" w:type="dxa"/>
            <w:noWrap/>
            <w:hideMark/>
          </w:tcPr>
          <w:p w14:paraId="17BCC73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3EE308CE" w14:textId="77777777" w:rsidTr="0078039E">
        <w:trPr>
          <w:trHeight w:val="315"/>
          <w:jc w:val="center"/>
        </w:trPr>
        <w:tc>
          <w:tcPr>
            <w:tcW w:w="4280" w:type="dxa"/>
            <w:noWrap/>
            <w:hideMark/>
          </w:tcPr>
          <w:p w14:paraId="695245DE"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Sinapaldehyde</w:t>
            </w:r>
          </w:p>
        </w:tc>
        <w:tc>
          <w:tcPr>
            <w:tcW w:w="1840" w:type="dxa"/>
            <w:noWrap/>
            <w:hideMark/>
          </w:tcPr>
          <w:p w14:paraId="144F3CFA"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204CCD2C" w14:textId="77777777" w:rsidTr="0078039E">
        <w:trPr>
          <w:trHeight w:val="315"/>
          <w:jc w:val="center"/>
        </w:trPr>
        <w:tc>
          <w:tcPr>
            <w:tcW w:w="4280" w:type="dxa"/>
            <w:noWrap/>
            <w:hideMark/>
          </w:tcPr>
          <w:p w14:paraId="26D59357"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Syringyl acetone</w:t>
            </w:r>
          </w:p>
        </w:tc>
        <w:tc>
          <w:tcPr>
            <w:tcW w:w="1840" w:type="dxa"/>
            <w:noWrap/>
            <w:hideMark/>
          </w:tcPr>
          <w:p w14:paraId="6A82358A"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7E9C3BD1" w14:textId="77777777" w:rsidTr="0078039E">
        <w:trPr>
          <w:trHeight w:val="315"/>
          <w:jc w:val="center"/>
        </w:trPr>
        <w:tc>
          <w:tcPr>
            <w:tcW w:w="4280" w:type="dxa"/>
            <w:noWrap/>
            <w:hideMark/>
          </w:tcPr>
          <w:p w14:paraId="3D67C2E3"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Propiosyringone</w:t>
            </w:r>
          </w:p>
        </w:tc>
        <w:tc>
          <w:tcPr>
            <w:tcW w:w="1840" w:type="dxa"/>
            <w:noWrap/>
            <w:hideMark/>
          </w:tcPr>
          <w:p w14:paraId="50AC5741"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7886E114" w14:textId="77777777" w:rsidTr="0078039E">
        <w:trPr>
          <w:trHeight w:val="315"/>
          <w:jc w:val="center"/>
        </w:trPr>
        <w:tc>
          <w:tcPr>
            <w:tcW w:w="4280" w:type="dxa"/>
            <w:noWrap/>
            <w:hideMark/>
          </w:tcPr>
          <w:p w14:paraId="4AAFADA5"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Sinapyl alcohol</w:t>
            </w:r>
          </w:p>
        </w:tc>
        <w:tc>
          <w:tcPr>
            <w:tcW w:w="1840" w:type="dxa"/>
            <w:noWrap/>
            <w:hideMark/>
          </w:tcPr>
          <w:p w14:paraId="50A5825C"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r w:rsidR="00AC4B85" w:rsidRPr="00AC4B85" w14:paraId="381BC01F" w14:textId="77777777" w:rsidTr="0078039E">
        <w:trPr>
          <w:trHeight w:val="330"/>
          <w:jc w:val="center"/>
        </w:trPr>
        <w:tc>
          <w:tcPr>
            <w:tcW w:w="4280" w:type="dxa"/>
            <w:noWrap/>
            <w:hideMark/>
          </w:tcPr>
          <w:p w14:paraId="6975BE6A"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Propiosyringone, alpha-oxy-</w:t>
            </w:r>
          </w:p>
        </w:tc>
        <w:tc>
          <w:tcPr>
            <w:tcW w:w="1840" w:type="dxa"/>
            <w:noWrap/>
            <w:hideMark/>
          </w:tcPr>
          <w:p w14:paraId="6516D5FA" w14:textId="77777777" w:rsidR="00AC4B85" w:rsidRPr="00AC4B85" w:rsidRDefault="00AC4B85" w:rsidP="00AC4B85">
            <w:pPr>
              <w:spacing w:after="0" w:line="240" w:lineRule="auto"/>
              <w:ind w:left="0" w:right="0" w:firstLine="0"/>
              <w:jc w:val="center"/>
              <w:rPr>
                <w:rFonts w:eastAsiaTheme="minorHAnsi"/>
                <w:color w:val="auto"/>
                <w:szCs w:val="24"/>
              </w:rPr>
            </w:pPr>
            <w:r w:rsidRPr="00AC4B85">
              <w:rPr>
                <w:rFonts w:eastAsiaTheme="minorHAnsi"/>
                <w:color w:val="auto"/>
                <w:szCs w:val="24"/>
              </w:rPr>
              <w:t>Methoxy Phenols</w:t>
            </w:r>
          </w:p>
        </w:tc>
      </w:tr>
    </w:tbl>
    <w:p w14:paraId="1BA6391C" w14:textId="77777777" w:rsidR="00AC4B85" w:rsidRPr="00AC4B85" w:rsidRDefault="00AC4B85" w:rsidP="00AC4B85">
      <w:pPr>
        <w:spacing w:after="160" w:line="259" w:lineRule="auto"/>
        <w:ind w:left="0" w:right="0" w:firstLine="0"/>
        <w:rPr>
          <w:rFonts w:eastAsiaTheme="minorHAnsi"/>
          <w:color w:val="auto"/>
          <w:szCs w:val="24"/>
        </w:rPr>
      </w:pPr>
    </w:p>
    <w:p w14:paraId="52E9A476" w14:textId="77777777" w:rsidR="00AC4B85" w:rsidRPr="00AC4B85" w:rsidRDefault="00AC4B85" w:rsidP="00AC4B85">
      <w:pPr>
        <w:spacing w:after="160" w:line="259" w:lineRule="auto"/>
        <w:ind w:left="0" w:right="0" w:firstLine="0"/>
        <w:rPr>
          <w:rFonts w:eastAsiaTheme="minorHAnsi"/>
          <w:color w:val="auto"/>
          <w:szCs w:val="24"/>
        </w:rPr>
      </w:pPr>
    </w:p>
    <w:p w14:paraId="68573308" w14:textId="77777777" w:rsidR="00AC4B85" w:rsidRPr="00AC4B85" w:rsidRDefault="00AC4B85" w:rsidP="00AC4B85">
      <w:pPr>
        <w:spacing w:after="160" w:line="259" w:lineRule="auto"/>
        <w:ind w:left="0" w:right="0" w:firstLine="0"/>
        <w:rPr>
          <w:rFonts w:eastAsiaTheme="minorHAnsi"/>
          <w:color w:val="auto"/>
          <w:szCs w:val="24"/>
        </w:rPr>
      </w:pPr>
    </w:p>
    <w:p w14:paraId="744DB6E2" w14:textId="77777777" w:rsidR="00AC4B85" w:rsidRPr="00AC4B85" w:rsidRDefault="00AC4B85" w:rsidP="00AC4B85">
      <w:pPr>
        <w:tabs>
          <w:tab w:val="left" w:pos="1275"/>
        </w:tabs>
        <w:spacing w:after="160" w:line="259" w:lineRule="auto"/>
        <w:ind w:left="0" w:right="0" w:firstLine="0"/>
        <w:rPr>
          <w:rFonts w:eastAsiaTheme="minorHAnsi"/>
          <w:color w:val="auto"/>
          <w:szCs w:val="24"/>
        </w:rPr>
      </w:pPr>
      <w:r w:rsidRPr="00AC4B85">
        <w:rPr>
          <w:rFonts w:eastAsiaTheme="minorHAnsi"/>
          <w:color w:val="auto"/>
          <w:szCs w:val="24"/>
        </w:rPr>
        <w:tab/>
      </w:r>
    </w:p>
    <w:p w14:paraId="646DFB67" w14:textId="77777777" w:rsidR="00AC4B85" w:rsidRPr="00AC4B85" w:rsidRDefault="00AC4B85" w:rsidP="00AC4B85">
      <w:pPr>
        <w:tabs>
          <w:tab w:val="left" w:pos="1275"/>
        </w:tabs>
        <w:spacing w:after="160" w:line="259" w:lineRule="auto"/>
        <w:ind w:left="0" w:right="0" w:firstLine="0"/>
        <w:rPr>
          <w:rFonts w:eastAsiaTheme="minorHAnsi"/>
          <w:color w:val="auto"/>
          <w:szCs w:val="24"/>
        </w:rPr>
      </w:pPr>
    </w:p>
    <w:p w14:paraId="6A528FA2" w14:textId="77777777" w:rsidR="00AC4B85" w:rsidRPr="00AC4B85" w:rsidRDefault="00AC4B85" w:rsidP="00AC4B85">
      <w:pPr>
        <w:tabs>
          <w:tab w:val="left" w:pos="1275"/>
        </w:tabs>
        <w:spacing w:after="160" w:line="259" w:lineRule="auto"/>
        <w:ind w:left="0" w:right="0" w:firstLine="0"/>
        <w:rPr>
          <w:rFonts w:eastAsiaTheme="minorHAnsi"/>
          <w:color w:val="auto"/>
          <w:szCs w:val="24"/>
        </w:rPr>
      </w:pPr>
    </w:p>
    <w:p w14:paraId="7C5D254C" w14:textId="77777777" w:rsidR="00AC4B85" w:rsidRPr="00AC4B85" w:rsidRDefault="00AC4B85" w:rsidP="00AC4B85">
      <w:pPr>
        <w:tabs>
          <w:tab w:val="left" w:pos="1275"/>
        </w:tabs>
        <w:spacing w:after="160" w:line="259" w:lineRule="auto"/>
        <w:ind w:left="0" w:right="0" w:firstLine="0"/>
        <w:rPr>
          <w:rFonts w:eastAsiaTheme="minorHAnsi"/>
          <w:color w:val="auto"/>
          <w:szCs w:val="24"/>
        </w:rPr>
      </w:pPr>
    </w:p>
    <w:p w14:paraId="1C6CC095" w14:textId="77777777" w:rsidR="00AC4B85" w:rsidRPr="00AC4B85" w:rsidRDefault="00AC4B85" w:rsidP="00AC4B85">
      <w:pPr>
        <w:tabs>
          <w:tab w:val="left" w:pos="1275"/>
        </w:tabs>
        <w:spacing w:after="160" w:line="259" w:lineRule="auto"/>
        <w:ind w:left="0" w:right="0" w:firstLine="0"/>
        <w:rPr>
          <w:rFonts w:eastAsiaTheme="minorHAnsi"/>
          <w:color w:val="auto"/>
          <w:szCs w:val="24"/>
        </w:rPr>
      </w:pPr>
    </w:p>
    <w:p w14:paraId="1324E43B" w14:textId="77777777" w:rsidR="00AC4B85" w:rsidRPr="00AC4B85" w:rsidRDefault="00AC4B85" w:rsidP="00AC4B85">
      <w:pPr>
        <w:tabs>
          <w:tab w:val="left" w:pos="1275"/>
        </w:tabs>
        <w:spacing w:after="160" w:line="259" w:lineRule="auto"/>
        <w:ind w:left="0" w:right="0" w:firstLine="0"/>
        <w:rPr>
          <w:rFonts w:eastAsiaTheme="minorHAnsi"/>
          <w:color w:val="auto"/>
          <w:szCs w:val="24"/>
        </w:rPr>
      </w:pPr>
    </w:p>
    <w:p w14:paraId="09546595" w14:textId="77777777" w:rsidR="00AC4B85" w:rsidRPr="00AC4B85" w:rsidRDefault="00AC4B85" w:rsidP="00AC4B85">
      <w:pPr>
        <w:tabs>
          <w:tab w:val="left" w:pos="1275"/>
        </w:tabs>
        <w:spacing w:after="160" w:line="259" w:lineRule="auto"/>
        <w:ind w:left="0" w:right="0" w:firstLine="0"/>
        <w:rPr>
          <w:rFonts w:eastAsiaTheme="minorHAnsi"/>
          <w:color w:val="auto"/>
          <w:szCs w:val="24"/>
        </w:rPr>
      </w:pPr>
    </w:p>
    <w:p w14:paraId="05C9B6CF" w14:textId="77777777" w:rsidR="00AC4B85" w:rsidRPr="00AC4B85" w:rsidRDefault="00AC4B85" w:rsidP="00AC4B85">
      <w:pPr>
        <w:tabs>
          <w:tab w:val="left" w:pos="1275"/>
        </w:tabs>
        <w:spacing w:after="160" w:line="259" w:lineRule="auto"/>
        <w:ind w:left="0" w:right="0" w:firstLine="0"/>
        <w:rPr>
          <w:rFonts w:eastAsiaTheme="minorHAnsi"/>
          <w:color w:val="auto"/>
          <w:szCs w:val="24"/>
        </w:rPr>
      </w:pPr>
    </w:p>
    <w:p w14:paraId="2676E716" w14:textId="77777777" w:rsidR="00AC4B85" w:rsidRPr="00AC4B85" w:rsidRDefault="00AC4B85" w:rsidP="00AC4B85">
      <w:pPr>
        <w:tabs>
          <w:tab w:val="left" w:pos="1275"/>
        </w:tabs>
        <w:spacing w:after="160" w:line="259" w:lineRule="auto"/>
        <w:ind w:left="0" w:right="0" w:firstLine="0"/>
        <w:rPr>
          <w:rFonts w:eastAsiaTheme="minorHAnsi"/>
          <w:color w:val="auto"/>
          <w:szCs w:val="24"/>
        </w:rPr>
      </w:pPr>
    </w:p>
    <w:p w14:paraId="3A8C0033" w14:textId="77777777" w:rsidR="00AC4B85" w:rsidRPr="00AC4B85" w:rsidRDefault="00AC4B85" w:rsidP="00AC4B85">
      <w:pPr>
        <w:tabs>
          <w:tab w:val="left" w:pos="1275"/>
        </w:tabs>
        <w:spacing w:after="160" w:line="259" w:lineRule="auto"/>
        <w:ind w:left="0" w:right="0" w:firstLine="0"/>
        <w:rPr>
          <w:rFonts w:eastAsiaTheme="minorHAnsi"/>
          <w:color w:val="auto"/>
          <w:szCs w:val="24"/>
        </w:rPr>
      </w:pPr>
    </w:p>
    <w:p w14:paraId="27F069C3" w14:textId="77777777" w:rsidR="00B22F66" w:rsidRDefault="00B22F66" w:rsidP="00B22F66">
      <w:pPr>
        <w:tabs>
          <w:tab w:val="left" w:pos="1275"/>
        </w:tabs>
        <w:spacing w:after="160" w:line="259" w:lineRule="auto"/>
        <w:ind w:left="0" w:right="0" w:firstLine="0"/>
        <w:rPr>
          <w:rFonts w:eastAsiaTheme="minorHAnsi"/>
          <w:color w:val="auto"/>
          <w:szCs w:val="24"/>
        </w:rPr>
      </w:pPr>
    </w:p>
    <w:p w14:paraId="4D163162" w14:textId="77777777" w:rsidR="006742E2" w:rsidRPr="00B22F66" w:rsidRDefault="00B22F66" w:rsidP="00B22F66">
      <w:pPr>
        <w:tabs>
          <w:tab w:val="left" w:pos="1275"/>
        </w:tabs>
        <w:spacing w:after="160" w:line="259" w:lineRule="auto"/>
        <w:ind w:left="0" w:right="0" w:firstLine="0"/>
        <w:rPr>
          <w:rFonts w:eastAsiaTheme="minorHAnsi"/>
          <w:color w:val="auto"/>
          <w:szCs w:val="24"/>
        </w:rPr>
      </w:pPr>
      <w:r>
        <w:rPr>
          <w:noProof/>
        </w:rPr>
        <w:lastRenderedPageBreak/>
        <mc:AlternateContent>
          <mc:Choice Requires="wps">
            <w:drawing>
              <wp:anchor distT="45720" distB="45720" distL="114300" distR="114300" simplePos="0" relativeHeight="251819008" behindDoc="0" locked="0" layoutInCell="1" allowOverlap="1" wp14:anchorId="65936B7B" wp14:editId="638F4A96">
                <wp:simplePos x="0" y="0"/>
                <wp:positionH relativeFrom="margin">
                  <wp:align>right</wp:align>
                </wp:positionH>
                <wp:positionV relativeFrom="paragraph">
                  <wp:posOffset>228600</wp:posOffset>
                </wp:positionV>
                <wp:extent cx="5924550" cy="1404620"/>
                <wp:effectExtent l="0" t="0" r="0" b="3175"/>
                <wp:wrapSquare wrapText="bothSides"/>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noFill/>
                          <a:miter lim="800000"/>
                          <a:headEnd/>
                          <a:tailEnd/>
                        </a:ln>
                      </wps:spPr>
                      <wps:txbx>
                        <w:txbxContent>
                          <w:p w14:paraId="21E36AFE" w14:textId="77777777" w:rsidR="00B22F66" w:rsidRDefault="00B22F66" w:rsidP="00B22F66">
                            <w:pPr>
                              <w:spacing w:line="240" w:lineRule="auto"/>
                              <w:ind w:left="14" w:right="58" w:hanging="14"/>
                              <w:jc w:val="center"/>
                            </w:pPr>
                            <w:r w:rsidRPr="00B22F66">
                              <w:rPr>
                                <w:b/>
                                <w:bCs/>
                              </w:rPr>
                              <w:t>Table A.2:</w:t>
                            </w:r>
                            <w:r>
                              <w:t xml:space="preserve"> ECN values and their respective Response factors for the identified thermochemical compounds used in this study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936B7B" id="_x0000_s1059" type="#_x0000_t202" style="position:absolute;margin-left:415.3pt;margin-top:18pt;width:466.5pt;height:110.6pt;z-index:2518190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" stroked="f">
                <v:textbox style="mso-fit-shape-to-text:t">
                  <w:txbxContent>
                    <w:p w14:paraId="21E36AFE" w14:textId="77777777" w:rsidR="00B22F66" w:rsidRDefault="00B22F66" w:rsidP="00B22F66">
                      <w:pPr>
                        <w:spacing w:line="240" w:lineRule="auto"/>
                        <w:ind w:left="14" w:right="58" w:hanging="14"/>
                        <w:jc w:val="center"/>
                      </w:pPr>
                      <w:r w:rsidRPr="00B22F66">
                        <w:rPr>
                          <w:b/>
                          <w:bCs/>
                        </w:rPr>
                        <w:t>Table A.2:</w:t>
                      </w:r>
                      <w:r>
                        <w:t xml:space="preserve"> ECN values and their respective Response factors for the identified thermochemical compounds used in this study</w:t>
                      </w:r>
                    </w:p>
                  </w:txbxContent>
                </v:textbox>
                <w10:wrap type="square" anchorx="margin"/>
              </v:shape>
            </w:pict>
          </mc:Fallback>
        </mc:AlternateContent>
      </w:r>
    </w:p>
    <w:tbl>
      <w:tblPr>
        <w:tblStyle w:val="TableGrid1"/>
        <w:tblW w:w="0" w:type="auto"/>
        <w:jc w:val="center"/>
        <w:tblLook w:val="04A0" w:firstRow="1" w:lastRow="0" w:firstColumn="1" w:lastColumn="0" w:noHBand="0" w:noVBand="1"/>
      </w:tblPr>
      <w:tblGrid>
        <w:gridCol w:w="4135"/>
        <w:gridCol w:w="1530"/>
        <w:gridCol w:w="2610"/>
      </w:tblGrid>
      <w:tr w:rsidR="00AC4B85" w:rsidRPr="00AC4B85" w14:paraId="6FD81AC1" w14:textId="77777777" w:rsidTr="006742E2">
        <w:trPr>
          <w:jc w:val="center"/>
        </w:trPr>
        <w:tc>
          <w:tcPr>
            <w:tcW w:w="4135" w:type="dxa"/>
          </w:tcPr>
          <w:p w14:paraId="67716ABE" w14:textId="77777777" w:rsidR="00AC4B85" w:rsidRPr="00AC4B85" w:rsidRDefault="00AC4B85" w:rsidP="00AC4B85">
            <w:pPr>
              <w:tabs>
                <w:tab w:val="left" w:pos="1275"/>
              </w:tabs>
              <w:spacing w:after="0" w:line="240" w:lineRule="auto"/>
              <w:ind w:left="0" w:right="0" w:firstLine="0"/>
              <w:jc w:val="center"/>
              <w:rPr>
                <w:rFonts w:eastAsiaTheme="minorHAnsi"/>
                <w:b/>
                <w:bCs/>
                <w:color w:val="auto"/>
                <w:szCs w:val="24"/>
              </w:rPr>
            </w:pPr>
            <w:r w:rsidRPr="00AC4B85">
              <w:rPr>
                <w:rFonts w:eastAsiaTheme="minorHAnsi"/>
                <w:b/>
                <w:bCs/>
                <w:color w:val="auto"/>
                <w:szCs w:val="24"/>
              </w:rPr>
              <w:t>Name of compound</w:t>
            </w:r>
          </w:p>
        </w:tc>
        <w:tc>
          <w:tcPr>
            <w:tcW w:w="1530" w:type="dxa"/>
          </w:tcPr>
          <w:p w14:paraId="0518FBAE" w14:textId="77777777" w:rsidR="00AC4B85" w:rsidRPr="00AC4B85" w:rsidRDefault="00AC4B85" w:rsidP="00AC4B85">
            <w:pPr>
              <w:tabs>
                <w:tab w:val="left" w:pos="1275"/>
              </w:tabs>
              <w:spacing w:after="0" w:line="240" w:lineRule="auto"/>
              <w:ind w:left="0" w:right="0" w:firstLine="0"/>
              <w:jc w:val="center"/>
              <w:rPr>
                <w:rFonts w:eastAsiaTheme="minorHAnsi"/>
                <w:b/>
                <w:bCs/>
                <w:color w:val="auto"/>
                <w:szCs w:val="24"/>
              </w:rPr>
            </w:pPr>
            <w:r w:rsidRPr="00AC4B85">
              <w:rPr>
                <w:rFonts w:eastAsiaTheme="minorHAnsi"/>
                <w:b/>
                <w:bCs/>
                <w:color w:val="auto"/>
                <w:szCs w:val="24"/>
              </w:rPr>
              <w:t>ECN value</w:t>
            </w:r>
          </w:p>
        </w:tc>
        <w:tc>
          <w:tcPr>
            <w:tcW w:w="2610" w:type="dxa"/>
          </w:tcPr>
          <w:p w14:paraId="2A7BF0F8" w14:textId="77777777" w:rsidR="00AC4B85" w:rsidRPr="00AC4B85" w:rsidRDefault="00AC4B85" w:rsidP="00AC4B85">
            <w:pPr>
              <w:tabs>
                <w:tab w:val="left" w:pos="1275"/>
              </w:tabs>
              <w:spacing w:after="0" w:line="240" w:lineRule="auto"/>
              <w:ind w:left="0" w:right="0" w:firstLine="0"/>
              <w:jc w:val="center"/>
              <w:rPr>
                <w:rFonts w:eastAsiaTheme="minorHAnsi"/>
                <w:b/>
                <w:bCs/>
                <w:color w:val="auto"/>
                <w:szCs w:val="24"/>
              </w:rPr>
            </w:pPr>
            <w:r w:rsidRPr="00AC4B85">
              <w:rPr>
                <w:rFonts w:eastAsiaTheme="minorHAnsi"/>
                <w:b/>
                <w:bCs/>
                <w:color w:val="auto"/>
                <w:szCs w:val="24"/>
              </w:rPr>
              <w:t>Response Factor (µg/area)</w:t>
            </w:r>
          </w:p>
        </w:tc>
      </w:tr>
      <w:tr w:rsidR="00AC4B85" w:rsidRPr="00AC4B85" w14:paraId="738E05C4" w14:textId="77777777" w:rsidTr="006742E2">
        <w:trPr>
          <w:jc w:val="center"/>
        </w:trPr>
        <w:tc>
          <w:tcPr>
            <w:tcW w:w="4135" w:type="dxa"/>
          </w:tcPr>
          <w:p w14:paraId="508754F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Furan</w:t>
            </w:r>
          </w:p>
        </w:tc>
        <w:tc>
          <w:tcPr>
            <w:tcW w:w="1530" w:type="dxa"/>
          </w:tcPr>
          <w:p w14:paraId="72D2CB6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3.7662</w:t>
            </w:r>
          </w:p>
        </w:tc>
        <w:tc>
          <w:tcPr>
            <w:tcW w:w="2610" w:type="dxa"/>
          </w:tcPr>
          <w:p w14:paraId="1BD272E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1.150E-04</w:t>
            </w:r>
          </w:p>
        </w:tc>
      </w:tr>
      <w:tr w:rsidR="00AC4B85" w:rsidRPr="00AC4B85" w14:paraId="15F67C7E" w14:textId="77777777" w:rsidTr="006742E2">
        <w:trPr>
          <w:jc w:val="center"/>
        </w:trPr>
        <w:tc>
          <w:tcPr>
            <w:tcW w:w="4135" w:type="dxa"/>
          </w:tcPr>
          <w:p w14:paraId="2A801CD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2-Propenal</w:t>
            </w:r>
          </w:p>
        </w:tc>
        <w:tc>
          <w:tcPr>
            <w:tcW w:w="1530" w:type="dxa"/>
          </w:tcPr>
          <w:p w14:paraId="0FDF995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1.9031</w:t>
            </w:r>
          </w:p>
        </w:tc>
        <w:tc>
          <w:tcPr>
            <w:tcW w:w="2610" w:type="dxa"/>
          </w:tcPr>
          <w:p w14:paraId="100B20D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1.874E-04</w:t>
            </w:r>
          </w:p>
        </w:tc>
      </w:tr>
      <w:tr w:rsidR="00AC4B85" w:rsidRPr="00AC4B85" w14:paraId="30927151" w14:textId="77777777" w:rsidTr="006742E2">
        <w:trPr>
          <w:jc w:val="center"/>
        </w:trPr>
        <w:tc>
          <w:tcPr>
            <w:tcW w:w="4135" w:type="dxa"/>
          </w:tcPr>
          <w:p w14:paraId="2C12B8B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Propanal-2-one</w:t>
            </w:r>
          </w:p>
        </w:tc>
        <w:tc>
          <w:tcPr>
            <w:tcW w:w="1530" w:type="dxa"/>
          </w:tcPr>
          <w:p w14:paraId="65449D7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1.9031</w:t>
            </w:r>
          </w:p>
        </w:tc>
        <w:tc>
          <w:tcPr>
            <w:tcW w:w="2610" w:type="dxa"/>
          </w:tcPr>
          <w:p w14:paraId="1458DFE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2.410E-04</w:t>
            </w:r>
          </w:p>
        </w:tc>
      </w:tr>
      <w:tr w:rsidR="00AC4B85" w:rsidRPr="00AC4B85" w14:paraId="5D677475" w14:textId="77777777" w:rsidTr="006742E2">
        <w:trPr>
          <w:jc w:val="center"/>
        </w:trPr>
        <w:tc>
          <w:tcPr>
            <w:tcW w:w="4135" w:type="dxa"/>
          </w:tcPr>
          <w:p w14:paraId="7D12067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2-Methylfuran</w:t>
            </w:r>
          </w:p>
        </w:tc>
        <w:tc>
          <w:tcPr>
            <w:tcW w:w="1530" w:type="dxa"/>
          </w:tcPr>
          <w:p w14:paraId="378E0AF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4.6105</w:t>
            </w:r>
          </w:p>
        </w:tc>
        <w:tc>
          <w:tcPr>
            <w:tcW w:w="2610" w:type="dxa"/>
          </w:tcPr>
          <w:p w14:paraId="5F47B7E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1.133E-04</w:t>
            </w:r>
          </w:p>
        </w:tc>
      </w:tr>
      <w:tr w:rsidR="00AC4B85" w:rsidRPr="00AC4B85" w14:paraId="07DCD0D1" w14:textId="77777777" w:rsidTr="006742E2">
        <w:trPr>
          <w:jc w:val="center"/>
        </w:trPr>
        <w:tc>
          <w:tcPr>
            <w:tcW w:w="4135" w:type="dxa"/>
          </w:tcPr>
          <w:p w14:paraId="64EB8E4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Butanal</w:t>
            </w:r>
          </w:p>
        </w:tc>
        <w:tc>
          <w:tcPr>
            <w:tcW w:w="1530" w:type="dxa"/>
          </w:tcPr>
          <w:p w14:paraId="3BBE61E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2.8876</w:t>
            </w:r>
          </w:p>
        </w:tc>
        <w:tc>
          <w:tcPr>
            <w:tcW w:w="2610" w:type="dxa"/>
          </w:tcPr>
          <w:p w14:paraId="11BFD86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1.588E-04</w:t>
            </w:r>
          </w:p>
        </w:tc>
      </w:tr>
      <w:tr w:rsidR="00AC4B85" w:rsidRPr="00AC4B85" w14:paraId="2834F47A" w14:textId="77777777" w:rsidTr="006742E2">
        <w:trPr>
          <w:jc w:val="center"/>
        </w:trPr>
        <w:tc>
          <w:tcPr>
            <w:tcW w:w="4135" w:type="dxa"/>
          </w:tcPr>
          <w:p w14:paraId="3D4391A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Unknown: similar to 1-Penten-3-one</w:t>
            </w:r>
          </w:p>
        </w:tc>
        <w:tc>
          <w:tcPr>
            <w:tcW w:w="1530" w:type="dxa"/>
          </w:tcPr>
          <w:p w14:paraId="6437A88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3.8720</w:t>
            </w:r>
          </w:p>
        </w:tc>
        <w:tc>
          <w:tcPr>
            <w:tcW w:w="2610" w:type="dxa"/>
          </w:tcPr>
          <w:p w14:paraId="464A373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1.382E-04</w:t>
            </w:r>
          </w:p>
        </w:tc>
      </w:tr>
      <w:tr w:rsidR="00AC4B85" w:rsidRPr="00AC4B85" w14:paraId="450671B3" w14:textId="77777777" w:rsidTr="006742E2">
        <w:trPr>
          <w:jc w:val="center"/>
        </w:trPr>
        <w:tc>
          <w:tcPr>
            <w:tcW w:w="4135" w:type="dxa"/>
          </w:tcPr>
          <w:p w14:paraId="1293A85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2,3-Butanedione</w:t>
            </w:r>
          </w:p>
        </w:tc>
        <w:tc>
          <w:tcPr>
            <w:tcW w:w="1530" w:type="dxa"/>
          </w:tcPr>
          <w:p w14:paraId="45ADD80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1.8373</w:t>
            </w:r>
          </w:p>
        </w:tc>
        <w:tc>
          <w:tcPr>
            <w:tcW w:w="2610" w:type="dxa"/>
          </w:tcPr>
          <w:p w14:paraId="3945C79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2.981E-04</w:t>
            </w:r>
          </w:p>
        </w:tc>
      </w:tr>
      <w:tr w:rsidR="00AC4B85" w:rsidRPr="00AC4B85" w14:paraId="6D573E5F" w14:textId="77777777" w:rsidTr="006742E2">
        <w:trPr>
          <w:jc w:val="center"/>
        </w:trPr>
        <w:tc>
          <w:tcPr>
            <w:tcW w:w="4135" w:type="dxa"/>
          </w:tcPr>
          <w:p w14:paraId="2344C05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Unknown: similar to 3-Pentanone</w:t>
            </w:r>
          </w:p>
        </w:tc>
        <w:tc>
          <w:tcPr>
            <w:tcW w:w="1530" w:type="dxa"/>
          </w:tcPr>
          <w:p w14:paraId="1F92803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3.8720</w:t>
            </w:r>
          </w:p>
        </w:tc>
        <w:tc>
          <w:tcPr>
            <w:tcW w:w="2610" w:type="dxa"/>
          </w:tcPr>
          <w:p w14:paraId="524CF4C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1.415E-04</w:t>
            </w:r>
          </w:p>
        </w:tc>
      </w:tr>
      <w:tr w:rsidR="00AC4B85" w:rsidRPr="00AC4B85" w14:paraId="16796FE6" w14:textId="77777777" w:rsidTr="006742E2">
        <w:trPr>
          <w:jc w:val="center"/>
        </w:trPr>
        <w:tc>
          <w:tcPr>
            <w:tcW w:w="4135" w:type="dxa"/>
          </w:tcPr>
          <w:p w14:paraId="4700B8A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2-Butanone</w:t>
            </w:r>
          </w:p>
        </w:tc>
        <w:tc>
          <w:tcPr>
            <w:tcW w:w="1530" w:type="dxa"/>
          </w:tcPr>
          <w:p w14:paraId="01B9899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2.8876</w:t>
            </w:r>
          </w:p>
        </w:tc>
        <w:tc>
          <w:tcPr>
            <w:tcW w:w="2610" w:type="dxa"/>
          </w:tcPr>
          <w:p w14:paraId="45DEFC1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1.588E-04</w:t>
            </w:r>
          </w:p>
        </w:tc>
      </w:tr>
      <w:tr w:rsidR="00AC4B85" w:rsidRPr="00AC4B85" w14:paraId="38FB0A20" w14:textId="77777777" w:rsidTr="006742E2">
        <w:trPr>
          <w:jc w:val="center"/>
        </w:trPr>
        <w:tc>
          <w:tcPr>
            <w:tcW w:w="4135" w:type="dxa"/>
          </w:tcPr>
          <w:p w14:paraId="4BC692D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Hydroxyacetaldehyde</w:t>
            </w:r>
          </w:p>
        </w:tc>
        <w:tc>
          <w:tcPr>
            <w:tcW w:w="1530" w:type="dxa"/>
          </w:tcPr>
          <w:p w14:paraId="1BFCE6A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0.4117</w:t>
            </w:r>
          </w:p>
        </w:tc>
        <w:tc>
          <w:tcPr>
            <w:tcW w:w="2610" w:type="dxa"/>
          </w:tcPr>
          <w:p w14:paraId="502866C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9.283E-04</w:t>
            </w:r>
          </w:p>
        </w:tc>
      </w:tr>
      <w:tr w:rsidR="00AC4B85" w:rsidRPr="00AC4B85" w14:paraId="2122C4B0" w14:textId="77777777" w:rsidTr="006742E2">
        <w:trPr>
          <w:jc w:val="center"/>
        </w:trPr>
        <w:tc>
          <w:tcPr>
            <w:tcW w:w="4135" w:type="dxa"/>
          </w:tcPr>
          <w:p w14:paraId="11C04BD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2-Butenal (cis or trans)</w:t>
            </w:r>
          </w:p>
        </w:tc>
        <w:tc>
          <w:tcPr>
            <w:tcW w:w="1530" w:type="dxa"/>
          </w:tcPr>
          <w:p w14:paraId="19292A6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2.8876</w:t>
            </w:r>
          </w:p>
        </w:tc>
        <w:tc>
          <w:tcPr>
            <w:tcW w:w="2610" w:type="dxa"/>
          </w:tcPr>
          <w:p w14:paraId="5B4C81F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1.544E-04</w:t>
            </w:r>
          </w:p>
        </w:tc>
      </w:tr>
      <w:tr w:rsidR="00AC4B85" w:rsidRPr="00AC4B85" w14:paraId="70D0F0B4" w14:textId="77777777" w:rsidTr="006742E2">
        <w:trPr>
          <w:jc w:val="center"/>
        </w:trPr>
        <w:tc>
          <w:tcPr>
            <w:tcW w:w="4135" w:type="dxa"/>
          </w:tcPr>
          <w:p w14:paraId="4DE0534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2-Hydroxypropanal</w:t>
            </w:r>
          </w:p>
        </w:tc>
        <w:tc>
          <w:tcPr>
            <w:tcW w:w="1530" w:type="dxa"/>
          </w:tcPr>
          <w:p w14:paraId="31E6AAB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1.3166</w:t>
            </w:r>
          </w:p>
        </w:tc>
        <w:tc>
          <w:tcPr>
            <w:tcW w:w="2610" w:type="dxa"/>
          </w:tcPr>
          <w:p w14:paraId="79313BD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3.580E-04</w:t>
            </w:r>
          </w:p>
        </w:tc>
      </w:tr>
      <w:tr w:rsidR="00AC4B85" w:rsidRPr="00AC4B85" w14:paraId="6AEB833F" w14:textId="77777777" w:rsidTr="006742E2">
        <w:trPr>
          <w:jc w:val="center"/>
        </w:trPr>
        <w:tc>
          <w:tcPr>
            <w:tcW w:w="4135" w:type="dxa"/>
          </w:tcPr>
          <w:p w14:paraId="1AAF2EB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Acetic acid</w:t>
            </w:r>
          </w:p>
        </w:tc>
        <w:tc>
          <w:tcPr>
            <w:tcW w:w="1530" w:type="dxa"/>
          </w:tcPr>
          <w:p w14:paraId="4D9EF52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0.6845</w:t>
            </w:r>
          </w:p>
        </w:tc>
        <w:tc>
          <w:tcPr>
            <w:tcW w:w="2610" w:type="dxa"/>
          </w:tcPr>
          <w:p w14:paraId="66306DA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5.584E-04</w:t>
            </w:r>
          </w:p>
        </w:tc>
      </w:tr>
      <w:tr w:rsidR="00AC4B85" w:rsidRPr="00AC4B85" w14:paraId="27632DCD" w14:textId="77777777" w:rsidTr="006742E2">
        <w:trPr>
          <w:jc w:val="center"/>
        </w:trPr>
        <w:tc>
          <w:tcPr>
            <w:tcW w:w="4135" w:type="dxa"/>
          </w:tcPr>
          <w:p w14:paraId="6816F11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Hydroxypropanone</w:t>
            </w:r>
          </w:p>
        </w:tc>
        <w:tc>
          <w:tcPr>
            <w:tcW w:w="1530" w:type="dxa"/>
          </w:tcPr>
          <w:p w14:paraId="532BB3B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1.3962</w:t>
            </w:r>
          </w:p>
        </w:tc>
        <w:tc>
          <w:tcPr>
            <w:tcW w:w="2610" w:type="dxa"/>
          </w:tcPr>
          <w:p w14:paraId="4E9AE58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3.376E-04</w:t>
            </w:r>
          </w:p>
        </w:tc>
      </w:tr>
      <w:tr w:rsidR="00AC4B85" w:rsidRPr="00AC4B85" w14:paraId="360690E7" w14:textId="77777777" w:rsidTr="006742E2">
        <w:trPr>
          <w:jc w:val="center"/>
        </w:trPr>
        <w:tc>
          <w:tcPr>
            <w:tcW w:w="4135" w:type="dxa"/>
          </w:tcPr>
          <w:p w14:paraId="22E0E43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2-Oxo-propanoic acid methyl ester</w:t>
            </w:r>
          </w:p>
        </w:tc>
        <w:tc>
          <w:tcPr>
            <w:tcW w:w="1530" w:type="dxa"/>
          </w:tcPr>
          <w:p w14:paraId="289F1A0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1.446</w:t>
            </w:r>
          </w:p>
        </w:tc>
        <w:tc>
          <w:tcPr>
            <w:tcW w:w="2610" w:type="dxa"/>
          </w:tcPr>
          <w:p w14:paraId="7AB6131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4.497E-04</w:t>
            </w:r>
          </w:p>
        </w:tc>
      </w:tr>
      <w:tr w:rsidR="00AC4B85" w:rsidRPr="00AC4B85" w14:paraId="3F7C4F7A" w14:textId="77777777" w:rsidTr="006742E2">
        <w:trPr>
          <w:jc w:val="center"/>
        </w:trPr>
        <w:tc>
          <w:tcPr>
            <w:tcW w:w="4135" w:type="dxa"/>
          </w:tcPr>
          <w:p w14:paraId="34F1AF0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3-Methylfuran</w:t>
            </w:r>
          </w:p>
        </w:tc>
        <w:tc>
          <w:tcPr>
            <w:tcW w:w="1530" w:type="dxa"/>
          </w:tcPr>
          <w:p w14:paraId="36D499D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4.6105</w:t>
            </w:r>
          </w:p>
        </w:tc>
        <w:tc>
          <w:tcPr>
            <w:tcW w:w="2610" w:type="dxa"/>
          </w:tcPr>
          <w:p w14:paraId="151E1E4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1.133E-04</w:t>
            </w:r>
          </w:p>
        </w:tc>
      </w:tr>
      <w:tr w:rsidR="00AC4B85" w:rsidRPr="00AC4B85" w14:paraId="7F3585B1" w14:textId="77777777" w:rsidTr="006742E2">
        <w:trPr>
          <w:jc w:val="center"/>
        </w:trPr>
        <w:tc>
          <w:tcPr>
            <w:tcW w:w="4135" w:type="dxa"/>
          </w:tcPr>
          <w:p w14:paraId="1F01D25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2-Propenoic acid methyl ester</w:t>
            </w:r>
          </w:p>
        </w:tc>
        <w:tc>
          <w:tcPr>
            <w:tcW w:w="1530" w:type="dxa"/>
          </w:tcPr>
          <w:p w14:paraId="23EE1C7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2.4949</w:t>
            </w:r>
          </w:p>
        </w:tc>
        <w:tc>
          <w:tcPr>
            <w:tcW w:w="2610" w:type="dxa"/>
          </w:tcPr>
          <w:p w14:paraId="00C7773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2.196E-04</w:t>
            </w:r>
          </w:p>
        </w:tc>
      </w:tr>
      <w:tr w:rsidR="00AC4B85" w:rsidRPr="00AC4B85" w14:paraId="3BACC2E5" w14:textId="77777777" w:rsidTr="006742E2">
        <w:trPr>
          <w:jc w:val="center"/>
        </w:trPr>
        <w:tc>
          <w:tcPr>
            <w:tcW w:w="4135" w:type="dxa"/>
          </w:tcPr>
          <w:p w14:paraId="4356DC2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1-Hydroxy-2-butanone</w:t>
            </w:r>
          </w:p>
        </w:tc>
        <w:tc>
          <w:tcPr>
            <w:tcW w:w="1530" w:type="dxa"/>
          </w:tcPr>
          <w:p w14:paraId="7648852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2.3806</w:t>
            </w:r>
          </w:p>
        </w:tc>
        <w:tc>
          <w:tcPr>
            <w:tcW w:w="2610" w:type="dxa"/>
          </w:tcPr>
          <w:p w14:paraId="57282F5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3.355E-04</w:t>
            </w:r>
          </w:p>
        </w:tc>
      </w:tr>
      <w:tr w:rsidR="00AC4B85" w:rsidRPr="00AC4B85" w14:paraId="56B171C5" w14:textId="77777777" w:rsidTr="006742E2">
        <w:trPr>
          <w:jc w:val="center"/>
        </w:trPr>
        <w:tc>
          <w:tcPr>
            <w:tcW w:w="4135" w:type="dxa"/>
          </w:tcPr>
          <w:p w14:paraId="6DBD9E0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3-Hydroxypropanal</w:t>
            </w:r>
          </w:p>
        </w:tc>
        <w:tc>
          <w:tcPr>
            <w:tcW w:w="1530" w:type="dxa"/>
          </w:tcPr>
          <w:p w14:paraId="1E65A19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1.3962</w:t>
            </w:r>
          </w:p>
        </w:tc>
        <w:tc>
          <w:tcPr>
            <w:tcW w:w="2610" w:type="dxa"/>
          </w:tcPr>
          <w:p w14:paraId="3BF5906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3.376E-04</w:t>
            </w:r>
          </w:p>
        </w:tc>
      </w:tr>
      <w:tr w:rsidR="00AC4B85" w:rsidRPr="00AC4B85" w14:paraId="30265FDD" w14:textId="77777777" w:rsidTr="006742E2">
        <w:trPr>
          <w:jc w:val="center"/>
        </w:trPr>
        <w:tc>
          <w:tcPr>
            <w:tcW w:w="4135" w:type="dxa"/>
          </w:tcPr>
          <w:p w14:paraId="70666EC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(3H)-Furan-2-one</w:t>
            </w:r>
          </w:p>
        </w:tc>
        <w:tc>
          <w:tcPr>
            <w:tcW w:w="1530" w:type="dxa"/>
          </w:tcPr>
          <w:p w14:paraId="24B59F5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1.3829</w:t>
            </w:r>
          </w:p>
        </w:tc>
        <w:tc>
          <w:tcPr>
            <w:tcW w:w="2610" w:type="dxa"/>
          </w:tcPr>
          <w:p w14:paraId="66ADAF2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3.869E-04</w:t>
            </w:r>
          </w:p>
        </w:tc>
      </w:tr>
      <w:tr w:rsidR="00AC4B85" w:rsidRPr="00AC4B85" w14:paraId="7C8D4D49" w14:textId="77777777" w:rsidTr="006742E2">
        <w:trPr>
          <w:jc w:val="center"/>
        </w:trPr>
        <w:tc>
          <w:tcPr>
            <w:tcW w:w="4135" w:type="dxa"/>
          </w:tcPr>
          <w:p w14:paraId="4B38673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(2H)-Furan-3-one</w:t>
            </w:r>
          </w:p>
        </w:tc>
        <w:tc>
          <w:tcPr>
            <w:tcW w:w="1530" w:type="dxa"/>
          </w:tcPr>
          <w:p w14:paraId="4DDBAEB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1.3829</w:t>
            </w:r>
          </w:p>
        </w:tc>
        <w:tc>
          <w:tcPr>
            <w:tcW w:w="2610" w:type="dxa"/>
          </w:tcPr>
          <w:p w14:paraId="7FC9D21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3.869E-04</w:t>
            </w:r>
          </w:p>
        </w:tc>
      </w:tr>
      <w:tr w:rsidR="00AC4B85" w:rsidRPr="00AC4B85" w14:paraId="1A2683C9" w14:textId="77777777" w:rsidTr="006742E2">
        <w:trPr>
          <w:jc w:val="center"/>
        </w:trPr>
        <w:tc>
          <w:tcPr>
            <w:tcW w:w="4135" w:type="dxa"/>
          </w:tcPr>
          <w:p w14:paraId="53DAEBD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Butanedial</w:t>
            </w:r>
          </w:p>
        </w:tc>
        <w:tc>
          <w:tcPr>
            <w:tcW w:w="1530" w:type="dxa"/>
          </w:tcPr>
          <w:p w14:paraId="1095AC5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1.8373</w:t>
            </w:r>
          </w:p>
        </w:tc>
        <w:tc>
          <w:tcPr>
            <w:tcW w:w="2610" w:type="dxa"/>
          </w:tcPr>
          <w:p w14:paraId="590118F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2.981E-04</w:t>
            </w:r>
          </w:p>
        </w:tc>
      </w:tr>
      <w:tr w:rsidR="00AC4B85" w:rsidRPr="00AC4B85" w14:paraId="77511A94" w14:textId="77777777" w:rsidTr="006742E2">
        <w:trPr>
          <w:jc w:val="center"/>
        </w:trPr>
        <w:tc>
          <w:tcPr>
            <w:tcW w:w="4135" w:type="dxa"/>
          </w:tcPr>
          <w:p w14:paraId="529A6C4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2-Hydroxy-3-oxobutanal</w:t>
            </w:r>
          </w:p>
        </w:tc>
        <w:tc>
          <w:tcPr>
            <w:tcW w:w="1530" w:type="dxa"/>
          </w:tcPr>
          <w:p w14:paraId="09385A0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1.2508</w:t>
            </w:r>
          </w:p>
        </w:tc>
        <w:tc>
          <w:tcPr>
            <w:tcW w:w="2610" w:type="dxa"/>
          </w:tcPr>
          <w:p w14:paraId="51E2728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5.194E-04</w:t>
            </w:r>
          </w:p>
        </w:tc>
      </w:tr>
      <w:tr w:rsidR="00AC4B85" w:rsidRPr="00AC4B85" w14:paraId="36EFE3DA" w14:textId="77777777" w:rsidTr="006742E2">
        <w:trPr>
          <w:jc w:val="center"/>
        </w:trPr>
        <w:tc>
          <w:tcPr>
            <w:tcW w:w="4135" w:type="dxa"/>
          </w:tcPr>
          <w:p w14:paraId="7D75A90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2-Furaldehyde</w:t>
            </w:r>
          </w:p>
        </w:tc>
        <w:tc>
          <w:tcPr>
            <w:tcW w:w="1530" w:type="dxa"/>
          </w:tcPr>
          <w:p w14:paraId="25E28F1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2.3674</w:t>
            </w:r>
          </w:p>
        </w:tc>
        <w:tc>
          <w:tcPr>
            <w:tcW w:w="2610" w:type="dxa"/>
          </w:tcPr>
          <w:p w14:paraId="7F994B6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2.583E-04</w:t>
            </w:r>
          </w:p>
        </w:tc>
      </w:tr>
      <w:tr w:rsidR="00AC4B85" w:rsidRPr="00AC4B85" w14:paraId="6E5B73C1" w14:textId="77777777" w:rsidTr="006742E2">
        <w:trPr>
          <w:jc w:val="center"/>
        </w:trPr>
        <w:tc>
          <w:tcPr>
            <w:tcW w:w="4135" w:type="dxa"/>
          </w:tcPr>
          <w:p w14:paraId="2C04E5D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2-Furfuryl alcohol</w:t>
            </w:r>
          </w:p>
        </w:tc>
        <w:tc>
          <w:tcPr>
            <w:tcW w:w="1530" w:type="dxa"/>
          </w:tcPr>
          <w:p w14:paraId="52F2DD3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2.9107</w:t>
            </w:r>
          </w:p>
        </w:tc>
        <w:tc>
          <w:tcPr>
            <w:tcW w:w="2610" w:type="dxa"/>
          </w:tcPr>
          <w:p w14:paraId="4A1DA54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2.145E-04</w:t>
            </w:r>
          </w:p>
        </w:tc>
      </w:tr>
      <w:tr w:rsidR="00AC4B85" w:rsidRPr="00AC4B85" w14:paraId="19C619CD" w14:textId="77777777" w:rsidTr="006742E2">
        <w:trPr>
          <w:jc w:val="center"/>
        </w:trPr>
        <w:tc>
          <w:tcPr>
            <w:tcW w:w="4135" w:type="dxa"/>
          </w:tcPr>
          <w:p w14:paraId="4574ABD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1-Acetyloxypropane-2-one</w:t>
            </w:r>
          </w:p>
        </w:tc>
        <w:tc>
          <w:tcPr>
            <w:tcW w:w="1530" w:type="dxa"/>
          </w:tcPr>
          <w:p w14:paraId="27F0891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2.4291</w:t>
            </w:r>
          </w:p>
        </w:tc>
        <w:tc>
          <w:tcPr>
            <w:tcW w:w="2610" w:type="dxa"/>
          </w:tcPr>
          <w:p w14:paraId="51C8A74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3.042E-04</w:t>
            </w:r>
          </w:p>
        </w:tc>
      </w:tr>
      <w:tr w:rsidR="00AC4B85" w:rsidRPr="00AC4B85" w14:paraId="5A4E15E5" w14:textId="77777777" w:rsidTr="006742E2">
        <w:trPr>
          <w:jc w:val="center"/>
        </w:trPr>
        <w:tc>
          <w:tcPr>
            <w:tcW w:w="4135" w:type="dxa"/>
          </w:tcPr>
          <w:p w14:paraId="5FD87A2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Tetrahydro-4-methyl-3-furanone</w:t>
            </w:r>
          </w:p>
        </w:tc>
        <w:tc>
          <w:tcPr>
            <w:tcW w:w="1530" w:type="dxa"/>
          </w:tcPr>
          <w:p w14:paraId="0ED227B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4.2699</w:t>
            </w:r>
          </w:p>
        </w:tc>
        <w:tc>
          <w:tcPr>
            <w:tcW w:w="2610" w:type="dxa"/>
          </w:tcPr>
          <w:p w14:paraId="2F4A8E9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1.492E-04</w:t>
            </w:r>
          </w:p>
        </w:tc>
      </w:tr>
      <w:tr w:rsidR="00AC4B85" w:rsidRPr="00AC4B85" w14:paraId="3C6B51D7" w14:textId="77777777" w:rsidTr="006742E2">
        <w:trPr>
          <w:jc w:val="center"/>
        </w:trPr>
        <w:tc>
          <w:tcPr>
            <w:tcW w:w="4135" w:type="dxa"/>
          </w:tcPr>
          <w:p w14:paraId="00AACB8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2-Acetylfuran</w:t>
            </w:r>
          </w:p>
        </w:tc>
        <w:tc>
          <w:tcPr>
            <w:tcW w:w="1530" w:type="dxa"/>
          </w:tcPr>
          <w:p w14:paraId="334E017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4.6849</w:t>
            </w:r>
          </w:p>
        </w:tc>
        <w:tc>
          <w:tcPr>
            <w:tcW w:w="2610" w:type="dxa"/>
          </w:tcPr>
          <w:p w14:paraId="529BC1E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1.496E-04</w:t>
            </w:r>
          </w:p>
        </w:tc>
      </w:tr>
      <w:tr w:rsidR="00AC4B85" w:rsidRPr="00AC4B85" w14:paraId="1695D2B7" w14:textId="77777777" w:rsidTr="006742E2">
        <w:trPr>
          <w:jc w:val="center"/>
        </w:trPr>
        <w:tc>
          <w:tcPr>
            <w:tcW w:w="4135" w:type="dxa"/>
          </w:tcPr>
          <w:p w14:paraId="7C2F71D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Methoxy-dihydrofuran</w:t>
            </w:r>
          </w:p>
        </w:tc>
        <w:tc>
          <w:tcPr>
            <w:tcW w:w="1530" w:type="dxa"/>
          </w:tcPr>
          <w:p w14:paraId="432ED23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3.4793</w:t>
            </w:r>
          </w:p>
        </w:tc>
        <w:tc>
          <w:tcPr>
            <w:tcW w:w="2610" w:type="dxa"/>
          </w:tcPr>
          <w:p w14:paraId="7643801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1.831E-04</w:t>
            </w:r>
          </w:p>
        </w:tc>
      </w:tr>
      <w:tr w:rsidR="00AC4B85" w:rsidRPr="00AC4B85" w14:paraId="6C49F319" w14:textId="77777777" w:rsidTr="006742E2">
        <w:trPr>
          <w:jc w:val="center"/>
        </w:trPr>
        <w:tc>
          <w:tcPr>
            <w:tcW w:w="4135" w:type="dxa"/>
          </w:tcPr>
          <w:p w14:paraId="0CC180B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4-Cyclopentene-1,3-dione</w:t>
            </w:r>
          </w:p>
        </w:tc>
        <w:tc>
          <w:tcPr>
            <w:tcW w:w="1530" w:type="dxa"/>
          </w:tcPr>
          <w:p w14:paraId="7674865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2.8218</w:t>
            </w:r>
          </w:p>
        </w:tc>
        <w:tc>
          <w:tcPr>
            <w:tcW w:w="2610" w:type="dxa"/>
          </w:tcPr>
          <w:p w14:paraId="6F535DF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2.257E-04</w:t>
            </w:r>
          </w:p>
        </w:tc>
      </w:tr>
      <w:tr w:rsidR="00AC4B85" w:rsidRPr="00AC4B85" w14:paraId="67D44375" w14:textId="77777777" w:rsidTr="006742E2">
        <w:trPr>
          <w:jc w:val="center"/>
        </w:trPr>
        <w:tc>
          <w:tcPr>
            <w:tcW w:w="4135" w:type="dxa"/>
          </w:tcPr>
          <w:p w14:paraId="6C0002D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Dihydro-methyl-furanone</w:t>
            </w:r>
          </w:p>
        </w:tc>
        <w:tc>
          <w:tcPr>
            <w:tcW w:w="1530" w:type="dxa"/>
          </w:tcPr>
          <w:p w14:paraId="5779B63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2.3674</w:t>
            </w:r>
          </w:p>
        </w:tc>
        <w:tc>
          <w:tcPr>
            <w:tcW w:w="2610" w:type="dxa"/>
          </w:tcPr>
          <w:p w14:paraId="73503A2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2.637E-04</w:t>
            </w:r>
          </w:p>
        </w:tc>
      </w:tr>
      <w:tr w:rsidR="00AC4B85" w:rsidRPr="00AC4B85" w14:paraId="540B28FE" w14:textId="77777777" w:rsidTr="006742E2">
        <w:trPr>
          <w:jc w:val="center"/>
        </w:trPr>
        <w:tc>
          <w:tcPr>
            <w:tcW w:w="4135" w:type="dxa"/>
          </w:tcPr>
          <w:p w14:paraId="552CD66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Dihydro-methyl-furanone</w:t>
            </w:r>
          </w:p>
        </w:tc>
        <w:tc>
          <w:tcPr>
            <w:tcW w:w="1530" w:type="dxa"/>
          </w:tcPr>
          <w:p w14:paraId="342A847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2.3674</w:t>
            </w:r>
          </w:p>
        </w:tc>
        <w:tc>
          <w:tcPr>
            <w:tcW w:w="2610" w:type="dxa"/>
          </w:tcPr>
          <w:p w14:paraId="5E28888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2.637E-04</w:t>
            </w:r>
          </w:p>
        </w:tc>
      </w:tr>
      <w:tr w:rsidR="00AC4B85" w:rsidRPr="00AC4B85" w14:paraId="2B8F9FCA" w14:textId="77777777" w:rsidTr="006742E2">
        <w:trPr>
          <w:jc w:val="center"/>
        </w:trPr>
        <w:tc>
          <w:tcPr>
            <w:tcW w:w="4135" w:type="dxa"/>
          </w:tcPr>
          <w:p w14:paraId="4B3072B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5-Methyl-2-furaldehyde</w:t>
            </w:r>
          </w:p>
        </w:tc>
        <w:tc>
          <w:tcPr>
            <w:tcW w:w="1530" w:type="dxa"/>
          </w:tcPr>
          <w:p w14:paraId="1CAD932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3.3518</w:t>
            </w:r>
          </w:p>
        </w:tc>
        <w:tc>
          <w:tcPr>
            <w:tcW w:w="2610" w:type="dxa"/>
          </w:tcPr>
          <w:p w14:paraId="49F3DDC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2.090E-04</w:t>
            </w:r>
          </w:p>
        </w:tc>
      </w:tr>
      <w:tr w:rsidR="00AC4B85" w:rsidRPr="00AC4B85" w14:paraId="041DE42C" w14:textId="77777777" w:rsidTr="006742E2">
        <w:trPr>
          <w:jc w:val="center"/>
        </w:trPr>
        <w:tc>
          <w:tcPr>
            <w:tcW w:w="4135" w:type="dxa"/>
          </w:tcPr>
          <w:p w14:paraId="3FF1DE5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Isomer of compound no. 57: unknown</w:t>
            </w:r>
          </w:p>
        </w:tc>
        <w:tc>
          <w:tcPr>
            <w:tcW w:w="1530" w:type="dxa"/>
          </w:tcPr>
          <w:p w14:paraId="3CEAFD1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3.2855</w:t>
            </w:r>
          </w:p>
        </w:tc>
        <w:tc>
          <w:tcPr>
            <w:tcW w:w="2610" w:type="dxa"/>
          </w:tcPr>
          <w:p w14:paraId="1DFCBE5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2.210E-04</w:t>
            </w:r>
          </w:p>
        </w:tc>
      </w:tr>
      <w:tr w:rsidR="00AC4B85" w:rsidRPr="00AC4B85" w14:paraId="3BE83315" w14:textId="77777777" w:rsidTr="006742E2">
        <w:trPr>
          <w:jc w:val="center"/>
        </w:trPr>
        <w:tc>
          <w:tcPr>
            <w:tcW w:w="4135" w:type="dxa"/>
          </w:tcPr>
          <w:p w14:paraId="09C72F0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2,3-Dihydroxyhex-1-ene-4-one</w:t>
            </w:r>
          </w:p>
        </w:tc>
        <w:tc>
          <w:tcPr>
            <w:tcW w:w="1530" w:type="dxa"/>
          </w:tcPr>
          <w:p w14:paraId="3964A8A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3.6834</w:t>
            </w:r>
          </w:p>
        </w:tc>
        <w:tc>
          <w:tcPr>
            <w:tcW w:w="2610" w:type="dxa"/>
          </w:tcPr>
          <w:p w14:paraId="65A667C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2.248E-04</w:t>
            </w:r>
          </w:p>
        </w:tc>
      </w:tr>
      <w:tr w:rsidR="00AC4B85" w:rsidRPr="00AC4B85" w14:paraId="37B7AC18" w14:textId="77777777" w:rsidTr="006742E2">
        <w:trPr>
          <w:jc w:val="center"/>
        </w:trPr>
        <w:tc>
          <w:tcPr>
            <w:tcW w:w="4135" w:type="dxa"/>
          </w:tcPr>
          <w:p w14:paraId="55FC74C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Gamma-Butyrolactone</w:t>
            </w:r>
          </w:p>
        </w:tc>
        <w:tc>
          <w:tcPr>
            <w:tcW w:w="1530" w:type="dxa"/>
          </w:tcPr>
          <w:p w14:paraId="511919C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0.9902</w:t>
            </w:r>
          </w:p>
        </w:tc>
        <w:tc>
          <w:tcPr>
            <w:tcW w:w="2610" w:type="dxa"/>
          </w:tcPr>
          <w:p w14:paraId="4AFF1AE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5.532E-04</w:t>
            </w:r>
          </w:p>
        </w:tc>
      </w:tr>
      <w:tr w:rsidR="00AC4B85" w:rsidRPr="00AC4B85" w14:paraId="16B2D366" w14:textId="77777777" w:rsidTr="006742E2">
        <w:trPr>
          <w:jc w:val="center"/>
        </w:trPr>
        <w:tc>
          <w:tcPr>
            <w:tcW w:w="4135" w:type="dxa"/>
          </w:tcPr>
          <w:p w14:paraId="1C51D39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(5H)-Furan-2-one</w:t>
            </w:r>
          </w:p>
        </w:tc>
        <w:tc>
          <w:tcPr>
            <w:tcW w:w="1530" w:type="dxa"/>
          </w:tcPr>
          <w:p w14:paraId="0A2EE42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1.3829</w:t>
            </w:r>
          </w:p>
        </w:tc>
        <w:tc>
          <w:tcPr>
            <w:tcW w:w="2610" w:type="dxa"/>
          </w:tcPr>
          <w:p w14:paraId="43F4858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3.869E-04</w:t>
            </w:r>
          </w:p>
        </w:tc>
      </w:tr>
      <w:tr w:rsidR="00AC4B85" w:rsidRPr="00AC4B85" w14:paraId="15BBB3D2" w14:textId="77777777" w:rsidTr="006742E2">
        <w:trPr>
          <w:jc w:val="center"/>
        </w:trPr>
        <w:tc>
          <w:tcPr>
            <w:tcW w:w="4135" w:type="dxa"/>
          </w:tcPr>
          <w:p w14:paraId="6564BD9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4-Hydroxy-5,6-dihydro-(2H)-pyran-2-one</w:t>
            </w:r>
          </w:p>
        </w:tc>
        <w:tc>
          <w:tcPr>
            <w:tcW w:w="1530" w:type="dxa"/>
          </w:tcPr>
          <w:p w14:paraId="64CABD1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3.2855</w:t>
            </w:r>
          </w:p>
        </w:tc>
        <w:tc>
          <w:tcPr>
            <w:tcW w:w="2610" w:type="dxa"/>
          </w:tcPr>
          <w:p w14:paraId="50C44C9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2.210E-04</w:t>
            </w:r>
          </w:p>
        </w:tc>
      </w:tr>
      <w:tr w:rsidR="00AC4B85" w:rsidRPr="00AC4B85" w14:paraId="4EF7A0CD" w14:textId="77777777" w:rsidTr="006742E2">
        <w:trPr>
          <w:jc w:val="center"/>
        </w:trPr>
        <w:tc>
          <w:tcPr>
            <w:tcW w:w="4135" w:type="dxa"/>
          </w:tcPr>
          <w:p w14:paraId="5CEE4D2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lastRenderedPageBreak/>
              <w:t>Methyl-dihydro-(2H)-pyran-2-one</w:t>
            </w:r>
          </w:p>
        </w:tc>
        <w:tc>
          <w:tcPr>
            <w:tcW w:w="1530" w:type="dxa"/>
          </w:tcPr>
          <w:p w14:paraId="3D122D5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3.3518</w:t>
            </w:r>
          </w:p>
        </w:tc>
        <w:tc>
          <w:tcPr>
            <w:tcW w:w="2610" w:type="dxa"/>
          </w:tcPr>
          <w:p w14:paraId="7D62B64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2.128E-04</w:t>
            </w:r>
          </w:p>
        </w:tc>
      </w:tr>
      <w:tr w:rsidR="00AC4B85" w:rsidRPr="00AC4B85" w14:paraId="76B2986A" w14:textId="77777777" w:rsidTr="006742E2">
        <w:trPr>
          <w:jc w:val="center"/>
        </w:trPr>
        <w:tc>
          <w:tcPr>
            <w:tcW w:w="4135" w:type="dxa"/>
          </w:tcPr>
          <w:p w14:paraId="0CE0BE9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2-Hydroxy-1-methyl-1-cyclopentene-3-one</w:t>
            </w:r>
          </w:p>
        </w:tc>
        <w:tc>
          <w:tcPr>
            <w:tcW w:w="1530" w:type="dxa"/>
          </w:tcPr>
          <w:p w14:paraId="24FCE38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4.2699</w:t>
            </w:r>
          </w:p>
        </w:tc>
        <w:tc>
          <w:tcPr>
            <w:tcW w:w="2610" w:type="dxa"/>
          </w:tcPr>
          <w:p w14:paraId="14B173C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1.671E-04</w:t>
            </w:r>
          </w:p>
        </w:tc>
      </w:tr>
      <w:tr w:rsidR="00AC4B85" w:rsidRPr="00AC4B85" w14:paraId="3BB6AF40" w14:textId="77777777" w:rsidTr="006742E2">
        <w:trPr>
          <w:jc w:val="center"/>
        </w:trPr>
        <w:tc>
          <w:tcPr>
            <w:tcW w:w="4135" w:type="dxa"/>
          </w:tcPr>
          <w:p w14:paraId="3C8E0A8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OH-methyl-dihydropyranone</w:t>
            </w:r>
          </w:p>
        </w:tc>
        <w:tc>
          <w:tcPr>
            <w:tcW w:w="1530" w:type="dxa"/>
          </w:tcPr>
          <w:p w14:paraId="3036A5C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4.2699</w:t>
            </w:r>
          </w:p>
        </w:tc>
        <w:tc>
          <w:tcPr>
            <w:tcW w:w="2610" w:type="dxa"/>
          </w:tcPr>
          <w:p w14:paraId="3B836B4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1.909E-04</w:t>
            </w:r>
          </w:p>
        </w:tc>
      </w:tr>
      <w:tr w:rsidR="00AC4B85" w:rsidRPr="00AC4B85" w14:paraId="52B16119" w14:textId="77777777" w:rsidTr="006742E2">
        <w:trPr>
          <w:jc w:val="center"/>
        </w:trPr>
        <w:tc>
          <w:tcPr>
            <w:tcW w:w="4135" w:type="dxa"/>
          </w:tcPr>
          <w:p w14:paraId="6A6DEFC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2-Furoic acid methyl ester</w:t>
            </w:r>
          </w:p>
        </w:tc>
        <w:tc>
          <w:tcPr>
            <w:tcW w:w="1530" w:type="dxa"/>
          </w:tcPr>
          <w:p w14:paraId="1694BB1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2.9591</w:t>
            </w:r>
          </w:p>
        </w:tc>
        <w:tc>
          <w:tcPr>
            <w:tcW w:w="2610" w:type="dxa"/>
          </w:tcPr>
          <w:p w14:paraId="62D9A59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2.712E-04</w:t>
            </w:r>
          </w:p>
        </w:tc>
      </w:tr>
      <w:tr w:rsidR="00AC4B85" w:rsidRPr="00AC4B85" w14:paraId="4D246E00" w14:textId="77777777" w:rsidTr="006742E2">
        <w:trPr>
          <w:jc w:val="center"/>
        </w:trPr>
        <w:tc>
          <w:tcPr>
            <w:tcW w:w="4135" w:type="dxa"/>
          </w:tcPr>
          <w:p w14:paraId="79E6E97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3-Hydroxy-2-methyl-pyran-4-one</w:t>
            </w:r>
          </w:p>
        </w:tc>
        <w:tc>
          <w:tcPr>
            <w:tcW w:w="1530" w:type="dxa"/>
          </w:tcPr>
          <w:p w14:paraId="2A97CEA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2.7653</w:t>
            </w:r>
          </w:p>
        </w:tc>
        <w:tc>
          <w:tcPr>
            <w:tcW w:w="2610" w:type="dxa"/>
          </w:tcPr>
          <w:p w14:paraId="1CDFB4B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2.902E-04</w:t>
            </w:r>
          </w:p>
        </w:tc>
      </w:tr>
      <w:tr w:rsidR="00AC4B85" w:rsidRPr="00AC4B85" w14:paraId="27451D9A" w14:textId="77777777" w:rsidTr="006742E2">
        <w:trPr>
          <w:jc w:val="center"/>
        </w:trPr>
        <w:tc>
          <w:tcPr>
            <w:tcW w:w="4135" w:type="dxa"/>
          </w:tcPr>
          <w:p w14:paraId="099CE59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Methyl-butyraldehyde derivative</w:t>
            </w:r>
          </w:p>
        </w:tc>
        <w:tc>
          <w:tcPr>
            <w:tcW w:w="1530" w:type="dxa"/>
          </w:tcPr>
          <w:p w14:paraId="631FD74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3.8720</w:t>
            </w:r>
          </w:p>
        </w:tc>
        <w:tc>
          <w:tcPr>
            <w:tcW w:w="2610" w:type="dxa"/>
          </w:tcPr>
          <w:p w14:paraId="57926BF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1.415E-04</w:t>
            </w:r>
          </w:p>
        </w:tc>
      </w:tr>
      <w:tr w:rsidR="00AC4B85" w:rsidRPr="00AC4B85" w14:paraId="6A3276BE" w14:textId="77777777" w:rsidTr="006742E2">
        <w:trPr>
          <w:jc w:val="center"/>
        </w:trPr>
        <w:tc>
          <w:tcPr>
            <w:tcW w:w="4135" w:type="dxa"/>
          </w:tcPr>
          <w:p w14:paraId="218D773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Similar to 3-Methyl-(5H)-furan-2-one</w:t>
            </w:r>
          </w:p>
        </w:tc>
        <w:tc>
          <w:tcPr>
            <w:tcW w:w="1530" w:type="dxa"/>
          </w:tcPr>
          <w:p w14:paraId="4B240DE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2.3674</w:t>
            </w:r>
          </w:p>
        </w:tc>
        <w:tc>
          <w:tcPr>
            <w:tcW w:w="2610" w:type="dxa"/>
          </w:tcPr>
          <w:p w14:paraId="4136B10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2.637E-04</w:t>
            </w:r>
          </w:p>
        </w:tc>
      </w:tr>
      <w:tr w:rsidR="00AC4B85" w:rsidRPr="00AC4B85" w14:paraId="1A11006F" w14:textId="77777777" w:rsidTr="006742E2">
        <w:trPr>
          <w:jc w:val="center"/>
        </w:trPr>
        <w:tc>
          <w:tcPr>
            <w:tcW w:w="4135" w:type="dxa"/>
          </w:tcPr>
          <w:p w14:paraId="2D02340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Gamma-Lactone derivative</w:t>
            </w:r>
          </w:p>
        </w:tc>
        <w:tc>
          <w:tcPr>
            <w:tcW w:w="1530" w:type="dxa"/>
          </w:tcPr>
          <w:p w14:paraId="48921A8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0.9902</w:t>
            </w:r>
          </w:p>
        </w:tc>
        <w:tc>
          <w:tcPr>
            <w:tcW w:w="2610" w:type="dxa"/>
          </w:tcPr>
          <w:p w14:paraId="281072C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5.532E-04</w:t>
            </w:r>
          </w:p>
        </w:tc>
      </w:tr>
      <w:tr w:rsidR="00AC4B85" w:rsidRPr="00AC4B85" w14:paraId="5C44C14E" w14:textId="77777777" w:rsidTr="006742E2">
        <w:trPr>
          <w:jc w:val="center"/>
        </w:trPr>
        <w:tc>
          <w:tcPr>
            <w:tcW w:w="4135" w:type="dxa"/>
          </w:tcPr>
          <w:p w14:paraId="194A73A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Anhydrosugar: unknown</w:t>
            </w:r>
          </w:p>
        </w:tc>
        <w:tc>
          <w:tcPr>
            <w:tcW w:w="1530" w:type="dxa"/>
          </w:tcPr>
          <w:p w14:paraId="584277A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1.1378</w:t>
            </w:r>
          </w:p>
        </w:tc>
        <w:tc>
          <w:tcPr>
            <w:tcW w:w="2610" w:type="dxa"/>
          </w:tcPr>
          <w:p w14:paraId="08F5E45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9.069E-04</w:t>
            </w:r>
          </w:p>
        </w:tc>
      </w:tr>
      <w:tr w:rsidR="00AC4B85" w:rsidRPr="00AC4B85" w14:paraId="4B62519E" w14:textId="77777777" w:rsidTr="006742E2">
        <w:trPr>
          <w:jc w:val="center"/>
        </w:trPr>
        <w:tc>
          <w:tcPr>
            <w:tcW w:w="4135" w:type="dxa"/>
          </w:tcPr>
          <w:p w14:paraId="54B8AAE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4-hydroxy-3-methyl-(5H)-furanone</w:t>
            </w:r>
          </w:p>
        </w:tc>
        <w:tc>
          <w:tcPr>
            <w:tcW w:w="1530" w:type="dxa"/>
          </w:tcPr>
          <w:p w14:paraId="4B81F48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1.3171</w:t>
            </w:r>
          </w:p>
        </w:tc>
        <w:tc>
          <w:tcPr>
            <w:tcW w:w="2610" w:type="dxa"/>
          </w:tcPr>
          <w:p w14:paraId="538FB6B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5.513E-04</w:t>
            </w:r>
          </w:p>
        </w:tc>
      </w:tr>
      <w:tr w:rsidR="00AC4B85" w:rsidRPr="00AC4B85" w14:paraId="3D3C8D41" w14:textId="77777777" w:rsidTr="006742E2">
        <w:trPr>
          <w:jc w:val="center"/>
        </w:trPr>
        <w:tc>
          <w:tcPr>
            <w:tcW w:w="4135" w:type="dxa"/>
          </w:tcPr>
          <w:p w14:paraId="15E1F5E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1,4:3,6-Dianhydro-glucopyranose</w:t>
            </w:r>
          </w:p>
        </w:tc>
        <w:tc>
          <w:tcPr>
            <w:tcW w:w="1530" w:type="dxa"/>
          </w:tcPr>
          <w:p w14:paraId="18A2D6F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0.8062</w:t>
            </w:r>
          </w:p>
        </w:tc>
        <w:tc>
          <w:tcPr>
            <w:tcW w:w="2610" w:type="dxa"/>
          </w:tcPr>
          <w:p w14:paraId="3A1E735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1.138E-03</w:t>
            </w:r>
          </w:p>
        </w:tc>
      </w:tr>
      <w:tr w:rsidR="00AC4B85" w:rsidRPr="00AC4B85" w14:paraId="36B0E5B8" w14:textId="77777777" w:rsidTr="006742E2">
        <w:trPr>
          <w:jc w:val="center"/>
        </w:trPr>
        <w:tc>
          <w:tcPr>
            <w:tcW w:w="4135" w:type="dxa"/>
          </w:tcPr>
          <w:p w14:paraId="5703C19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1,5-Anhydro-arabinofuranose</w:t>
            </w:r>
          </w:p>
        </w:tc>
        <w:tc>
          <w:tcPr>
            <w:tcW w:w="1530" w:type="dxa"/>
          </w:tcPr>
          <w:p w14:paraId="46279D6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0.7399</w:t>
            </w:r>
          </w:p>
        </w:tc>
        <w:tc>
          <w:tcPr>
            <w:tcW w:w="2610" w:type="dxa"/>
          </w:tcPr>
          <w:p w14:paraId="78CEF59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1.136E-03</w:t>
            </w:r>
          </w:p>
        </w:tc>
      </w:tr>
      <w:tr w:rsidR="00AC4B85" w:rsidRPr="00AC4B85" w14:paraId="710CF48D" w14:textId="77777777" w:rsidTr="006742E2">
        <w:trPr>
          <w:jc w:val="center"/>
        </w:trPr>
        <w:tc>
          <w:tcPr>
            <w:tcW w:w="4135" w:type="dxa"/>
          </w:tcPr>
          <w:p w14:paraId="3B69967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5-Hydroxymethyl-2-furaldehyde (HMF)</w:t>
            </w:r>
          </w:p>
        </w:tc>
        <w:tc>
          <w:tcPr>
            <w:tcW w:w="1530" w:type="dxa"/>
          </w:tcPr>
          <w:p w14:paraId="5CBF20A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2.8449</w:t>
            </w:r>
          </w:p>
        </w:tc>
        <w:tc>
          <w:tcPr>
            <w:tcW w:w="2610" w:type="dxa"/>
          </w:tcPr>
          <w:p w14:paraId="2B54D8C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2.821E-04</w:t>
            </w:r>
          </w:p>
        </w:tc>
      </w:tr>
      <w:tr w:rsidR="00AC4B85" w:rsidRPr="00AC4B85" w14:paraId="7828AF08" w14:textId="77777777" w:rsidTr="006742E2">
        <w:trPr>
          <w:jc w:val="center"/>
        </w:trPr>
        <w:tc>
          <w:tcPr>
            <w:tcW w:w="4135" w:type="dxa"/>
          </w:tcPr>
          <w:p w14:paraId="190EB02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2-Hydroxy-butanedial</w:t>
            </w:r>
          </w:p>
        </w:tc>
        <w:tc>
          <w:tcPr>
            <w:tcW w:w="1530" w:type="dxa"/>
          </w:tcPr>
          <w:p w14:paraId="63885D1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1.2508</w:t>
            </w:r>
          </w:p>
        </w:tc>
        <w:tc>
          <w:tcPr>
            <w:tcW w:w="2610" w:type="dxa"/>
          </w:tcPr>
          <w:p w14:paraId="01676F6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5.194E-04</w:t>
            </w:r>
          </w:p>
        </w:tc>
      </w:tr>
      <w:tr w:rsidR="00AC4B85" w:rsidRPr="00AC4B85" w14:paraId="2E9F9F81" w14:textId="77777777" w:rsidTr="006742E2">
        <w:trPr>
          <w:jc w:val="center"/>
        </w:trPr>
        <w:tc>
          <w:tcPr>
            <w:tcW w:w="4135" w:type="dxa"/>
          </w:tcPr>
          <w:p w14:paraId="4BCFBB1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2-Hydroxymethyl-5-hydroxy-2,3-dihydro-(4H)-pyran-4-one</w:t>
            </w:r>
          </w:p>
        </w:tc>
        <w:tc>
          <w:tcPr>
            <w:tcW w:w="1530" w:type="dxa"/>
          </w:tcPr>
          <w:p w14:paraId="7B49706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0.7537</w:t>
            </w:r>
          </w:p>
        </w:tc>
        <w:tc>
          <w:tcPr>
            <w:tcW w:w="2610" w:type="dxa"/>
          </w:tcPr>
          <w:p w14:paraId="4B69A30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1.217E-03</w:t>
            </w:r>
          </w:p>
        </w:tc>
      </w:tr>
      <w:tr w:rsidR="00AC4B85" w:rsidRPr="00AC4B85" w14:paraId="2A995DCB" w14:textId="77777777" w:rsidTr="006742E2">
        <w:trPr>
          <w:jc w:val="center"/>
        </w:trPr>
        <w:tc>
          <w:tcPr>
            <w:tcW w:w="4135" w:type="dxa"/>
          </w:tcPr>
          <w:p w14:paraId="3CB6E38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1,5-Anhydro-beta-D-xylofuranose</w:t>
            </w:r>
          </w:p>
        </w:tc>
        <w:tc>
          <w:tcPr>
            <w:tcW w:w="1530" w:type="dxa"/>
          </w:tcPr>
          <w:p w14:paraId="4F44108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0.7399</w:t>
            </w:r>
          </w:p>
        </w:tc>
        <w:tc>
          <w:tcPr>
            <w:tcW w:w="2610" w:type="dxa"/>
          </w:tcPr>
          <w:p w14:paraId="013A09D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1.136E-03</w:t>
            </w:r>
          </w:p>
        </w:tc>
      </w:tr>
      <w:tr w:rsidR="00AC4B85" w:rsidRPr="00AC4B85" w14:paraId="2C2FD0DC" w14:textId="77777777" w:rsidTr="006742E2">
        <w:trPr>
          <w:jc w:val="center"/>
        </w:trPr>
        <w:tc>
          <w:tcPr>
            <w:tcW w:w="4135" w:type="dxa"/>
          </w:tcPr>
          <w:p w14:paraId="58B00DE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1,6-Anhydro-beta-D-mannopyranose</w:t>
            </w:r>
          </w:p>
        </w:tc>
        <w:tc>
          <w:tcPr>
            <w:tcW w:w="1530" w:type="dxa"/>
          </w:tcPr>
          <w:p w14:paraId="75128ED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1.1378</w:t>
            </w:r>
          </w:p>
        </w:tc>
        <w:tc>
          <w:tcPr>
            <w:tcW w:w="2610" w:type="dxa"/>
          </w:tcPr>
          <w:p w14:paraId="63FE41D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9.069E-04</w:t>
            </w:r>
          </w:p>
        </w:tc>
      </w:tr>
      <w:tr w:rsidR="00AC4B85" w:rsidRPr="00AC4B85" w14:paraId="1378EE91" w14:textId="77777777" w:rsidTr="006742E2">
        <w:trPr>
          <w:jc w:val="center"/>
        </w:trPr>
        <w:tc>
          <w:tcPr>
            <w:tcW w:w="4135" w:type="dxa"/>
          </w:tcPr>
          <w:p w14:paraId="416C4AE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Levoglucosan</w:t>
            </w:r>
          </w:p>
        </w:tc>
        <w:tc>
          <w:tcPr>
            <w:tcW w:w="1530" w:type="dxa"/>
          </w:tcPr>
          <w:p w14:paraId="72828EF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1.1378</w:t>
            </w:r>
          </w:p>
        </w:tc>
        <w:tc>
          <w:tcPr>
            <w:tcW w:w="2610" w:type="dxa"/>
          </w:tcPr>
          <w:p w14:paraId="15B31D5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9.069E-04</w:t>
            </w:r>
          </w:p>
        </w:tc>
      </w:tr>
      <w:tr w:rsidR="00AC4B85" w:rsidRPr="00AC4B85" w14:paraId="58D259DB" w14:textId="77777777" w:rsidTr="006742E2">
        <w:trPr>
          <w:jc w:val="center"/>
        </w:trPr>
        <w:tc>
          <w:tcPr>
            <w:tcW w:w="4135" w:type="dxa"/>
          </w:tcPr>
          <w:p w14:paraId="2164FC5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1,6-Anhydro-alpha-d-galactofuranose</w:t>
            </w:r>
          </w:p>
        </w:tc>
        <w:tc>
          <w:tcPr>
            <w:tcW w:w="1530" w:type="dxa"/>
          </w:tcPr>
          <w:p w14:paraId="3A31F41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-0.3669</w:t>
            </w:r>
          </w:p>
        </w:tc>
        <w:tc>
          <w:tcPr>
            <w:tcW w:w="2610" w:type="dxa"/>
          </w:tcPr>
          <w:p w14:paraId="296D152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-2.813E-03</w:t>
            </w:r>
          </w:p>
        </w:tc>
      </w:tr>
      <w:tr w:rsidR="00AC4B85" w:rsidRPr="00AC4B85" w14:paraId="40E61BC5" w14:textId="77777777" w:rsidTr="006742E2">
        <w:trPr>
          <w:jc w:val="center"/>
        </w:trPr>
        <w:tc>
          <w:tcPr>
            <w:tcW w:w="4135" w:type="dxa"/>
          </w:tcPr>
          <w:p w14:paraId="18CDFFB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2,3-Dihydro Furan</w:t>
            </w:r>
          </w:p>
        </w:tc>
        <w:tc>
          <w:tcPr>
            <w:tcW w:w="1530" w:type="dxa"/>
          </w:tcPr>
          <w:p w14:paraId="31D83BE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3.8520</w:t>
            </w:r>
          </w:p>
        </w:tc>
        <w:tc>
          <w:tcPr>
            <w:tcW w:w="2610" w:type="dxa"/>
          </w:tcPr>
          <w:p w14:paraId="4F7E71F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1.158E-04</w:t>
            </w:r>
          </w:p>
        </w:tc>
      </w:tr>
      <w:tr w:rsidR="00AC4B85" w:rsidRPr="00AC4B85" w14:paraId="5A689B77" w14:textId="77777777" w:rsidTr="006742E2">
        <w:trPr>
          <w:jc w:val="center"/>
        </w:trPr>
        <w:tc>
          <w:tcPr>
            <w:tcW w:w="4135" w:type="dxa"/>
          </w:tcPr>
          <w:p w14:paraId="56C419A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1,6-Heptadien-4-ol (NIST11)</w:t>
            </w:r>
          </w:p>
        </w:tc>
        <w:tc>
          <w:tcPr>
            <w:tcW w:w="1530" w:type="dxa"/>
          </w:tcPr>
          <w:p w14:paraId="3C18E14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w:t>
            </w:r>
          </w:p>
        </w:tc>
        <w:tc>
          <w:tcPr>
            <w:tcW w:w="2610" w:type="dxa"/>
          </w:tcPr>
          <w:p w14:paraId="218730D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N/A</w:t>
            </w:r>
          </w:p>
        </w:tc>
      </w:tr>
      <w:tr w:rsidR="00AC4B85" w:rsidRPr="00AC4B85" w14:paraId="2666D81C" w14:textId="77777777" w:rsidTr="006742E2">
        <w:trPr>
          <w:jc w:val="center"/>
        </w:trPr>
        <w:tc>
          <w:tcPr>
            <w:tcW w:w="4135" w:type="dxa"/>
          </w:tcPr>
          <w:p w14:paraId="7A21006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Carbon Dioxide</w:t>
            </w:r>
          </w:p>
        </w:tc>
        <w:tc>
          <w:tcPr>
            <w:tcW w:w="1530" w:type="dxa"/>
          </w:tcPr>
          <w:p w14:paraId="5F18E63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w:t>
            </w:r>
          </w:p>
        </w:tc>
        <w:tc>
          <w:tcPr>
            <w:tcW w:w="2610" w:type="dxa"/>
          </w:tcPr>
          <w:p w14:paraId="594425B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N/A</w:t>
            </w:r>
          </w:p>
        </w:tc>
      </w:tr>
      <w:tr w:rsidR="00AC4B85" w:rsidRPr="00AC4B85" w14:paraId="5758C667" w14:textId="77777777" w:rsidTr="006742E2">
        <w:trPr>
          <w:jc w:val="center"/>
        </w:trPr>
        <w:tc>
          <w:tcPr>
            <w:tcW w:w="4135" w:type="dxa"/>
          </w:tcPr>
          <w:p w14:paraId="527D77B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Levoglucosenone</w:t>
            </w:r>
          </w:p>
        </w:tc>
        <w:tc>
          <w:tcPr>
            <w:tcW w:w="1530" w:type="dxa"/>
          </w:tcPr>
          <w:p w14:paraId="3266CDF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0.3425</w:t>
            </w:r>
          </w:p>
        </w:tc>
        <w:tc>
          <w:tcPr>
            <w:tcW w:w="2610" w:type="dxa"/>
          </w:tcPr>
          <w:p w14:paraId="2CF8942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2.343E-03</w:t>
            </w:r>
          </w:p>
        </w:tc>
      </w:tr>
      <w:tr w:rsidR="00AC4B85" w:rsidRPr="00AC4B85" w14:paraId="406E2743" w14:textId="77777777" w:rsidTr="006742E2">
        <w:trPr>
          <w:jc w:val="center"/>
        </w:trPr>
        <w:tc>
          <w:tcPr>
            <w:tcW w:w="4135" w:type="dxa"/>
          </w:tcPr>
          <w:p w14:paraId="03C051A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Propanol</w:t>
            </w:r>
          </w:p>
        </w:tc>
        <w:tc>
          <w:tcPr>
            <w:tcW w:w="1530" w:type="dxa"/>
          </w:tcPr>
          <w:p w14:paraId="0408832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1.9031</w:t>
            </w:r>
          </w:p>
        </w:tc>
        <w:tc>
          <w:tcPr>
            <w:tcW w:w="2610" w:type="dxa"/>
          </w:tcPr>
          <w:p w14:paraId="559B433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2.008E-04</w:t>
            </w:r>
          </w:p>
        </w:tc>
      </w:tr>
      <w:tr w:rsidR="00AC4B85" w:rsidRPr="00AC4B85" w14:paraId="624FD8C0" w14:textId="77777777" w:rsidTr="006742E2">
        <w:trPr>
          <w:jc w:val="center"/>
        </w:trPr>
        <w:tc>
          <w:tcPr>
            <w:tcW w:w="4135" w:type="dxa"/>
          </w:tcPr>
          <w:p w14:paraId="5CE51B7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4-Methyl-2-hexanone</w:t>
            </w:r>
          </w:p>
        </w:tc>
        <w:tc>
          <w:tcPr>
            <w:tcW w:w="1530" w:type="dxa"/>
          </w:tcPr>
          <w:p w14:paraId="5C5B942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5.8409</w:t>
            </w:r>
          </w:p>
        </w:tc>
        <w:tc>
          <w:tcPr>
            <w:tcW w:w="2610" w:type="dxa"/>
          </w:tcPr>
          <w:p w14:paraId="4050440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1.243E-04</w:t>
            </w:r>
          </w:p>
        </w:tc>
      </w:tr>
      <w:tr w:rsidR="00AC4B85" w:rsidRPr="00AC4B85" w14:paraId="337465A5" w14:textId="77777777" w:rsidTr="006742E2">
        <w:trPr>
          <w:jc w:val="center"/>
        </w:trPr>
        <w:tc>
          <w:tcPr>
            <w:tcW w:w="4135" w:type="dxa"/>
          </w:tcPr>
          <w:p w14:paraId="2C3B2DC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Formic acid</w:t>
            </w:r>
          </w:p>
        </w:tc>
        <w:tc>
          <w:tcPr>
            <w:tcW w:w="1530" w:type="dxa"/>
          </w:tcPr>
          <w:p w14:paraId="7557A73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0.1775</w:t>
            </w:r>
          </w:p>
        </w:tc>
        <w:tc>
          <w:tcPr>
            <w:tcW w:w="2610" w:type="dxa"/>
          </w:tcPr>
          <w:p w14:paraId="3EB7FD1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1.651E-03</w:t>
            </w:r>
          </w:p>
        </w:tc>
      </w:tr>
      <w:tr w:rsidR="00AC4B85" w:rsidRPr="00AC4B85" w14:paraId="02517E67" w14:textId="77777777" w:rsidTr="006742E2">
        <w:trPr>
          <w:jc w:val="center"/>
        </w:trPr>
        <w:tc>
          <w:tcPr>
            <w:tcW w:w="4135" w:type="dxa"/>
          </w:tcPr>
          <w:p w14:paraId="136C371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Propanoic acid</w:t>
            </w:r>
          </w:p>
        </w:tc>
        <w:tc>
          <w:tcPr>
            <w:tcW w:w="1530" w:type="dxa"/>
          </w:tcPr>
          <w:p w14:paraId="398975F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1.6689</w:t>
            </w:r>
          </w:p>
        </w:tc>
        <w:tc>
          <w:tcPr>
            <w:tcW w:w="2610" w:type="dxa"/>
          </w:tcPr>
          <w:p w14:paraId="698083E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2.824E-04</w:t>
            </w:r>
          </w:p>
        </w:tc>
      </w:tr>
      <w:tr w:rsidR="00AC4B85" w:rsidRPr="00AC4B85" w14:paraId="22490935" w14:textId="77777777" w:rsidTr="006742E2">
        <w:trPr>
          <w:jc w:val="center"/>
        </w:trPr>
        <w:tc>
          <w:tcPr>
            <w:tcW w:w="4135" w:type="dxa"/>
          </w:tcPr>
          <w:p w14:paraId="0B6AF97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Furfuryl alcohol</w:t>
            </w:r>
          </w:p>
        </w:tc>
        <w:tc>
          <w:tcPr>
            <w:tcW w:w="1530" w:type="dxa"/>
          </w:tcPr>
          <w:p w14:paraId="21F0AE4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2.8437</w:t>
            </w:r>
          </w:p>
        </w:tc>
        <w:tc>
          <w:tcPr>
            <w:tcW w:w="2610" w:type="dxa"/>
          </w:tcPr>
          <w:p w14:paraId="295AFA8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2.195E-04</w:t>
            </w:r>
          </w:p>
        </w:tc>
      </w:tr>
      <w:tr w:rsidR="00AC4B85" w:rsidRPr="00AC4B85" w14:paraId="3E0739F8" w14:textId="77777777" w:rsidTr="006742E2">
        <w:trPr>
          <w:jc w:val="center"/>
        </w:trPr>
        <w:tc>
          <w:tcPr>
            <w:tcW w:w="4135" w:type="dxa"/>
          </w:tcPr>
          <w:p w14:paraId="66F30C6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3-Methyl-2,5-furandione</w:t>
            </w:r>
          </w:p>
        </w:tc>
        <w:tc>
          <w:tcPr>
            <w:tcW w:w="1530" w:type="dxa"/>
          </w:tcPr>
          <w:p w14:paraId="152EF0C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2.7360</w:t>
            </w:r>
          </w:p>
        </w:tc>
        <w:tc>
          <w:tcPr>
            <w:tcW w:w="2610" w:type="dxa"/>
          </w:tcPr>
          <w:p w14:paraId="44D86E2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2.607E-04</w:t>
            </w:r>
          </w:p>
        </w:tc>
      </w:tr>
      <w:tr w:rsidR="00AC4B85" w:rsidRPr="00AC4B85" w14:paraId="12831923" w14:textId="77777777" w:rsidTr="006742E2">
        <w:trPr>
          <w:jc w:val="center"/>
        </w:trPr>
        <w:tc>
          <w:tcPr>
            <w:tcW w:w="4135" w:type="dxa"/>
          </w:tcPr>
          <w:p w14:paraId="3647AA7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2-Methylpropene</w:t>
            </w:r>
          </w:p>
        </w:tc>
        <w:tc>
          <w:tcPr>
            <w:tcW w:w="1530" w:type="dxa"/>
          </w:tcPr>
          <w:p w14:paraId="7663B37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2.9534</w:t>
            </w:r>
          </w:p>
        </w:tc>
        <w:tc>
          <w:tcPr>
            <w:tcW w:w="2610" w:type="dxa"/>
          </w:tcPr>
          <w:p w14:paraId="69E85EA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9.490E-05</w:t>
            </w:r>
          </w:p>
        </w:tc>
      </w:tr>
      <w:tr w:rsidR="00AC4B85" w:rsidRPr="00AC4B85" w14:paraId="1792BBDB" w14:textId="77777777" w:rsidTr="006742E2">
        <w:trPr>
          <w:jc w:val="center"/>
        </w:trPr>
        <w:tc>
          <w:tcPr>
            <w:tcW w:w="4135" w:type="dxa"/>
          </w:tcPr>
          <w:p w14:paraId="4A68149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4H-Pyran-4-one</w:t>
            </w:r>
          </w:p>
        </w:tc>
        <w:tc>
          <w:tcPr>
            <w:tcW w:w="1530" w:type="dxa"/>
          </w:tcPr>
          <w:p w14:paraId="15EB3D5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3.7004</w:t>
            </w:r>
          </w:p>
        </w:tc>
        <w:tc>
          <w:tcPr>
            <w:tcW w:w="2610" w:type="dxa"/>
          </w:tcPr>
          <w:p w14:paraId="7C9C69C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1.652E-04</w:t>
            </w:r>
          </w:p>
        </w:tc>
      </w:tr>
      <w:tr w:rsidR="00AC4B85" w:rsidRPr="00AC4B85" w14:paraId="7F78DC9A" w14:textId="77777777" w:rsidTr="006742E2">
        <w:trPr>
          <w:jc w:val="center"/>
        </w:trPr>
        <w:tc>
          <w:tcPr>
            <w:tcW w:w="4135" w:type="dxa"/>
          </w:tcPr>
          <w:p w14:paraId="733D7BD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Methyl furan-3-carboxylate</w:t>
            </w:r>
          </w:p>
        </w:tc>
        <w:tc>
          <w:tcPr>
            <w:tcW w:w="1530" w:type="dxa"/>
          </w:tcPr>
          <w:p w14:paraId="18C4417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4.2922</w:t>
            </w:r>
          </w:p>
        </w:tc>
        <w:tc>
          <w:tcPr>
            <w:tcW w:w="2610" w:type="dxa"/>
          </w:tcPr>
          <w:p w14:paraId="3C1151B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1.870E-04</w:t>
            </w:r>
          </w:p>
        </w:tc>
      </w:tr>
      <w:tr w:rsidR="00AC4B85" w:rsidRPr="00AC4B85" w14:paraId="37BAA8DA" w14:textId="77777777" w:rsidTr="006742E2">
        <w:trPr>
          <w:jc w:val="center"/>
        </w:trPr>
        <w:tc>
          <w:tcPr>
            <w:tcW w:w="4135" w:type="dxa"/>
          </w:tcPr>
          <w:p w14:paraId="5AB3FB3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5-Hydroxymethyl furfural</w:t>
            </w:r>
          </w:p>
        </w:tc>
        <w:tc>
          <w:tcPr>
            <w:tcW w:w="1530" w:type="dxa"/>
          </w:tcPr>
          <w:p w14:paraId="45B8CC1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2.9457</w:t>
            </w:r>
          </w:p>
        </w:tc>
        <w:tc>
          <w:tcPr>
            <w:tcW w:w="2610" w:type="dxa"/>
          </w:tcPr>
          <w:p w14:paraId="5D7A4BC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2.725E-04</w:t>
            </w:r>
          </w:p>
        </w:tc>
      </w:tr>
      <w:tr w:rsidR="00AC4B85" w:rsidRPr="00AC4B85" w14:paraId="20CA15C1" w14:textId="77777777" w:rsidTr="006742E2">
        <w:trPr>
          <w:jc w:val="center"/>
        </w:trPr>
        <w:tc>
          <w:tcPr>
            <w:tcW w:w="4135" w:type="dxa"/>
          </w:tcPr>
          <w:p w14:paraId="0EEC819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2-Butenoic acid methyl ester</w:t>
            </w:r>
          </w:p>
        </w:tc>
        <w:tc>
          <w:tcPr>
            <w:tcW w:w="1530" w:type="dxa"/>
          </w:tcPr>
          <w:p w14:paraId="223397B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3.4793</w:t>
            </w:r>
          </w:p>
        </w:tc>
        <w:tc>
          <w:tcPr>
            <w:tcW w:w="2610" w:type="dxa"/>
          </w:tcPr>
          <w:p w14:paraId="3050A4A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1.831E-04</w:t>
            </w:r>
          </w:p>
        </w:tc>
      </w:tr>
      <w:tr w:rsidR="00AC4B85" w:rsidRPr="00AC4B85" w14:paraId="2BFF2CE9" w14:textId="77777777" w:rsidTr="006742E2">
        <w:trPr>
          <w:jc w:val="center"/>
        </w:trPr>
        <w:tc>
          <w:tcPr>
            <w:tcW w:w="4135" w:type="dxa"/>
          </w:tcPr>
          <w:p w14:paraId="03B15A9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3-Methylbutanal</w:t>
            </w:r>
          </w:p>
        </w:tc>
        <w:tc>
          <w:tcPr>
            <w:tcW w:w="1530" w:type="dxa"/>
          </w:tcPr>
          <w:p w14:paraId="45ED25A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3.8720</w:t>
            </w:r>
          </w:p>
        </w:tc>
        <w:tc>
          <w:tcPr>
            <w:tcW w:w="2610" w:type="dxa"/>
          </w:tcPr>
          <w:p w14:paraId="35CA467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1.415E-04</w:t>
            </w:r>
          </w:p>
        </w:tc>
      </w:tr>
      <w:tr w:rsidR="00AC4B85" w:rsidRPr="00AC4B85" w14:paraId="132B56FC" w14:textId="77777777" w:rsidTr="006742E2">
        <w:trPr>
          <w:jc w:val="center"/>
        </w:trPr>
        <w:tc>
          <w:tcPr>
            <w:tcW w:w="4135" w:type="dxa"/>
          </w:tcPr>
          <w:p w14:paraId="776AB80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2,4-Dimethylfuran</w:t>
            </w:r>
          </w:p>
        </w:tc>
        <w:tc>
          <w:tcPr>
            <w:tcW w:w="1530" w:type="dxa"/>
          </w:tcPr>
          <w:p w14:paraId="5422555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5.4547</w:t>
            </w:r>
          </w:p>
        </w:tc>
        <w:tc>
          <w:tcPr>
            <w:tcW w:w="2610" w:type="dxa"/>
          </w:tcPr>
          <w:p w14:paraId="44307CA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1.121E-04</w:t>
            </w:r>
          </w:p>
        </w:tc>
      </w:tr>
      <w:tr w:rsidR="00AC4B85" w:rsidRPr="00AC4B85" w14:paraId="579335AD" w14:textId="77777777" w:rsidTr="006742E2">
        <w:trPr>
          <w:jc w:val="center"/>
        </w:trPr>
        <w:tc>
          <w:tcPr>
            <w:tcW w:w="4135" w:type="dxa"/>
          </w:tcPr>
          <w:p w14:paraId="00B4B12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2,5-Dimethylfuran</w:t>
            </w:r>
          </w:p>
        </w:tc>
        <w:tc>
          <w:tcPr>
            <w:tcW w:w="1530" w:type="dxa"/>
          </w:tcPr>
          <w:p w14:paraId="2EFBFF9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5.4547</w:t>
            </w:r>
          </w:p>
        </w:tc>
        <w:tc>
          <w:tcPr>
            <w:tcW w:w="2610" w:type="dxa"/>
          </w:tcPr>
          <w:p w14:paraId="14889A4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1.121E-04</w:t>
            </w:r>
          </w:p>
        </w:tc>
      </w:tr>
      <w:tr w:rsidR="00AC4B85" w:rsidRPr="00AC4B85" w14:paraId="170518FC" w14:textId="77777777" w:rsidTr="006742E2">
        <w:trPr>
          <w:jc w:val="center"/>
        </w:trPr>
        <w:tc>
          <w:tcPr>
            <w:tcW w:w="4135" w:type="dxa"/>
          </w:tcPr>
          <w:p w14:paraId="457EFF8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2-Methylpropanal</w:t>
            </w:r>
          </w:p>
        </w:tc>
        <w:tc>
          <w:tcPr>
            <w:tcW w:w="1530" w:type="dxa"/>
          </w:tcPr>
          <w:p w14:paraId="341EDAA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2.8876</w:t>
            </w:r>
          </w:p>
        </w:tc>
        <w:tc>
          <w:tcPr>
            <w:tcW w:w="2610" w:type="dxa"/>
          </w:tcPr>
          <w:p w14:paraId="1EB814D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1.566E-04</w:t>
            </w:r>
          </w:p>
        </w:tc>
      </w:tr>
      <w:tr w:rsidR="00AC4B85" w:rsidRPr="00AC4B85" w14:paraId="7620B4C3" w14:textId="77777777" w:rsidTr="006742E2">
        <w:trPr>
          <w:jc w:val="center"/>
        </w:trPr>
        <w:tc>
          <w:tcPr>
            <w:tcW w:w="4135" w:type="dxa"/>
          </w:tcPr>
          <w:p w14:paraId="399C45F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1,2,3-Trimethylbenzene</w:t>
            </w:r>
          </w:p>
        </w:tc>
        <w:tc>
          <w:tcPr>
            <w:tcW w:w="1530" w:type="dxa"/>
          </w:tcPr>
          <w:p w14:paraId="3B34634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8.6027</w:t>
            </w:r>
          </w:p>
        </w:tc>
        <w:tc>
          <w:tcPr>
            <w:tcW w:w="2610" w:type="dxa"/>
          </w:tcPr>
          <w:p w14:paraId="63D1792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8.885E-05</w:t>
            </w:r>
          </w:p>
        </w:tc>
      </w:tr>
      <w:tr w:rsidR="00AC4B85" w:rsidRPr="00AC4B85" w14:paraId="6645FF42" w14:textId="77777777" w:rsidTr="006742E2">
        <w:trPr>
          <w:jc w:val="center"/>
        </w:trPr>
        <w:tc>
          <w:tcPr>
            <w:tcW w:w="4135" w:type="dxa"/>
          </w:tcPr>
          <w:p w14:paraId="5FC38B8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Acetone</w:t>
            </w:r>
          </w:p>
        </w:tc>
        <w:tc>
          <w:tcPr>
            <w:tcW w:w="1530" w:type="dxa"/>
          </w:tcPr>
          <w:p w14:paraId="6BCBDF0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1.9031</w:t>
            </w:r>
          </w:p>
        </w:tc>
        <w:tc>
          <w:tcPr>
            <w:tcW w:w="2610" w:type="dxa"/>
          </w:tcPr>
          <w:p w14:paraId="07370EF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1.941E-04</w:t>
            </w:r>
          </w:p>
        </w:tc>
      </w:tr>
      <w:tr w:rsidR="00AC4B85" w:rsidRPr="00AC4B85" w14:paraId="39B32475" w14:textId="77777777" w:rsidTr="006742E2">
        <w:trPr>
          <w:jc w:val="center"/>
        </w:trPr>
        <w:tc>
          <w:tcPr>
            <w:tcW w:w="4135" w:type="dxa"/>
          </w:tcPr>
          <w:p w14:paraId="265E658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2-Methyltetrahydrofuran</w:t>
            </w:r>
          </w:p>
        </w:tc>
        <w:tc>
          <w:tcPr>
            <w:tcW w:w="1530" w:type="dxa"/>
          </w:tcPr>
          <w:p w14:paraId="0E6A1B7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4.6105</w:t>
            </w:r>
          </w:p>
        </w:tc>
        <w:tc>
          <w:tcPr>
            <w:tcW w:w="2610" w:type="dxa"/>
          </w:tcPr>
          <w:p w14:paraId="17ABED1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1.188E-04</w:t>
            </w:r>
          </w:p>
        </w:tc>
      </w:tr>
      <w:tr w:rsidR="00AC4B85" w:rsidRPr="00AC4B85" w14:paraId="79EA2BB4" w14:textId="77777777" w:rsidTr="006742E2">
        <w:trPr>
          <w:jc w:val="center"/>
        </w:trPr>
        <w:tc>
          <w:tcPr>
            <w:tcW w:w="4135" w:type="dxa"/>
          </w:tcPr>
          <w:p w14:paraId="288A709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Benzene</w:t>
            </w:r>
          </w:p>
        </w:tc>
        <w:tc>
          <w:tcPr>
            <w:tcW w:w="1530" w:type="dxa"/>
          </w:tcPr>
          <w:p w14:paraId="620D899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5.6493</w:t>
            </w:r>
          </w:p>
        </w:tc>
        <w:tc>
          <w:tcPr>
            <w:tcW w:w="2610" w:type="dxa"/>
          </w:tcPr>
          <w:p w14:paraId="3C64966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8.795E-05</w:t>
            </w:r>
          </w:p>
        </w:tc>
      </w:tr>
      <w:tr w:rsidR="00AC4B85" w:rsidRPr="00AC4B85" w14:paraId="74A6DB53" w14:textId="77777777" w:rsidTr="006742E2">
        <w:trPr>
          <w:jc w:val="center"/>
        </w:trPr>
        <w:tc>
          <w:tcPr>
            <w:tcW w:w="4135" w:type="dxa"/>
          </w:tcPr>
          <w:p w14:paraId="279B8D2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w:t>
            </w:r>
          </w:p>
        </w:tc>
        <w:tc>
          <w:tcPr>
            <w:tcW w:w="1530" w:type="dxa"/>
          </w:tcPr>
          <w:p w14:paraId="158204D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4.8243</w:t>
            </w:r>
          </w:p>
        </w:tc>
        <w:tc>
          <w:tcPr>
            <w:tcW w:w="2610" w:type="dxa"/>
          </w:tcPr>
          <w:p w14:paraId="38000AB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1.241E-04</w:t>
            </w:r>
          </w:p>
        </w:tc>
      </w:tr>
      <w:tr w:rsidR="00AC4B85" w:rsidRPr="00AC4B85" w14:paraId="5B95C0F3" w14:textId="77777777" w:rsidTr="006742E2">
        <w:trPr>
          <w:jc w:val="center"/>
        </w:trPr>
        <w:tc>
          <w:tcPr>
            <w:tcW w:w="4135" w:type="dxa"/>
          </w:tcPr>
          <w:p w14:paraId="4038F3B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lastRenderedPageBreak/>
              <w:t>Toluene</w:t>
            </w:r>
          </w:p>
        </w:tc>
        <w:tc>
          <w:tcPr>
            <w:tcW w:w="1530" w:type="dxa"/>
          </w:tcPr>
          <w:p w14:paraId="63EB8BC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6.6338</w:t>
            </w:r>
          </w:p>
        </w:tc>
        <w:tc>
          <w:tcPr>
            <w:tcW w:w="2610" w:type="dxa"/>
          </w:tcPr>
          <w:p w14:paraId="5E5E1D4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8.834E-05</w:t>
            </w:r>
          </w:p>
        </w:tc>
      </w:tr>
      <w:tr w:rsidR="00AC4B85" w:rsidRPr="00AC4B85" w14:paraId="036C81CC" w14:textId="77777777" w:rsidTr="006742E2">
        <w:trPr>
          <w:jc w:val="center"/>
        </w:trPr>
        <w:tc>
          <w:tcPr>
            <w:tcW w:w="4135" w:type="dxa"/>
          </w:tcPr>
          <w:p w14:paraId="1B17FEC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Styrene</w:t>
            </w:r>
          </w:p>
        </w:tc>
        <w:tc>
          <w:tcPr>
            <w:tcW w:w="1530" w:type="dxa"/>
          </w:tcPr>
          <w:p w14:paraId="0296ADC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7.4780</w:t>
            </w:r>
          </w:p>
        </w:tc>
        <w:tc>
          <w:tcPr>
            <w:tcW w:w="2610" w:type="dxa"/>
          </w:tcPr>
          <w:p w14:paraId="6994903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8.859E-05</w:t>
            </w:r>
          </w:p>
        </w:tc>
      </w:tr>
      <w:tr w:rsidR="00AC4B85" w:rsidRPr="00AC4B85" w14:paraId="7C5EBE63" w14:textId="77777777" w:rsidTr="006742E2">
        <w:trPr>
          <w:jc w:val="center"/>
        </w:trPr>
        <w:tc>
          <w:tcPr>
            <w:tcW w:w="4135" w:type="dxa"/>
          </w:tcPr>
          <w:p w14:paraId="74BC18F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Benzene, ethyl-</w:t>
            </w:r>
          </w:p>
        </w:tc>
        <w:tc>
          <w:tcPr>
            <w:tcW w:w="1530" w:type="dxa"/>
          </w:tcPr>
          <w:p w14:paraId="6F17B6B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7.4780</w:t>
            </w:r>
          </w:p>
        </w:tc>
        <w:tc>
          <w:tcPr>
            <w:tcW w:w="2610" w:type="dxa"/>
          </w:tcPr>
          <w:p w14:paraId="7BC980C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9.029E-05</w:t>
            </w:r>
          </w:p>
        </w:tc>
      </w:tr>
      <w:tr w:rsidR="00AC4B85" w:rsidRPr="00AC4B85" w14:paraId="4E34EEFA" w14:textId="77777777" w:rsidTr="006742E2">
        <w:trPr>
          <w:jc w:val="center"/>
        </w:trPr>
        <w:tc>
          <w:tcPr>
            <w:tcW w:w="4135" w:type="dxa"/>
          </w:tcPr>
          <w:p w14:paraId="59BAE9A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Benzene, 1,3-/1,4-dimethyl-</w:t>
            </w:r>
          </w:p>
        </w:tc>
        <w:tc>
          <w:tcPr>
            <w:tcW w:w="1530" w:type="dxa"/>
          </w:tcPr>
          <w:p w14:paraId="72A2981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7.3378</w:t>
            </w:r>
          </w:p>
        </w:tc>
        <w:tc>
          <w:tcPr>
            <w:tcW w:w="2610" w:type="dxa"/>
          </w:tcPr>
          <w:p w14:paraId="62B17DD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9.201E-05</w:t>
            </w:r>
          </w:p>
        </w:tc>
      </w:tr>
      <w:tr w:rsidR="00AC4B85" w:rsidRPr="00AC4B85" w14:paraId="281186FC" w14:textId="77777777" w:rsidTr="006742E2">
        <w:trPr>
          <w:jc w:val="center"/>
        </w:trPr>
        <w:tc>
          <w:tcPr>
            <w:tcW w:w="4135" w:type="dxa"/>
          </w:tcPr>
          <w:p w14:paraId="5FC0D92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Benzene, 1,2-dimethyl-</w:t>
            </w:r>
          </w:p>
        </w:tc>
        <w:tc>
          <w:tcPr>
            <w:tcW w:w="1530" w:type="dxa"/>
          </w:tcPr>
          <w:p w14:paraId="0458132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7.3378</w:t>
            </w:r>
          </w:p>
        </w:tc>
        <w:tc>
          <w:tcPr>
            <w:tcW w:w="2610" w:type="dxa"/>
          </w:tcPr>
          <w:p w14:paraId="41E2778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9.201E-05</w:t>
            </w:r>
          </w:p>
        </w:tc>
      </w:tr>
      <w:tr w:rsidR="00AC4B85" w:rsidRPr="00AC4B85" w14:paraId="03AE7848" w14:textId="77777777" w:rsidTr="006742E2">
        <w:trPr>
          <w:jc w:val="center"/>
        </w:trPr>
        <w:tc>
          <w:tcPr>
            <w:tcW w:w="4135" w:type="dxa"/>
          </w:tcPr>
          <w:p w14:paraId="437449D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Benzaldehyde</w:t>
            </w:r>
          </w:p>
        </w:tc>
        <w:tc>
          <w:tcPr>
            <w:tcW w:w="1530" w:type="dxa"/>
          </w:tcPr>
          <w:p w14:paraId="5F40895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5.5836</w:t>
            </w:r>
          </w:p>
        </w:tc>
        <w:tc>
          <w:tcPr>
            <w:tcW w:w="2610" w:type="dxa"/>
          </w:tcPr>
          <w:p w14:paraId="49E224E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1.209E-04</w:t>
            </w:r>
          </w:p>
        </w:tc>
      </w:tr>
      <w:tr w:rsidR="00AC4B85" w:rsidRPr="00AC4B85" w14:paraId="29F4BA25" w14:textId="77777777" w:rsidTr="006742E2">
        <w:trPr>
          <w:jc w:val="center"/>
        </w:trPr>
        <w:tc>
          <w:tcPr>
            <w:tcW w:w="4135" w:type="dxa"/>
          </w:tcPr>
          <w:p w14:paraId="574904C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Anisole</w:t>
            </w:r>
          </w:p>
        </w:tc>
        <w:tc>
          <w:tcPr>
            <w:tcW w:w="1530" w:type="dxa"/>
          </w:tcPr>
          <w:p w14:paraId="2748F6A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5.6302</w:t>
            </w:r>
          </w:p>
        </w:tc>
        <w:tc>
          <w:tcPr>
            <w:tcW w:w="2610" w:type="dxa"/>
          </w:tcPr>
          <w:p w14:paraId="352A11A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1.222E-04</w:t>
            </w:r>
          </w:p>
        </w:tc>
      </w:tr>
      <w:tr w:rsidR="00AC4B85" w:rsidRPr="00AC4B85" w14:paraId="5AD4F5FF" w14:textId="77777777" w:rsidTr="006742E2">
        <w:trPr>
          <w:jc w:val="center"/>
        </w:trPr>
        <w:tc>
          <w:tcPr>
            <w:tcW w:w="4135" w:type="dxa"/>
          </w:tcPr>
          <w:p w14:paraId="2C95DBE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Benzylalcohol</w:t>
            </w:r>
          </w:p>
        </w:tc>
        <w:tc>
          <w:tcPr>
            <w:tcW w:w="1530" w:type="dxa"/>
          </w:tcPr>
          <w:p w14:paraId="0C23260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6.1268</w:t>
            </w:r>
          </w:p>
        </w:tc>
        <w:tc>
          <w:tcPr>
            <w:tcW w:w="2610" w:type="dxa"/>
          </w:tcPr>
          <w:p w14:paraId="3B76E25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1.123E-04</w:t>
            </w:r>
          </w:p>
        </w:tc>
      </w:tr>
      <w:tr w:rsidR="00AC4B85" w:rsidRPr="00AC4B85" w14:paraId="70332160" w14:textId="77777777" w:rsidTr="006742E2">
        <w:trPr>
          <w:jc w:val="center"/>
        </w:trPr>
        <w:tc>
          <w:tcPr>
            <w:tcW w:w="4135" w:type="dxa"/>
          </w:tcPr>
          <w:p w14:paraId="36EE16C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o-Cresol</w:t>
            </w:r>
          </w:p>
        </w:tc>
        <w:tc>
          <w:tcPr>
            <w:tcW w:w="1530" w:type="dxa"/>
          </w:tcPr>
          <w:p w14:paraId="66ED5DC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5.6685</w:t>
            </w:r>
          </w:p>
        </w:tc>
        <w:tc>
          <w:tcPr>
            <w:tcW w:w="2610" w:type="dxa"/>
          </w:tcPr>
          <w:p w14:paraId="3B34B5E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1.214E-04</w:t>
            </w:r>
          </w:p>
        </w:tc>
      </w:tr>
      <w:tr w:rsidR="00AC4B85" w:rsidRPr="00AC4B85" w14:paraId="47C4EBAE" w14:textId="77777777" w:rsidTr="006742E2">
        <w:trPr>
          <w:jc w:val="center"/>
        </w:trPr>
        <w:tc>
          <w:tcPr>
            <w:tcW w:w="4135" w:type="dxa"/>
          </w:tcPr>
          <w:p w14:paraId="7494647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m-/p-Cresol</w:t>
            </w:r>
          </w:p>
        </w:tc>
        <w:tc>
          <w:tcPr>
            <w:tcW w:w="1530" w:type="dxa"/>
          </w:tcPr>
          <w:p w14:paraId="7BE0497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5.6685</w:t>
            </w:r>
          </w:p>
        </w:tc>
        <w:tc>
          <w:tcPr>
            <w:tcW w:w="2610" w:type="dxa"/>
          </w:tcPr>
          <w:p w14:paraId="666EE7F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1.214E-04</w:t>
            </w:r>
          </w:p>
        </w:tc>
      </w:tr>
      <w:tr w:rsidR="00AC4B85" w:rsidRPr="00AC4B85" w14:paraId="038FB019" w14:textId="77777777" w:rsidTr="006742E2">
        <w:trPr>
          <w:jc w:val="center"/>
        </w:trPr>
        <w:tc>
          <w:tcPr>
            <w:tcW w:w="4135" w:type="dxa"/>
          </w:tcPr>
          <w:p w14:paraId="689257F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Catechol</w:t>
            </w:r>
          </w:p>
        </w:tc>
        <w:tc>
          <w:tcPr>
            <w:tcW w:w="1530" w:type="dxa"/>
          </w:tcPr>
          <w:p w14:paraId="51456BD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3.9992</w:t>
            </w:r>
          </w:p>
        </w:tc>
        <w:tc>
          <w:tcPr>
            <w:tcW w:w="2610" w:type="dxa"/>
          </w:tcPr>
          <w:p w14:paraId="6F46A0B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1.752E-04</w:t>
            </w:r>
          </w:p>
        </w:tc>
      </w:tr>
      <w:tr w:rsidR="00AC4B85" w:rsidRPr="00AC4B85" w14:paraId="50F12473" w14:textId="77777777" w:rsidTr="006742E2">
        <w:trPr>
          <w:jc w:val="center"/>
        </w:trPr>
        <w:tc>
          <w:tcPr>
            <w:tcW w:w="4135" w:type="dxa"/>
          </w:tcPr>
          <w:p w14:paraId="3A63640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Acetophenone</w:t>
            </w:r>
          </w:p>
        </w:tc>
        <w:tc>
          <w:tcPr>
            <w:tcW w:w="1530" w:type="dxa"/>
          </w:tcPr>
          <w:p w14:paraId="1202570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6.5680</w:t>
            </w:r>
          </w:p>
        </w:tc>
        <w:tc>
          <w:tcPr>
            <w:tcW w:w="2610" w:type="dxa"/>
          </w:tcPr>
          <w:p w14:paraId="7ED1C7F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1.164E-04</w:t>
            </w:r>
          </w:p>
        </w:tc>
      </w:tr>
      <w:tr w:rsidR="00AC4B85" w:rsidRPr="00AC4B85" w14:paraId="5B3AE699" w14:textId="77777777" w:rsidTr="006742E2">
        <w:trPr>
          <w:jc w:val="center"/>
        </w:trPr>
        <w:tc>
          <w:tcPr>
            <w:tcW w:w="4135" w:type="dxa"/>
          </w:tcPr>
          <w:p w14:paraId="4E1021D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4-vinyl-</w:t>
            </w:r>
          </w:p>
        </w:tc>
        <w:tc>
          <w:tcPr>
            <w:tcW w:w="1530" w:type="dxa"/>
          </w:tcPr>
          <w:p w14:paraId="5BEE718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6.6530</w:t>
            </w:r>
          </w:p>
        </w:tc>
        <w:tc>
          <w:tcPr>
            <w:tcW w:w="2610" w:type="dxa"/>
          </w:tcPr>
          <w:p w14:paraId="6585DB4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1.149E-04</w:t>
            </w:r>
          </w:p>
        </w:tc>
      </w:tr>
      <w:tr w:rsidR="00AC4B85" w:rsidRPr="00AC4B85" w14:paraId="5CC2D92E" w14:textId="77777777" w:rsidTr="006742E2">
        <w:trPr>
          <w:jc w:val="center"/>
        </w:trPr>
        <w:tc>
          <w:tcPr>
            <w:tcW w:w="4135" w:type="dxa"/>
          </w:tcPr>
          <w:p w14:paraId="7DAD5C5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Anisole, 3-/4-methyl-</w:t>
            </w:r>
          </w:p>
        </w:tc>
        <w:tc>
          <w:tcPr>
            <w:tcW w:w="1530" w:type="dxa"/>
          </w:tcPr>
          <w:p w14:paraId="7EBB560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6.4745</w:t>
            </w:r>
          </w:p>
        </w:tc>
        <w:tc>
          <w:tcPr>
            <w:tcW w:w="2610" w:type="dxa"/>
          </w:tcPr>
          <w:p w14:paraId="73DF68C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1.200E-04</w:t>
            </w:r>
          </w:p>
        </w:tc>
      </w:tr>
      <w:tr w:rsidR="00AC4B85" w:rsidRPr="00AC4B85" w14:paraId="3CE055A7" w14:textId="77777777" w:rsidTr="006742E2">
        <w:trPr>
          <w:jc w:val="center"/>
        </w:trPr>
        <w:tc>
          <w:tcPr>
            <w:tcW w:w="4135" w:type="dxa"/>
          </w:tcPr>
          <w:p w14:paraId="3A12998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2,6-dimethyl-</w:t>
            </w:r>
          </w:p>
        </w:tc>
        <w:tc>
          <w:tcPr>
            <w:tcW w:w="1530" w:type="dxa"/>
          </w:tcPr>
          <w:p w14:paraId="76994F8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6.5128</w:t>
            </w:r>
          </w:p>
        </w:tc>
        <w:tc>
          <w:tcPr>
            <w:tcW w:w="2610" w:type="dxa"/>
          </w:tcPr>
          <w:p w14:paraId="728D96D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1.193E-04</w:t>
            </w:r>
          </w:p>
        </w:tc>
      </w:tr>
      <w:tr w:rsidR="00AC4B85" w:rsidRPr="00AC4B85" w14:paraId="3351FC65" w14:textId="77777777" w:rsidTr="006742E2">
        <w:trPr>
          <w:jc w:val="center"/>
        </w:trPr>
        <w:tc>
          <w:tcPr>
            <w:tcW w:w="4135" w:type="dxa"/>
          </w:tcPr>
          <w:p w14:paraId="0542AD4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2-ethyl-</w:t>
            </w:r>
          </w:p>
        </w:tc>
        <w:tc>
          <w:tcPr>
            <w:tcW w:w="1530" w:type="dxa"/>
          </w:tcPr>
          <w:p w14:paraId="69FE4CD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6.6530</w:t>
            </w:r>
          </w:p>
        </w:tc>
        <w:tc>
          <w:tcPr>
            <w:tcW w:w="2610" w:type="dxa"/>
          </w:tcPr>
          <w:p w14:paraId="5BD5C77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1.168E-04</w:t>
            </w:r>
          </w:p>
        </w:tc>
      </w:tr>
      <w:tr w:rsidR="00AC4B85" w:rsidRPr="00AC4B85" w14:paraId="4A98C9E8" w14:textId="77777777" w:rsidTr="006742E2">
        <w:trPr>
          <w:jc w:val="center"/>
        </w:trPr>
        <w:tc>
          <w:tcPr>
            <w:tcW w:w="4135" w:type="dxa"/>
          </w:tcPr>
          <w:p w14:paraId="6B4C723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2,4-/2,5-dimethyl-</w:t>
            </w:r>
          </w:p>
        </w:tc>
        <w:tc>
          <w:tcPr>
            <w:tcW w:w="1530" w:type="dxa"/>
          </w:tcPr>
          <w:p w14:paraId="6EC6019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6.5128</w:t>
            </w:r>
          </w:p>
        </w:tc>
        <w:tc>
          <w:tcPr>
            <w:tcW w:w="2610" w:type="dxa"/>
          </w:tcPr>
          <w:p w14:paraId="3D38E43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1.193E-04</w:t>
            </w:r>
          </w:p>
        </w:tc>
      </w:tr>
      <w:tr w:rsidR="00AC4B85" w:rsidRPr="00AC4B85" w14:paraId="77BAE4D8" w14:textId="77777777" w:rsidTr="006742E2">
        <w:trPr>
          <w:jc w:val="center"/>
        </w:trPr>
        <w:tc>
          <w:tcPr>
            <w:tcW w:w="4135" w:type="dxa"/>
          </w:tcPr>
          <w:p w14:paraId="6286A9A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2,3-dimethyl-</w:t>
            </w:r>
          </w:p>
        </w:tc>
        <w:tc>
          <w:tcPr>
            <w:tcW w:w="1530" w:type="dxa"/>
          </w:tcPr>
          <w:p w14:paraId="6326C2A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6.5128</w:t>
            </w:r>
          </w:p>
        </w:tc>
        <w:tc>
          <w:tcPr>
            <w:tcW w:w="2610" w:type="dxa"/>
          </w:tcPr>
          <w:p w14:paraId="61077FB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1.193E-04</w:t>
            </w:r>
          </w:p>
        </w:tc>
      </w:tr>
      <w:tr w:rsidR="00AC4B85" w:rsidRPr="00AC4B85" w14:paraId="60B2B80A" w14:textId="77777777" w:rsidTr="006742E2">
        <w:trPr>
          <w:jc w:val="center"/>
        </w:trPr>
        <w:tc>
          <w:tcPr>
            <w:tcW w:w="4135" w:type="dxa"/>
          </w:tcPr>
          <w:p w14:paraId="57EA251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3-ethyl-</w:t>
            </w:r>
          </w:p>
        </w:tc>
        <w:tc>
          <w:tcPr>
            <w:tcW w:w="1530" w:type="dxa"/>
          </w:tcPr>
          <w:p w14:paraId="4C9E79B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6.6530</w:t>
            </w:r>
          </w:p>
        </w:tc>
        <w:tc>
          <w:tcPr>
            <w:tcW w:w="2610" w:type="dxa"/>
          </w:tcPr>
          <w:p w14:paraId="76B0337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1.168E-04</w:t>
            </w:r>
          </w:p>
        </w:tc>
      </w:tr>
      <w:tr w:rsidR="00AC4B85" w:rsidRPr="00AC4B85" w14:paraId="1F29F6F3" w14:textId="77777777" w:rsidTr="006742E2">
        <w:trPr>
          <w:jc w:val="center"/>
        </w:trPr>
        <w:tc>
          <w:tcPr>
            <w:tcW w:w="4135" w:type="dxa"/>
          </w:tcPr>
          <w:p w14:paraId="434B3BD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3,5-dimethyl-</w:t>
            </w:r>
          </w:p>
        </w:tc>
        <w:tc>
          <w:tcPr>
            <w:tcW w:w="1530" w:type="dxa"/>
          </w:tcPr>
          <w:p w14:paraId="38426EC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6.5128</w:t>
            </w:r>
          </w:p>
        </w:tc>
        <w:tc>
          <w:tcPr>
            <w:tcW w:w="2610" w:type="dxa"/>
          </w:tcPr>
          <w:p w14:paraId="67A0CEC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1.193E-04</w:t>
            </w:r>
          </w:p>
        </w:tc>
      </w:tr>
      <w:tr w:rsidR="00AC4B85" w:rsidRPr="00AC4B85" w14:paraId="2752CAB9" w14:textId="77777777" w:rsidTr="006742E2">
        <w:trPr>
          <w:jc w:val="center"/>
        </w:trPr>
        <w:tc>
          <w:tcPr>
            <w:tcW w:w="4135" w:type="dxa"/>
          </w:tcPr>
          <w:p w14:paraId="27F37A6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4-ethyl-</w:t>
            </w:r>
          </w:p>
        </w:tc>
        <w:tc>
          <w:tcPr>
            <w:tcW w:w="1530" w:type="dxa"/>
          </w:tcPr>
          <w:p w14:paraId="42ABAF1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6.6530</w:t>
            </w:r>
          </w:p>
        </w:tc>
        <w:tc>
          <w:tcPr>
            <w:tcW w:w="2610" w:type="dxa"/>
          </w:tcPr>
          <w:p w14:paraId="4F69C26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1.168E-04</w:t>
            </w:r>
          </w:p>
        </w:tc>
      </w:tr>
      <w:tr w:rsidR="00AC4B85" w:rsidRPr="00AC4B85" w14:paraId="467FBA9F" w14:textId="77777777" w:rsidTr="006742E2">
        <w:trPr>
          <w:jc w:val="center"/>
        </w:trPr>
        <w:tc>
          <w:tcPr>
            <w:tcW w:w="4135" w:type="dxa"/>
          </w:tcPr>
          <w:p w14:paraId="2E37D9A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Benzaldehyde, 4-hydroxy-</w:t>
            </w:r>
          </w:p>
        </w:tc>
        <w:tc>
          <w:tcPr>
            <w:tcW w:w="1530" w:type="dxa"/>
          </w:tcPr>
          <w:p w14:paraId="2FA48E5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4.7585</w:t>
            </w:r>
          </w:p>
        </w:tc>
        <w:tc>
          <w:tcPr>
            <w:tcW w:w="2610" w:type="dxa"/>
          </w:tcPr>
          <w:p w14:paraId="56F66B5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1.633E-04</w:t>
            </w:r>
          </w:p>
        </w:tc>
      </w:tr>
      <w:tr w:rsidR="00AC4B85" w:rsidRPr="00AC4B85" w14:paraId="0ABCC18A" w14:textId="77777777" w:rsidTr="006742E2">
        <w:trPr>
          <w:jc w:val="center"/>
        </w:trPr>
        <w:tc>
          <w:tcPr>
            <w:tcW w:w="4135" w:type="dxa"/>
          </w:tcPr>
          <w:p w14:paraId="2D27487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Guaiacol</w:t>
            </w:r>
          </w:p>
        </w:tc>
        <w:tc>
          <w:tcPr>
            <w:tcW w:w="1530" w:type="dxa"/>
          </w:tcPr>
          <w:p w14:paraId="5712F95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4.8052</w:t>
            </w:r>
          </w:p>
        </w:tc>
        <w:tc>
          <w:tcPr>
            <w:tcW w:w="2610" w:type="dxa"/>
          </w:tcPr>
          <w:p w14:paraId="0DF4FDE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1.644E-04</w:t>
            </w:r>
          </w:p>
        </w:tc>
      </w:tr>
      <w:tr w:rsidR="00AC4B85" w:rsidRPr="00AC4B85" w14:paraId="3B029FF7" w14:textId="77777777" w:rsidTr="006742E2">
        <w:trPr>
          <w:jc w:val="center"/>
        </w:trPr>
        <w:tc>
          <w:tcPr>
            <w:tcW w:w="4135" w:type="dxa"/>
          </w:tcPr>
          <w:p w14:paraId="065976F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Catechol, 3-methyl-</w:t>
            </w:r>
          </w:p>
        </w:tc>
        <w:tc>
          <w:tcPr>
            <w:tcW w:w="1530" w:type="dxa"/>
          </w:tcPr>
          <w:p w14:paraId="3135C58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4.8434</w:t>
            </w:r>
          </w:p>
        </w:tc>
        <w:tc>
          <w:tcPr>
            <w:tcW w:w="2610" w:type="dxa"/>
          </w:tcPr>
          <w:p w14:paraId="76E7F08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1.631E-04</w:t>
            </w:r>
          </w:p>
        </w:tc>
      </w:tr>
      <w:tr w:rsidR="00AC4B85" w:rsidRPr="00AC4B85" w14:paraId="65B92E31" w14:textId="77777777" w:rsidTr="006742E2">
        <w:trPr>
          <w:jc w:val="center"/>
        </w:trPr>
        <w:tc>
          <w:tcPr>
            <w:tcW w:w="4135" w:type="dxa"/>
          </w:tcPr>
          <w:p w14:paraId="6EBFA09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Catechol, 4-methyl-</w:t>
            </w:r>
          </w:p>
        </w:tc>
        <w:tc>
          <w:tcPr>
            <w:tcW w:w="1530" w:type="dxa"/>
          </w:tcPr>
          <w:p w14:paraId="487FD2B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4.8434</w:t>
            </w:r>
          </w:p>
        </w:tc>
        <w:tc>
          <w:tcPr>
            <w:tcW w:w="2610" w:type="dxa"/>
          </w:tcPr>
          <w:p w14:paraId="6AC369A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1.631E-04</w:t>
            </w:r>
          </w:p>
        </w:tc>
      </w:tr>
      <w:tr w:rsidR="00AC4B85" w:rsidRPr="00AC4B85" w14:paraId="4E01ED32" w14:textId="77777777" w:rsidTr="006742E2">
        <w:trPr>
          <w:jc w:val="center"/>
        </w:trPr>
        <w:tc>
          <w:tcPr>
            <w:tcW w:w="4135" w:type="dxa"/>
          </w:tcPr>
          <w:p w14:paraId="0C2DF7A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4-allyl-</w:t>
            </w:r>
          </w:p>
        </w:tc>
        <w:tc>
          <w:tcPr>
            <w:tcW w:w="1530" w:type="dxa"/>
          </w:tcPr>
          <w:p w14:paraId="5A83749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7.6374</w:t>
            </w:r>
          </w:p>
        </w:tc>
        <w:tc>
          <w:tcPr>
            <w:tcW w:w="2610" w:type="dxa"/>
          </w:tcPr>
          <w:p w14:paraId="001C053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1.118E-04</w:t>
            </w:r>
          </w:p>
        </w:tc>
      </w:tr>
      <w:tr w:rsidR="00AC4B85" w:rsidRPr="00AC4B85" w14:paraId="0E19C27D" w14:textId="77777777" w:rsidTr="006742E2">
        <w:trPr>
          <w:jc w:val="center"/>
        </w:trPr>
        <w:tc>
          <w:tcPr>
            <w:tcW w:w="4135" w:type="dxa"/>
          </w:tcPr>
          <w:p w14:paraId="3AF5708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4-propenyl- (cis)</w:t>
            </w:r>
          </w:p>
        </w:tc>
        <w:tc>
          <w:tcPr>
            <w:tcW w:w="1530" w:type="dxa"/>
          </w:tcPr>
          <w:p w14:paraId="74EBD43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7.6374</w:t>
            </w:r>
          </w:p>
        </w:tc>
        <w:tc>
          <w:tcPr>
            <w:tcW w:w="2610" w:type="dxa"/>
          </w:tcPr>
          <w:p w14:paraId="16386F7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1.118E-04</w:t>
            </w:r>
          </w:p>
        </w:tc>
      </w:tr>
      <w:tr w:rsidR="00AC4B85" w:rsidRPr="00AC4B85" w14:paraId="2B44A8FA" w14:textId="77777777" w:rsidTr="006742E2">
        <w:trPr>
          <w:jc w:val="center"/>
        </w:trPr>
        <w:tc>
          <w:tcPr>
            <w:tcW w:w="4135" w:type="dxa"/>
          </w:tcPr>
          <w:p w14:paraId="0D46F21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4-propenyl- (trans)</w:t>
            </w:r>
          </w:p>
        </w:tc>
        <w:tc>
          <w:tcPr>
            <w:tcW w:w="1530" w:type="dxa"/>
          </w:tcPr>
          <w:p w14:paraId="75C2AE3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7.6374</w:t>
            </w:r>
          </w:p>
        </w:tc>
        <w:tc>
          <w:tcPr>
            <w:tcW w:w="2610" w:type="dxa"/>
          </w:tcPr>
          <w:p w14:paraId="48A2DEA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1.118E-04</w:t>
            </w:r>
          </w:p>
        </w:tc>
      </w:tr>
      <w:tr w:rsidR="00AC4B85" w:rsidRPr="00AC4B85" w14:paraId="2FA76A92" w14:textId="77777777" w:rsidTr="006742E2">
        <w:trPr>
          <w:jc w:val="center"/>
        </w:trPr>
        <w:tc>
          <w:tcPr>
            <w:tcW w:w="4135" w:type="dxa"/>
          </w:tcPr>
          <w:p w14:paraId="04133F6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Anisole, 2,4-/2,5-dimethyl-</w:t>
            </w:r>
          </w:p>
        </w:tc>
        <w:tc>
          <w:tcPr>
            <w:tcW w:w="1530" w:type="dxa"/>
          </w:tcPr>
          <w:p w14:paraId="717468A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7.3187</w:t>
            </w:r>
          </w:p>
        </w:tc>
        <w:tc>
          <w:tcPr>
            <w:tcW w:w="2610" w:type="dxa"/>
          </w:tcPr>
          <w:p w14:paraId="19DF896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1.184E-04</w:t>
            </w:r>
          </w:p>
        </w:tc>
      </w:tr>
      <w:tr w:rsidR="00AC4B85" w:rsidRPr="00AC4B85" w14:paraId="3DBFF72F" w14:textId="77777777" w:rsidTr="006742E2">
        <w:trPr>
          <w:jc w:val="center"/>
        </w:trPr>
        <w:tc>
          <w:tcPr>
            <w:tcW w:w="4135" w:type="dxa"/>
          </w:tcPr>
          <w:p w14:paraId="44B02C5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2-propyl-</w:t>
            </w:r>
          </w:p>
        </w:tc>
        <w:tc>
          <w:tcPr>
            <w:tcW w:w="1530" w:type="dxa"/>
          </w:tcPr>
          <w:p w14:paraId="35A111F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7.6374</w:t>
            </w:r>
          </w:p>
        </w:tc>
        <w:tc>
          <w:tcPr>
            <w:tcW w:w="2610" w:type="dxa"/>
          </w:tcPr>
          <w:p w14:paraId="7F3C0CB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1.134E-04</w:t>
            </w:r>
          </w:p>
        </w:tc>
      </w:tr>
      <w:tr w:rsidR="00AC4B85" w:rsidRPr="00AC4B85" w14:paraId="0F72A310" w14:textId="77777777" w:rsidTr="006742E2">
        <w:trPr>
          <w:jc w:val="center"/>
        </w:trPr>
        <w:tc>
          <w:tcPr>
            <w:tcW w:w="4135" w:type="dxa"/>
          </w:tcPr>
          <w:p w14:paraId="087A9CE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Phenol, 4-propyl-</w:t>
            </w:r>
          </w:p>
        </w:tc>
        <w:tc>
          <w:tcPr>
            <w:tcW w:w="1530" w:type="dxa"/>
          </w:tcPr>
          <w:p w14:paraId="62E2AAD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7.6374</w:t>
            </w:r>
          </w:p>
        </w:tc>
        <w:tc>
          <w:tcPr>
            <w:tcW w:w="2610" w:type="dxa"/>
          </w:tcPr>
          <w:p w14:paraId="2CC151F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1.134E-04</w:t>
            </w:r>
          </w:p>
        </w:tc>
      </w:tr>
      <w:tr w:rsidR="00AC4B85" w:rsidRPr="00AC4B85" w14:paraId="17E57CAE" w14:textId="77777777" w:rsidTr="006742E2">
        <w:trPr>
          <w:jc w:val="center"/>
        </w:trPr>
        <w:tc>
          <w:tcPr>
            <w:tcW w:w="4135" w:type="dxa"/>
          </w:tcPr>
          <w:p w14:paraId="3BE65BF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Guaiacol, 3-methyl-</w:t>
            </w:r>
          </w:p>
        </w:tc>
        <w:tc>
          <w:tcPr>
            <w:tcW w:w="1530" w:type="dxa"/>
          </w:tcPr>
          <w:p w14:paraId="0F63646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5.6494</w:t>
            </w:r>
          </w:p>
        </w:tc>
        <w:tc>
          <w:tcPr>
            <w:tcW w:w="2610" w:type="dxa"/>
          </w:tcPr>
          <w:p w14:paraId="730EBFE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1.556E-04</w:t>
            </w:r>
          </w:p>
        </w:tc>
      </w:tr>
      <w:tr w:rsidR="00AC4B85" w:rsidRPr="00AC4B85" w14:paraId="1328F98F" w14:textId="77777777" w:rsidTr="006742E2">
        <w:trPr>
          <w:jc w:val="center"/>
        </w:trPr>
        <w:tc>
          <w:tcPr>
            <w:tcW w:w="4135" w:type="dxa"/>
          </w:tcPr>
          <w:p w14:paraId="59ECDEA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Guaiacol, 4-methyl-</w:t>
            </w:r>
          </w:p>
        </w:tc>
        <w:tc>
          <w:tcPr>
            <w:tcW w:w="1530" w:type="dxa"/>
          </w:tcPr>
          <w:p w14:paraId="6F2766E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5.6494</w:t>
            </w:r>
          </w:p>
        </w:tc>
        <w:tc>
          <w:tcPr>
            <w:tcW w:w="2610" w:type="dxa"/>
          </w:tcPr>
          <w:p w14:paraId="55A4179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1.556E-04</w:t>
            </w:r>
          </w:p>
        </w:tc>
      </w:tr>
      <w:tr w:rsidR="00AC4B85" w:rsidRPr="00AC4B85" w14:paraId="47CEB0E9" w14:textId="77777777" w:rsidTr="006742E2">
        <w:trPr>
          <w:jc w:val="center"/>
        </w:trPr>
        <w:tc>
          <w:tcPr>
            <w:tcW w:w="4135" w:type="dxa"/>
          </w:tcPr>
          <w:p w14:paraId="25FA9B4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Benzoic acid, 4-hydroxy-</w:t>
            </w:r>
          </w:p>
        </w:tc>
        <w:tc>
          <w:tcPr>
            <w:tcW w:w="1530" w:type="dxa"/>
          </w:tcPr>
          <w:p w14:paraId="1A247CD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4.5243</w:t>
            </w:r>
          </w:p>
        </w:tc>
        <w:tc>
          <w:tcPr>
            <w:tcW w:w="2610" w:type="dxa"/>
          </w:tcPr>
          <w:p w14:paraId="04D7045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1.943E-04</w:t>
            </w:r>
          </w:p>
        </w:tc>
      </w:tr>
      <w:tr w:rsidR="00AC4B85" w:rsidRPr="00AC4B85" w14:paraId="06650F5A" w14:textId="77777777" w:rsidTr="006742E2">
        <w:trPr>
          <w:jc w:val="center"/>
        </w:trPr>
        <w:tc>
          <w:tcPr>
            <w:tcW w:w="4135" w:type="dxa"/>
          </w:tcPr>
          <w:p w14:paraId="5F65A7A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Catechol, 3-methoxy-</w:t>
            </w:r>
          </w:p>
        </w:tc>
        <w:tc>
          <w:tcPr>
            <w:tcW w:w="1530" w:type="dxa"/>
          </w:tcPr>
          <w:p w14:paraId="59DE40D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3.9801</w:t>
            </w:r>
          </w:p>
        </w:tc>
        <w:tc>
          <w:tcPr>
            <w:tcW w:w="2610" w:type="dxa"/>
          </w:tcPr>
          <w:p w14:paraId="3E6A12E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2.241E-04</w:t>
            </w:r>
          </w:p>
        </w:tc>
      </w:tr>
      <w:tr w:rsidR="00AC4B85" w:rsidRPr="00AC4B85" w14:paraId="06849D9A" w14:textId="77777777" w:rsidTr="006742E2">
        <w:trPr>
          <w:jc w:val="center"/>
        </w:trPr>
        <w:tc>
          <w:tcPr>
            <w:tcW w:w="4135" w:type="dxa"/>
          </w:tcPr>
          <w:p w14:paraId="6E0AAFD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Guaiacol, 4-vinyl-</w:t>
            </w:r>
          </w:p>
        </w:tc>
        <w:tc>
          <w:tcPr>
            <w:tcW w:w="1530" w:type="dxa"/>
          </w:tcPr>
          <w:p w14:paraId="2B086AC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6.6339</w:t>
            </w:r>
          </w:p>
        </w:tc>
        <w:tc>
          <w:tcPr>
            <w:tcW w:w="2610" w:type="dxa"/>
          </w:tcPr>
          <w:p w14:paraId="7CF60E0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1.440E-04</w:t>
            </w:r>
          </w:p>
        </w:tc>
      </w:tr>
      <w:tr w:rsidR="00AC4B85" w:rsidRPr="00AC4B85" w14:paraId="27822F69" w14:textId="77777777" w:rsidTr="006742E2">
        <w:trPr>
          <w:jc w:val="center"/>
        </w:trPr>
        <w:tc>
          <w:tcPr>
            <w:tcW w:w="4135" w:type="dxa"/>
          </w:tcPr>
          <w:p w14:paraId="289ED10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Guaiacol, 3-ethyl-</w:t>
            </w:r>
          </w:p>
        </w:tc>
        <w:tc>
          <w:tcPr>
            <w:tcW w:w="1530" w:type="dxa"/>
          </w:tcPr>
          <w:p w14:paraId="6FC58FD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6.6339</w:t>
            </w:r>
          </w:p>
        </w:tc>
        <w:tc>
          <w:tcPr>
            <w:tcW w:w="2610" w:type="dxa"/>
          </w:tcPr>
          <w:p w14:paraId="092D3CC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1.459E-04</w:t>
            </w:r>
          </w:p>
        </w:tc>
      </w:tr>
      <w:tr w:rsidR="00AC4B85" w:rsidRPr="00AC4B85" w14:paraId="1266D906" w14:textId="77777777" w:rsidTr="006742E2">
        <w:trPr>
          <w:jc w:val="center"/>
        </w:trPr>
        <w:tc>
          <w:tcPr>
            <w:tcW w:w="4135" w:type="dxa"/>
          </w:tcPr>
          <w:p w14:paraId="486185B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Guaiacol, 4-ethyl-</w:t>
            </w:r>
          </w:p>
        </w:tc>
        <w:tc>
          <w:tcPr>
            <w:tcW w:w="1530" w:type="dxa"/>
          </w:tcPr>
          <w:p w14:paraId="6052BA2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6.6339</w:t>
            </w:r>
          </w:p>
        </w:tc>
        <w:tc>
          <w:tcPr>
            <w:tcW w:w="2610" w:type="dxa"/>
          </w:tcPr>
          <w:p w14:paraId="60BB743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1.459E-04</w:t>
            </w:r>
          </w:p>
        </w:tc>
      </w:tr>
      <w:tr w:rsidR="00AC4B85" w:rsidRPr="00AC4B85" w14:paraId="2D41A74C" w14:textId="77777777" w:rsidTr="006742E2">
        <w:trPr>
          <w:jc w:val="center"/>
        </w:trPr>
        <w:tc>
          <w:tcPr>
            <w:tcW w:w="4135" w:type="dxa"/>
          </w:tcPr>
          <w:p w14:paraId="0EA069A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Vanillin</w:t>
            </w:r>
          </w:p>
        </w:tc>
        <w:tc>
          <w:tcPr>
            <w:tcW w:w="1530" w:type="dxa"/>
          </w:tcPr>
          <w:p w14:paraId="3B015D5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4.7394</w:t>
            </w:r>
          </w:p>
        </w:tc>
        <w:tc>
          <w:tcPr>
            <w:tcW w:w="2610" w:type="dxa"/>
          </w:tcPr>
          <w:p w14:paraId="3E67C01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2.043E-04</w:t>
            </w:r>
          </w:p>
        </w:tc>
      </w:tr>
      <w:tr w:rsidR="00AC4B85" w:rsidRPr="00AC4B85" w14:paraId="2624D757" w14:textId="77777777" w:rsidTr="006742E2">
        <w:trPr>
          <w:jc w:val="center"/>
        </w:trPr>
        <w:tc>
          <w:tcPr>
            <w:tcW w:w="4135" w:type="dxa"/>
          </w:tcPr>
          <w:p w14:paraId="4ABBE02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Syringol</w:t>
            </w:r>
          </w:p>
        </w:tc>
        <w:tc>
          <w:tcPr>
            <w:tcW w:w="1530" w:type="dxa"/>
          </w:tcPr>
          <w:p w14:paraId="249243C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4.7860</w:t>
            </w:r>
          </w:p>
        </w:tc>
        <w:tc>
          <w:tcPr>
            <w:tcW w:w="2610" w:type="dxa"/>
          </w:tcPr>
          <w:p w14:paraId="1A400C4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2.050E-04</w:t>
            </w:r>
          </w:p>
        </w:tc>
      </w:tr>
      <w:tr w:rsidR="00AC4B85" w:rsidRPr="00AC4B85" w14:paraId="10CCA140" w14:textId="77777777" w:rsidTr="006742E2">
        <w:trPr>
          <w:jc w:val="center"/>
        </w:trPr>
        <w:tc>
          <w:tcPr>
            <w:tcW w:w="4135" w:type="dxa"/>
          </w:tcPr>
          <w:p w14:paraId="6E65F7A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Eugenol</w:t>
            </w:r>
          </w:p>
        </w:tc>
        <w:tc>
          <w:tcPr>
            <w:tcW w:w="1530" w:type="dxa"/>
          </w:tcPr>
          <w:p w14:paraId="58D998D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7.6183</w:t>
            </w:r>
          </w:p>
        </w:tc>
        <w:tc>
          <w:tcPr>
            <w:tcW w:w="2610" w:type="dxa"/>
          </w:tcPr>
          <w:p w14:paraId="2EC9DA6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1.371E-04</w:t>
            </w:r>
          </w:p>
        </w:tc>
      </w:tr>
      <w:tr w:rsidR="00AC4B85" w:rsidRPr="00AC4B85" w14:paraId="76A705A9" w14:textId="77777777" w:rsidTr="006742E2">
        <w:trPr>
          <w:jc w:val="center"/>
        </w:trPr>
        <w:tc>
          <w:tcPr>
            <w:tcW w:w="4135" w:type="dxa"/>
          </w:tcPr>
          <w:p w14:paraId="1552C31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Isoeugenol (cis)</w:t>
            </w:r>
          </w:p>
        </w:tc>
        <w:tc>
          <w:tcPr>
            <w:tcW w:w="1530" w:type="dxa"/>
          </w:tcPr>
          <w:p w14:paraId="2312C44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7.6183</w:t>
            </w:r>
          </w:p>
        </w:tc>
        <w:tc>
          <w:tcPr>
            <w:tcW w:w="2610" w:type="dxa"/>
          </w:tcPr>
          <w:p w14:paraId="22000AB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1.371E-04</w:t>
            </w:r>
          </w:p>
        </w:tc>
      </w:tr>
      <w:tr w:rsidR="00AC4B85" w:rsidRPr="00AC4B85" w14:paraId="0CD789CA" w14:textId="77777777" w:rsidTr="006742E2">
        <w:trPr>
          <w:jc w:val="center"/>
        </w:trPr>
        <w:tc>
          <w:tcPr>
            <w:tcW w:w="4135" w:type="dxa"/>
          </w:tcPr>
          <w:p w14:paraId="00910AA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Isoeugenol (trans)</w:t>
            </w:r>
          </w:p>
        </w:tc>
        <w:tc>
          <w:tcPr>
            <w:tcW w:w="1530" w:type="dxa"/>
          </w:tcPr>
          <w:p w14:paraId="5753401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7.6183</w:t>
            </w:r>
          </w:p>
        </w:tc>
        <w:tc>
          <w:tcPr>
            <w:tcW w:w="2610" w:type="dxa"/>
          </w:tcPr>
          <w:p w14:paraId="2FCDFFB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1.371E-04</w:t>
            </w:r>
          </w:p>
        </w:tc>
      </w:tr>
      <w:tr w:rsidR="00AC4B85" w:rsidRPr="00AC4B85" w14:paraId="7BA9252C" w14:textId="77777777" w:rsidTr="006742E2">
        <w:trPr>
          <w:jc w:val="center"/>
        </w:trPr>
        <w:tc>
          <w:tcPr>
            <w:tcW w:w="4135" w:type="dxa"/>
          </w:tcPr>
          <w:p w14:paraId="43CDC55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Isoeugenol (different compound)</w:t>
            </w:r>
          </w:p>
        </w:tc>
        <w:tc>
          <w:tcPr>
            <w:tcW w:w="1530" w:type="dxa"/>
          </w:tcPr>
          <w:p w14:paraId="4818E5A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7.6183</w:t>
            </w:r>
          </w:p>
        </w:tc>
        <w:tc>
          <w:tcPr>
            <w:tcW w:w="2610" w:type="dxa"/>
          </w:tcPr>
          <w:p w14:paraId="7E2F67A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1.371E-04</w:t>
            </w:r>
          </w:p>
        </w:tc>
      </w:tr>
      <w:tr w:rsidR="00AC4B85" w:rsidRPr="00AC4B85" w14:paraId="51CD9AA7" w14:textId="77777777" w:rsidTr="006742E2">
        <w:trPr>
          <w:jc w:val="center"/>
        </w:trPr>
        <w:tc>
          <w:tcPr>
            <w:tcW w:w="4135" w:type="dxa"/>
          </w:tcPr>
          <w:p w14:paraId="2303F43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Guaiacol, 4-propyl-</w:t>
            </w:r>
          </w:p>
        </w:tc>
        <w:tc>
          <w:tcPr>
            <w:tcW w:w="1530" w:type="dxa"/>
          </w:tcPr>
          <w:p w14:paraId="69BC6C6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7.6183</w:t>
            </w:r>
          </w:p>
        </w:tc>
        <w:tc>
          <w:tcPr>
            <w:tcW w:w="2610" w:type="dxa"/>
          </w:tcPr>
          <w:p w14:paraId="7C97420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1.388E-04</w:t>
            </w:r>
          </w:p>
        </w:tc>
      </w:tr>
      <w:tr w:rsidR="00AC4B85" w:rsidRPr="00AC4B85" w14:paraId="2556AC3C" w14:textId="77777777" w:rsidTr="006742E2">
        <w:trPr>
          <w:jc w:val="center"/>
        </w:trPr>
        <w:tc>
          <w:tcPr>
            <w:tcW w:w="4135" w:type="dxa"/>
          </w:tcPr>
          <w:p w14:paraId="57B2DFD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lastRenderedPageBreak/>
              <w:t>Homovanillin</w:t>
            </w:r>
          </w:p>
        </w:tc>
        <w:tc>
          <w:tcPr>
            <w:tcW w:w="1530" w:type="dxa"/>
          </w:tcPr>
          <w:p w14:paraId="04423FE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5.5836</w:t>
            </w:r>
          </w:p>
        </w:tc>
        <w:tc>
          <w:tcPr>
            <w:tcW w:w="2610" w:type="dxa"/>
          </w:tcPr>
          <w:p w14:paraId="7C996F7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1.894E-04</w:t>
            </w:r>
          </w:p>
        </w:tc>
      </w:tr>
      <w:tr w:rsidR="00AC4B85" w:rsidRPr="00AC4B85" w14:paraId="05106CCB" w14:textId="77777777" w:rsidTr="006742E2">
        <w:trPr>
          <w:jc w:val="center"/>
        </w:trPr>
        <w:tc>
          <w:tcPr>
            <w:tcW w:w="4135" w:type="dxa"/>
          </w:tcPr>
          <w:p w14:paraId="091A38A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Acetoguaiacone</w:t>
            </w:r>
          </w:p>
        </w:tc>
        <w:tc>
          <w:tcPr>
            <w:tcW w:w="1530" w:type="dxa"/>
          </w:tcPr>
          <w:p w14:paraId="4DFC947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5.7238</w:t>
            </w:r>
          </w:p>
        </w:tc>
        <w:tc>
          <w:tcPr>
            <w:tcW w:w="2610" w:type="dxa"/>
          </w:tcPr>
          <w:p w14:paraId="6DD7A63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1.847E-04</w:t>
            </w:r>
          </w:p>
        </w:tc>
      </w:tr>
      <w:tr w:rsidR="00AC4B85" w:rsidRPr="00AC4B85" w14:paraId="175D2A76" w14:textId="77777777" w:rsidTr="006742E2">
        <w:trPr>
          <w:jc w:val="center"/>
        </w:trPr>
        <w:tc>
          <w:tcPr>
            <w:tcW w:w="4135" w:type="dxa"/>
          </w:tcPr>
          <w:p w14:paraId="622A4EE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Syringol, 4-methyl-</w:t>
            </w:r>
          </w:p>
        </w:tc>
        <w:tc>
          <w:tcPr>
            <w:tcW w:w="1530" w:type="dxa"/>
          </w:tcPr>
          <w:p w14:paraId="0C23009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5.6303</w:t>
            </w:r>
          </w:p>
        </w:tc>
        <w:tc>
          <w:tcPr>
            <w:tcW w:w="2610" w:type="dxa"/>
          </w:tcPr>
          <w:p w14:paraId="35DA6B8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1.901E-04</w:t>
            </w:r>
          </w:p>
        </w:tc>
      </w:tr>
      <w:tr w:rsidR="00AC4B85" w:rsidRPr="00AC4B85" w14:paraId="210B3883" w14:textId="77777777" w:rsidTr="006742E2">
        <w:trPr>
          <w:jc w:val="center"/>
        </w:trPr>
        <w:tc>
          <w:tcPr>
            <w:tcW w:w="4135" w:type="dxa"/>
          </w:tcPr>
          <w:p w14:paraId="6C32BEB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Vanillic acid</w:t>
            </w:r>
          </w:p>
        </w:tc>
        <w:tc>
          <w:tcPr>
            <w:tcW w:w="1530" w:type="dxa"/>
          </w:tcPr>
          <w:p w14:paraId="71CB681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4.5052</w:t>
            </w:r>
          </w:p>
        </w:tc>
        <w:tc>
          <w:tcPr>
            <w:tcW w:w="2610" w:type="dxa"/>
          </w:tcPr>
          <w:p w14:paraId="236627A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2.375E-04</w:t>
            </w:r>
          </w:p>
        </w:tc>
      </w:tr>
      <w:tr w:rsidR="00AC4B85" w:rsidRPr="00AC4B85" w14:paraId="6BC9F2BD" w14:textId="77777777" w:rsidTr="006742E2">
        <w:trPr>
          <w:jc w:val="center"/>
        </w:trPr>
        <w:tc>
          <w:tcPr>
            <w:tcW w:w="4135" w:type="dxa"/>
          </w:tcPr>
          <w:p w14:paraId="4683B81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Guaiacol, 4-(oxy-allyl)-</w:t>
            </w:r>
          </w:p>
        </w:tc>
        <w:tc>
          <w:tcPr>
            <w:tcW w:w="1530" w:type="dxa"/>
          </w:tcPr>
          <w:p w14:paraId="4639C3D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6.7083</w:t>
            </w:r>
          </w:p>
        </w:tc>
        <w:tc>
          <w:tcPr>
            <w:tcW w:w="2610" w:type="dxa"/>
          </w:tcPr>
          <w:p w14:paraId="311ACA2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1.690E-04</w:t>
            </w:r>
          </w:p>
        </w:tc>
      </w:tr>
      <w:tr w:rsidR="00AC4B85" w:rsidRPr="00AC4B85" w14:paraId="7D32BE46" w14:textId="77777777" w:rsidTr="006742E2">
        <w:trPr>
          <w:jc w:val="center"/>
        </w:trPr>
        <w:tc>
          <w:tcPr>
            <w:tcW w:w="4135" w:type="dxa"/>
          </w:tcPr>
          <w:p w14:paraId="3D721BD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Coniferaldehyde</w:t>
            </w:r>
          </w:p>
        </w:tc>
        <w:tc>
          <w:tcPr>
            <w:tcW w:w="1530" w:type="dxa"/>
          </w:tcPr>
          <w:p w14:paraId="5DA2152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6.5681</w:t>
            </w:r>
          </w:p>
        </w:tc>
        <w:tc>
          <w:tcPr>
            <w:tcW w:w="2610" w:type="dxa"/>
          </w:tcPr>
          <w:p w14:paraId="2E11D55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1.726E-04</w:t>
            </w:r>
          </w:p>
        </w:tc>
      </w:tr>
      <w:tr w:rsidR="00AC4B85" w:rsidRPr="00AC4B85" w14:paraId="20BFFBE8" w14:textId="77777777" w:rsidTr="006742E2">
        <w:trPr>
          <w:jc w:val="center"/>
        </w:trPr>
        <w:tc>
          <w:tcPr>
            <w:tcW w:w="4135" w:type="dxa"/>
          </w:tcPr>
          <w:p w14:paraId="1EBA88C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Syringol, 4-vinyl-</w:t>
            </w:r>
          </w:p>
        </w:tc>
        <w:tc>
          <w:tcPr>
            <w:tcW w:w="1530" w:type="dxa"/>
          </w:tcPr>
          <w:p w14:paraId="751F069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6.6147</w:t>
            </w:r>
          </w:p>
        </w:tc>
        <w:tc>
          <w:tcPr>
            <w:tcW w:w="2610" w:type="dxa"/>
          </w:tcPr>
          <w:p w14:paraId="424D0B8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1.733E-04</w:t>
            </w:r>
          </w:p>
        </w:tc>
      </w:tr>
      <w:tr w:rsidR="00AC4B85" w:rsidRPr="00AC4B85" w14:paraId="79575083" w14:textId="77777777" w:rsidTr="006742E2">
        <w:trPr>
          <w:jc w:val="center"/>
        </w:trPr>
        <w:tc>
          <w:tcPr>
            <w:tcW w:w="4135" w:type="dxa"/>
          </w:tcPr>
          <w:p w14:paraId="002FC02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Guaiacyl acetone</w:t>
            </w:r>
          </w:p>
        </w:tc>
        <w:tc>
          <w:tcPr>
            <w:tcW w:w="1530" w:type="dxa"/>
          </w:tcPr>
          <w:p w14:paraId="42EBA64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6.5681</w:t>
            </w:r>
          </w:p>
        </w:tc>
        <w:tc>
          <w:tcPr>
            <w:tcW w:w="2610" w:type="dxa"/>
          </w:tcPr>
          <w:p w14:paraId="6557EE2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1.746E-04</w:t>
            </w:r>
          </w:p>
        </w:tc>
      </w:tr>
      <w:tr w:rsidR="00AC4B85" w:rsidRPr="00AC4B85" w14:paraId="403F10E1" w14:textId="77777777" w:rsidTr="006742E2">
        <w:trPr>
          <w:jc w:val="center"/>
        </w:trPr>
        <w:tc>
          <w:tcPr>
            <w:tcW w:w="4135" w:type="dxa"/>
          </w:tcPr>
          <w:p w14:paraId="25B89A5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Propioguaiacone</w:t>
            </w:r>
          </w:p>
        </w:tc>
        <w:tc>
          <w:tcPr>
            <w:tcW w:w="1530" w:type="dxa"/>
          </w:tcPr>
          <w:p w14:paraId="3605D30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6.7083</w:t>
            </w:r>
          </w:p>
        </w:tc>
        <w:tc>
          <w:tcPr>
            <w:tcW w:w="2610" w:type="dxa"/>
          </w:tcPr>
          <w:p w14:paraId="187E4C3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1.709E-04</w:t>
            </w:r>
          </w:p>
        </w:tc>
      </w:tr>
      <w:tr w:rsidR="00AC4B85" w:rsidRPr="00AC4B85" w14:paraId="09737B70" w14:textId="77777777" w:rsidTr="006742E2">
        <w:trPr>
          <w:jc w:val="center"/>
        </w:trPr>
        <w:tc>
          <w:tcPr>
            <w:tcW w:w="4135" w:type="dxa"/>
          </w:tcPr>
          <w:p w14:paraId="4E77705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Coniferyl alcohol</w:t>
            </w:r>
          </w:p>
        </w:tc>
        <w:tc>
          <w:tcPr>
            <w:tcW w:w="1530" w:type="dxa"/>
          </w:tcPr>
          <w:p w14:paraId="571D82F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7.1113</w:t>
            </w:r>
          </w:p>
        </w:tc>
        <w:tc>
          <w:tcPr>
            <w:tcW w:w="2610" w:type="dxa"/>
          </w:tcPr>
          <w:p w14:paraId="2235EA8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1.612E-04</w:t>
            </w:r>
          </w:p>
        </w:tc>
      </w:tr>
      <w:tr w:rsidR="00AC4B85" w:rsidRPr="00AC4B85" w14:paraId="61E7EC65" w14:textId="77777777" w:rsidTr="006742E2">
        <w:trPr>
          <w:jc w:val="center"/>
        </w:trPr>
        <w:tc>
          <w:tcPr>
            <w:tcW w:w="4135" w:type="dxa"/>
          </w:tcPr>
          <w:p w14:paraId="2E53403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Coniferyl alcohol (cis)</w:t>
            </w:r>
          </w:p>
        </w:tc>
        <w:tc>
          <w:tcPr>
            <w:tcW w:w="1530" w:type="dxa"/>
          </w:tcPr>
          <w:p w14:paraId="4AD3779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7.1113</w:t>
            </w:r>
          </w:p>
        </w:tc>
        <w:tc>
          <w:tcPr>
            <w:tcW w:w="2610" w:type="dxa"/>
          </w:tcPr>
          <w:p w14:paraId="2D9FAE2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1.612E-04</w:t>
            </w:r>
          </w:p>
        </w:tc>
      </w:tr>
      <w:tr w:rsidR="00AC4B85" w:rsidRPr="00AC4B85" w14:paraId="04497D3F" w14:textId="77777777" w:rsidTr="006742E2">
        <w:trPr>
          <w:jc w:val="center"/>
        </w:trPr>
        <w:tc>
          <w:tcPr>
            <w:tcW w:w="4135" w:type="dxa"/>
          </w:tcPr>
          <w:p w14:paraId="1964D8A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Coniferyl alcohol (trans)</w:t>
            </w:r>
          </w:p>
        </w:tc>
        <w:tc>
          <w:tcPr>
            <w:tcW w:w="1530" w:type="dxa"/>
          </w:tcPr>
          <w:p w14:paraId="4CD9339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7.1113</w:t>
            </w:r>
          </w:p>
        </w:tc>
        <w:tc>
          <w:tcPr>
            <w:tcW w:w="2610" w:type="dxa"/>
          </w:tcPr>
          <w:p w14:paraId="439D4AC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1.612E-04</w:t>
            </w:r>
          </w:p>
        </w:tc>
      </w:tr>
      <w:tr w:rsidR="00AC4B85" w:rsidRPr="00AC4B85" w14:paraId="596A1092" w14:textId="77777777" w:rsidTr="006742E2">
        <w:trPr>
          <w:jc w:val="center"/>
        </w:trPr>
        <w:tc>
          <w:tcPr>
            <w:tcW w:w="4135" w:type="dxa"/>
          </w:tcPr>
          <w:p w14:paraId="1256970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Syringol, 3-ethyl-</w:t>
            </w:r>
          </w:p>
        </w:tc>
        <w:tc>
          <w:tcPr>
            <w:tcW w:w="1530" w:type="dxa"/>
          </w:tcPr>
          <w:p w14:paraId="1EECC9C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6.6147</w:t>
            </w:r>
          </w:p>
        </w:tc>
        <w:tc>
          <w:tcPr>
            <w:tcW w:w="2610" w:type="dxa"/>
          </w:tcPr>
          <w:p w14:paraId="7D058FC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1.753E-04</w:t>
            </w:r>
          </w:p>
        </w:tc>
      </w:tr>
      <w:tr w:rsidR="00AC4B85" w:rsidRPr="00AC4B85" w14:paraId="7A5BEC51" w14:textId="77777777" w:rsidTr="006742E2">
        <w:trPr>
          <w:jc w:val="center"/>
        </w:trPr>
        <w:tc>
          <w:tcPr>
            <w:tcW w:w="4135" w:type="dxa"/>
          </w:tcPr>
          <w:p w14:paraId="550AA94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Syringol, 4-ethyl-</w:t>
            </w:r>
          </w:p>
        </w:tc>
        <w:tc>
          <w:tcPr>
            <w:tcW w:w="1530" w:type="dxa"/>
          </w:tcPr>
          <w:p w14:paraId="150DB6E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6.6147</w:t>
            </w:r>
          </w:p>
        </w:tc>
        <w:tc>
          <w:tcPr>
            <w:tcW w:w="2610" w:type="dxa"/>
          </w:tcPr>
          <w:p w14:paraId="4A2EA42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1.753E-04</w:t>
            </w:r>
          </w:p>
        </w:tc>
      </w:tr>
      <w:tr w:rsidR="00AC4B85" w:rsidRPr="00AC4B85" w14:paraId="074BA98A" w14:textId="77777777" w:rsidTr="006742E2">
        <w:trPr>
          <w:jc w:val="center"/>
        </w:trPr>
        <w:tc>
          <w:tcPr>
            <w:tcW w:w="4135" w:type="dxa"/>
          </w:tcPr>
          <w:p w14:paraId="3385C73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Dihydroconiferyl alcohol</w:t>
            </w:r>
          </w:p>
        </w:tc>
        <w:tc>
          <w:tcPr>
            <w:tcW w:w="1530" w:type="dxa"/>
          </w:tcPr>
          <w:p w14:paraId="2E37DF66"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7.1113</w:t>
            </w:r>
          </w:p>
        </w:tc>
        <w:tc>
          <w:tcPr>
            <w:tcW w:w="2610" w:type="dxa"/>
          </w:tcPr>
          <w:p w14:paraId="308206C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1.630E-04</w:t>
            </w:r>
          </w:p>
        </w:tc>
      </w:tr>
      <w:tr w:rsidR="00AC4B85" w:rsidRPr="00AC4B85" w14:paraId="628F9FB4" w14:textId="77777777" w:rsidTr="006742E2">
        <w:trPr>
          <w:jc w:val="center"/>
        </w:trPr>
        <w:tc>
          <w:tcPr>
            <w:tcW w:w="4135" w:type="dxa"/>
          </w:tcPr>
          <w:p w14:paraId="7CB3B60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Syringaldehyde</w:t>
            </w:r>
          </w:p>
        </w:tc>
        <w:tc>
          <w:tcPr>
            <w:tcW w:w="1530" w:type="dxa"/>
          </w:tcPr>
          <w:p w14:paraId="155BDCE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4.7203</w:t>
            </w:r>
          </w:p>
        </w:tc>
        <w:tc>
          <w:tcPr>
            <w:tcW w:w="2610" w:type="dxa"/>
          </w:tcPr>
          <w:p w14:paraId="00373F9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2.456E-04</w:t>
            </w:r>
          </w:p>
        </w:tc>
      </w:tr>
      <w:tr w:rsidR="00AC4B85" w:rsidRPr="00AC4B85" w14:paraId="09A70230" w14:textId="77777777" w:rsidTr="006742E2">
        <w:trPr>
          <w:jc w:val="center"/>
        </w:trPr>
        <w:tc>
          <w:tcPr>
            <w:tcW w:w="4135" w:type="dxa"/>
          </w:tcPr>
          <w:p w14:paraId="3AEEB56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Syringol, 4-allyl-</w:t>
            </w:r>
          </w:p>
        </w:tc>
        <w:tc>
          <w:tcPr>
            <w:tcW w:w="1530" w:type="dxa"/>
          </w:tcPr>
          <w:p w14:paraId="72B1FFB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7.5992</w:t>
            </w:r>
          </w:p>
        </w:tc>
        <w:tc>
          <w:tcPr>
            <w:tcW w:w="2610" w:type="dxa"/>
          </w:tcPr>
          <w:p w14:paraId="31AB09E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1.626E-04</w:t>
            </w:r>
          </w:p>
        </w:tc>
      </w:tr>
      <w:tr w:rsidR="00AC4B85" w:rsidRPr="00AC4B85" w14:paraId="3008AA48" w14:textId="77777777" w:rsidTr="006742E2">
        <w:trPr>
          <w:jc w:val="center"/>
        </w:trPr>
        <w:tc>
          <w:tcPr>
            <w:tcW w:w="4135" w:type="dxa"/>
          </w:tcPr>
          <w:p w14:paraId="670BB22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Propioguaiacone, alpha-oxy-</w:t>
            </w:r>
          </w:p>
        </w:tc>
        <w:tc>
          <w:tcPr>
            <w:tcW w:w="1530" w:type="dxa"/>
          </w:tcPr>
          <w:p w14:paraId="46BF077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5.6580</w:t>
            </w:r>
          </w:p>
        </w:tc>
        <w:tc>
          <w:tcPr>
            <w:tcW w:w="2610" w:type="dxa"/>
          </w:tcPr>
          <w:p w14:paraId="298D628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2.184E-04</w:t>
            </w:r>
          </w:p>
        </w:tc>
      </w:tr>
      <w:tr w:rsidR="00AC4B85" w:rsidRPr="00AC4B85" w14:paraId="2DAB05D7" w14:textId="77777777" w:rsidTr="006742E2">
        <w:trPr>
          <w:jc w:val="center"/>
        </w:trPr>
        <w:tc>
          <w:tcPr>
            <w:tcW w:w="4135" w:type="dxa"/>
          </w:tcPr>
          <w:p w14:paraId="5779679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Syringol, 4-propenyl- (cis)</w:t>
            </w:r>
          </w:p>
        </w:tc>
        <w:tc>
          <w:tcPr>
            <w:tcW w:w="1530" w:type="dxa"/>
          </w:tcPr>
          <w:p w14:paraId="67871697"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7.5992</w:t>
            </w:r>
          </w:p>
        </w:tc>
        <w:tc>
          <w:tcPr>
            <w:tcW w:w="2610" w:type="dxa"/>
          </w:tcPr>
          <w:p w14:paraId="447A94C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1.626E-04</w:t>
            </w:r>
          </w:p>
        </w:tc>
      </w:tr>
      <w:tr w:rsidR="00AC4B85" w:rsidRPr="00AC4B85" w14:paraId="7C286BB5" w14:textId="77777777" w:rsidTr="006742E2">
        <w:trPr>
          <w:jc w:val="center"/>
        </w:trPr>
        <w:tc>
          <w:tcPr>
            <w:tcW w:w="4135" w:type="dxa"/>
          </w:tcPr>
          <w:p w14:paraId="150BD7A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Syringol, 4-propenyl- (trans)</w:t>
            </w:r>
          </w:p>
        </w:tc>
        <w:tc>
          <w:tcPr>
            <w:tcW w:w="1530" w:type="dxa"/>
          </w:tcPr>
          <w:p w14:paraId="025C231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7.5992</w:t>
            </w:r>
          </w:p>
        </w:tc>
        <w:tc>
          <w:tcPr>
            <w:tcW w:w="2610" w:type="dxa"/>
          </w:tcPr>
          <w:p w14:paraId="23BBF16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1.626E-04</w:t>
            </w:r>
          </w:p>
        </w:tc>
      </w:tr>
      <w:tr w:rsidR="00AC4B85" w:rsidRPr="00AC4B85" w14:paraId="167E1203" w14:textId="77777777" w:rsidTr="006742E2">
        <w:trPr>
          <w:jc w:val="center"/>
        </w:trPr>
        <w:tc>
          <w:tcPr>
            <w:tcW w:w="4135" w:type="dxa"/>
          </w:tcPr>
          <w:p w14:paraId="35B9028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Syringol, 4-propyl-</w:t>
            </w:r>
          </w:p>
        </w:tc>
        <w:tc>
          <w:tcPr>
            <w:tcW w:w="1530" w:type="dxa"/>
          </w:tcPr>
          <w:p w14:paraId="15A3C88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7.5992</w:t>
            </w:r>
          </w:p>
        </w:tc>
        <w:tc>
          <w:tcPr>
            <w:tcW w:w="2610" w:type="dxa"/>
          </w:tcPr>
          <w:p w14:paraId="475156D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1.643E-04</w:t>
            </w:r>
          </w:p>
        </w:tc>
      </w:tr>
      <w:tr w:rsidR="00AC4B85" w:rsidRPr="00AC4B85" w14:paraId="1E52BED7" w14:textId="77777777" w:rsidTr="006742E2">
        <w:trPr>
          <w:jc w:val="center"/>
        </w:trPr>
        <w:tc>
          <w:tcPr>
            <w:tcW w:w="4135" w:type="dxa"/>
          </w:tcPr>
          <w:p w14:paraId="7D85B9A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Homosyringaldehyde</w:t>
            </w:r>
          </w:p>
        </w:tc>
        <w:tc>
          <w:tcPr>
            <w:tcW w:w="1530" w:type="dxa"/>
          </w:tcPr>
          <w:p w14:paraId="0E2F4CB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5.7047</w:t>
            </w:r>
          </w:p>
        </w:tc>
        <w:tc>
          <w:tcPr>
            <w:tcW w:w="2610" w:type="dxa"/>
          </w:tcPr>
          <w:p w14:paraId="479E4891"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2.188E-04</w:t>
            </w:r>
          </w:p>
        </w:tc>
      </w:tr>
      <w:tr w:rsidR="00AC4B85" w:rsidRPr="00AC4B85" w14:paraId="2BB366E7" w14:textId="77777777" w:rsidTr="006742E2">
        <w:trPr>
          <w:jc w:val="center"/>
        </w:trPr>
        <w:tc>
          <w:tcPr>
            <w:tcW w:w="4135" w:type="dxa"/>
          </w:tcPr>
          <w:p w14:paraId="6770019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Acetosyringone</w:t>
            </w:r>
          </w:p>
        </w:tc>
        <w:tc>
          <w:tcPr>
            <w:tcW w:w="1530" w:type="dxa"/>
          </w:tcPr>
          <w:p w14:paraId="4EFAD72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5.7047</w:t>
            </w:r>
          </w:p>
        </w:tc>
        <w:tc>
          <w:tcPr>
            <w:tcW w:w="2610" w:type="dxa"/>
          </w:tcPr>
          <w:p w14:paraId="081BC07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2.188E-04</w:t>
            </w:r>
          </w:p>
        </w:tc>
      </w:tr>
      <w:tr w:rsidR="00AC4B85" w:rsidRPr="00AC4B85" w14:paraId="4846872C" w14:textId="77777777" w:rsidTr="006742E2">
        <w:trPr>
          <w:jc w:val="center"/>
        </w:trPr>
        <w:tc>
          <w:tcPr>
            <w:tcW w:w="4135" w:type="dxa"/>
          </w:tcPr>
          <w:p w14:paraId="1C7F854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Syringol, 4-(oxy-allyl)-</w:t>
            </w:r>
          </w:p>
        </w:tc>
        <w:tc>
          <w:tcPr>
            <w:tcW w:w="1530" w:type="dxa"/>
          </w:tcPr>
          <w:p w14:paraId="6329F5EC"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6.6892</w:t>
            </w:r>
          </w:p>
        </w:tc>
        <w:tc>
          <w:tcPr>
            <w:tcW w:w="2610" w:type="dxa"/>
          </w:tcPr>
          <w:p w14:paraId="5BCC50D9"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2.000E-04</w:t>
            </w:r>
          </w:p>
        </w:tc>
      </w:tr>
      <w:tr w:rsidR="00AC4B85" w:rsidRPr="00AC4B85" w14:paraId="3B4EF6C8" w14:textId="77777777" w:rsidTr="006742E2">
        <w:trPr>
          <w:jc w:val="center"/>
        </w:trPr>
        <w:tc>
          <w:tcPr>
            <w:tcW w:w="4135" w:type="dxa"/>
          </w:tcPr>
          <w:p w14:paraId="54BC83D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Sinapaldehyde</w:t>
            </w:r>
          </w:p>
        </w:tc>
        <w:tc>
          <w:tcPr>
            <w:tcW w:w="1530" w:type="dxa"/>
          </w:tcPr>
          <w:p w14:paraId="5F1BB02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5.5645</w:t>
            </w:r>
          </w:p>
        </w:tc>
        <w:tc>
          <w:tcPr>
            <w:tcW w:w="2610" w:type="dxa"/>
          </w:tcPr>
          <w:p w14:paraId="4442374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2.381E-04</w:t>
            </w:r>
          </w:p>
        </w:tc>
      </w:tr>
      <w:tr w:rsidR="00AC4B85" w:rsidRPr="00AC4B85" w14:paraId="3C2D067D" w14:textId="77777777" w:rsidTr="006742E2">
        <w:trPr>
          <w:jc w:val="center"/>
        </w:trPr>
        <w:tc>
          <w:tcPr>
            <w:tcW w:w="4135" w:type="dxa"/>
          </w:tcPr>
          <w:p w14:paraId="5F5E30A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Syringyl acetone</w:t>
            </w:r>
          </w:p>
        </w:tc>
        <w:tc>
          <w:tcPr>
            <w:tcW w:w="1530" w:type="dxa"/>
          </w:tcPr>
          <w:p w14:paraId="3B7D098D"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6.5489</w:t>
            </w:r>
          </w:p>
        </w:tc>
        <w:tc>
          <w:tcPr>
            <w:tcW w:w="2610" w:type="dxa"/>
          </w:tcPr>
          <w:p w14:paraId="46E4375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2.043E-04</w:t>
            </w:r>
          </w:p>
        </w:tc>
      </w:tr>
      <w:tr w:rsidR="00AC4B85" w:rsidRPr="00AC4B85" w14:paraId="6A40B2AB" w14:textId="77777777" w:rsidTr="006742E2">
        <w:trPr>
          <w:jc w:val="center"/>
        </w:trPr>
        <w:tc>
          <w:tcPr>
            <w:tcW w:w="4135" w:type="dxa"/>
          </w:tcPr>
          <w:p w14:paraId="265EAE1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Propiosyringone</w:t>
            </w:r>
          </w:p>
        </w:tc>
        <w:tc>
          <w:tcPr>
            <w:tcW w:w="1530" w:type="dxa"/>
          </w:tcPr>
          <w:p w14:paraId="194AA46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6.6892</w:t>
            </w:r>
          </w:p>
        </w:tc>
        <w:tc>
          <w:tcPr>
            <w:tcW w:w="2610" w:type="dxa"/>
          </w:tcPr>
          <w:p w14:paraId="5F9174F5"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2.000E-04</w:t>
            </w:r>
          </w:p>
        </w:tc>
      </w:tr>
      <w:tr w:rsidR="00AC4B85" w:rsidRPr="00AC4B85" w14:paraId="6EB27557" w14:textId="77777777" w:rsidTr="006742E2">
        <w:trPr>
          <w:jc w:val="center"/>
        </w:trPr>
        <w:tc>
          <w:tcPr>
            <w:tcW w:w="4135" w:type="dxa"/>
          </w:tcPr>
          <w:p w14:paraId="4F1337E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Sinapyl alcohol</w:t>
            </w:r>
          </w:p>
        </w:tc>
        <w:tc>
          <w:tcPr>
            <w:tcW w:w="1530" w:type="dxa"/>
          </w:tcPr>
          <w:p w14:paraId="2F5403A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7.0922</w:t>
            </w:r>
          </w:p>
        </w:tc>
        <w:tc>
          <w:tcPr>
            <w:tcW w:w="2610" w:type="dxa"/>
          </w:tcPr>
          <w:p w14:paraId="451C6DF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1.886E-04</w:t>
            </w:r>
          </w:p>
        </w:tc>
      </w:tr>
      <w:tr w:rsidR="00AC4B85" w:rsidRPr="00AC4B85" w14:paraId="0C2B2206" w14:textId="77777777" w:rsidTr="006742E2">
        <w:trPr>
          <w:jc w:val="center"/>
        </w:trPr>
        <w:tc>
          <w:tcPr>
            <w:tcW w:w="4135" w:type="dxa"/>
          </w:tcPr>
          <w:p w14:paraId="4F4C6CB0"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Sinapyl alcohol (cis)</w:t>
            </w:r>
          </w:p>
        </w:tc>
        <w:tc>
          <w:tcPr>
            <w:tcW w:w="1530" w:type="dxa"/>
          </w:tcPr>
          <w:p w14:paraId="41F26CE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7.0922</w:t>
            </w:r>
          </w:p>
        </w:tc>
        <w:tc>
          <w:tcPr>
            <w:tcW w:w="2610" w:type="dxa"/>
          </w:tcPr>
          <w:p w14:paraId="0C49F43B"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1.886E-04</w:t>
            </w:r>
          </w:p>
        </w:tc>
      </w:tr>
      <w:tr w:rsidR="00AC4B85" w:rsidRPr="00AC4B85" w14:paraId="25078653" w14:textId="77777777" w:rsidTr="006742E2">
        <w:trPr>
          <w:jc w:val="center"/>
        </w:trPr>
        <w:tc>
          <w:tcPr>
            <w:tcW w:w="4135" w:type="dxa"/>
          </w:tcPr>
          <w:p w14:paraId="6DC5088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Sinapyl alcohol (trans)</w:t>
            </w:r>
          </w:p>
        </w:tc>
        <w:tc>
          <w:tcPr>
            <w:tcW w:w="1530" w:type="dxa"/>
          </w:tcPr>
          <w:p w14:paraId="3AE6419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7.0922</w:t>
            </w:r>
          </w:p>
        </w:tc>
        <w:tc>
          <w:tcPr>
            <w:tcW w:w="2610" w:type="dxa"/>
          </w:tcPr>
          <w:p w14:paraId="2E704B5A"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1.886E-04</w:t>
            </w:r>
          </w:p>
        </w:tc>
      </w:tr>
      <w:tr w:rsidR="00AC4B85" w:rsidRPr="00AC4B85" w14:paraId="74C4BAA3" w14:textId="77777777" w:rsidTr="006742E2">
        <w:trPr>
          <w:jc w:val="center"/>
        </w:trPr>
        <w:tc>
          <w:tcPr>
            <w:tcW w:w="4135" w:type="dxa"/>
          </w:tcPr>
          <w:p w14:paraId="2CB8F4B2"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Dihydrosinapyl alcohol</w:t>
            </w:r>
          </w:p>
        </w:tc>
        <w:tc>
          <w:tcPr>
            <w:tcW w:w="1530" w:type="dxa"/>
          </w:tcPr>
          <w:p w14:paraId="4E9022A3"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7.0922</w:t>
            </w:r>
          </w:p>
        </w:tc>
        <w:tc>
          <w:tcPr>
            <w:tcW w:w="2610" w:type="dxa"/>
          </w:tcPr>
          <w:p w14:paraId="0A8D961E"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1.904E-04</w:t>
            </w:r>
          </w:p>
        </w:tc>
      </w:tr>
      <w:tr w:rsidR="00AC4B85" w:rsidRPr="00AC4B85" w14:paraId="4E389884" w14:textId="77777777" w:rsidTr="006742E2">
        <w:trPr>
          <w:jc w:val="center"/>
        </w:trPr>
        <w:tc>
          <w:tcPr>
            <w:tcW w:w="4135" w:type="dxa"/>
          </w:tcPr>
          <w:p w14:paraId="3A38F2D4"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Propiosyringone, alpha-oxy-</w:t>
            </w:r>
          </w:p>
        </w:tc>
        <w:tc>
          <w:tcPr>
            <w:tcW w:w="1530" w:type="dxa"/>
          </w:tcPr>
          <w:p w14:paraId="35C89358"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5.6389</w:t>
            </w:r>
          </w:p>
        </w:tc>
        <w:tc>
          <w:tcPr>
            <w:tcW w:w="2610" w:type="dxa"/>
          </w:tcPr>
          <w:p w14:paraId="6AC9791F" w14:textId="77777777" w:rsidR="00AC4B85" w:rsidRPr="00AC4B85" w:rsidRDefault="00AC4B85" w:rsidP="00AC4B85">
            <w:pPr>
              <w:tabs>
                <w:tab w:val="left" w:pos="1275"/>
              </w:tabs>
              <w:spacing w:after="0" w:line="240" w:lineRule="auto"/>
              <w:ind w:left="0" w:right="0" w:firstLine="0"/>
              <w:jc w:val="center"/>
              <w:rPr>
                <w:rFonts w:eastAsiaTheme="minorHAnsi"/>
                <w:color w:val="auto"/>
                <w:szCs w:val="24"/>
              </w:rPr>
            </w:pPr>
            <w:r w:rsidRPr="00AC4B85">
              <w:rPr>
                <w:rFonts w:eastAsiaTheme="minorHAnsi"/>
                <w:color w:val="auto"/>
                <w:szCs w:val="24"/>
              </w:rPr>
              <w:t>2.530E-04</w:t>
            </w:r>
          </w:p>
        </w:tc>
      </w:tr>
    </w:tbl>
    <w:p w14:paraId="6C3FDC56" w14:textId="77777777" w:rsidR="00AC4B85" w:rsidRPr="00AC4B85" w:rsidRDefault="00AC4B85" w:rsidP="00AC4B85">
      <w:pPr>
        <w:tabs>
          <w:tab w:val="left" w:pos="1275"/>
        </w:tabs>
        <w:spacing w:after="160" w:line="259" w:lineRule="auto"/>
        <w:ind w:left="0" w:right="0" w:firstLine="0"/>
        <w:rPr>
          <w:rFonts w:eastAsiaTheme="minorHAnsi"/>
          <w:color w:val="auto"/>
          <w:szCs w:val="24"/>
        </w:rPr>
      </w:pPr>
    </w:p>
    <w:p w14:paraId="68F4CE05" w14:textId="77777777" w:rsidR="00AC4B85" w:rsidRPr="000F0373" w:rsidRDefault="00AC4B85" w:rsidP="00AC4B85">
      <w:pPr>
        <w:spacing w:line="240" w:lineRule="auto"/>
        <w:ind w:left="0" w:firstLine="0"/>
        <w:rPr>
          <w:szCs w:val="24"/>
        </w:rPr>
      </w:pPr>
    </w:p>
    <w:sectPr w:rsidR="00AC4B85" w:rsidRPr="000F0373" w:rsidSect="00F40FC7">
      <w:footerReference w:type="default" r:id="rId7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EA906" w14:textId="77777777" w:rsidR="00DE72B4" w:rsidRDefault="00DE72B4" w:rsidP="0078039E">
      <w:pPr>
        <w:spacing w:after="0" w:line="240" w:lineRule="auto"/>
      </w:pPr>
      <w:r>
        <w:separator/>
      </w:r>
    </w:p>
  </w:endnote>
  <w:endnote w:type="continuationSeparator" w:id="0">
    <w:p w14:paraId="5A6E1D63" w14:textId="77777777" w:rsidR="00DE72B4" w:rsidRDefault="00DE72B4" w:rsidP="0078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516980"/>
      <w:docPartObj>
        <w:docPartGallery w:val="Page Numbers (Bottom of Page)"/>
        <w:docPartUnique/>
      </w:docPartObj>
    </w:sdtPr>
    <w:sdtEndPr>
      <w:rPr>
        <w:noProof/>
      </w:rPr>
    </w:sdtEndPr>
    <w:sdtContent>
      <w:p w14:paraId="7A142DD8" w14:textId="77777777" w:rsidR="00AA26F6" w:rsidRDefault="00AA26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2FAFF3" w14:textId="77777777" w:rsidR="00AA26F6" w:rsidRDefault="00AA26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359413"/>
      <w:docPartObj>
        <w:docPartGallery w:val="Page Numbers (Bottom of Page)"/>
        <w:docPartUnique/>
      </w:docPartObj>
    </w:sdtPr>
    <w:sdtEndPr>
      <w:rPr>
        <w:noProof/>
      </w:rPr>
    </w:sdtEndPr>
    <w:sdtContent>
      <w:p w14:paraId="07E52443" w14:textId="77777777" w:rsidR="00AA26F6" w:rsidRDefault="00AA26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ACCCF1" w14:textId="77777777" w:rsidR="00AA26F6" w:rsidRDefault="00AA2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CE6BD" w14:textId="77777777" w:rsidR="00DE72B4" w:rsidRDefault="00DE72B4" w:rsidP="0078039E">
      <w:pPr>
        <w:spacing w:after="0" w:line="240" w:lineRule="auto"/>
      </w:pPr>
      <w:r>
        <w:separator/>
      </w:r>
    </w:p>
  </w:footnote>
  <w:footnote w:type="continuationSeparator" w:id="0">
    <w:p w14:paraId="5B9A0C7B" w14:textId="77777777" w:rsidR="00DE72B4" w:rsidRDefault="00DE72B4" w:rsidP="007803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42D86"/>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 w15:restartNumberingAfterBreak="0">
    <w:nsid w:val="03254DFB"/>
    <w:multiLevelType w:val="multilevel"/>
    <w:tmpl w:val="CC623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808D6"/>
    <w:multiLevelType w:val="hybridMultilevel"/>
    <w:tmpl w:val="7160F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411DDE"/>
    <w:multiLevelType w:val="hybridMultilevel"/>
    <w:tmpl w:val="700C0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1B66D4"/>
    <w:multiLevelType w:val="multilevel"/>
    <w:tmpl w:val="5A503ED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E14"/>
    <w:rsid w:val="000114D3"/>
    <w:rsid w:val="00012F08"/>
    <w:rsid w:val="00035246"/>
    <w:rsid w:val="0003532A"/>
    <w:rsid w:val="0006233B"/>
    <w:rsid w:val="00063DF1"/>
    <w:rsid w:val="000E65A1"/>
    <w:rsid w:val="000F0373"/>
    <w:rsid w:val="001175C7"/>
    <w:rsid w:val="001555A6"/>
    <w:rsid w:val="00174688"/>
    <w:rsid w:val="0019470D"/>
    <w:rsid w:val="001A0796"/>
    <w:rsid w:val="001A2572"/>
    <w:rsid w:val="001A2B36"/>
    <w:rsid w:val="001A6873"/>
    <w:rsid w:val="001C315E"/>
    <w:rsid w:val="001D2653"/>
    <w:rsid w:val="001F0E2F"/>
    <w:rsid w:val="001F5B91"/>
    <w:rsid w:val="00200F66"/>
    <w:rsid w:val="00257D12"/>
    <w:rsid w:val="00266DB2"/>
    <w:rsid w:val="00276568"/>
    <w:rsid w:val="002808FE"/>
    <w:rsid w:val="002A0BAB"/>
    <w:rsid w:val="002A5915"/>
    <w:rsid w:val="002B362D"/>
    <w:rsid w:val="002C7BDF"/>
    <w:rsid w:val="002E7685"/>
    <w:rsid w:val="0032507B"/>
    <w:rsid w:val="00336F37"/>
    <w:rsid w:val="003874B9"/>
    <w:rsid w:val="00387B8A"/>
    <w:rsid w:val="003A11E0"/>
    <w:rsid w:val="003C6E80"/>
    <w:rsid w:val="00400435"/>
    <w:rsid w:val="00466AEB"/>
    <w:rsid w:val="004702D1"/>
    <w:rsid w:val="004E0CE9"/>
    <w:rsid w:val="00512F20"/>
    <w:rsid w:val="0051341B"/>
    <w:rsid w:val="00527B88"/>
    <w:rsid w:val="005375E3"/>
    <w:rsid w:val="00547758"/>
    <w:rsid w:val="00553340"/>
    <w:rsid w:val="00577A35"/>
    <w:rsid w:val="0058380A"/>
    <w:rsid w:val="00593B96"/>
    <w:rsid w:val="005A5432"/>
    <w:rsid w:val="005A5608"/>
    <w:rsid w:val="005C1754"/>
    <w:rsid w:val="005E2FD9"/>
    <w:rsid w:val="00600100"/>
    <w:rsid w:val="00612762"/>
    <w:rsid w:val="00641373"/>
    <w:rsid w:val="006742E2"/>
    <w:rsid w:val="00675DB8"/>
    <w:rsid w:val="0069162A"/>
    <w:rsid w:val="006953CA"/>
    <w:rsid w:val="006C0576"/>
    <w:rsid w:val="006E07B4"/>
    <w:rsid w:val="00702919"/>
    <w:rsid w:val="00711866"/>
    <w:rsid w:val="00713596"/>
    <w:rsid w:val="00715846"/>
    <w:rsid w:val="00767783"/>
    <w:rsid w:val="0078039E"/>
    <w:rsid w:val="007C1143"/>
    <w:rsid w:val="007C2039"/>
    <w:rsid w:val="007D20F7"/>
    <w:rsid w:val="007F66DD"/>
    <w:rsid w:val="00812C37"/>
    <w:rsid w:val="00815371"/>
    <w:rsid w:val="008161DD"/>
    <w:rsid w:val="0081775E"/>
    <w:rsid w:val="0082753A"/>
    <w:rsid w:val="00852E23"/>
    <w:rsid w:val="00876ECE"/>
    <w:rsid w:val="008779AA"/>
    <w:rsid w:val="00887BDE"/>
    <w:rsid w:val="00927505"/>
    <w:rsid w:val="00940111"/>
    <w:rsid w:val="009834CC"/>
    <w:rsid w:val="0099474F"/>
    <w:rsid w:val="009A7DF7"/>
    <w:rsid w:val="009B2883"/>
    <w:rsid w:val="009D46B7"/>
    <w:rsid w:val="009E58D4"/>
    <w:rsid w:val="009F0015"/>
    <w:rsid w:val="009F0E14"/>
    <w:rsid w:val="009F12CB"/>
    <w:rsid w:val="009F67F0"/>
    <w:rsid w:val="00A328FE"/>
    <w:rsid w:val="00A46121"/>
    <w:rsid w:val="00A46717"/>
    <w:rsid w:val="00A85440"/>
    <w:rsid w:val="00A863B9"/>
    <w:rsid w:val="00A917DD"/>
    <w:rsid w:val="00A9675B"/>
    <w:rsid w:val="00AA26F6"/>
    <w:rsid w:val="00AC4B85"/>
    <w:rsid w:val="00AD6217"/>
    <w:rsid w:val="00B038BE"/>
    <w:rsid w:val="00B2111A"/>
    <w:rsid w:val="00B22A42"/>
    <w:rsid w:val="00B22F66"/>
    <w:rsid w:val="00BA3D4E"/>
    <w:rsid w:val="00BA7F79"/>
    <w:rsid w:val="00BB3B31"/>
    <w:rsid w:val="00BC3CDC"/>
    <w:rsid w:val="00C06476"/>
    <w:rsid w:val="00C25418"/>
    <w:rsid w:val="00C7601C"/>
    <w:rsid w:val="00CB668D"/>
    <w:rsid w:val="00CB6F4C"/>
    <w:rsid w:val="00CD2607"/>
    <w:rsid w:val="00CF2119"/>
    <w:rsid w:val="00D06964"/>
    <w:rsid w:val="00D234E1"/>
    <w:rsid w:val="00D23D52"/>
    <w:rsid w:val="00D26D5B"/>
    <w:rsid w:val="00D274DF"/>
    <w:rsid w:val="00D9716E"/>
    <w:rsid w:val="00DD7981"/>
    <w:rsid w:val="00DE72B4"/>
    <w:rsid w:val="00DF2622"/>
    <w:rsid w:val="00E12D33"/>
    <w:rsid w:val="00E433DF"/>
    <w:rsid w:val="00E509D4"/>
    <w:rsid w:val="00E529E9"/>
    <w:rsid w:val="00E60D36"/>
    <w:rsid w:val="00E76C98"/>
    <w:rsid w:val="00EA44A0"/>
    <w:rsid w:val="00ED36F1"/>
    <w:rsid w:val="00ED4E6F"/>
    <w:rsid w:val="00F16B78"/>
    <w:rsid w:val="00F21758"/>
    <w:rsid w:val="00F40FC7"/>
    <w:rsid w:val="00F43E7C"/>
    <w:rsid w:val="00F76255"/>
    <w:rsid w:val="00F81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36F2E"/>
  <w15:chartTrackingRefBased/>
  <w15:docId w15:val="{3DB899F4-9AFB-4081-A49C-35E99ACB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E14"/>
    <w:pPr>
      <w:spacing w:after="5" w:line="484" w:lineRule="auto"/>
      <w:ind w:left="10" w:right="60" w:hanging="10"/>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336F37"/>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6F37"/>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A2B36"/>
    <w:pPr>
      <w:keepNext/>
      <w:keepLines/>
      <w:numPr>
        <w:ilvl w:val="2"/>
        <w:numId w:val="5"/>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1A2B36"/>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A2B36"/>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A2B36"/>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A2B36"/>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A2B3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2B3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4B9"/>
    <w:pPr>
      <w:spacing w:after="160" w:line="259" w:lineRule="auto"/>
      <w:ind w:left="720" w:right="0" w:firstLine="0"/>
      <w:contextualSpacing/>
    </w:pPr>
    <w:rPr>
      <w:rFonts w:asciiTheme="minorHAnsi" w:eastAsiaTheme="minorHAnsi" w:hAnsiTheme="minorHAnsi" w:cstheme="minorBidi"/>
      <w:color w:val="auto"/>
      <w:sz w:val="22"/>
    </w:rPr>
  </w:style>
  <w:style w:type="table" w:styleId="TableGrid">
    <w:name w:val="Table Grid"/>
    <w:basedOn w:val="TableNormal"/>
    <w:uiPriority w:val="39"/>
    <w:rsid w:val="00577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C4B85"/>
  </w:style>
  <w:style w:type="table" w:customStyle="1" w:styleId="TableGrid1">
    <w:name w:val="Table Grid1"/>
    <w:basedOn w:val="TableNormal"/>
    <w:next w:val="TableGrid"/>
    <w:uiPriority w:val="39"/>
    <w:rsid w:val="00AC4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4B85"/>
    <w:pPr>
      <w:spacing w:after="0" w:line="240" w:lineRule="auto"/>
      <w:ind w:left="0" w:right="0" w:firstLine="0"/>
    </w:pPr>
    <w:rPr>
      <w:rFonts w:ascii="Segoe UI" w:eastAsiaTheme="minorHAnsi" w:hAnsi="Segoe UI" w:cs="Segoe UI"/>
      <w:color w:val="auto"/>
      <w:sz w:val="18"/>
      <w:szCs w:val="18"/>
    </w:rPr>
  </w:style>
  <w:style w:type="character" w:customStyle="1" w:styleId="BalloonTextChar">
    <w:name w:val="Balloon Text Char"/>
    <w:basedOn w:val="DefaultParagraphFont"/>
    <w:link w:val="BalloonText"/>
    <w:uiPriority w:val="99"/>
    <w:semiHidden/>
    <w:rsid w:val="00AC4B85"/>
    <w:rPr>
      <w:rFonts w:ascii="Segoe UI" w:hAnsi="Segoe UI" w:cs="Segoe UI"/>
      <w:sz w:val="18"/>
      <w:szCs w:val="18"/>
    </w:rPr>
  </w:style>
  <w:style w:type="paragraph" w:styleId="Header">
    <w:name w:val="header"/>
    <w:basedOn w:val="Normal"/>
    <w:link w:val="HeaderChar"/>
    <w:uiPriority w:val="99"/>
    <w:unhideWhenUsed/>
    <w:rsid w:val="007803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39E"/>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7803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39E"/>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336F3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36F37"/>
    <w:pPr>
      <w:spacing w:line="259" w:lineRule="auto"/>
      <w:ind w:right="0"/>
      <w:outlineLvl w:val="9"/>
    </w:pPr>
  </w:style>
  <w:style w:type="paragraph" w:styleId="TOC2">
    <w:name w:val="toc 2"/>
    <w:basedOn w:val="Normal"/>
    <w:next w:val="Normal"/>
    <w:autoRedefine/>
    <w:uiPriority w:val="39"/>
    <w:unhideWhenUsed/>
    <w:rsid w:val="00336F37"/>
    <w:pPr>
      <w:spacing w:after="100" w:line="259" w:lineRule="auto"/>
      <w:ind w:left="220" w:right="0" w:firstLine="0"/>
    </w:pPr>
    <w:rPr>
      <w:rFonts w:asciiTheme="minorHAnsi" w:eastAsiaTheme="minorEastAsia" w:hAnsiTheme="minorHAnsi"/>
      <w:color w:val="auto"/>
      <w:sz w:val="22"/>
    </w:rPr>
  </w:style>
  <w:style w:type="paragraph" w:styleId="TOC1">
    <w:name w:val="toc 1"/>
    <w:basedOn w:val="Normal"/>
    <w:next w:val="Normal"/>
    <w:autoRedefine/>
    <w:uiPriority w:val="39"/>
    <w:unhideWhenUsed/>
    <w:rsid w:val="00336F37"/>
    <w:pPr>
      <w:spacing w:after="100" w:line="259" w:lineRule="auto"/>
      <w:ind w:left="0" w:right="0" w:firstLine="0"/>
    </w:pPr>
    <w:rPr>
      <w:rFonts w:asciiTheme="minorHAnsi" w:eastAsiaTheme="minorEastAsia" w:hAnsiTheme="minorHAnsi"/>
      <w:color w:val="auto"/>
      <w:sz w:val="22"/>
    </w:rPr>
  </w:style>
  <w:style w:type="paragraph" w:styleId="TOC3">
    <w:name w:val="toc 3"/>
    <w:basedOn w:val="Normal"/>
    <w:next w:val="Normal"/>
    <w:autoRedefine/>
    <w:uiPriority w:val="39"/>
    <w:unhideWhenUsed/>
    <w:rsid w:val="00336F37"/>
    <w:pPr>
      <w:spacing w:after="100" w:line="259" w:lineRule="auto"/>
      <w:ind w:left="440" w:right="0" w:firstLine="0"/>
    </w:pPr>
    <w:rPr>
      <w:rFonts w:asciiTheme="minorHAnsi" w:eastAsiaTheme="minorEastAsia" w:hAnsiTheme="minorHAnsi"/>
      <w:color w:val="auto"/>
      <w:sz w:val="22"/>
    </w:rPr>
  </w:style>
  <w:style w:type="character" w:styleId="Hyperlink">
    <w:name w:val="Hyperlink"/>
    <w:basedOn w:val="DefaultParagraphFont"/>
    <w:uiPriority w:val="99"/>
    <w:unhideWhenUsed/>
    <w:rsid w:val="00336F37"/>
    <w:rPr>
      <w:color w:val="0563C1" w:themeColor="hyperlink"/>
      <w:u w:val="single"/>
    </w:rPr>
  </w:style>
  <w:style w:type="character" w:customStyle="1" w:styleId="Heading2Char">
    <w:name w:val="Heading 2 Char"/>
    <w:basedOn w:val="DefaultParagraphFont"/>
    <w:link w:val="Heading2"/>
    <w:uiPriority w:val="9"/>
    <w:rsid w:val="00336F37"/>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593B9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593B96"/>
    <w:pPr>
      <w:spacing w:after="0"/>
      <w:ind w:left="0"/>
    </w:pPr>
  </w:style>
  <w:style w:type="character" w:customStyle="1" w:styleId="Heading3Char">
    <w:name w:val="Heading 3 Char"/>
    <w:basedOn w:val="DefaultParagraphFont"/>
    <w:link w:val="Heading3"/>
    <w:uiPriority w:val="9"/>
    <w:semiHidden/>
    <w:rsid w:val="001A2B3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A2B36"/>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1A2B36"/>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1A2B36"/>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1A2B3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1A2B3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2B3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515890">
      <w:bodyDiv w:val="1"/>
      <w:marLeft w:val="0"/>
      <w:marRight w:val="0"/>
      <w:marTop w:val="0"/>
      <w:marBottom w:val="0"/>
      <w:divBdr>
        <w:top w:val="none" w:sz="0" w:space="0" w:color="auto"/>
        <w:left w:val="none" w:sz="0" w:space="0" w:color="auto"/>
        <w:bottom w:val="none" w:sz="0" w:space="0" w:color="auto"/>
        <w:right w:val="none" w:sz="0" w:space="0" w:color="auto"/>
      </w:divBdr>
      <w:divsChild>
        <w:div w:id="48890651">
          <w:marLeft w:val="0"/>
          <w:marRight w:val="0"/>
          <w:marTop w:val="0"/>
          <w:marBottom w:val="0"/>
          <w:divBdr>
            <w:top w:val="none" w:sz="0" w:space="0" w:color="auto"/>
            <w:left w:val="none" w:sz="0" w:space="0" w:color="auto"/>
            <w:bottom w:val="none" w:sz="0" w:space="0" w:color="auto"/>
            <w:right w:val="none" w:sz="0" w:space="0" w:color="auto"/>
          </w:divBdr>
        </w:div>
      </w:divsChild>
    </w:div>
    <w:div w:id="208367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edwan%20Nazim\Desktop\thesis%20azmain.docx" TargetMode="External"/><Relationship Id="rId18" Type="http://schemas.openxmlformats.org/officeDocument/2006/relationships/hyperlink" Target="file:///C:\Users\Redwan%20Nazim\Desktop\thesis%20azmain.docx" TargetMode="External"/><Relationship Id="rId26" Type="http://schemas.openxmlformats.org/officeDocument/2006/relationships/hyperlink" Target="file:///C:\Users\Redwan%20Nazim\Desktop\thesis%20azmain.docx" TargetMode="External"/><Relationship Id="rId39" Type="http://schemas.openxmlformats.org/officeDocument/2006/relationships/image" Target="media/image2.png"/><Relationship Id="rId21" Type="http://schemas.openxmlformats.org/officeDocument/2006/relationships/hyperlink" Target="file:///C:\Users\Redwan%20Nazim\Desktop\thesis%20azmain.docx" TargetMode="External"/><Relationship Id="rId34" Type="http://schemas.openxmlformats.org/officeDocument/2006/relationships/hyperlink" Target="file:///C:\Users\Redwan%20Nazim\Desktop\thesis%20azmain.docx" TargetMode="External"/><Relationship Id="rId42" Type="http://schemas.openxmlformats.org/officeDocument/2006/relationships/image" Target="media/image5.png"/><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chart" Target="charts/chart3.xml"/><Relationship Id="rId63" Type="http://schemas.openxmlformats.org/officeDocument/2006/relationships/image" Target="media/image18.png"/><Relationship Id="rId68" Type="http://schemas.openxmlformats.org/officeDocument/2006/relationships/chart" Target="charts/chart13.xml"/><Relationship Id="rId76" Type="http://schemas.openxmlformats.org/officeDocument/2006/relationships/hyperlink" Target="http://www.srigc.com/FID.pdf" TargetMode="External"/><Relationship Id="rId7" Type="http://schemas.openxmlformats.org/officeDocument/2006/relationships/endnotes" Target="endnotes.xml"/><Relationship Id="rId71"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hyperlink" Target="file:///C:\Users\Redwan%20Nazim\Desktop\thesis%20azmain.docx" TargetMode="External"/><Relationship Id="rId29" Type="http://schemas.openxmlformats.org/officeDocument/2006/relationships/hyperlink" Target="file:///C:\Users\Redwan%20Nazim\Desktop\thesis%20azmain.docx" TargetMode="External"/><Relationship Id="rId11" Type="http://schemas.openxmlformats.org/officeDocument/2006/relationships/hyperlink" Target="file:///C:\Users\Redwan%20Nazim\Desktop\thesis%20azmain.docx" TargetMode="External"/><Relationship Id="rId24" Type="http://schemas.openxmlformats.org/officeDocument/2006/relationships/hyperlink" Target="file:///C:\Users\Redwan%20Nazim\Desktop\thesis%20azmain.docx" TargetMode="External"/><Relationship Id="rId32" Type="http://schemas.openxmlformats.org/officeDocument/2006/relationships/hyperlink" Target="file:///C:\Users\Redwan%20Nazim\Desktop\thesis%20azmain.docx" TargetMode="External"/><Relationship Id="rId37" Type="http://schemas.openxmlformats.org/officeDocument/2006/relationships/footer" Target="footer1.xml"/><Relationship Id="rId40" Type="http://schemas.openxmlformats.org/officeDocument/2006/relationships/image" Target="media/image3.png"/><Relationship Id="rId45" Type="http://schemas.openxmlformats.org/officeDocument/2006/relationships/image" Target="media/image8.png"/><Relationship Id="rId53" Type="http://schemas.openxmlformats.org/officeDocument/2006/relationships/chart" Target="charts/chart1.xml"/><Relationship Id="rId58" Type="http://schemas.openxmlformats.org/officeDocument/2006/relationships/chart" Target="charts/chart6.xml"/><Relationship Id="rId66" Type="http://schemas.openxmlformats.org/officeDocument/2006/relationships/chart" Target="charts/chart11.xml"/><Relationship Id="rId74" Type="http://schemas.openxmlformats.org/officeDocument/2006/relationships/chart" Target="charts/chart19.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6.png"/><Relationship Id="rId10" Type="http://schemas.openxmlformats.org/officeDocument/2006/relationships/hyperlink" Target="file:///C:\Users\Redwan%20Nazim\Desktop\thesis%20azmain.docx" TargetMode="External"/><Relationship Id="rId19" Type="http://schemas.openxmlformats.org/officeDocument/2006/relationships/hyperlink" Target="file:///C:\Users\Redwan%20Nazim\Desktop\thesis%20azmain.docx" TargetMode="External"/><Relationship Id="rId31" Type="http://schemas.openxmlformats.org/officeDocument/2006/relationships/hyperlink" Target="file:///C:\Users\Redwan%20Nazim\Desktop\thesis%20azmain.docx" TargetMode="External"/><Relationship Id="rId44" Type="http://schemas.openxmlformats.org/officeDocument/2006/relationships/image" Target="media/image7.png"/><Relationship Id="rId52" Type="http://schemas.openxmlformats.org/officeDocument/2006/relationships/image" Target="media/image15.png"/><Relationship Id="rId60" Type="http://schemas.openxmlformats.org/officeDocument/2006/relationships/chart" Target="charts/chart8.xml"/><Relationship Id="rId65" Type="http://schemas.openxmlformats.org/officeDocument/2006/relationships/chart" Target="charts/chart10.xml"/><Relationship Id="rId73" Type="http://schemas.openxmlformats.org/officeDocument/2006/relationships/chart" Target="charts/chart18.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Redwan%20Nazim\Desktop\thesis%20azmain.docx" TargetMode="External"/><Relationship Id="rId14" Type="http://schemas.openxmlformats.org/officeDocument/2006/relationships/hyperlink" Target="file:///C:\Users\Redwan%20Nazim\Desktop\thesis%20azmain.docx" TargetMode="External"/><Relationship Id="rId22" Type="http://schemas.openxmlformats.org/officeDocument/2006/relationships/hyperlink" Target="file:///C:\Users\Redwan%20Nazim\Desktop\thesis%20azmain.docx" TargetMode="External"/><Relationship Id="rId27" Type="http://schemas.openxmlformats.org/officeDocument/2006/relationships/hyperlink" Target="file:///C:\Users\Redwan%20Nazim\Desktop\thesis%20azmain.docx" TargetMode="External"/><Relationship Id="rId30" Type="http://schemas.openxmlformats.org/officeDocument/2006/relationships/hyperlink" Target="file:///C:\Users\Redwan%20Nazim\Desktop\thesis%20azmain.docx" TargetMode="External"/><Relationship Id="rId35" Type="http://schemas.openxmlformats.org/officeDocument/2006/relationships/hyperlink" Target="file:///C:\Users\Redwan%20Nazim\Desktop\thesis%20azmain.docx" TargetMode="External"/><Relationship Id="rId43" Type="http://schemas.openxmlformats.org/officeDocument/2006/relationships/image" Target="media/image6.png"/><Relationship Id="rId48" Type="http://schemas.openxmlformats.org/officeDocument/2006/relationships/image" Target="media/image11.png"/><Relationship Id="rId56" Type="http://schemas.openxmlformats.org/officeDocument/2006/relationships/chart" Target="charts/chart4.xml"/><Relationship Id="rId64" Type="http://schemas.openxmlformats.org/officeDocument/2006/relationships/chart" Target="charts/chart9.xml"/><Relationship Id="rId69" Type="http://schemas.openxmlformats.org/officeDocument/2006/relationships/chart" Target="charts/chart14.xml"/><Relationship Id="rId77" Type="http://schemas.openxmlformats.org/officeDocument/2006/relationships/footer" Target="footer2.xml"/><Relationship Id="rId8" Type="http://schemas.openxmlformats.org/officeDocument/2006/relationships/hyperlink" Target="file:///C:\Users\Redwan%20Nazim\Desktop\thesis%20azmain.docx" TargetMode="External"/><Relationship Id="rId51" Type="http://schemas.openxmlformats.org/officeDocument/2006/relationships/image" Target="media/image14.png"/><Relationship Id="rId72" Type="http://schemas.openxmlformats.org/officeDocument/2006/relationships/chart" Target="charts/chart17.xml"/><Relationship Id="rId3" Type="http://schemas.openxmlformats.org/officeDocument/2006/relationships/styles" Target="styles.xml"/><Relationship Id="rId12" Type="http://schemas.openxmlformats.org/officeDocument/2006/relationships/hyperlink" Target="file:///C:\Users\Redwan%20Nazim\Desktop\thesis%20azmain.docx" TargetMode="External"/><Relationship Id="rId17" Type="http://schemas.openxmlformats.org/officeDocument/2006/relationships/hyperlink" Target="file:///C:\Users\Redwan%20Nazim\Desktop\thesis%20azmain.docx" TargetMode="External"/><Relationship Id="rId25" Type="http://schemas.openxmlformats.org/officeDocument/2006/relationships/hyperlink" Target="file:///C:\Users\Redwan%20Nazim\Desktop\thesis%20azmain.docx" TargetMode="External"/><Relationship Id="rId33" Type="http://schemas.openxmlformats.org/officeDocument/2006/relationships/hyperlink" Target="file:///C:\Users\Redwan%20Nazim\Desktop\thesis%20azmain.docx" TargetMode="External"/><Relationship Id="rId38" Type="http://schemas.openxmlformats.org/officeDocument/2006/relationships/image" Target="media/image1.png"/><Relationship Id="rId46" Type="http://schemas.openxmlformats.org/officeDocument/2006/relationships/image" Target="media/image9.png"/><Relationship Id="rId59" Type="http://schemas.openxmlformats.org/officeDocument/2006/relationships/chart" Target="charts/chart7.xml"/><Relationship Id="rId67" Type="http://schemas.openxmlformats.org/officeDocument/2006/relationships/chart" Target="charts/chart12.xml"/><Relationship Id="rId20" Type="http://schemas.openxmlformats.org/officeDocument/2006/relationships/hyperlink" Target="file:///C:\Users\Redwan%20Nazim\Desktop\thesis%20azmain.docx" TargetMode="External"/><Relationship Id="rId41" Type="http://schemas.openxmlformats.org/officeDocument/2006/relationships/image" Target="media/image4.png"/><Relationship Id="rId54" Type="http://schemas.openxmlformats.org/officeDocument/2006/relationships/chart" Target="charts/chart2.xml"/><Relationship Id="rId62" Type="http://schemas.openxmlformats.org/officeDocument/2006/relationships/image" Target="media/image17.png"/><Relationship Id="rId70" Type="http://schemas.openxmlformats.org/officeDocument/2006/relationships/chart" Target="charts/chart15.xml"/><Relationship Id="rId75"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Redwan%20Nazim\Desktop\thesis%20azmain.docx" TargetMode="External"/><Relationship Id="rId23" Type="http://schemas.openxmlformats.org/officeDocument/2006/relationships/hyperlink" Target="file:///C:\Users\Redwan%20Nazim\Desktop\thesis%20azmain.docx" TargetMode="External"/><Relationship Id="rId28" Type="http://schemas.openxmlformats.org/officeDocument/2006/relationships/hyperlink" Target="file:///C:\Users\Redwan%20Nazim\Desktop\thesis%20azmain.docx" TargetMode="External"/><Relationship Id="rId36" Type="http://schemas.openxmlformats.org/officeDocument/2006/relationships/hyperlink" Target="file:///C:\Users\Redwan%20Nazim\Desktop\thesis%20azmain.docx" TargetMode="External"/><Relationship Id="rId49" Type="http://schemas.openxmlformats.org/officeDocument/2006/relationships/image" Target="media/image12.png"/><Relationship Id="rId57"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Redwan%20Nazim\Desktop\AP%2013%20repro.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Compound</a:t>
            </a:r>
            <a:r>
              <a:rPr lang="en-US" b="1" u="sng" baseline="0"/>
              <a:t> variance of AP13 at 290 degrees (120s)</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MAR4TOR!$Z$5</c:f>
              <c:strCache>
                <c:ptCount val="1"/>
                <c:pt idx="0">
                  <c:v>Light Oxygenate</c:v>
                </c:pt>
              </c:strCache>
            </c:strRef>
          </c:tx>
          <c:spPr>
            <a:solidFill>
              <a:schemeClr val="accent1"/>
            </a:solidFill>
            <a:ln>
              <a:noFill/>
            </a:ln>
            <a:effectLst/>
          </c:spPr>
          <c:invertIfNegative val="0"/>
          <c:errBars>
            <c:errBarType val="both"/>
            <c:errValType val="cust"/>
            <c:noEndCap val="0"/>
            <c:plus>
              <c:numRef>
                <c:f>MAR4TOR!$Z$10</c:f>
                <c:numCache>
                  <c:formatCode>General</c:formatCode>
                  <c:ptCount val="1"/>
                  <c:pt idx="0">
                    <c:v>7.8917420440194785E-2</c:v>
                  </c:pt>
                </c:numCache>
              </c:numRef>
            </c:plus>
            <c:minus>
              <c:numRef>
                <c:f>MAR4TOR!$Z$10</c:f>
                <c:numCache>
                  <c:formatCode>General</c:formatCode>
                  <c:ptCount val="1"/>
                  <c:pt idx="0">
                    <c:v>7.8917420440194785E-2</c:v>
                  </c:pt>
                </c:numCache>
              </c:numRef>
            </c:minus>
            <c:spPr>
              <a:noFill/>
              <a:ln w="28575" cap="flat" cmpd="sng" algn="ctr">
                <a:solidFill>
                  <a:schemeClr val="tx1">
                    <a:lumMod val="65000"/>
                    <a:lumOff val="35000"/>
                  </a:schemeClr>
                </a:solidFill>
                <a:round/>
              </a:ln>
              <a:effectLst/>
            </c:spPr>
          </c:errBars>
          <c:val>
            <c:numRef>
              <c:f>MAR4TOR!$Z$6</c:f>
              <c:numCache>
                <c:formatCode>General</c:formatCode>
                <c:ptCount val="1"/>
                <c:pt idx="0">
                  <c:v>3.2583784551663051</c:v>
                </c:pt>
              </c:numCache>
            </c:numRef>
          </c:val>
          <c:extLst>
            <c:ext xmlns:c16="http://schemas.microsoft.com/office/drawing/2014/chart" uri="{C3380CC4-5D6E-409C-BE32-E72D297353CC}">
              <c16:uniqueId val="{00000000-B683-414E-B789-323B3C18FE76}"/>
            </c:ext>
          </c:extLst>
        </c:ser>
        <c:ser>
          <c:idx val="1"/>
          <c:order val="1"/>
          <c:tx>
            <c:strRef>
              <c:f>MAR4TOR!$AA$5</c:f>
              <c:strCache>
                <c:ptCount val="1"/>
                <c:pt idx="0">
                  <c:v>Acetic Acid</c:v>
                </c:pt>
              </c:strCache>
            </c:strRef>
          </c:tx>
          <c:spPr>
            <a:solidFill>
              <a:schemeClr val="accent2"/>
            </a:solidFill>
            <a:ln>
              <a:noFill/>
            </a:ln>
            <a:effectLst/>
          </c:spPr>
          <c:invertIfNegative val="0"/>
          <c:errBars>
            <c:errBarType val="both"/>
            <c:errValType val="cust"/>
            <c:noEndCap val="0"/>
            <c:plus>
              <c:numRef>
                <c:f>MAR4TOR!$AA$10</c:f>
                <c:numCache>
                  <c:formatCode>General</c:formatCode>
                  <c:ptCount val="1"/>
                  <c:pt idx="0">
                    <c:v>0.19029524762681851</c:v>
                  </c:pt>
                </c:numCache>
              </c:numRef>
            </c:plus>
            <c:minus>
              <c:numRef>
                <c:f>MAR4TOR!$AA$10</c:f>
                <c:numCache>
                  <c:formatCode>General</c:formatCode>
                  <c:ptCount val="1"/>
                  <c:pt idx="0">
                    <c:v>0.19029524762681851</c:v>
                  </c:pt>
                </c:numCache>
              </c:numRef>
            </c:minus>
            <c:spPr>
              <a:noFill/>
              <a:ln w="28575" cap="flat" cmpd="sng" algn="ctr">
                <a:solidFill>
                  <a:schemeClr val="tx1">
                    <a:lumMod val="65000"/>
                    <a:lumOff val="35000"/>
                  </a:schemeClr>
                </a:solidFill>
                <a:round/>
              </a:ln>
              <a:effectLst/>
            </c:spPr>
          </c:errBars>
          <c:val>
            <c:numRef>
              <c:f>MAR4TOR!$AA$6</c:f>
              <c:numCache>
                <c:formatCode>General</c:formatCode>
                <c:ptCount val="1"/>
                <c:pt idx="0">
                  <c:v>2.7627702315214244</c:v>
                </c:pt>
              </c:numCache>
            </c:numRef>
          </c:val>
          <c:extLst>
            <c:ext xmlns:c16="http://schemas.microsoft.com/office/drawing/2014/chart" uri="{C3380CC4-5D6E-409C-BE32-E72D297353CC}">
              <c16:uniqueId val="{00000001-B683-414E-B789-323B3C18FE76}"/>
            </c:ext>
          </c:extLst>
        </c:ser>
        <c:ser>
          <c:idx val="2"/>
          <c:order val="2"/>
          <c:tx>
            <c:strRef>
              <c:f>MAR4TOR!$AB$5</c:f>
              <c:strCache>
                <c:ptCount val="1"/>
                <c:pt idx="0">
                  <c:v>Furfurals</c:v>
                </c:pt>
              </c:strCache>
            </c:strRef>
          </c:tx>
          <c:spPr>
            <a:solidFill>
              <a:schemeClr val="accent3"/>
            </a:solidFill>
            <a:ln>
              <a:noFill/>
            </a:ln>
            <a:effectLst/>
          </c:spPr>
          <c:invertIfNegative val="0"/>
          <c:errBars>
            <c:errBarType val="both"/>
            <c:errValType val="cust"/>
            <c:noEndCap val="0"/>
            <c:plus>
              <c:numRef>
                <c:f>MAR4TOR!$AB$10</c:f>
                <c:numCache>
                  <c:formatCode>General</c:formatCode>
                  <c:ptCount val="1"/>
                  <c:pt idx="0">
                    <c:v>0.1725505834256138</c:v>
                  </c:pt>
                </c:numCache>
              </c:numRef>
            </c:plus>
            <c:minus>
              <c:numRef>
                <c:f>MAR4TOR!$AB$10</c:f>
                <c:numCache>
                  <c:formatCode>General</c:formatCode>
                  <c:ptCount val="1"/>
                  <c:pt idx="0">
                    <c:v>0.1725505834256138</c:v>
                  </c:pt>
                </c:numCache>
              </c:numRef>
            </c:minus>
            <c:spPr>
              <a:noFill/>
              <a:ln w="28575" cap="flat" cmpd="sng" algn="ctr">
                <a:solidFill>
                  <a:schemeClr val="tx1">
                    <a:lumMod val="65000"/>
                    <a:lumOff val="35000"/>
                  </a:schemeClr>
                </a:solidFill>
                <a:round/>
              </a:ln>
              <a:effectLst/>
            </c:spPr>
          </c:errBars>
          <c:val>
            <c:numRef>
              <c:f>MAR4TOR!$AB$6</c:f>
              <c:numCache>
                <c:formatCode>General</c:formatCode>
                <c:ptCount val="1"/>
                <c:pt idx="0">
                  <c:v>1.8109914060947305</c:v>
                </c:pt>
              </c:numCache>
            </c:numRef>
          </c:val>
          <c:extLst>
            <c:ext xmlns:c16="http://schemas.microsoft.com/office/drawing/2014/chart" uri="{C3380CC4-5D6E-409C-BE32-E72D297353CC}">
              <c16:uniqueId val="{00000002-B683-414E-B789-323B3C18FE76}"/>
            </c:ext>
          </c:extLst>
        </c:ser>
        <c:ser>
          <c:idx val="3"/>
          <c:order val="3"/>
          <c:tx>
            <c:strRef>
              <c:f>MAR4TOR!$AC$5</c:f>
              <c:strCache>
                <c:ptCount val="1"/>
                <c:pt idx="0">
                  <c:v>Furans</c:v>
                </c:pt>
              </c:strCache>
            </c:strRef>
          </c:tx>
          <c:spPr>
            <a:solidFill>
              <a:schemeClr val="accent4"/>
            </a:solidFill>
            <a:ln>
              <a:noFill/>
            </a:ln>
            <a:effectLst/>
          </c:spPr>
          <c:invertIfNegative val="0"/>
          <c:errBars>
            <c:errBarType val="both"/>
            <c:errValType val="cust"/>
            <c:noEndCap val="0"/>
            <c:plus>
              <c:numRef>
                <c:f>MAR4TOR!$AC$10</c:f>
                <c:numCache>
                  <c:formatCode>General</c:formatCode>
                  <c:ptCount val="1"/>
                  <c:pt idx="0">
                    <c:v>6.0294989174199572E-3</c:v>
                  </c:pt>
                </c:numCache>
              </c:numRef>
            </c:plus>
            <c:minus>
              <c:numRef>
                <c:f>MAR4TOR!$AC$10</c:f>
                <c:numCache>
                  <c:formatCode>General</c:formatCode>
                  <c:ptCount val="1"/>
                  <c:pt idx="0">
                    <c:v>6.0294989174199572E-3</c:v>
                  </c:pt>
                </c:numCache>
              </c:numRef>
            </c:minus>
            <c:spPr>
              <a:noFill/>
              <a:ln w="28575" cap="flat" cmpd="sng" algn="ctr">
                <a:solidFill>
                  <a:schemeClr val="tx1">
                    <a:lumMod val="65000"/>
                    <a:lumOff val="35000"/>
                  </a:schemeClr>
                </a:solidFill>
                <a:round/>
              </a:ln>
              <a:effectLst/>
            </c:spPr>
          </c:errBars>
          <c:val>
            <c:numRef>
              <c:f>MAR4TOR!$AC$6</c:f>
              <c:numCache>
                <c:formatCode>General</c:formatCode>
                <c:ptCount val="1"/>
                <c:pt idx="0">
                  <c:v>5.4914237330436814E-2</c:v>
                </c:pt>
              </c:numCache>
            </c:numRef>
          </c:val>
          <c:extLst>
            <c:ext xmlns:c16="http://schemas.microsoft.com/office/drawing/2014/chart" uri="{C3380CC4-5D6E-409C-BE32-E72D297353CC}">
              <c16:uniqueId val="{00000003-B683-414E-B789-323B3C18FE76}"/>
            </c:ext>
          </c:extLst>
        </c:ser>
        <c:ser>
          <c:idx val="4"/>
          <c:order val="4"/>
          <c:tx>
            <c:strRef>
              <c:f>MAR4TOR!$AD$5</c:f>
              <c:strCache>
                <c:ptCount val="1"/>
                <c:pt idx="0">
                  <c:v>Alkyl Benzenes</c:v>
                </c:pt>
              </c:strCache>
            </c:strRef>
          </c:tx>
          <c:spPr>
            <a:solidFill>
              <a:schemeClr val="accent5"/>
            </a:solidFill>
            <a:ln>
              <a:noFill/>
            </a:ln>
            <a:effectLst/>
          </c:spPr>
          <c:invertIfNegative val="0"/>
          <c:errBars>
            <c:errBarType val="both"/>
            <c:errValType val="cust"/>
            <c:noEndCap val="0"/>
            <c:plus>
              <c:numRef>
                <c:f>MAR4TOR!$AD$10</c:f>
                <c:numCache>
                  <c:formatCode>General</c:formatCode>
                  <c:ptCount val="1"/>
                  <c:pt idx="0">
                    <c:v>6.3414540645721001E-3</c:v>
                  </c:pt>
                </c:numCache>
              </c:numRef>
            </c:plus>
            <c:minus>
              <c:numRef>
                <c:f>MAR4TOR!$AD$10</c:f>
                <c:numCache>
                  <c:formatCode>General</c:formatCode>
                  <c:ptCount val="1"/>
                  <c:pt idx="0">
                    <c:v>6.3414540645721001E-3</c:v>
                  </c:pt>
                </c:numCache>
              </c:numRef>
            </c:minus>
            <c:spPr>
              <a:noFill/>
              <a:ln w="28575" cap="flat" cmpd="sng" algn="ctr">
                <a:solidFill>
                  <a:schemeClr val="tx1">
                    <a:lumMod val="65000"/>
                    <a:lumOff val="35000"/>
                  </a:schemeClr>
                </a:solidFill>
                <a:round/>
              </a:ln>
              <a:effectLst/>
            </c:spPr>
          </c:errBars>
          <c:val>
            <c:numRef>
              <c:f>MAR4TOR!$AD$6</c:f>
              <c:numCache>
                <c:formatCode>General</c:formatCode>
                <c:ptCount val="1"/>
                <c:pt idx="0">
                  <c:v>2.5125073144493578E-2</c:v>
                </c:pt>
              </c:numCache>
            </c:numRef>
          </c:val>
          <c:extLst>
            <c:ext xmlns:c16="http://schemas.microsoft.com/office/drawing/2014/chart" uri="{C3380CC4-5D6E-409C-BE32-E72D297353CC}">
              <c16:uniqueId val="{00000004-B683-414E-B789-323B3C18FE76}"/>
            </c:ext>
          </c:extLst>
        </c:ser>
        <c:ser>
          <c:idx val="5"/>
          <c:order val="5"/>
          <c:tx>
            <c:strRef>
              <c:f>MAR4TOR!$AE$5</c:f>
              <c:strCache>
                <c:ptCount val="1"/>
                <c:pt idx="0">
                  <c:v>Alkyl Phenols</c:v>
                </c:pt>
              </c:strCache>
            </c:strRef>
          </c:tx>
          <c:spPr>
            <a:solidFill>
              <a:schemeClr val="accent6"/>
            </a:solidFill>
            <a:ln>
              <a:noFill/>
            </a:ln>
            <a:effectLst/>
          </c:spPr>
          <c:invertIfNegative val="0"/>
          <c:errBars>
            <c:errBarType val="both"/>
            <c:errValType val="cust"/>
            <c:noEndCap val="0"/>
            <c:plus>
              <c:numRef>
                <c:f>MAR4TOR!$AE$10</c:f>
                <c:numCache>
                  <c:formatCode>General</c:formatCode>
                  <c:ptCount val="1"/>
                  <c:pt idx="0">
                    <c:v>2.7845996601129661E-2</c:v>
                  </c:pt>
                </c:numCache>
              </c:numRef>
            </c:plus>
            <c:minus>
              <c:numRef>
                <c:f>MAR4TOR!$AE$10</c:f>
                <c:numCache>
                  <c:formatCode>General</c:formatCode>
                  <c:ptCount val="1"/>
                  <c:pt idx="0">
                    <c:v>2.7845996601129661E-2</c:v>
                  </c:pt>
                </c:numCache>
              </c:numRef>
            </c:minus>
            <c:spPr>
              <a:noFill/>
              <a:ln w="28575" cap="flat" cmpd="sng" algn="ctr">
                <a:solidFill>
                  <a:schemeClr val="tx1">
                    <a:lumMod val="65000"/>
                    <a:lumOff val="35000"/>
                  </a:schemeClr>
                </a:solidFill>
                <a:round/>
              </a:ln>
              <a:effectLst/>
            </c:spPr>
          </c:errBars>
          <c:val>
            <c:numRef>
              <c:f>MAR4TOR!$AE$6</c:f>
              <c:numCache>
                <c:formatCode>General</c:formatCode>
                <c:ptCount val="1"/>
                <c:pt idx="0">
                  <c:v>0.34548525495201227</c:v>
                </c:pt>
              </c:numCache>
            </c:numRef>
          </c:val>
          <c:extLst>
            <c:ext xmlns:c16="http://schemas.microsoft.com/office/drawing/2014/chart" uri="{C3380CC4-5D6E-409C-BE32-E72D297353CC}">
              <c16:uniqueId val="{00000005-B683-414E-B789-323B3C18FE76}"/>
            </c:ext>
          </c:extLst>
        </c:ser>
        <c:ser>
          <c:idx val="6"/>
          <c:order val="6"/>
          <c:tx>
            <c:strRef>
              <c:f>MAR4TOR!$AF$5</c:f>
              <c:strCache>
                <c:ptCount val="1"/>
                <c:pt idx="0">
                  <c:v>Anhydrous Sugars</c:v>
                </c:pt>
              </c:strCache>
            </c:strRef>
          </c:tx>
          <c:spPr>
            <a:solidFill>
              <a:schemeClr val="accent1">
                <a:lumMod val="60000"/>
              </a:schemeClr>
            </a:solidFill>
            <a:ln>
              <a:noFill/>
            </a:ln>
            <a:effectLst/>
          </c:spPr>
          <c:invertIfNegative val="0"/>
          <c:errBars>
            <c:errBarType val="both"/>
            <c:errValType val="cust"/>
            <c:noEndCap val="0"/>
            <c:plus>
              <c:numRef>
                <c:f>MAR4TOR!$AF$10</c:f>
                <c:numCache>
                  <c:formatCode>General</c:formatCode>
                  <c:ptCount val="1"/>
                  <c:pt idx="0">
                    <c:v>0.2720750068269619</c:v>
                  </c:pt>
                </c:numCache>
              </c:numRef>
            </c:plus>
            <c:minus>
              <c:numRef>
                <c:f>MAR4TOR!$AF$10</c:f>
                <c:numCache>
                  <c:formatCode>General</c:formatCode>
                  <c:ptCount val="1"/>
                  <c:pt idx="0">
                    <c:v>0.2720750068269619</c:v>
                  </c:pt>
                </c:numCache>
              </c:numRef>
            </c:minus>
            <c:spPr>
              <a:noFill/>
              <a:ln w="28575" cap="flat" cmpd="sng" algn="ctr">
                <a:solidFill>
                  <a:schemeClr val="tx1">
                    <a:lumMod val="65000"/>
                    <a:lumOff val="35000"/>
                  </a:schemeClr>
                </a:solidFill>
                <a:round/>
              </a:ln>
              <a:effectLst/>
            </c:spPr>
          </c:errBars>
          <c:val>
            <c:numRef>
              <c:f>MAR4TOR!$AF$6</c:f>
              <c:numCache>
                <c:formatCode>General</c:formatCode>
                <c:ptCount val="1"/>
                <c:pt idx="0">
                  <c:v>2.4546460179013359</c:v>
                </c:pt>
              </c:numCache>
            </c:numRef>
          </c:val>
          <c:extLst>
            <c:ext xmlns:c16="http://schemas.microsoft.com/office/drawing/2014/chart" uri="{C3380CC4-5D6E-409C-BE32-E72D297353CC}">
              <c16:uniqueId val="{00000006-B683-414E-B789-323B3C18FE76}"/>
            </c:ext>
          </c:extLst>
        </c:ser>
        <c:ser>
          <c:idx val="7"/>
          <c:order val="7"/>
          <c:tx>
            <c:strRef>
              <c:f>MAR4TOR!$AG$5</c:f>
              <c:strCache>
                <c:ptCount val="1"/>
                <c:pt idx="0">
                  <c:v>Methoxy Phenols</c:v>
                </c:pt>
              </c:strCache>
            </c:strRef>
          </c:tx>
          <c:spPr>
            <a:solidFill>
              <a:schemeClr val="accent2">
                <a:lumMod val="60000"/>
              </a:schemeClr>
            </a:solidFill>
            <a:ln>
              <a:noFill/>
            </a:ln>
            <a:effectLst/>
          </c:spPr>
          <c:invertIfNegative val="0"/>
          <c:errBars>
            <c:errBarType val="both"/>
            <c:errValType val="cust"/>
            <c:noEndCap val="0"/>
            <c:plus>
              <c:numRef>
                <c:f>MAR4TOR!$AG$10</c:f>
                <c:numCache>
                  <c:formatCode>General</c:formatCode>
                  <c:ptCount val="1"/>
                  <c:pt idx="0">
                    <c:v>8.3070549643508323E-2</c:v>
                  </c:pt>
                </c:numCache>
              </c:numRef>
            </c:plus>
            <c:minus>
              <c:numRef>
                <c:f>MAR4TOR!$AG$10</c:f>
                <c:numCache>
                  <c:formatCode>General</c:formatCode>
                  <c:ptCount val="1"/>
                  <c:pt idx="0">
                    <c:v>8.3070549643508323E-2</c:v>
                  </c:pt>
                </c:numCache>
              </c:numRef>
            </c:minus>
            <c:spPr>
              <a:noFill/>
              <a:ln w="28575" cap="flat" cmpd="sng" algn="ctr">
                <a:solidFill>
                  <a:schemeClr val="tx1">
                    <a:lumMod val="65000"/>
                    <a:lumOff val="35000"/>
                  </a:schemeClr>
                </a:solidFill>
                <a:round/>
              </a:ln>
              <a:effectLst/>
            </c:spPr>
          </c:errBars>
          <c:val>
            <c:numRef>
              <c:f>MAR4TOR!$AG$6</c:f>
              <c:numCache>
                <c:formatCode>General</c:formatCode>
                <c:ptCount val="1"/>
                <c:pt idx="0">
                  <c:v>0.70473235075496166</c:v>
                </c:pt>
              </c:numCache>
            </c:numRef>
          </c:val>
          <c:extLst>
            <c:ext xmlns:c16="http://schemas.microsoft.com/office/drawing/2014/chart" uri="{C3380CC4-5D6E-409C-BE32-E72D297353CC}">
              <c16:uniqueId val="{00000007-B683-414E-B789-323B3C18FE76}"/>
            </c:ext>
          </c:extLst>
        </c:ser>
        <c:dLbls>
          <c:showLegendKey val="0"/>
          <c:showVal val="0"/>
          <c:showCatName val="0"/>
          <c:showSerName val="0"/>
          <c:showPercent val="0"/>
          <c:showBubbleSize val="0"/>
        </c:dLbls>
        <c:gapWidth val="150"/>
        <c:axId val="546684832"/>
        <c:axId val="546683848"/>
      </c:barChart>
      <c:catAx>
        <c:axId val="546684832"/>
        <c:scaling>
          <c:orientation val="minMax"/>
        </c:scaling>
        <c:delete val="1"/>
        <c:axPos val="b"/>
        <c:numFmt formatCode="General" sourceLinked="1"/>
        <c:majorTickMark val="none"/>
        <c:minorTickMark val="none"/>
        <c:tickLblPos val="nextTo"/>
        <c:crossAx val="546683848"/>
        <c:crosses val="autoZero"/>
        <c:auto val="1"/>
        <c:lblAlgn val="ctr"/>
        <c:lblOffset val="100"/>
        <c:noMultiLvlLbl val="0"/>
      </c:catAx>
      <c:valAx>
        <c:axId val="546683848"/>
        <c:scaling>
          <c:orientation val="minMax"/>
          <c:max val="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6848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Compound</a:t>
            </a:r>
            <a:r>
              <a:rPr lang="en-US" b="1" u="sng" baseline="0"/>
              <a:t> variance at 500 degrees (3 triplicate samples of each variant of Switchgrass)</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Accumulated!$N$4</c:f>
              <c:strCache>
                <c:ptCount val="1"/>
                <c:pt idx="0">
                  <c:v>COMT2mutant LOW S/G</c:v>
                </c:pt>
              </c:strCache>
            </c:strRef>
          </c:tx>
          <c:spPr>
            <a:solidFill>
              <a:schemeClr val="accent1"/>
            </a:solidFill>
            <a:ln>
              <a:noFill/>
            </a:ln>
            <a:effectLst/>
          </c:spPr>
          <c:invertIfNegative val="0"/>
          <c:errBars>
            <c:errBarType val="both"/>
            <c:errValType val="cust"/>
            <c:noEndCap val="0"/>
            <c:plus>
              <c:numRef>
                <c:f>Accumulated!$O$8:$V$8</c:f>
                <c:numCache>
                  <c:formatCode>General</c:formatCode>
                  <c:ptCount val="8"/>
                  <c:pt idx="0">
                    <c:v>0.34</c:v>
                  </c:pt>
                  <c:pt idx="1">
                    <c:v>0.03</c:v>
                  </c:pt>
                  <c:pt idx="2">
                    <c:v>0.19</c:v>
                  </c:pt>
                  <c:pt idx="3">
                    <c:v>0.01</c:v>
                  </c:pt>
                  <c:pt idx="4">
                    <c:v>0</c:v>
                  </c:pt>
                  <c:pt idx="5">
                    <c:v>0.03</c:v>
                  </c:pt>
                  <c:pt idx="6">
                    <c:v>0.13</c:v>
                  </c:pt>
                  <c:pt idx="7">
                    <c:v>0.01</c:v>
                  </c:pt>
                </c:numCache>
              </c:numRef>
            </c:plus>
            <c:minus>
              <c:numRef>
                <c:f>Accumulated!$O$8:$V$8</c:f>
                <c:numCache>
                  <c:formatCode>General</c:formatCode>
                  <c:ptCount val="8"/>
                  <c:pt idx="0">
                    <c:v>0.34</c:v>
                  </c:pt>
                  <c:pt idx="1">
                    <c:v>0.03</c:v>
                  </c:pt>
                  <c:pt idx="2">
                    <c:v>0.19</c:v>
                  </c:pt>
                  <c:pt idx="3">
                    <c:v>0.01</c:v>
                  </c:pt>
                  <c:pt idx="4">
                    <c:v>0</c:v>
                  </c:pt>
                  <c:pt idx="5">
                    <c:v>0.03</c:v>
                  </c:pt>
                  <c:pt idx="6">
                    <c:v>0.13</c:v>
                  </c:pt>
                  <c:pt idx="7">
                    <c:v>0.01</c:v>
                  </c:pt>
                </c:numCache>
              </c:numRef>
            </c:minus>
            <c:spPr>
              <a:noFill/>
              <a:ln w="28575" cap="flat" cmpd="sng" algn="ctr">
                <a:solidFill>
                  <a:schemeClr val="tx1">
                    <a:lumMod val="65000"/>
                    <a:lumOff val="35000"/>
                  </a:schemeClr>
                </a:solidFill>
                <a:round/>
              </a:ln>
              <a:effectLst/>
            </c:spPr>
          </c:errBars>
          <c:cat>
            <c:strRef>
              <c:f>Accumulated!$O$3:$V$3</c:f>
              <c:strCache>
                <c:ptCount val="8"/>
                <c:pt idx="0">
                  <c:v>Light Oxygenate</c:v>
                </c:pt>
                <c:pt idx="1">
                  <c:v>Acetic Acid</c:v>
                </c:pt>
                <c:pt idx="2">
                  <c:v>Furfurals</c:v>
                </c:pt>
                <c:pt idx="3">
                  <c:v>Furans</c:v>
                </c:pt>
                <c:pt idx="4">
                  <c:v>Alkyl Benzenes</c:v>
                </c:pt>
                <c:pt idx="5">
                  <c:v>Alkyl Phenols</c:v>
                </c:pt>
                <c:pt idx="6">
                  <c:v>Anhydrous Sugars</c:v>
                </c:pt>
                <c:pt idx="7">
                  <c:v>Methoxy Phenols</c:v>
                </c:pt>
              </c:strCache>
            </c:strRef>
          </c:cat>
          <c:val>
            <c:numRef>
              <c:f>Accumulated!$O$4:$V$4</c:f>
              <c:numCache>
                <c:formatCode>General</c:formatCode>
                <c:ptCount val="8"/>
                <c:pt idx="0">
                  <c:v>4.1500000000000004</c:v>
                </c:pt>
                <c:pt idx="1">
                  <c:v>1.61</c:v>
                </c:pt>
                <c:pt idx="2">
                  <c:v>2.93</c:v>
                </c:pt>
                <c:pt idx="3">
                  <c:v>0.43</c:v>
                </c:pt>
                <c:pt idx="4">
                  <c:v>0.05</c:v>
                </c:pt>
                <c:pt idx="5">
                  <c:v>0.48</c:v>
                </c:pt>
                <c:pt idx="6">
                  <c:v>1.43</c:v>
                </c:pt>
                <c:pt idx="7">
                  <c:v>0.73</c:v>
                </c:pt>
              </c:numCache>
            </c:numRef>
          </c:val>
          <c:extLst>
            <c:ext xmlns:c16="http://schemas.microsoft.com/office/drawing/2014/chart" uri="{C3380CC4-5D6E-409C-BE32-E72D297353CC}">
              <c16:uniqueId val="{00000000-2A45-473B-A6E1-ECAD00496C8E}"/>
            </c:ext>
          </c:extLst>
        </c:ser>
        <c:ser>
          <c:idx val="1"/>
          <c:order val="1"/>
          <c:tx>
            <c:strRef>
              <c:f>Accumulated!$N$5</c:f>
              <c:strCache>
                <c:ptCount val="1"/>
                <c:pt idx="0">
                  <c:v>NATURAL DIVERSITY SG LOW S/G</c:v>
                </c:pt>
              </c:strCache>
            </c:strRef>
          </c:tx>
          <c:spPr>
            <a:solidFill>
              <a:schemeClr val="accent2"/>
            </a:solidFill>
            <a:ln>
              <a:noFill/>
            </a:ln>
            <a:effectLst/>
          </c:spPr>
          <c:invertIfNegative val="0"/>
          <c:errBars>
            <c:errBarType val="both"/>
            <c:errValType val="cust"/>
            <c:noEndCap val="0"/>
            <c:plus>
              <c:numRef>
                <c:f>Accumulated!$O$9:$V$9</c:f>
                <c:numCache>
                  <c:formatCode>General</c:formatCode>
                  <c:ptCount val="8"/>
                  <c:pt idx="0">
                    <c:v>0.16</c:v>
                  </c:pt>
                  <c:pt idx="1">
                    <c:v>0.08</c:v>
                  </c:pt>
                  <c:pt idx="2">
                    <c:v>7.0000000000000007E-2</c:v>
                  </c:pt>
                  <c:pt idx="3">
                    <c:v>0.01</c:v>
                  </c:pt>
                  <c:pt idx="4">
                    <c:v>0.01</c:v>
                  </c:pt>
                  <c:pt idx="5">
                    <c:v>0.02</c:v>
                  </c:pt>
                  <c:pt idx="6">
                    <c:v>0.31</c:v>
                  </c:pt>
                  <c:pt idx="7">
                    <c:v>7.0000000000000007E-2</c:v>
                  </c:pt>
                </c:numCache>
              </c:numRef>
            </c:plus>
            <c:minus>
              <c:numRef>
                <c:f>Accumulated!$O$9:$V$9</c:f>
                <c:numCache>
                  <c:formatCode>General</c:formatCode>
                  <c:ptCount val="8"/>
                  <c:pt idx="0">
                    <c:v>0.16</c:v>
                  </c:pt>
                  <c:pt idx="1">
                    <c:v>0.08</c:v>
                  </c:pt>
                  <c:pt idx="2">
                    <c:v>7.0000000000000007E-2</c:v>
                  </c:pt>
                  <c:pt idx="3">
                    <c:v>0.01</c:v>
                  </c:pt>
                  <c:pt idx="4">
                    <c:v>0.01</c:v>
                  </c:pt>
                  <c:pt idx="5">
                    <c:v>0.02</c:v>
                  </c:pt>
                  <c:pt idx="6">
                    <c:v>0.31</c:v>
                  </c:pt>
                  <c:pt idx="7">
                    <c:v>7.0000000000000007E-2</c:v>
                  </c:pt>
                </c:numCache>
              </c:numRef>
            </c:minus>
            <c:spPr>
              <a:noFill/>
              <a:ln w="28575" cap="flat" cmpd="sng" algn="ctr">
                <a:solidFill>
                  <a:schemeClr val="tx1">
                    <a:lumMod val="65000"/>
                    <a:lumOff val="35000"/>
                  </a:schemeClr>
                </a:solidFill>
                <a:round/>
              </a:ln>
              <a:effectLst/>
            </c:spPr>
          </c:errBars>
          <c:cat>
            <c:strRef>
              <c:f>Accumulated!$O$3:$V$3</c:f>
              <c:strCache>
                <c:ptCount val="8"/>
                <c:pt idx="0">
                  <c:v>Light Oxygenate</c:v>
                </c:pt>
                <c:pt idx="1">
                  <c:v>Acetic Acid</c:v>
                </c:pt>
                <c:pt idx="2">
                  <c:v>Furfurals</c:v>
                </c:pt>
                <c:pt idx="3">
                  <c:v>Furans</c:v>
                </c:pt>
                <c:pt idx="4">
                  <c:v>Alkyl Benzenes</c:v>
                </c:pt>
                <c:pt idx="5">
                  <c:v>Alkyl Phenols</c:v>
                </c:pt>
                <c:pt idx="6">
                  <c:v>Anhydrous Sugars</c:v>
                </c:pt>
                <c:pt idx="7">
                  <c:v>Methoxy Phenols</c:v>
                </c:pt>
              </c:strCache>
            </c:strRef>
          </c:cat>
          <c:val>
            <c:numRef>
              <c:f>Accumulated!$O$5:$V$5</c:f>
              <c:numCache>
                <c:formatCode>General</c:formatCode>
                <c:ptCount val="8"/>
                <c:pt idx="0">
                  <c:v>3.4</c:v>
                </c:pt>
                <c:pt idx="1">
                  <c:v>1.69</c:v>
                </c:pt>
                <c:pt idx="2">
                  <c:v>2.81</c:v>
                </c:pt>
                <c:pt idx="3">
                  <c:v>0.56999999999999995</c:v>
                </c:pt>
                <c:pt idx="4">
                  <c:v>0.1</c:v>
                </c:pt>
                <c:pt idx="5">
                  <c:v>0.4</c:v>
                </c:pt>
                <c:pt idx="6">
                  <c:v>1.36</c:v>
                </c:pt>
                <c:pt idx="7">
                  <c:v>0.64</c:v>
                </c:pt>
              </c:numCache>
            </c:numRef>
          </c:val>
          <c:extLst>
            <c:ext xmlns:c16="http://schemas.microsoft.com/office/drawing/2014/chart" uri="{C3380CC4-5D6E-409C-BE32-E72D297353CC}">
              <c16:uniqueId val="{00000001-2A45-473B-A6E1-ECAD00496C8E}"/>
            </c:ext>
          </c:extLst>
        </c:ser>
        <c:ser>
          <c:idx val="2"/>
          <c:order val="2"/>
          <c:tx>
            <c:strRef>
              <c:f>Accumulated!$N$6</c:f>
              <c:strCache>
                <c:ptCount val="1"/>
                <c:pt idx="0">
                  <c:v>AP13 SG</c:v>
                </c:pt>
              </c:strCache>
            </c:strRef>
          </c:tx>
          <c:spPr>
            <a:solidFill>
              <a:schemeClr val="accent3"/>
            </a:solidFill>
            <a:ln>
              <a:noFill/>
            </a:ln>
            <a:effectLst/>
          </c:spPr>
          <c:invertIfNegative val="0"/>
          <c:errBars>
            <c:errBarType val="both"/>
            <c:errValType val="cust"/>
            <c:noEndCap val="0"/>
            <c:plus>
              <c:numRef>
                <c:f>Accumulated!$O$10:$V$10</c:f>
                <c:numCache>
                  <c:formatCode>General</c:formatCode>
                  <c:ptCount val="8"/>
                  <c:pt idx="0">
                    <c:v>0.26</c:v>
                  </c:pt>
                  <c:pt idx="1">
                    <c:v>0.14000000000000001</c:v>
                  </c:pt>
                  <c:pt idx="2">
                    <c:v>0.13</c:v>
                  </c:pt>
                  <c:pt idx="3">
                    <c:v>0.02</c:v>
                  </c:pt>
                  <c:pt idx="4">
                    <c:v>0.02</c:v>
                  </c:pt>
                  <c:pt idx="5">
                    <c:v>0.08</c:v>
                  </c:pt>
                  <c:pt idx="6">
                    <c:v>0.36</c:v>
                  </c:pt>
                  <c:pt idx="7">
                    <c:v>0.12</c:v>
                  </c:pt>
                </c:numCache>
              </c:numRef>
            </c:plus>
            <c:minus>
              <c:numRef>
                <c:f>Accumulated!$O$10:$V$10</c:f>
                <c:numCache>
                  <c:formatCode>General</c:formatCode>
                  <c:ptCount val="8"/>
                  <c:pt idx="0">
                    <c:v>0.26</c:v>
                  </c:pt>
                  <c:pt idx="1">
                    <c:v>0.14000000000000001</c:v>
                  </c:pt>
                  <c:pt idx="2">
                    <c:v>0.13</c:v>
                  </c:pt>
                  <c:pt idx="3">
                    <c:v>0.02</c:v>
                  </c:pt>
                  <c:pt idx="4">
                    <c:v>0.02</c:v>
                  </c:pt>
                  <c:pt idx="5">
                    <c:v>0.08</c:v>
                  </c:pt>
                  <c:pt idx="6">
                    <c:v>0.36</c:v>
                  </c:pt>
                  <c:pt idx="7">
                    <c:v>0.12</c:v>
                  </c:pt>
                </c:numCache>
              </c:numRef>
            </c:minus>
            <c:spPr>
              <a:noFill/>
              <a:ln w="28575" cap="flat" cmpd="sng" algn="ctr">
                <a:solidFill>
                  <a:schemeClr val="tx1">
                    <a:lumMod val="65000"/>
                    <a:lumOff val="35000"/>
                  </a:schemeClr>
                </a:solidFill>
                <a:round/>
              </a:ln>
              <a:effectLst/>
            </c:spPr>
          </c:errBars>
          <c:cat>
            <c:strRef>
              <c:f>Accumulated!$O$3:$V$3</c:f>
              <c:strCache>
                <c:ptCount val="8"/>
                <c:pt idx="0">
                  <c:v>Light Oxygenate</c:v>
                </c:pt>
                <c:pt idx="1">
                  <c:v>Acetic Acid</c:v>
                </c:pt>
                <c:pt idx="2">
                  <c:v>Furfurals</c:v>
                </c:pt>
                <c:pt idx="3">
                  <c:v>Furans</c:v>
                </c:pt>
                <c:pt idx="4">
                  <c:v>Alkyl Benzenes</c:v>
                </c:pt>
                <c:pt idx="5">
                  <c:v>Alkyl Phenols</c:v>
                </c:pt>
                <c:pt idx="6">
                  <c:v>Anhydrous Sugars</c:v>
                </c:pt>
                <c:pt idx="7">
                  <c:v>Methoxy Phenols</c:v>
                </c:pt>
              </c:strCache>
            </c:strRef>
          </c:cat>
          <c:val>
            <c:numRef>
              <c:f>Accumulated!$O$6:$V$6</c:f>
              <c:numCache>
                <c:formatCode>General</c:formatCode>
                <c:ptCount val="8"/>
                <c:pt idx="0">
                  <c:v>1.97</c:v>
                </c:pt>
                <c:pt idx="1">
                  <c:v>0.78</c:v>
                </c:pt>
                <c:pt idx="2">
                  <c:v>1.06</c:v>
                </c:pt>
                <c:pt idx="3">
                  <c:v>0.16</c:v>
                </c:pt>
                <c:pt idx="4">
                  <c:v>0.11</c:v>
                </c:pt>
                <c:pt idx="5">
                  <c:v>0.4</c:v>
                </c:pt>
                <c:pt idx="6">
                  <c:v>1.34</c:v>
                </c:pt>
                <c:pt idx="7">
                  <c:v>0.46</c:v>
                </c:pt>
              </c:numCache>
            </c:numRef>
          </c:val>
          <c:extLst>
            <c:ext xmlns:c16="http://schemas.microsoft.com/office/drawing/2014/chart" uri="{C3380CC4-5D6E-409C-BE32-E72D297353CC}">
              <c16:uniqueId val="{00000002-2A45-473B-A6E1-ECAD00496C8E}"/>
            </c:ext>
          </c:extLst>
        </c:ser>
        <c:ser>
          <c:idx val="3"/>
          <c:order val="3"/>
          <c:tx>
            <c:strRef>
              <c:f>Accumulated!$N$7</c:f>
              <c:strCache>
                <c:ptCount val="1"/>
                <c:pt idx="0">
                  <c:v>COMT2Wildtype HIGH S/G</c:v>
                </c:pt>
              </c:strCache>
            </c:strRef>
          </c:tx>
          <c:spPr>
            <a:solidFill>
              <a:schemeClr val="accent4"/>
            </a:solidFill>
            <a:ln>
              <a:noFill/>
            </a:ln>
            <a:effectLst/>
          </c:spPr>
          <c:invertIfNegative val="0"/>
          <c:errBars>
            <c:errBarType val="both"/>
            <c:errValType val="cust"/>
            <c:noEndCap val="0"/>
            <c:plus>
              <c:numRef>
                <c:f>Accumulated!$O$11:$V$11</c:f>
                <c:numCache>
                  <c:formatCode>General</c:formatCode>
                  <c:ptCount val="8"/>
                  <c:pt idx="0">
                    <c:v>0.79</c:v>
                  </c:pt>
                  <c:pt idx="1">
                    <c:v>0.23</c:v>
                  </c:pt>
                  <c:pt idx="2">
                    <c:v>0.17</c:v>
                  </c:pt>
                  <c:pt idx="3">
                    <c:v>0.02</c:v>
                  </c:pt>
                  <c:pt idx="4">
                    <c:v>0.01</c:v>
                  </c:pt>
                  <c:pt idx="5">
                    <c:v>0.02</c:v>
                  </c:pt>
                  <c:pt idx="6">
                    <c:v>0.05</c:v>
                  </c:pt>
                  <c:pt idx="7">
                    <c:v>0.03</c:v>
                  </c:pt>
                </c:numCache>
              </c:numRef>
            </c:plus>
            <c:minus>
              <c:numRef>
                <c:f>Accumulated!$O$11:$V$11</c:f>
                <c:numCache>
                  <c:formatCode>General</c:formatCode>
                  <c:ptCount val="8"/>
                  <c:pt idx="0">
                    <c:v>0.79</c:v>
                  </c:pt>
                  <c:pt idx="1">
                    <c:v>0.23</c:v>
                  </c:pt>
                  <c:pt idx="2">
                    <c:v>0.17</c:v>
                  </c:pt>
                  <c:pt idx="3">
                    <c:v>0.02</c:v>
                  </c:pt>
                  <c:pt idx="4">
                    <c:v>0.01</c:v>
                  </c:pt>
                  <c:pt idx="5">
                    <c:v>0.02</c:v>
                  </c:pt>
                  <c:pt idx="6">
                    <c:v>0.05</c:v>
                  </c:pt>
                  <c:pt idx="7">
                    <c:v>0.03</c:v>
                  </c:pt>
                </c:numCache>
              </c:numRef>
            </c:minus>
            <c:spPr>
              <a:noFill/>
              <a:ln w="28575" cap="flat" cmpd="sng" algn="ctr">
                <a:solidFill>
                  <a:schemeClr val="tx1">
                    <a:lumMod val="65000"/>
                    <a:lumOff val="35000"/>
                  </a:schemeClr>
                </a:solidFill>
                <a:round/>
              </a:ln>
              <a:effectLst/>
            </c:spPr>
          </c:errBars>
          <c:cat>
            <c:strRef>
              <c:f>Accumulated!$O$3:$V$3</c:f>
              <c:strCache>
                <c:ptCount val="8"/>
                <c:pt idx="0">
                  <c:v>Light Oxygenate</c:v>
                </c:pt>
                <c:pt idx="1">
                  <c:v>Acetic Acid</c:v>
                </c:pt>
                <c:pt idx="2">
                  <c:v>Furfurals</c:v>
                </c:pt>
                <c:pt idx="3">
                  <c:v>Furans</c:v>
                </c:pt>
                <c:pt idx="4">
                  <c:v>Alkyl Benzenes</c:v>
                </c:pt>
                <c:pt idx="5">
                  <c:v>Alkyl Phenols</c:v>
                </c:pt>
                <c:pt idx="6">
                  <c:v>Anhydrous Sugars</c:v>
                </c:pt>
                <c:pt idx="7">
                  <c:v>Methoxy Phenols</c:v>
                </c:pt>
              </c:strCache>
            </c:strRef>
          </c:cat>
          <c:val>
            <c:numRef>
              <c:f>Accumulated!$O$7:$V$7</c:f>
              <c:numCache>
                <c:formatCode>General</c:formatCode>
                <c:ptCount val="8"/>
                <c:pt idx="0">
                  <c:v>4.5999999999999996</c:v>
                </c:pt>
                <c:pt idx="1">
                  <c:v>1.39</c:v>
                </c:pt>
                <c:pt idx="2">
                  <c:v>2.92</c:v>
                </c:pt>
                <c:pt idx="3">
                  <c:v>0.23</c:v>
                </c:pt>
                <c:pt idx="4">
                  <c:v>0.04</c:v>
                </c:pt>
                <c:pt idx="5">
                  <c:v>0.44</c:v>
                </c:pt>
                <c:pt idx="6">
                  <c:v>2.14</c:v>
                </c:pt>
                <c:pt idx="7">
                  <c:v>0.6</c:v>
                </c:pt>
              </c:numCache>
            </c:numRef>
          </c:val>
          <c:extLst>
            <c:ext xmlns:c16="http://schemas.microsoft.com/office/drawing/2014/chart" uri="{C3380CC4-5D6E-409C-BE32-E72D297353CC}">
              <c16:uniqueId val="{00000003-2A45-473B-A6E1-ECAD00496C8E}"/>
            </c:ext>
          </c:extLst>
        </c:ser>
        <c:dLbls>
          <c:showLegendKey val="0"/>
          <c:showVal val="0"/>
          <c:showCatName val="0"/>
          <c:showSerName val="0"/>
          <c:showPercent val="0"/>
          <c:showBubbleSize val="0"/>
        </c:dLbls>
        <c:gapWidth val="75"/>
        <c:overlap val="-25"/>
        <c:axId val="690776368"/>
        <c:axId val="690778336"/>
      </c:barChart>
      <c:catAx>
        <c:axId val="69077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0778336"/>
        <c:crosses val="autoZero"/>
        <c:auto val="1"/>
        <c:lblAlgn val="ctr"/>
        <c:lblOffset val="100"/>
        <c:noMultiLvlLbl val="0"/>
      </c:catAx>
      <c:valAx>
        <c:axId val="690778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layout>
            <c:manualLayout>
              <c:xMode val="edge"/>
              <c:yMode val="edge"/>
              <c:x val="2.569043031470777E-2"/>
              <c:y val="0.1582407407407407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0776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Torrefaction</a:t>
            </a:r>
            <a:r>
              <a:rPr lang="en-US" b="1" u="sng" baseline="0"/>
              <a:t> yield of phenolic species at 270 degrees Celsius </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COMT2mutant</c:v>
          </c:tx>
          <c:spPr>
            <a:solidFill>
              <a:schemeClr val="accent1"/>
            </a:solidFill>
            <a:ln>
              <a:noFill/>
            </a:ln>
            <a:effectLst/>
          </c:spPr>
          <c:invertIfNegative val="0"/>
          <c:errBars>
            <c:errBarType val="both"/>
            <c:errValType val="cust"/>
            <c:noEndCap val="0"/>
            <c:plus>
              <c:numRef>
                <c:f>(Accumulated!$H$8,Accumulated!$J$8)</c:f>
                <c:numCache>
                  <c:formatCode>General</c:formatCode>
                  <c:ptCount val="2"/>
                  <c:pt idx="0">
                    <c:v>0.01</c:v>
                  </c:pt>
                  <c:pt idx="1">
                    <c:v>0.02</c:v>
                  </c:pt>
                </c:numCache>
              </c:numRef>
            </c:plus>
            <c:minus>
              <c:numRef>
                <c:f>(Accumulated!$H$8,Accumulated!$J$8)</c:f>
                <c:numCache>
                  <c:formatCode>General</c:formatCode>
                  <c:ptCount val="2"/>
                  <c:pt idx="0">
                    <c:v>0.01</c:v>
                  </c:pt>
                  <c:pt idx="1">
                    <c:v>0.02</c:v>
                  </c:pt>
                </c:numCache>
              </c:numRef>
            </c:minus>
            <c:spPr>
              <a:noFill/>
              <a:ln w="28575" cap="flat" cmpd="sng" algn="ctr">
                <a:solidFill>
                  <a:schemeClr val="tx1">
                    <a:lumMod val="65000"/>
                    <a:lumOff val="35000"/>
                  </a:schemeClr>
                </a:solidFill>
                <a:round/>
              </a:ln>
              <a:effectLst/>
            </c:spPr>
          </c:errBars>
          <c:cat>
            <c:strRef>
              <c:f>(Accumulated!$H$3,Accumulated!$J$3)</c:f>
              <c:strCache>
                <c:ptCount val="2"/>
                <c:pt idx="0">
                  <c:v>Alkyl Phenols</c:v>
                </c:pt>
                <c:pt idx="1">
                  <c:v>Methoxy Phenols</c:v>
                </c:pt>
              </c:strCache>
            </c:strRef>
          </c:cat>
          <c:val>
            <c:numRef>
              <c:f>(Accumulated!$H$4,Accumulated!$J$4)</c:f>
              <c:numCache>
                <c:formatCode>General</c:formatCode>
                <c:ptCount val="2"/>
                <c:pt idx="0">
                  <c:v>0.2</c:v>
                </c:pt>
                <c:pt idx="1">
                  <c:v>0.25</c:v>
                </c:pt>
              </c:numCache>
            </c:numRef>
          </c:val>
          <c:extLst>
            <c:ext xmlns:c16="http://schemas.microsoft.com/office/drawing/2014/chart" uri="{C3380CC4-5D6E-409C-BE32-E72D297353CC}">
              <c16:uniqueId val="{00000000-B95A-4495-A95D-7E9E4EF3F1A1}"/>
            </c:ext>
          </c:extLst>
        </c:ser>
        <c:ser>
          <c:idx val="1"/>
          <c:order val="1"/>
          <c:tx>
            <c:v>Natural Diversity SG</c:v>
          </c:tx>
          <c:spPr>
            <a:solidFill>
              <a:schemeClr val="accent2"/>
            </a:solidFill>
            <a:ln>
              <a:noFill/>
            </a:ln>
            <a:effectLst/>
          </c:spPr>
          <c:invertIfNegative val="0"/>
          <c:errBars>
            <c:errBarType val="both"/>
            <c:errValType val="cust"/>
            <c:noEndCap val="0"/>
            <c:plus>
              <c:numRef>
                <c:f>(Accumulated!$H$9,Accumulated!$J$9)</c:f>
                <c:numCache>
                  <c:formatCode>General</c:formatCode>
                  <c:ptCount val="2"/>
                  <c:pt idx="0">
                    <c:v>0</c:v>
                  </c:pt>
                  <c:pt idx="1">
                    <c:v>0.01</c:v>
                  </c:pt>
                </c:numCache>
              </c:numRef>
            </c:plus>
            <c:minus>
              <c:numRef>
                <c:f>(Accumulated!$H$9,Accumulated!$J$9)</c:f>
                <c:numCache>
                  <c:formatCode>General</c:formatCode>
                  <c:ptCount val="2"/>
                  <c:pt idx="0">
                    <c:v>0</c:v>
                  </c:pt>
                  <c:pt idx="1">
                    <c:v>0.01</c:v>
                  </c:pt>
                </c:numCache>
              </c:numRef>
            </c:minus>
            <c:spPr>
              <a:noFill/>
              <a:ln w="28575" cap="flat" cmpd="sng" algn="ctr">
                <a:solidFill>
                  <a:schemeClr val="tx1">
                    <a:lumMod val="65000"/>
                    <a:lumOff val="35000"/>
                  </a:schemeClr>
                </a:solidFill>
                <a:round/>
              </a:ln>
              <a:effectLst/>
            </c:spPr>
          </c:errBars>
          <c:cat>
            <c:strRef>
              <c:f>(Accumulated!$H$3,Accumulated!$J$3)</c:f>
              <c:strCache>
                <c:ptCount val="2"/>
                <c:pt idx="0">
                  <c:v>Alkyl Phenols</c:v>
                </c:pt>
                <c:pt idx="1">
                  <c:v>Methoxy Phenols</c:v>
                </c:pt>
              </c:strCache>
            </c:strRef>
          </c:cat>
          <c:val>
            <c:numRef>
              <c:f>(Accumulated!$H$5,Accumulated!$J$5)</c:f>
              <c:numCache>
                <c:formatCode>General</c:formatCode>
                <c:ptCount val="2"/>
                <c:pt idx="0">
                  <c:v>0.09</c:v>
                </c:pt>
                <c:pt idx="1">
                  <c:v>0.26</c:v>
                </c:pt>
              </c:numCache>
            </c:numRef>
          </c:val>
          <c:extLst>
            <c:ext xmlns:c16="http://schemas.microsoft.com/office/drawing/2014/chart" uri="{C3380CC4-5D6E-409C-BE32-E72D297353CC}">
              <c16:uniqueId val="{00000001-B95A-4495-A95D-7E9E4EF3F1A1}"/>
            </c:ext>
          </c:extLst>
        </c:ser>
        <c:ser>
          <c:idx val="2"/>
          <c:order val="2"/>
          <c:tx>
            <c:v>AP13 SG</c:v>
          </c:tx>
          <c:spPr>
            <a:solidFill>
              <a:schemeClr val="accent3"/>
            </a:solidFill>
            <a:ln>
              <a:noFill/>
            </a:ln>
            <a:effectLst/>
          </c:spPr>
          <c:invertIfNegative val="0"/>
          <c:errBars>
            <c:errBarType val="both"/>
            <c:errValType val="cust"/>
            <c:noEndCap val="0"/>
            <c:plus>
              <c:numRef>
                <c:f>(Accumulated!$H$10,Accumulated!$J$10)</c:f>
                <c:numCache>
                  <c:formatCode>General</c:formatCode>
                  <c:ptCount val="2"/>
                  <c:pt idx="0">
                    <c:v>0.06</c:v>
                  </c:pt>
                  <c:pt idx="1">
                    <c:v>7.0000000000000007E-2</c:v>
                  </c:pt>
                </c:numCache>
              </c:numRef>
            </c:plus>
            <c:minus>
              <c:numRef>
                <c:f>(Accumulated!$H$10,Accumulated!$J$10)</c:f>
                <c:numCache>
                  <c:formatCode>General</c:formatCode>
                  <c:ptCount val="2"/>
                  <c:pt idx="0">
                    <c:v>0.06</c:v>
                  </c:pt>
                  <c:pt idx="1">
                    <c:v>7.0000000000000007E-2</c:v>
                  </c:pt>
                </c:numCache>
              </c:numRef>
            </c:minus>
            <c:spPr>
              <a:noFill/>
              <a:ln w="28575" cap="flat" cmpd="sng" algn="ctr">
                <a:solidFill>
                  <a:schemeClr val="tx1">
                    <a:lumMod val="65000"/>
                    <a:lumOff val="35000"/>
                  </a:schemeClr>
                </a:solidFill>
                <a:round/>
              </a:ln>
              <a:effectLst/>
            </c:spPr>
          </c:errBars>
          <c:cat>
            <c:strRef>
              <c:f>(Accumulated!$H$3,Accumulated!$J$3)</c:f>
              <c:strCache>
                <c:ptCount val="2"/>
                <c:pt idx="0">
                  <c:v>Alkyl Phenols</c:v>
                </c:pt>
                <c:pt idx="1">
                  <c:v>Methoxy Phenols</c:v>
                </c:pt>
              </c:strCache>
            </c:strRef>
          </c:cat>
          <c:val>
            <c:numRef>
              <c:f>(Accumulated!$H$6,Accumulated!$J$6)</c:f>
              <c:numCache>
                <c:formatCode>General</c:formatCode>
                <c:ptCount val="2"/>
                <c:pt idx="0">
                  <c:v>0.24</c:v>
                </c:pt>
                <c:pt idx="1">
                  <c:v>0.31</c:v>
                </c:pt>
              </c:numCache>
            </c:numRef>
          </c:val>
          <c:extLst>
            <c:ext xmlns:c16="http://schemas.microsoft.com/office/drawing/2014/chart" uri="{C3380CC4-5D6E-409C-BE32-E72D297353CC}">
              <c16:uniqueId val="{00000002-B95A-4495-A95D-7E9E4EF3F1A1}"/>
            </c:ext>
          </c:extLst>
        </c:ser>
        <c:ser>
          <c:idx val="3"/>
          <c:order val="3"/>
          <c:tx>
            <c:v>COMT2Wildtype</c:v>
          </c:tx>
          <c:spPr>
            <a:solidFill>
              <a:schemeClr val="accent4"/>
            </a:solidFill>
            <a:ln>
              <a:noFill/>
            </a:ln>
            <a:effectLst/>
          </c:spPr>
          <c:invertIfNegative val="0"/>
          <c:errBars>
            <c:errBarType val="both"/>
            <c:errValType val="cust"/>
            <c:noEndCap val="0"/>
            <c:plus>
              <c:numRef>
                <c:f>(Accumulated!$H$11,Accumulated!$J$11)</c:f>
                <c:numCache>
                  <c:formatCode>General</c:formatCode>
                  <c:ptCount val="2"/>
                  <c:pt idx="0">
                    <c:v>0.02</c:v>
                  </c:pt>
                  <c:pt idx="1">
                    <c:v>0.02</c:v>
                  </c:pt>
                </c:numCache>
              </c:numRef>
            </c:plus>
            <c:minus>
              <c:numRef>
                <c:f>(Accumulated!$H$11,Accumulated!$J$11)</c:f>
                <c:numCache>
                  <c:formatCode>General</c:formatCode>
                  <c:ptCount val="2"/>
                  <c:pt idx="0">
                    <c:v>0.02</c:v>
                  </c:pt>
                  <c:pt idx="1">
                    <c:v>0.02</c:v>
                  </c:pt>
                </c:numCache>
              </c:numRef>
            </c:minus>
            <c:spPr>
              <a:noFill/>
              <a:ln w="28575" cap="flat" cmpd="sng" algn="ctr">
                <a:solidFill>
                  <a:schemeClr val="tx1">
                    <a:lumMod val="65000"/>
                    <a:lumOff val="35000"/>
                  </a:schemeClr>
                </a:solidFill>
                <a:round/>
              </a:ln>
              <a:effectLst/>
            </c:spPr>
          </c:errBars>
          <c:cat>
            <c:strRef>
              <c:f>(Accumulated!$H$3,Accumulated!$J$3)</c:f>
              <c:strCache>
                <c:ptCount val="2"/>
                <c:pt idx="0">
                  <c:v>Alkyl Phenols</c:v>
                </c:pt>
                <c:pt idx="1">
                  <c:v>Methoxy Phenols</c:v>
                </c:pt>
              </c:strCache>
            </c:strRef>
          </c:cat>
          <c:val>
            <c:numRef>
              <c:f>(Accumulated!$H$7,Accumulated!$J$7)</c:f>
              <c:numCache>
                <c:formatCode>General</c:formatCode>
                <c:ptCount val="2"/>
                <c:pt idx="0">
                  <c:v>0.24</c:v>
                </c:pt>
                <c:pt idx="1">
                  <c:v>0.26</c:v>
                </c:pt>
              </c:numCache>
            </c:numRef>
          </c:val>
          <c:extLst>
            <c:ext xmlns:c16="http://schemas.microsoft.com/office/drawing/2014/chart" uri="{C3380CC4-5D6E-409C-BE32-E72D297353CC}">
              <c16:uniqueId val="{00000003-B95A-4495-A95D-7E9E4EF3F1A1}"/>
            </c:ext>
          </c:extLst>
        </c:ser>
        <c:dLbls>
          <c:showLegendKey val="0"/>
          <c:showVal val="0"/>
          <c:showCatName val="0"/>
          <c:showSerName val="0"/>
          <c:showPercent val="0"/>
          <c:showBubbleSize val="0"/>
        </c:dLbls>
        <c:gapWidth val="150"/>
        <c:axId val="600320080"/>
        <c:axId val="600320408"/>
      </c:barChart>
      <c:catAx>
        <c:axId val="60032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00320408"/>
        <c:crosses val="autoZero"/>
        <c:auto val="1"/>
        <c:lblAlgn val="ctr"/>
        <c:lblOffset val="100"/>
        <c:noMultiLvlLbl val="0"/>
      </c:catAx>
      <c:valAx>
        <c:axId val="600320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l-GR" b="1" baseline="0">
                    <a:latin typeface="Calibri" panose="020F0502020204030204" pitchFamily="34" charset="0"/>
                    <a:cs typeface="Calibri" panose="020F0502020204030204" pitchFamily="34" charset="0"/>
                  </a:rPr>
                  <a:t>μ</a:t>
                </a:r>
                <a:r>
                  <a:rPr lang="en-US" b="1" baseline="0">
                    <a:latin typeface="Calibri" panose="020F0502020204030204" pitchFamily="34" charset="0"/>
                    <a:cs typeface="Calibri" panose="020F0502020204030204" pitchFamily="34" charset="0"/>
                  </a:rPr>
                  <a:t>g) [per mg of raw biomass]</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03200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Pyrolysis</a:t>
            </a:r>
            <a:r>
              <a:rPr lang="en-US" b="1" u="sng" baseline="0"/>
              <a:t> yield of phenolic species at 500 degrees Celsius </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COMT2mutant</c:v>
          </c:tx>
          <c:spPr>
            <a:solidFill>
              <a:schemeClr val="accent1"/>
            </a:solidFill>
            <a:ln>
              <a:noFill/>
            </a:ln>
            <a:effectLst/>
          </c:spPr>
          <c:invertIfNegative val="0"/>
          <c:errBars>
            <c:errBarType val="both"/>
            <c:errValType val="cust"/>
            <c:noEndCap val="0"/>
            <c:plus>
              <c:numRef>
                <c:f>(Accumulated!$T$8,Accumulated!$V$8)</c:f>
                <c:numCache>
                  <c:formatCode>General</c:formatCode>
                  <c:ptCount val="2"/>
                  <c:pt idx="0">
                    <c:v>0.03</c:v>
                  </c:pt>
                  <c:pt idx="1">
                    <c:v>0.01</c:v>
                  </c:pt>
                </c:numCache>
              </c:numRef>
            </c:plus>
            <c:minus>
              <c:numRef>
                <c:f>(Accumulated!$T$8,Accumulated!$V$8)</c:f>
                <c:numCache>
                  <c:formatCode>General</c:formatCode>
                  <c:ptCount val="2"/>
                  <c:pt idx="0">
                    <c:v>0.03</c:v>
                  </c:pt>
                  <c:pt idx="1">
                    <c:v>0.01</c:v>
                  </c:pt>
                </c:numCache>
              </c:numRef>
            </c:minus>
            <c:spPr>
              <a:noFill/>
              <a:ln w="28575" cap="flat" cmpd="sng" algn="ctr">
                <a:solidFill>
                  <a:schemeClr val="tx1">
                    <a:lumMod val="65000"/>
                    <a:lumOff val="35000"/>
                  </a:schemeClr>
                </a:solidFill>
                <a:round/>
              </a:ln>
              <a:effectLst/>
            </c:spPr>
          </c:errBars>
          <c:cat>
            <c:strRef>
              <c:f>(Accumulated!$T$3,Accumulated!$V$3)</c:f>
              <c:strCache>
                <c:ptCount val="2"/>
                <c:pt idx="0">
                  <c:v>Alkyl Phenols</c:v>
                </c:pt>
                <c:pt idx="1">
                  <c:v>Methoxy Phenols</c:v>
                </c:pt>
              </c:strCache>
            </c:strRef>
          </c:cat>
          <c:val>
            <c:numRef>
              <c:f>(Accumulated!$T$4,Accumulated!$V$4)</c:f>
              <c:numCache>
                <c:formatCode>General</c:formatCode>
                <c:ptCount val="2"/>
                <c:pt idx="0">
                  <c:v>0.48</c:v>
                </c:pt>
                <c:pt idx="1">
                  <c:v>0.73</c:v>
                </c:pt>
              </c:numCache>
            </c:numRef>
          </c:val>
          <c:extLst>
            <c:ext xmlns:c16="http://schemas.microsoft.com/office/drawing/2014/chart" uri="{C3380CC4-5D6E-409C-BE32-E72D297353CC}">
              <c16:uniqueId val="{00000000-26C7-4E84-9A00-D13E4FF75FC1}"/>
            </c:ext>
          </c:extLst>
        </c:ser>
        <c:ser>
          <c:idx val="1"/>
          <c:order val="1"/>
          <c:tx>
            <c:v>Natural Diversity SG</c:v>
          </c:tx>
          <c:spPr>
            <a:solidFill>
              <a:schemeClr val="accent2"/>
            </a:solidFill>
            <a:ln>
              <a:noFill/>
            </a:ln>
            <a:effectLst/>
          </c:spPr>
          <c:invertIfNegative val="0"/>
          <c:errBars>
            <c:errBarType val="both"/>
            <c:errValType val="cust"/>
            <c:noEndCap val="0"/>
            <c:plus>
              <c:numRef>
                <c:f>(Accumulated!$T$9,Accumulated!$V$9)</c:f>
                <c:numCache>
                  <c:formatCode>General</c:formatCode>
                  <c:ptCount val="2"/>
                  <c:pt idx="0">
                    <c:v>0.02</c:v>
                  </c:pt>
                  <c:pt idx="1">
                    <c:v>7.0000000000000007E-2</c:v>
                  </c:pt>
                </c:numCache>
              </c:numRef>
            </c:plus>
            <c:minus>
              <c:numRef>
                <c:f>(Accumulated!$T$9,Accumulated!$V$9)</c:f>
                <c:numCache>
                  <c:formatCode>General</c:formatCode>
                  <c:ptCount val="2"/>
                  <c:pt idx="0">
                    <c:v>0.02</c:v>
                  </c:pt>
                  <c:pt idx="1">
                    <c:v>7.0000000000000007E-2</c:v>
                  </c:pt>
                </c:numCache>
              </c:numRef>
            </c:minus>
            <c:spPr>
              <a:noFill/>
              <a:ln w="28575" cap="flat" cmpd="sng" algn="ctr">
                <a:solidFill>
                  <a:schemeClr val="tx1">
                    <a:lumMod val="65000"/>
                    <a:lumOff val="35000"/>
                  </a:schemeClr>
                </a:solidFill>
                <a:round/>
              </a:ln>
              <a:effectLst/>
            </c:spPr>
          </c:errBars>
          <c:cat>
            <c:strRef>
              <c:f>(Accumulated!$T$3,Accumulated!$V$3)</c:f>
              <c:strCache>
                <c:ptCount val="2"/>
                <c:pt idx="0">
                  <c:v>Alkyl Phenols</c:v>
                </c:pt>
                <c:pt idx="1">
                  <c:v>Methoxy Phenols</c:v>
                </c:pt>
              </c:strCache>
            </c:strRef>
          </c:cat>
          <c:val>
            <c:numRef>
              <c:f>(Accumulated!$T$5,Accumulated!$V$5)</c:f>
              <c:numCache>
                <c:formatCode>General</c:formatCode>
                <c:ptCount val="2"/>
                <c:pt idx="0">
                  <c:v>0.4</c:v>
                </c:pt>
                <c:pt idx="1">
                  <c:v>0.64</c:v>
                </c:pt>
              </c:numCache>
            </c:numRef>
          </c:val>
          <c:extLst>
            <c:ext xmlns:c16="http://schemas.microsoft.com/office/drawing/2014/chart" uri="{C3380CC4-5D6E-409C-BE32-E72D297353CC}">
              <c16:uniqueId val="{00000001-26C7-4E84-9A00-D13E4FF75FC1}"/>
            </c:ext>
          </c:extLst>
        </c:ser>
        <c:ser>
          <c:idx val="2"/>
          <c:order val="2"/>
          <c:tx>
            <c:v>AP13 SG</c:v>
          </c:tx>
          <c:spPr>
            <a:solidFill>
              <a:schemeClr val="accent3"/>
            </a:solidFill>
            <a:ln>
              <a:noFill/>
            </a:ln>
            <a:effectLst/>
          </c:spPr>
          <c:invertIfNegative val="0"/>
          <c:errBars>
            <c:errBarType val="both"/>
            <c:errValType val="cust"/>
            <c:noEndCap val="0"/>
            <c:plus>
              <c:numRef>
                <c:f>(Accumulated!$T$10,Accumulated!$V$10)</c:f>
                <c:numCache>
                  <c:formatCode>General</c:formatCode>
                  <c:ptCount val="2"/>
                  <c:pt idx="0">
                    <c:v>0.08</c:v>
                  </c:pt>
                  <c:pt idx="1">
                    <c:v>0.12</c:v>
                  </c:pt>
                </c:numCache>
              </c:numRef>
            </c:plus>
            <c:minus>
              <c:numRef>
                <c:f>(Accumulated!$T$10,Accumulated!$V$10)</c:f>
                <c:numCache>
                  <c:formatCode>General</c:formatCode>
                  <c:ptCount val="2"/>
                  <c:pt idx="0">
                    <c:v>0.08</c:v>
                  </c:pt>
                  <c:pt idx="1">
                    <c:v>0.12</c:v>
                  </c:pt>
                </c:numCache>
              </c:numRef>
            </c:minus>
            <c:spPr>
              <a:noFill/>
              <a:ln w="28575" cap="flat" cmpd="sng" algn="ctr">
                <a:solidFill>
                  <a:schemeClr val="tx1">
                    <a:lumMod val="65000"/>
                    <a:lumOff val="35000"/>
                  </a:schemeClr>
                </a:solidFill>
                <a:round/>
              </a:ln>
              <a:effectLst/>
            </c:spPr>
          </c:errBars>
          <c:cat>
            <c:strRef>
              <c:f>(Accumulated!$T$3,Accumulated!$V$3)</c:f>
              <c:strCache>
                <c:ptCount val="2"/>
                <c:pt idx="0">
                  <c:v>Alkyl Phenols</c:v>
                </c:pt>
                <c:pt idx="1">
                  <c:v>Methoxy Phenols</c:v>
                </c:pt>
              </c:strCache>
            </c:strRef>
          </c:cat>
          <c:val>
            <c:numRef>
              <c:f>(Accumulated!$T$6,Accumulated!$V$6)</c:f>
              <c:numCache>
                <c:formatCode>General</c:formatCode>
                <c:ptCount val="2"/>
                <c:pt idx="0">
                  <c:v>0.4</c:v>
                </c:pt>
                <c:pt idx="1">
                  <c:v>0.46</c:v>
                </c:pt>
              </c:numCache>
            </c:numRef>
          </c:val>
          <c:extLst>
            <c:ext xmlns:c16="http://schemas.microsoft.com/office/drawing/2014/chart" uri="{C3380CC4-5D6E-409C-BE32-E72D297353CC}">
              <c16:uniqueId val="{00000002-26C7-4E84-9A00-D13E4FF75FC1}"/>
            </c:ext>
          </c:extLst>
        </c:ser>
        <c:ser>
          <c:idx val="3"/>
          <c:order val="3"/>
          <c:tx>
            <c:v>COMT2Wildtype</c:v>
          </c:tx>
          <c:spPr>
            <a:solidFill>
              <a:schemeClr val="accent4"/>
            </a:solidFill>
            <a:ln>
              <a:noFill/>
            </a:ln>
            <a:effectLst/>
          </c:spPr>
          <c:invertIfNegative val="0"/>
          <c:errBars>
            <c:errBarType val="both"/>
            <c:errValType val="cust"/>
            <c:noEndCap val="0"/>
            <c:plus>
              <c:numRef>
                <c:f>(Accumulated!$T$11,Accumulated!$V$11)</c:f>
                <c:numCache>
                  <c:formatCode>General</c:formatCode>
                  <c:ptCount val="2"/>
                  <c:pt idx="0">
                    <c:v>0.02</c:v>
                  </c:pt>
                  <c:pt idx="1">
                    <c:v>0.03</c:v>
                  </c:pt>
                </c:numCache>
              </c:numRef>
            </c:plus>
            <c:minus>
              <c:numRef>
                <c:f>(Accumulated!$T$11,Accumulated!$V$11)</c:f>
                <c:numCache>
                  <c:formatCode>General</c:formatCode>
                  <c:ptCount val="2"/>
                  <c:pt idx="0">
                    <c:v>0.02</c:v>
                  </c:pt>
                  <c:pt idx="1">
                    <c:v>0.03</c:v>
                  </c:pt>
                </c:numCache>
              </c:numRef>
            </c:minus>
            <c:spPr>
              <a:noFill/>
              <a:ln w="28575" cap="flat" cmpd="sng" algn="ctr">
                <a:solidFill>
                  <a:schemeClr val="tx1">
                    <a:lumMod val="65000"/>
                    <a:lumOff val="35000"/>
                  </a:schemeClr>
                </a:solidFill>
                <a:round/>
              </a:ln>
              <a:effectLst/>
            </c:spPr>
          </c:errBars>
          <c:cat>
            <c:strRef>
              <c:f>(Accumulated!$T$3,Accumulated!$V$3)</c:f>
              <c:strCache>
                <c:ptCount val="2"/>
                <c:pt idx="0">
                  <c:v>Alkyl Phenols</c:v>
                </c:pt>
                <c:pt idx="1">
                  <c:v>Methoxy Phenols</c:v>
                </c:pt>
              </c:strCache>
            </c:strRef>
          </c:cat>
          <c:val>
            <c:numRef>
              <c:f>(Accumulated!$T$7,Accumulated!$V$7)</c:f>
              <c:numCache>
                <c:formatCode>General</c:formatCode>
                <c:ptCount val="2"/>
                <c:pt idx="0">
                  <c:v>0.44</c:v>
                </c:pt>
                <c:pt idx="1">
                  <c:v>0.6</c:v>
                </c:pt>
              </c:numCache>
            </c:numRef>
          </c:val>
          <c:extLst>
            <c:ext xmlns:c16="http://schemas.microsoft.com/office/drawing/2014/chart" uri="{C3380CC4-5D6E-409C-BE32-E72D297353CC}">
              <c16:uniqueId val="{00000003-26C7-4E84-9A00-D13E4FF75FC1}"/>
            </c:ext>
          </c:extLst>
        </c:ser>
        <c:dLbls>
          <c:showLegendKey val="0"/>
          <c:showVal val="0"/>
          <c:showCatName val="0"/>
          <c:showSerName val="0"/>
          <c:showPercent val="0"/>
          <c:showBubbleSize val="0"/>
        </c:dLbls>
        <c:gapWidth val="150"/>
        <c:axId val="648724272"/>
        <c:axId val="648720664"/>
      </c:barChart>
      <c:catAx>
        <c:axId val="64872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48720664"/>
        <c:crosses val="autoZero"/>
        <c:auto val="1"/>
        <c:lblAlgn val="ctr"/>
        <c:lblOffset val="100"/>
        <c:noMultiLvlLbl val="0"/>
      </c:catAx>
      <c:valAx>
        <c:axId val="648720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l-GR" b="1" baseline="0">
                    <a:latin typeface="Calibri" panose="020F0502020204030204" pitchFamily="34" charset="0"/>
                    <a:cs typeface="Calibri" panose="020F0502020204030204" pitchFamily="34" charset="0"/>
                  </a:rPr>
                  <a:t>μ</a:t>
                </a:r>
                <a:r>
                  <a:rPr lang="en-US" b="1" baseline="0">
                    <a:latin typeface="Calibri" panose="020F0502020204030204" pitchFamily="34" charset="0"/>
                    <a:cs typeface="Calibri" panose="020F0502020204030204" pitchFamily="34" charset="0"/>
                  </a:rPr>
                  <a:t>g) [per mg of raw biomass]</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724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Torrefaction</a:t>
            </a:r>
            <a:r>
              <a:rPr lang="en-US" b="1" u="sng" baseline="0"/>
              <a:t> yield of specific phenolic compounds at 270 degrees (COMT2mutant)</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'APR26COMT2MutantlowSG  TOR'!$Y$29</c:f>
              <c:strCache>
                <c:ptCount val="1"/>
                <c:pt idx="0">
                  <c:v>S-monomer derived</c:v>
                </c:pt>
              </c:strCache>
            </c:strRef>
          </c:tx>
          <c:spPr>
            <a:solidFill>
              <a:srgbClr val="00B050"/>
            </a:solidFill>
            <a:ln>
              <a:noFill/>
            </a:ln>
            <a:effectLst/>
          </c:spPr>
          <c:invertIfNegative val="0"/>
          <c:val>
            <c:numRef>
              <c:f>'APR26COMT2MutantlowSG  TOR'!$Y$30</c:f>
              <c:numCache>
                <c:formatCode>General</c:formatCode>
                <c:ptCount val="1"/>
                <c:pt idx="0">
                  <c:v>2.6492262968229558E-2</c:v>
                </c:pt>
              </c:numCache>
            </c:numRef>
          </c:val>
          <c:extLst>
            <c:ext xmlns:c16="http://schemas.microsoft.com/office/drawing/2014/chart" uri="{C3380CC4-5D6E-409C-BE32-E72D297353CC}">
              <c16:uniqueId val="{00000000-4511-43C8-8DC4-5141BC51EEBB}"/>
            </c:ext>
          </c:extLst>
        </c:ser>
        <c:ser>
          <c:idx val="1"/>
          <c:order val="1"/>
          <c:tx>
            <c:strRef>
              <c:f>'APR26COMT2MutantlowSG  TOR'!$Z$29</c:f>
              <c:strCache>
                <c:ptCount val="1"/>
                <c:pt idx="0">
                  <c:v>G-monomer derived</c:v>
                </c:pt>
              </c:strCache>
            </c:strRef>
          </c:tx>
          <c:spPr>
            <a:solidFill>
              <a:schemeClr val="accent2"/>
            </a:solidFill>
            <a:ln>
              <a:noFill/>
            </a:ln>
            <a:effectLst/>
          </c:spPr>
          <c:invertIfNegative val="0"/>
          <c:val>
            <c:numRef>
              <c:f>'APR26COMT2MutantlowSG  TOR'!$Z$30</c:f>
              <c:numCache>
                <c:formatCode>General</c:formatCode>
                <c:ptCount val="1"/>
                <c:pt idx="0">
                  <c:v>0.20175800349629122</c:v>
                </c:pt>
              </c:numCache>
            </c:numRef>
          </c:val>
          <c:extLst>
            <c:ext xmlns:c16="http://schemas.microsoft.com/office/drawing/2014/chart" uri="{C3380CC4-5D6E-409C-BE32-E72D297353CC}">
              <c16:uniqueId val="{00000001-4511-43C8-8DC4-5141BC51EEBB}"/>
            </c:ext>
          </c:extLst>
        </c:ser>
        <c:dLbls>
          <c:showLegendKey val="0"/>
          <c:showVal val="0"/>
          <c:showCatName val="0"/>
          <c:showSerName val="0"/>
          <c:showPercent val="0"/>
          <c:showBubbleSize val="0"/>
        </c:dLbls>
        <c:gapWidth val="150"/>
        <c:axId val="644958656"/>
        <c:axId val="644956688"/>
      </c:barChart>
      <c:catAx>
        <c:axId val="644958656"/>
        <c:scaling>
          <c:orientation val="minMax"/>
        </c:scaling>
        <c:delete val="1"/>
        <c:axPos val="l"/>
        <c:numFmt formatCode="General" sourceLinked="1"/>
        <c:majorTickMark val="none"/>
        <c:minorTickMark val="none"/>
        <c:tickLblPos val="nextTo"/>
        <c:crossAx val="644956688"/>
        <c:crosses val="autoZero"/>
        <c:auto val="1"/>
        <c:lblAlgn val="ctr"/>
        <c:lblOffset val="100"/>
        <c:noMultiLvlLbl val="0"/>
      </c:catAx>
      <c:valAx>
        <c:axId val="644956688"/>
        <c:scaling>
          <c:orientation val="minMax"/>
          <c:max val="0.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9586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Torrefaction</a:t>
            </a:r>
            <a:r>
              <a:rPr lang="en-US" b="1" u="sng" baseline="0"/>
              <a:t> yield of specific phenolic compounds at 270 degrees (COMT2 Wildtype)</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APR28COMT2WThighSGTOR!$Y$22</c:f>
              <c:strCache>
                <c:ptCount val="1"/>
                <c:pt idx="0">
                  <c:v>S-monomer derived</c:v>
                </c:pt>
              </c:strCache>
            </c:strRef>
          </c:tx>
          <c:spPr>
            <a:solidFill>
              <a:srgbClr val="00B050"/>
            </a:solidFill>
            <a:ln>
              <a:noFill/>
            </a:ln>
            <a:effectLst/>
          </c:spPr>
          <c:invertIfNegative val="0"/>
          <c:val>
            <c:numRef>
              <c:f>APR28COMT2WThighSGTOR!$Y$23</c:f>
              <c:numCache>
                <c:formatCode>General</c:formatCode>
                <c:ptCount val="1"/>
                <c:pt idx="0">
                  <c:v>4.2514505059156445E-2</c:v>
                </c:pt>
              </c:numCache>
            </c:numRef>
          </c:val>
          <c:extLst>
            <c:ext xmlns:c16="http://schemas.microsoft.com/office/drawing/2014/chart" uri="{C3380CC4-5D6E-409C-BE32-E72D297353CC}">
              <c16:uniqueId val="{00000000-850E-4DCB-ADD7-EC81F0C50B1F}"/>
            </c:ext>
          </c:extLst>
        </c:ser>
        <c:ser>
          <c:idx val="1"/>
          <c:order val="1"/>
          <c:tx>
            <c:strRef>
              <c:f>APR28COMT2WThighSGTOR!$Z$22</c:f>
              <c:strCache>
                <c:ptCount val="1"/>
                <c:pt idx="0">
                  <c:v>G-monomer derived</c:v>
                </c:pt>
              </c:strCache>
            </c:strRef>
          </c:tx>
          <c:spPr>
            <a:solidFill>
              <a:schemeClr val="accent2"/>
            </a:solidFill>
            <a:ln>
              <a:noFill/>
            </a:ln>
            <a:effectLst/>
          </c:spPr>
          <c:invertIfNegative val="0"/>
          <c:val>
            <c:numRef>
              <c:f>APR28COMT2WThighSGTOR!$Z$23</c:f>
              <c:numCache>
                <c:formatCode>General</c:formatCode>
                <c:ptCount val="1"/>
                <c:pt idx="0">
                  <c:v>0.20887584731371944</c:v>
                </c:pt>
              </c:numCache>
            </c:numRef>
          </c:val>
          <c:extLst>
            <c:ext xmlns:c16="http://schemas.microsoft.com/office/drawing/2014/chart" uri="{C3380CC4-5D6E-409C-BE32-E72D297353CC}">
              <c16:uniqueId val="{00000001-850E-4DCB-ADD7-EC81F0C50B1F}"/>
            </c:ext>
          </c:extLst>
        </c:ser>
        <c:dLbls>
          <c:showLegendKey val="0"/>
          <c:showVal val="0"/>
          <c:showCatName val="0"/>
          <c:showSerName val="0"/>
          <c:showPercent val="0"/>
          <c:showBubbleSize val="0"/>
        </c:dLbls>
        <c:gapWidth val="150"/>
        <c:axId val="596214016"/>
        <c:axId val="596218280"/>
      </c:barChart>
      <c:catAx>
        <c:axId val="596214016"/>
        <c:scaling>
          <c:orientation val="minMax"/>
        </c:scaling>
        <c:delete val="1"/>
        <c:axPos val="l"/>
        <c:numFmt formatCode="General" sourceLinked="1"/>
        <c:majorTickMark val="none"/>
        <c:minorTickMark val="none"/>
        <c:tickLblPos val="nextTo"/>
        <c:crossAx val="596218280"/>
        <c:crosses val="autoZero"/>
        <c:auto val="1"/>
        <c:lblAlgn val="ctr"/>
        <c:lblOffset val="100"/>
        <c:noMultiLvlLbl val="0"/>
      </c:catAx>
      <c:valAx>
        <c:axId val="596218280"/>
        <c:scaling>
          <c:orientation val="minMax"/>
          <c:max val="0.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62140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Pyrolysis</a:t>
            </a:r>
            <a:r>
              <a:rPr lang="en-US" b="1" u="sng" baseline="0"/>
              <a:t> yield of specific phenolic compounds (COMT2mutant)</a:t>
            </a:r>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'APR26COMT2MutantlowSG PY'!$AB$33</c:f>
              <c:strCache>
                <c:ptCount val="1"/>
                <c:pt idx="0">
                  <c:v>S-monomer derived</c:v>
                </c:pt>
              </c:strCache>
            </c:strRef>
          </c:tx>
          <c:spPr>
            <a:solidFill>
              <a:srgbClr val="00B050"/>
            </a:solidFill>
            <a:ln>
              <a:noFill/>
            </a:ln>
            <a:effectLst/>
          </c:spPr>
          <c:invertIfNegative val="0"/>
          <c:val>
            <c:numRef>
              <c:f>'APR26COMT2MutantlowSG PY'!$AB$34</c:f>
              <c:numCache>
                <c:formatCode>General</c:formatCode>
                <c:ptCount val="1"/>
                <c:pt idx="0">
                  <c:v>0.1642502077796662</c:v>
                </c:pt>
              </c:numCache>
            </c:numRef>
          </c:val>
          <c:extLst>
            <c:ext xmlns:c16="http://schemas.microsoft.com/office/drawing/2014/chart" uri="{C3380CC4-5D6E-409C-BE32-E72D297353CC}">
              <c16:uniqueId val="{00000000-453D-4519-BDFA-1E910E76A9C8}"/>
            </c:ext>
          </c:extLst>
        </c:ser>
        <c:ser>
          <c:idx val="1"/>
          <c:order val="1"/>
          <c:tx>
            <c:strRef>
              <c:f>'APR26COMT2MutantlowSG PY'!$AC$33</c:f>
              <c:strCache>
                <c:ptCount val="1"/>
                <c:pt idx="0">
                  <c:v>G-monomer derived</c:v>
                </c:pt>
              </c:strCache>
            </c:strRef>
          </c:tx>
          <c:spPr>
            <a:solidFill>
              <a:schemeClr val="accent2"/>
            </a:solidFill>
            <a:ln>
              <a:noFill/>
            </a:ln>
            <a:effectLst/>
          </c:spPr>
          <c:invertIfNegative val="0"/>
          <c:val>
            <c:numRef>
              <c:f>'APR26COMT2MutantlowSG PY'!$AC$34</c:f>
              <c:numCache>
                <c:formatCode>General</c:formatCode>
                <c:ptCount val="1"/>
                <c:pt idx="0">
                  <c:v>0.55398174803018618</c:v>
                </c:pt>
              </c:numCache>
            </c:numRef>
          </c:val>
          <c:extLst>
            <c:ext xmlns:c16="http://schemas.microsoft.com/office/drawing/2014/chart" uri="{C3380CC4-5D6E-409C-BE32-E72D297353CC}">
              <c16:uniqueId val="{00000001-453D-4519-BDFA-1E910E76A9C8}"/>
            </c:ext>
          </c:extLst>
        </c:ser>
        <c:dLbls>
          <c:showLegendKey val="0"/>
          <c:showVal val="0"/>
          <c:showCatName val="0"/>
          <c:showSerName val="0"/>
          <c:showPercent val="0"/>
          <c:showBubbleSize val="0"/>
        </c:dLbls>
        <c:gapWidth val="150"/>
        <c:axId val="628393040"/>
        <c:axId val="628393368"/>
      </c:barChart>
      <c:catAx>
        <c:axId val="628393040"/>
        <c:scaling>
          <c:orientation val="minMax"/>
        </c:scaling>
        <c:delete val="1"/>
        <c:axPos val="l"/>
        <c:numFmt formatCode="General" sourceLinked="1"/>
        <c:majorTickMark val="none"/>
        <c:minorTickMark val="none"/>
        <c:tickLblPos val="nextTo"/>
        <c:crossAx val="628393368"/>
        <c:crosses val="autoZero"/>
        <c:auto val="1"/>
        <c:lblAlgn val="ctr"/>
        <c:lblOffset val="100"/>
        <c:noMultiLvlLbl val="0"/>
      </c:catAx>
      <c:valAx>
        <c:axId val="628393368"/>
        <c:scaling>
          <c:orientation val="minMax"/>
          <c:max val="0.6000000000000000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83930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Pyrolysis</a:t>
            </a:r>
            <a:r>
              <a:rPr lang="en-US" b="1" u="sng" baseline="0"/>
              <a:t> yield of specific phenolic compounds at 500 degrees (COMT2 Wild Type)</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APR28COMT2WThighSGPY!$Z$44</c:f>
              <c:strCache>
                <c:ptCount val="1"/>
                <c:pt idx="0">
                  <c:v>S-monomer derived</c:v>
                </c:pt>
              </c:strCache>
            </c:strRef>
          </c:tx>
          <c:spPr>
            <a:solidFill>
              <a:srgbClr val="00B050"/>
            </a:solidFill>
            <a:ln>
              <a:noFill/>
            </a:ln>
            <a:effectLst/>
          </c:spPr>
          <c:invertIfNegative val="0"/>
          <c:val>
            <c:numRef>
              <c:f>APR28COMT2WThighSGPY!$Z$45</c:f>
              <c:numCache>
                <c:formatCode>General</c:formatCode>
                <c:ptCount val="1"/>
                <c:pt idx="0">
                  <c:v>0.20949776150211863</c:v>
                </c:pt>
              </c:numCache>
            </c:numRef>
          </c:val>
          <c:extLst>
            <c:ext xmlns:c16="http://schemas.microsoft.com/office/drawing/2014/chart" uri="{C3380CC4-5D6E-409C-BE32-E72D297353CC}">
              <c16:uniqueId val="{00000000-8F49-47AE-B24A-207F45C62C73}"/>
            </c:ext>
          </c:extLst>
        </c:ser>
        <c:ser>
          <c:idx val="1"/>
          <c:order val="1"/>
          <c:tx>
            <c:strRef>
              <c:f>APR28COMT2WThighSGPY!$AA$44</c:f>
              <c:strCache>
                <c:ptCount val="1"/>
                <c:pt idx="0">
                  <c:v>G-monomer derived</c:v>
                </c:pt>
              </c:strCache>
            </c:strRef>
          </c:tx>
          <c:spPr>
            <a:solidFill>
              <a:schemeClr val="accent2"/>
            </a:solidFill>
            <a:ln>
              <a:noFill/>
            </a:ln>
            <a:effectLst/>
          </c:spPr>
          <c:invertIfNegative val="0"/>
          <c:val>
            <c:numRef>
              <c:f>APR28COMT2WThighSGPY!$AA$45</c:f>
              <c:numCache>
                <c:formatCode>General</c:formatCode>
                <c:ptCount val="1"/>
                <c:pt idx="0">
                  <c:v>0.39478985992467075</c:v>
                </c:pt>
              </c:numCache>
            </c:numRef>
          </c:val>
          <c:extLst>
            <c:ext xmlns:c16="http://schemas.microsoft.com/office/drawing/2014/chart" uri="{C3380CC4-5D6E-409C-BE32-E72D297353CC}">
              <c16:uniqueId val="{00000001-8F49-47AE-B24A-207F45C62C73}"/>
            </c:ext>
          </c:extLst>
        </c:ser>
        <c:dLbls>
          <c:showLegendKey val="0"/>
          <c:showVal val="0"/>
          <c:showCatName val="0"/>
          <c:showSerName val="0"/>
          <c:showPercent val="0"/>
          <c:showBubbleSize val="0"/>
        </c:dLbls>
        <c:gapWidth val="150"/>
        <c:axId val="619193880"/>
        <c:axId val="619192568"/>
      </c:barChart>
      <c:catAx>
        <c:axId val="619193880"/>
        <c:scaling>
          <c:orientation val="minMax"/>
        </c:scaling>
        <c:delete val="1"/>
        <c:axPos val="l"/>
        <c:numFmt formatCode="General" sourceLinked="1"/>
        <c:majorTickMark val="none"/>
        <c:minorTickMark val="none"/>
        <c:tickLblPos val="nextTo"/>
        <c:crossAx val="619192568"/>
        <c:crosses val="autoZero"/>
        <c:auto val="1"/>
        <c:lblAlgn val="ctr"/>
        <c:lblOffset val="100"/>
        <c:noMultiLvlLbl val="0"/>
      </c:catAx>
      <c:valAx>
        <c:axId val="619192568"/>
        <c:scaling>
          <c:orientation val="minMax"/>
          <c:max val="0.6000000000000000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91938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Torrefaction</a:t>
            </a:r>
            <a:r>
              <a:rPr lang="en-US" b="1" u="sng" baseline="0"/>
              <a:t> yield of specific phenolic compounds at 270 degrees (Natural Diversity SG)</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APR14414270TOR!$X$30</c:f>
              <c:strCache>
                <c:ptCount val="1"/>
                <c:pt idx="0">
                  <c:v>S-monomer derived</c:v>
                </c:pt>
              </c:strCache>
            </c:strRef>
          </c:tx>
          <c:spPr>
            <a:solidFill>
              <a:srgbClr val="00B050"/>
            </a:solidFill>
            <a:ln>
              <a:noFill/>
            </a:ln>
            <a:effectLst/>
          </c:spPr>
          <c:invertIfNegative val="0"/>
          <c:val>
            <c:numRef>
              <c:f>APR14414270TOR!$X$31</c:f>
              <c:numCache>
                <c:formatCode>0.00E+00</c:formatCode>
                <c:ptCount val="1"/>
                <c:pt idx="0">
                  <c:v>3.2959275321844131E-2</c:v>
                </c:pt>
              </c:numCache>
            </c:numRef>
          </c:val>
          <c:extLst>
            <c:ext xmlns:c16="http://schemas.microsoft.com/office/drawing/2014/chart" uri="{C3380CC4-5D6E-409C-BE32-E72D297353CC}">
              <c16:uniqueId val="{00000000-D65D-4E99-A1D0-21ADFC9BBE89}"/>
            </c:ext>
          </c:extLst>
        </c:ser>
        <c:ser>
          <c:idx val="1"/>
          <c:order val="1"/>
          <c:tx>
            <c:strRef>
              <c:f>APR14414270TOR!$Y$30</c:f>
              <c:strCache>
                <c:ptCount val="1"/>
                <c:pt idx="0">
                  <c:v>G-monomer derived</c:v>
                </c:pt>
              </c:strCache>
            </c:strRef>
          </c:tx>
          <c:spPr>
            <a:solidFill>
              <a:schemeClr val="accent2"/>
            </a:solidFill>
            <a:ln>
              <a:noFill/>
            </a:ln>
            <a:effectLst/>
          </c:spPr>
          <c:invertIfNegative val="0"/>
          <c:val>
            <c:numRef>
              <c:f>APR14414270TOR!$Y$31</c:f>
              <c:numCache>
                <c:formatCode>0.00E+00</c:formatCode>
                <c:ptCount val="1"/>
                <c:pt idx="0">
                  <c:v>0.21502664213675182</c:v>
                </c:pt>
              </c:numCache>
            </c:numRef>
          </c:val>
          <c:extLst>
            <c:ext xmlns:c16="http://schemas.microsoft.com/office/drawing/2014/chart" uri="{C3380CC4-5D6E-409C-BE32-E72D297353CC}">
              <c16:uniqueId val="{00000001-D65D-4E99-A1D0-21ADFC9BBE89}"/>
            </c:ext>
          </c:extLst>
        </c:ser>
        <c:dLbls>
          <c:showLegendKey val="0"/>
          <c:showVal val="0"/>
          <c:showCatName val="0"/>
          <c:showSerName val="0"/>
          <c:showPercent val="0"/>
          <c:showBubbleSize val="0"/>
        </c:dLbls>
        <c:gapWidth val="150"/>
        <c:axId val="616663224"/>
        <c:axId val="616670440"/>
      </c:barChart>
      <c:catAx>
        <c:axId val="616663224"/>
        <c:scaling>
          <c:orientation val="minMax"/>
        </c:scaling>
        <c:delete val="1"/>
        <c:axPos val="l"/>
        <c:numFmt formatCode="General" sourceLinked="1"/>
        <c:majorTickMark val="none"/>
        <c:minorTickMark val="none"/>
        <c:tickLblPos val="nextTo"/>
        <c:crossAx val="616670440"/>
        <c:crosses val="autoZero"/>
        <c:auto val="1"/>
        <c:lblAlgn val="ctr"/>
        <c:lblOffset val="100"/>
        <c:noMultiLvlLbl val="0"/>
      </c:catAx>
      <c:valAx>
        <c:axId val="616670440"/>
        <c:scaling>
          <c:orientation val="minMax"/>
          <c:max val="0.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6632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Pyrolysis</a:t>
            </a:r>
            <a:r>
              <a:rPr lang="en-US" b="1" u="sng" baseline="0"/>
              <a:t> yield of specific phenolic compounds (Natural Diversity SG)</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APR14414PY!$X$33</c:f>
              <c:strCache>
                <c:ptCount val="1"/>
                <c:pt idx="0">
                  <c:v>S-monomer derived</c:v>
                </c:pt>
              </c:strCache>
            </c:strRef>
          </c:tx>
          <c:spPr>
            <a:solidFill>
              <a:srgbClr val="00B050"/>
            </a:solidFill>
            <a:ln>
              <a:noFill/>
            </a:ln>
            <a:effectLst/>
          </c:spPr>
          <c:invertIfNegative val="0"/>
          <c:val>
            <c:numRef>
              <c:f>APR14414PY!$X$34</c:f>
              <c:numCache>
                <c:formatCode>General</c:formatCode>
                <c:ptCount val="1"/>
                <c:pt idx="0">
                  <c:v>0.12708567748724595</c:v>
                </c:pt>
              </c:numCache>
            </c:numRef>
          </c:val>
          <c:extLst>
            <c:ext xmlns:c16="http://schemas.microsoft.com/office/drawing/2014/chart" uri="{C3380CC4-5D6E-409C-BE32-E72D297353CC}">
              <c16:uniqueId val="{00000000-FEE6-424D-BC6E-C7069085AC22}"/>
            </c:ext>
          </c:extLst>
        </c:ser>
        <c:ser>
          <c:idx val="1"/>
          <c:order val="1"/>
          <c:tx>
            <c:strRef>
              <c:f>APR14414PY!$Y$33</c:f>
              <c:strCache>
                <c:ptCount val="1"/>
                <c:pt idx="0">
                  <c:v>G-monomer derived</c:v>
                </c:pt>
              </c:strCache>
            </c:strRef>
          </c:tx>
          <c:spPr>
            <a:solidFill>
              <a:schemeClr val="accent2"/>
            </a:solidFill>
            <a:ln>
              <a:noFill/>
            </a:ln>
            <a:effectLst/>
          </c:spPr>
          <c:invertIfNegative val="0"/>
          <c:val>
            <c:numRef>
              <c:f>APR14414PY!$Y$34</c:f>
              <c:numCache>
                <c:formatCode>General</c:formatCode>
                <c:ptCount val="1"/>
                <c:pt idx="0">
                  <c:v>0.47502914255175394</c:v>
                </c:pt>
              </c:numCache>
            </c:numRef>
          </c:val>
          <c:extLst>
            <c:ext xmlns:c16="http://schemas.microsoft.com/office/drawing/2014/chart" uri="{C3380CC4-5D6E-409C-BE32-E72D297353CC}">
              <c16:uniqueId val="{00000001-FEE6-424D-BC6E-C7069085AC22}"/>
            </c:ext>
          </c:extLst>
        </c:ser>
        <c:dLbls>
          <c:showLegendKey val="0"/>
          <c:showVal val="0"/>
          <c:showCatName val="0"/>
          <c:showSerName val="0"/>
          <c:showPercent val="0"/>
          <c:showBubbleSize val="0"/>
        </c:dLbls>
        <c:gapWidth val="150"/>
        <c:axId val="584754104"/>
        <c:axId val="584758040"/>
      </c:barChart>
      <c:catAx>
        <c:axId val="584754104"/>
        <c:scaling>
          <c:orientation val="minMax"/>
        </c:scaling>
        <c:delete val="1"/>
        <c:axPos val="l"/>
        <c:numFmt formatCode="General" sourceLinked="1"/>
        <c:majorTickMark val="none"/>
        <c:minorTickMark val="none"/>
        <c:tickLblPos val="nextTo"/>
        <c:crossAx val="584758040"/>
        <c:crosses val="autoZero"/>
        <c:auto val="1"/>
        <c:lblAlgn val="ctr"/>
        <c:lblOffset val="100"/>
        <c:noMultiLvlLbl val="0"/>
      </c:catAx>
      <c:valAx>
        <c:axId val="584758040"/>
        <c:scaling>
          <c:orientation val="minMax"/>
          <c:max val="0.6000000000000000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47541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Torrefaction</a:t>
            </a:r>
            <a:r>
              <a:rPr lang="en-US" b="1" u="sng" baseline="0"/>
              <a:t> yield of specific phenolic compounds at 270 degrees (AP13)</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APR3TOR!$X$27</c:f>
              <c:strCache>
                <c:ptCount val="1"/>
                <c:pt idx="0">
                  <c:v>S-monomer derived</c:v>
                </c:pt>
              </c:strCache>
            </c:strRef>
          </c:tx>
          <c:spPr>
            <a:solidFill>
              <a:srgbClr val="00B050"/>
            </a:solidFill>
            <a:ln>
              <a:noFill/>
            </a:ln>
            <a:effectLst/>
          </c:spPr>
          <c:invertIfNegative val="0"/>
          <c:val>
            <c:numRef>
              <c:f>APR3TOR!$X$28</c:f>
              <c:numCache>
                <c:formatCode>General</c:formatCode>
                <c:ptCount val="1"/>
                <c:pt idx="0">
                  <c:v>8.0586239989433553E-2</c:v>
                </c:pt>
              </c:numCache>
            </c:numRef>
          </c:val>
          <c:extLst>
            <c:ext xmlns:c16="http://schemas.microsoft.com/office/drawing/2014/chart" uri="{C3380CC4-5D6E-409C-BE32-E72D297353CC}">
              <c16:uniqueId val="{00000000-38A7-4C28-A76D-7BE6721B77E1}"/>
            </c:ext>
          </c:extLst>
        </c:ser>
        <c:ser>
          <c:idx val="1"/>
          <c:order val="1"/>
          <c:tx>
            <c:strRef>
              <c:f>APR3TOR!$Y$27</c:f>
              <c:strCache>
                <c:ptCount val="1"/>
                <c:pt idx="0">
                  <c:v>G-monomer derived</c:v>
                </c:pt>
              </c:strCache>
            </c:strRef>
          </c:tx>
          <c:spPr>
            <a:solidFill>
              <a:schemeClr val="accent2"/>
            </a:solidFill>
            <a:ln>
              <a:noFill/>
            </a:ln>
            <a:effectLst/>
          </c:spPr>
          <c:invertIfNegative val="0"/>
          <c:val>
            <c:numRef>
              <c:f>APR3TOR!$Y$28</c:f>
              <c:numCache>
                <c:formatCode>General</c:formatCode>
                <c:ptCount val="1"/>
                <c:pt idx="0">
                  <c:v>0.22517169310856566</c:v>
                </c:pt>
              </c:numCache>
            </c:numRef>
          </c:val>
          <c:extLst>
            <c:ext xmlns:c16="http://schemas.microsoft.com/office/drawing/2014/chart" uri="{C3380CC4-5D6E-409C-BE32-E72D297353CC}">
              <c16:uniqueId val="{00000001-38A7-4C28-A76D-7BE6721B77E1}"/>
            </c:ext>
          </c:extLst>
        </c:ser>
        <c:dLbls>
          <c:showLegendKey val="0"/>
          <c:showVal val="0"/>
          <c:showCatName val="0"/>
          <c:showSerName val="0"/>
          <c:showPercent val="0"/>
          <c:showBubbleSize val="0"/>
        </c:dLbls>
        <c:gapWidth val="150"/>
        <c:axId val="560537616"/>
        <c:axId val="560534336"/>
      </c:barChart>
      <c:catAx>
        <c:axId val="560537616"/>
        <c:scaling>
          <c:orientation val="minMax"/>
        </c:scaling>
        <c:delete val="1"/>
        <c:axPos val="l"/>
        <c:numFmt formatCode="General" sourceLinked="1"/>
        <c:majorTickMark val="none"/>
        <c:minorTickMark val="none"/>
        <c:tickLblPos val="nextTo"/>
        <c:crossAx val="560534336"/>
        <c:crosses val="autoZero"/>
        <c:auto val="1"/>
        <c:lblAlgn val="ctr"/>
        <c:lblOffset val="100"/>
        <c:noMultiLvlLbl val="0"/>
      </c:catAx>
      <c:valAx>
        <c:axId val="560534336"/>
        <c:scaling>
          <c:orientation val="minMax"/>
          <c:max val="0.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µg)[per mg of raw switchgrass]</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5376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Compound</a:t>
            </a:r>
            <a:r>
              <a:rPr lang="en-US" b="1" u="sng" baseline="0"/>
              <a:t> variance of torrefied AP13 at 500 degrees (60s)</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MAR4PY!$W$5</c:f>
              <c:strCache>
                <c:ptCount val="1"/>
                <c:pt idx="0">
                  <c:v>Light Oxygenate</c:v>
                </c:pt>
              </c:strCache>
            </c:strRef>
          </c:tx>
          <c:spPr>
            <a:solidFill>
              <a:schemeClr val="accent1"/>
            </a:solidFill>
            <a:ln>
              <a:noFill/>
            </a:ln>
            <a:effectLst/>
          </c:spPr>
          <c:invertIfNegative val="0"/>
          <c:errBars>
            <c:errBarType val="both"/>
            <c:errValType val="cust"/>
            <c:noEndCap val="0"/>
            <c:plus>
              <c:numRef>
                <c:f>MAR4PY!$W$10</c:f>
                <c:numCache>
                  <c:formatCode>General</c:formatCode>
                  <c:ptCount val="1"/>
                  <c:pt idx="0">
                    <c:v>1.5658292405048766E-2</c:v>
                  </c:pt>
                </c:numCache>
              </c:numRef>
            </c:plus>
            <c:minus>
              <c:numRef>
                <c:f>MAR4PY!$W$10</c:f>
                <c:numCache>
                  <c:formatCode>General</c:formatCode>
                  <c:ptCount val="1"/>
                  <c:pt idx="0">
                    <c:v>1.5658292405048766E-2</c:v>
                  </c:pt>
                </c:numCache>
              </c:numRef>
            </c:minus>
            <c:spPr>
              <a:noFill/>
              <a:ln w="28575" cap="flat" cmpd="sng" algn="ctr">
                <a:solidFill>
                  <a:schemeClr val="tx1">
                    <a:lumMod val="65000"/>
                    <a:lumOff val="35000"/>
                  </a:schemeClr>
                </a:solidFill>
                <a:round/>
              </a:ln>
              <a:effectLst/>
            </c:spPr>
          </c:errBars>
          <c:val>
            <c:numRef>
              <c:f>MAR4PY!$W$6</c:f>
              <c:numCache>
                <c:formatCode>General</c:formatCode>
                <c:ptCount val="1"/>
                <c:pt idx="0">
                  <c:v>0.14299914465143182</c:v>
                </c:pt>
              </c:numCache>
            </c:numRef>
          </c:val>
          <c:extLst>
            <c:ext xmlns:c16="http://schemas.microsoft.com/office/drawing/2014/chart" uri="{C3380CC4-5D6E-409C-BE32-E72D297353CC}">
              <c16:uniqueId val="{00000000-7C70-4B4F-A75F-B627138DC875}"/>
            </c:ext>
          </c:extLst>
        </c:ser>
        <c:ser>
          <c:idx val="1"/>
          <c:order val="1"/>
          <c:tx>
            <c:strRef>
              <c:f>MAR4PY!$X$5</c:f>
              <c:strCache>
                <c:ptCount val="1"/>
                <c:pt idx="0">
                  <c:v>Acetic Acid</c:v>
                </c:pt>
              </c:strCache>
            </c:strRef>
          </c:tx>
          <c:spPr>
            <a:solidFill>
              <a:schemeClr val="accent2"/>
            </a:solidFill>
            <a:ln>
              <a:noFill/>
            </a:ln>
            <a:effectLst/>
          </c:spPr>
          <c:invertIfNegative val="0"/>
          <c:val>
            <c:numRef>
              <c:f>MAR4PY!$X$6</c:f>
              <c:numCache>
                <c:formatCode>General</c:formatCode>
                <c:ptCount val="1"/>
                <c:pt idx="0">
                  <c:v>0</c:v>
                </c:pt>
              </c:numCache>
            </c:numRef>
          </c:val>
          <c:extLst>
            <c:ext xmlns:c16="http://schemas.microsoft.com/office/drawing/2014/chart" uri="{C3380CC4-5D6E-409C-BE32-E72D297353CC}">
              <c16:uniqueId val="{00000001-7C70-4B4F-A75F-B627138DC875}"/>
            </c:ext>
          </c:extLst>
        </c:ser>
        <c:ser>
          <c:idx val="2"/>
          <c:order val="2"/>
          <c:tx>
            <c:strRef>
              <c:f>MAR4PY!$Y$5</c:f>
              <c:strCache>
                <c:ptCount val="1"/>
                <c:pt idx="0">
                  <c:v>Furfurals</c:v>
                </c:pt>
              </c:strCache>
            </c:strRef>
          </c:tx>
          <c:spPr>
            <a:solidFill>
              <a:schemeClr val="accent3"/>
            </a:solidFill>
            <a:ln>
              <a:noFill/>
            </a:ln>
            <a:effectLst/>
          </c:spPr>
          <c:invertIfNegative val="0"/>
          <c:val>
            <c:numRef>
              <c:f>MAR4PY!$Y$6</c:f>
              <c:numCache>
                <c:formatCode>General</c:formatCode>
                <c:ptCount val="1"/>
                <c:pt idx="0">
                  <c:v>0</c:v>
                </c:pt>
              </c:numCache>
            </c:numRef>
          </c:val>
          <c:extLst>
            <c:ext xmlns:c16="http://schemas.microsoft.com/office/drawing/2014/chart" uri="{C3380CC4-5D6E-409C-BE32-E72D297353CC}">
              <c16:uniqueId val="{00000002-7C70-4B4F-A75F-B627138DC875}"/>
            </c:ext>
          </c:extLst>
        </c:ser>
        <c:ser>
          <c:idx val="3"/>
          <c:order val="3"/>
          <c:tx>
            <c:strRef>
              <c:f>MAR4PY!$Z$5</c:f>
              <c:strCache>
                <c:ptCount val="1"/>
                <c:pt idx="0">
                  <c:v>Furans</c:v>
                </c:pt>
              </c:strCache>
            </c:strRef>
          </c:tx>
          <c:spPr>
            <a:solidFill>
              <a:schemeClr val="accent4"/>
            </a:solidFill>
            <a:ln>
              <a:noFill/>
            </a:ln>
            <a:effectLst/>
          </c:spPr>
          <c:invertIfNegative val="0"/>
          <c:val>
            <c:numRef>
              <c:f>MAR4PY!$Z$6</c:f>
              <c:numCache>
                <c:formatCode>General</c:formatCode>
                <c:ptCount val="1"/>
                <c:pt idx="0">
                  <c:v>0</c:v>
                </c:pt>
              </c:numCache>
            </c:numRef>
          </c:val>
          <c:extLst>
            <c:ext xmlns:c16="http://schemas.microsoft.com/office/drawing/2014/chart" uri="{C3380CC4-5D6E-409C-BE32-E72D297353CC}">
              <c16:uniqueId val="{00000003-7C70-4B4F-A75F-B627138DC875}"/>
            </c:ext>
          </c:extLst>
        </c:ser>
        <c:ser>
          <c:idx val="4"/>
          <c:order val="4"/>
          <c:tx>
            <c:strRef>
              <c:f>MAR4PY!$AA$5</c:f>
              <c:strCache>
                <c:ptCount val="1"/>
                <c:pt idx="0">
                  <c:v>Alkyl Benzenes</c:v>
                </c:pt>
              </c:strCache>
            </c:strRef>
          </c:tx>
          <c:spPr>
            <a:solidFill>
              <a:schemeClr val="accent5"/>
            </a:solidFill>
            <a:ln>
              <a:noFill/>
            </a:ln>
            <a:effectLst/>
          </c:spPr>
          <c:invertIfNegative val="0"/>
          <c:errBars>
            <c:errBarType val="both"/>
            <c:errValType val="cust"/>
            <c:noEndCap val="0"/>
            <c:plus>
              <c:numRef>
                <c:f>MAR4PY!$AA$10</c:f>
                <c:numCache>
                  <c:formatCode>General</c:formatCode>
                  <c:ptCount val="1"/>
                  <c:pt idx="0">
                    <c:v>5.6965029773706289E-3</c:v>
                  </c:pt>
                </c:numCache>
              </c:numRef>
            </c:plus>
            <c:minus>
              <c:numRef>
                <c:f>MAR4PY!$AA$10</c:f>
                <c:numCache>
                  <c:formatCode>General</c:formatCode>
                  <c:ptCount val="1"/>
                  <c:pt idx="0">
                    <c:v>5.6965029773706289E-3</c:v>
                  </c:pt>
                </c:numCache>
              </c:numRef>
            </c:minus>
            <c:spPr>
              <a:noFill/>
              <a:ln w="28575" cap="flat" cmpd="sng" algn="ctr">
                <a:solidFill>
                  <a:schemeClr val="tx1">
                    <a:lumMod val="65000"/>
                    <a:lumOff val="35000"/>
                  </a:schemeClr>
                </a:solidFill>
                <a:round/>
              </a:ln>
              <a:effectLst/>
            </c:spPr>
          </c:errBars>
          <c:val>
            <c:numRef>
              <c:f>MAR4PY!$AA$6</c:f>
              <c:numCache>
                <c:formatCode>General</c:formatCode>
                <c:ptCount val="1"/>
                <c:pt idx="0">
                  <c:v>4.3638466947846621E-2</c:v>
                </c:pt>
              </c:numCache>
            </c:numRef>
          </c:val>
          <c:extLst>
            <c:ext xmlns:c16="http://schemas.microsoft.com/office/drawing/2014/chart" uri="{C3380CC4-5D6E-409C-BE32-E72D297353CC}">
              <c16:uniqueId val="{00000004-7C70-4B4F-A75F-B627138DC875}"/>
            </c:ext>
          </c:extLst>
        </c:ser>
        <c:ser>
          <c:idx val="5"/>
          <c:order val="5"/>
          <c:tx>
            <c:strRef>
              <c:f>MAR4PY!$AB$5</c:f>
              <c:strCache>
                <c:ptCount val="1"/>
                <c:pt idx="0">
                  <c:v>Alkyl Phenols</c:v>
                </c:pt>
              </c:strCache>
            </c:strRef>
          </c:tx>
          <c:spPr>
            <a:solidFill>
              <a:schemeClr val="accent6"/>
            </a:solidFill>
            <a:ln>
              <a:noFill/>
            </a:ln>
            <a:effectLst/>
          </c:spPr>
          <c:invertIfNegative val="0"/>
          <c:errBars>
            <c:errBarType val="both"/>
            <c:errValType val="cust"/>
            <c:noEndCap val="0"/>
            <c:plus>
              <c:numRef>
                <c:f>MAR4PY!$AB$10</c:f>
                <c:numCache>
                  <c:formatCode>General</c:formatCode>
                  <c:ptCount val="1"/>
                  <c:pt idx="0">
                    <c:v>1.259798581445429E-2</c:v>
                  </c:pt>
                </c:numCache>
              </c:numRef>
            </c:plus>
            <c:minus>
              <c:numRef>
                <c:f>MAR4PY!$AB$10</c:f>
                <c:numCache>
                  <c:formatCode>General</c:formatCode>
                  <c:ptCount val="1"/>
                  <c:pt idx="0">
                    <c:v>1.259798581445429E-2</c:v>
                  </c:pt>
                </c:numCache>
              </c:numRef>
            </c:minus>
            <c:spPr>
              <a:noFill/>
              <a:ln w="28575" cap="flat" cmpd="sng" algn="ctr">
                <a:solidFill>
                  <a:schemeClr val="tx1">
                    <a:lumMod val="65000"/>
                    <a:lumOff val="35000"/>
                  </a:schemeClr>
                </a:solidFill>
                <a:round/>
              </a:ln>
              <a:effectLst/>
            </c:spPr>
          </c:errBars>
          <c:val>
            <c:numRef>
              <c:f>MAR4PY!$AB$6</c:f>
              <c:numCache>
                <c:formatCode>General</c:formatCode>
                <c:ptCount val="1"/>
                <c:pt idx="0">
                  <c:v>0.21322583586219837</c:v>
                </c:pt>
              </c:numCache>
            </c:numRef>
          </c:val>
          <c:extLst>
            <c:ext xmlns:c16="http://schemas.microsoft.com/office/drawing/2014/chart" uri="{C3380CC4-5D6E-409C-BE32-E72D297353CC}">
              <c16:uniqueId val="{00000005-7C70-4B4F-A75F-B627138DC875}"/>
            </c:ext>
          </c:extLst>
        </c:ser>
        <c:ser>
          <c:idx val="6"/>
          <c:order val="6"/>
          <c:tx>
            <c:strRef>
              <c:f>MAR4PY!$AC$5</c:f>
              <c:strCache>
                <c:ptCount val="1"/>
                <c:pt idx="0">
                  <c:v>Anhydrous Sugars</c:v>
                </c:pt>
              </c:strCache>
            </c:strRef>
          </c:tx>
          <c:spPr>
            <a:solidFill>
              <a:schemeClr val="accent1">
                <a:lumMod val="60000"/>
              </a:schemeClr>
            </a:solidFill>
            <a:ln>
              <a:noFill/>
            </a:ln>
            <a:effectLst/>
          </c:spPr>
          <c:invertIfNegative val="0"/>
          <c:val>
            <c:numRef>
              <c:f>MAR4PY!$AC$6</c:f>
              <c:numCache>
                <c:formatCode>General</c:formatCode>
                <c:ptCount val="1"/>
                <c:pt idx="0">
                  <c:v>0</c:v>
                </c:pt>
              </c:numCache>
            </c:numRef>
          </c:val>
          <c:extLst>
            <c:ext xmlns:c16="http://schemas.microsoft.com/office/drawing/2014/chart" uri="{C3380CC4-5D6E-409C-BE32-E72D297353CC}">
              <c16:uniqueId val="{00000006-7C70-4B4F-A75F-B627138DC875}"/>
            </c:ext>
          </c:extLst>
        </c:ser>
        <c:ser>
          <c:idx val="7"/>
          <c:order val="7"/>
          <c:tx>
            <c:strRef>
              <c:f>MAR4PY!$AD$5</c:f>
              <c:strCache>
                <c:ptCount val="1"/>
                <c:pt idx="0">
                  <c:v>Methoxy Phenols</c:v>
                </c:pt>
              </c:strCache>
            </c:strRef>
          </c:tx>
          <c:spPr>
            <a:solidFill>
              <a:schemeClr val="accent2">
                <a:lumMod val="60000"/>
              </a:schemeClr>
            </a:solidFill>
            <a:ln>
              <a:noFill/>
            </a:ln>
            <a:effectLst/>
          </c:spPr>
          <c:invertIfNegative val="0"/>
          <c:val>
            <c:numRef>
              <c:f>MAR4PY!$AD$6</c:f>
              <c:numCache>
                <c:formatCode>General</c:formatCode>
                <c:ptCount val="1"/>
                <c:pt idx="0">
                  <c:v>0</c:v>
                </c:pt>
              </c:numCache>
            </c:numRef>
          </c:val>
          <c:extLst>
            <c:ext xmlns:c16="http://schemas.microsoft.com/office/drawing/2014/chart" uri="{C3380CC4-5D6E-409C-BE32-E72D297353CC}">
              <c16:uniqueId val="{00000007-7C70-4B4F-A75F-B627138DC875}"/>
            </c:ext>
          </c:extLst>
        </c:ser>
        <c:dLbls>
          <c:showLegendKey val="0"/>
          <c:showVal val="0"/>
          <c:showCatName val="0"/>
          <c:showSerName val="0"/>
          <c:showPercent val="0"/>
          <c:showBubbleSize val="0"/>
        </c:dLbls>
        <c:gapWidth val="150"/>
        <c:axId val="609456024"/>
        <c:axId val="609453728"/>
      </c:barChart>
      <c:catAx>
        <c:axId val="609456024"/>
        <c:scaling>
          <c:orientation val="minMax"/>
        </c:scaling>
        <c:delete val="1"/>
        <c:axPos val="b"/>
        <c:numFmt formatCode="General" sourceLinked="1"/>
        <c:majorTickMark val="none"/>
        <c:minorTickMark val="none"/>
        <c:tickLblPos val="nextTo"/>
        <c:crossAx val="609453728"/>
        <c:crosses val="autoZero"/>
        <c:auto val="1"/>
        <c:lblAlgn val="ctr"/>
        <c:lblOffset val="100"/>
        <c:noMultiLvlLbl val="0"/>
      </c:catAx>
      <c:valAx>
        <c:axId val="609453728"/>
        <c:scaling>
          <c:orientation val="minMax"/>
          <c:max val="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4560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Pyrolysis</a:t>
            </a:r>
            <a:r>
              <a:rPr lang="en-US" b="1" u="sng" baseline="0"/>
              <a:t> yields of specific phenolic compounds at 500 degrees (AP13)</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APR3PY!$X$29</c:f>
              <c:strCache>
                <c:ptCount val="1"/>
                <c:pt idx="0">
                  <c:v>S-monomer derived</c:v>
                </c:pt>
              </c:strCache>
            </c:strRef>
          </c:tx>
          <c:spPr>
            <a:solidFill>
              <a:srgbClr val="00B050"/>
            </a:solidFill>
            <a:ln>
              <a:noFill/>
            </a:ln>
            <a:effectLst/>
          </c:spPr>
          <c:invertIfNegative val="0"/>
          <c:val>
            <c:numRef>
              <c:f>APR3PY!$X$30</c:f>
              <c:numCache>
                <c:formatCode>General</c:formatCode>
                <c:ptCount val="1"/>
                <c:pt idx="0">
                  <c:v>0.21247660996403642</c:v>
                </c:pt>
              </c:numCache>
            </c:numRef>
          </c:val>
          <c:extLst>
            <c:ext xmlns:c16="http://schemas.microsoft.com/office/drawing/2014/chart" uri="{C3380CC4-5D6E-409C-BE32-E72D297353CC}">
              <c16:uniqueId val="{00000000-4F59-472F-A160-EFA62444187A}"/>
            </c:ext>
          </c:extLst>
        </c:ser>
        <c:ser>
          <c:idx val="1"/>
          <c:order val="1"/>
          <c:tx>
            <c:strRef>
              <c:f>APR3PY!$Y$29</c:f>
              <c:strCache>
                <c:ptCount val="1"/>
                <c:pt idx="0">
                  <c:v>G-monomer derived</c:v>
                </c:pt>
              </c:strCache>
            </c:strRef>
          </c:tx>
          <c:spPr>
            <a:solidFill>
              <a:schemeClr val="accent2"/>
            </a:solidFill>
            <a:ln>
              <a:noFill/>
            </a:ln>
            <a:effectLst/>
          </c:spPr>
          <c:invertIfNegative val="0"/>
          <c:val>
            <c:numRef>
              <c:f>APR3PY!$Y$30</c:f>
              <c:numCache>
                <c:formatCode>General</c:formatCode>
                <c:ptCount val="1"/>
                <c:pt idx="0">
                  <c:v>0.25085936498716571</c:v>
                </c:pt>
              </c:numCache>
            </c:numRef>
          </c:val>
          <c:extLst>
            <c:ext xmlns:c16="http://schemas.microsoft.com/office/drawing/2014/chart" uri="{C3380CC4-5D6E-409C-BE32-E72D297353CC}">
              <c16:uniqueId val="{00000001-4F59-472F-A160-EFA62444187A}"/>
            </c:ext>
          </c:extLst>
        </c:ser>
        <c:dLbls>
          <c:showLegendKey val="0"/>
          <c:showVal val="0"/>
          <c:showCatName val="0"/>
          <c:showSerName val="0"/>
          <c:showPercent val="0"/>
          <c:showBubbleSize val="0"/>
        </c:dLbls>
        <c:gapWidth val="150"/>
        <c:axId val="603651936"/>
        <c:axId val="603649968"/>
      </c:barChart>
      <c:catAx>
        <c:axId val="603651936"/>
        <c:scaling>
          <c:orientation val="minMax"/>
        </c:scaling>
        <c:delete val="1"/>
        <c:axPos val="l"/>
        <c:numFmt formatCode="General" sourceLinked="1"/>
        <c:majorTickMark val="none"/>
        <c:minorTickMark val="none"/>
        <c:tickLblPos val="nextTo"/>
        <c:crossAx val="603649968"/>
        <c:crosses val="autoZero"/>
        <c:auto val="1"/>
        <c:lblAlgn val="ctr"/>
        <c:lblOffset val="100"/>
        <c:noMultiLvlLbl val="0"/>
      </c:catAx>
      <c:valAx>
        <c:axId val="603649968"/>
        <c:scaling>
          <c:orientation val="minMax"/>
          <c:max val="0.6000000000000000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6519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Compound</a:t>
            </a:r>
            <a:r>
              <a:rPr lang="en-US" b="1" u="sng" baseline="0"/>
              <a:t> variance of AP13 at 500 degrees (60s) </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MAR26PY!$W$5</c:f>
              <c:strCache>
                <c:ptCount val="1"/>
                <c:pt idx="0">
                  <c:v>Light Oxygenate</c:v>
                </c:pt>
              </c:strCache>
            </c:strRef>
          </c:tx>
          <c:spPr>
            <a:solidFill>
              <a:schemeClr val="accent1"/>
            </a:solidFill>
            <a:ln>
              <a:noFill/>
            </a:ln>
            <a:effectLst/>
          </c:spPr>
          <c:invertIfNegative val="0"/>
          <c:errBars>
            <c:errBarType val="both"/>
            <c:errValType val="cust"/>
            <c:noEndCap val="0"/>
            <c:plus>
              <c:numRef>
                <c:f>MAR26PY!$W$10</c:f>
                <c:numCache>
                  <c:formatCode>General</c:formatCode>
                  <c:ptCount val="1"/>
                  <c:pt idx="0">
                    <c:v>1.8391979953079677E-2</c:v>
                  </c:pt>
                </c:numCache>
              </c:numRef>
            </c:plus>
            <c:minus>
              <c:numRef>
                <c:f>MAR26PY!$W$10</c:f>
                <c:numCache>
                  <c:formatCode>General</c:formatCode>
                  <c:ptCount val="1"/>
                  <c:pt idx="0">
                    <c:v>1.8391979953079677E-2</c:v>
                  </c:pt>
                </c:numCache>
              </c:numRef>
            </c:minus>
            <c:spPr>
              <a:noFill/>
              <a:ln w="28575" cap="flat" cmpd="sng" algn="ctr">
                <a:solidFill>
                  <a:schemeClr val="tx1">
                    <a:lumMod val="65000"/>
                    <a:lumOff val="35000"/>
                  </a:schemeClr>
                </a:solidFill>
                <a:round/>
              </a:ln>
              <a:effectLst/>
            </c:spPr>
          </c:errBars>
          <c:val>
            <c:numRef>
              <c:f>MAR26PY!$W$6</c:f>
              <c:numCache>
                <c:formatCode>General</c:formatCode>
                <c:ptCount val="1"/>
                <c:pt idx="0">
                  <c:v>0.76423092797756031</c:v>
                </c:pt>
              </c:numCache>
            </c:numRef>
          </c:val>
          <c:extLst>
            <c:ext xmlns:c16="http://schemas.microsoft.com/office/drawing/2014/chart" uri="{C3380CC4-5D6E-409C-BE32-E72D297353CC}">
              <c16:uniqueId val="{00000000-701B-43CA-B449-473C677F5A4D}"/>
            </c:ext>
          </c:extLst>
        </c:ser>
        <c:ser>
          <c:idx val="1"/>
          <c:order val="1"/>
          <c:tx>
            <c:strRef>
              <c:f>MAR26PY!$X$5</c:f>
              <c:strCache>
                <c:ptCount val="1"/>
                <c:pt idx="0">
                  <c:v>Acetic Acid</c:v>
                </c:pt>
              </c:strCache>
            </c:strRef>
          </c:tx>
          <c:spPr>
            <a:solidFill>
              <a:schemeClr val="accent2"/>
            </a:solidFill>
            <a:ln>
              <a:noFill/>
            </a:ln>
            <a:effectLst/>
          </c:spPr>
          <c:invertIfNegative val="0"/>
          <c:errBars>
            <c:errBarType val="both"/>
            <c:errValType val="cust"/>
            <c:noEndCap val="0"/>
            <c:plus>
              <c:numRef>
                <c:f>MAR26PY!$X$10</c:f>
                <c:numCache>
                  <c:formatCode>General</c:formatCode>
                  <c:ptCount val="1"/>
                  <c:pt idx="0">
                    <c:v>2.4007974631277872E-2</c:v>
                  </c:pt>
                </c:numCache>
              </c:numRef>
            </c:plus>
            <c:minus>
              <c:numRef>
                <c:f>MAR26PY!$X$10</c:f>
                <c:numCache>
                  <c:formatCode>General</c:formatCode>
                  <c:ptCount val="1"/>
                  <c:pt idx="0">
                    <c:v>2.4007974631277872E-2</c:v>
                  </c:pt>
                </c:numCache>
              </c:numRef>
            </c:minus>
            <c:spPr>
              <a:noFill/>
              <a:ln w="28575" cap="flat" cmpd="sng" algn="ctr">
                <a:solidFill>
                  <a:schemeClr val="tx1">
                    <a:lumMod val="65000"/>
                    <a:lumOff val="35000"/>
                  </a:schemeClr>
                </a:solidFill>
                <a:round/>
              </a:ln>
              <a:effectLst/>
            </c:spPr>
          </c:errBars>
          <c:val>
            <c:numRef>
              <c:f>MAR26PY!$X$6</c:f>
              <c:numCache>
                <c:formatCode>General</c:formatCode>
                <c:ptCount val="1"/>
                <c:pt idx="0">
                  <c:v>0.25624918927532075</c:v>
                </c:pt>
              </c:numCache>
            </c:numRef>
          </c:val>
          <c:extLst>
            <c:ext xmlns:c16="http://schemas.microsoft.com/office/drawing/2014/chart" uri="{C3380CC4-5D6E-409C-BE32-E72D297353CC}">
              <c16:uniqueId val="{00000001-701B-43CA-B449-473C677F5A4D}"/>
            </c:ext>
          </c:extLst>
        </c:ser>
        <c:ser>
          <c:idx val="2"/>
          <c:order val="2"/>
          <c:tx>
            <c:strRef>
              <c:f>MAR26PY!$Y$5</c:f>
              <c:strCache>
                <c:ptCount val="1"/>
                <c:pt idx="0">
                  <c:v>Furfurals</c:v>
                </c:pt>
              </c:strCache>
            </c:strRef>
          </c:tx>
          <c:spPr>
            <a:solidFill>
              <a:schemeClr val="accent3"/>
            </a:solidFill>
            <a:ln>
              <a:noFill/>
            </a:ln>
            <a:effectLst/>
          </c:spPr>
          <c:invertIfNegative val="0"/>
          <c:errBars>
            <c:errBarType val="both"/>
            <c:errValType val="cust"/>
            <c:noEndCap val="0"/>
            <c:plus>
              <c:numRef>
                <c:f>MAR26PY!$Y$10</c:f>
                <c:numCache>
                  <c:formatCode>General</c:formatCode>
                  <c:ptCount val="1"/>
                  <c:pt idx="0">
                    <c:v>6.8276598961186886E-3</c:v>
                  </c:pt>
                </c:numCache>
              </c:numRef>
            </c:plus>
            <c:minus>
              <c:numRef>
                <c:f>MAR26PY!$Y$10</c:f>
                <c:numCache>
                  <c:formatCode>General</c:formatCode>
                  <c:ptCount val="1"/>
                  <c:pt idx="0">
                    <c:v>6.8276598961186886E-3</c:v>
                  </c:pt>
                </c:numCache>
              </c:numRef>
            </c:minus>
            <c:spPr>
              <a:noFill/>
              <a:ln w="28575" cap="flat" cmpd="sng" algn="ctr">
                <a:solidFill>
                  <a:schemeClr val="tx1">
                    <a:lumMod val="65000"/>
                    <a:lumOff val="35000"/>
                  </a:schemeClr>
                </a:solidFill>
                <a:round/>
              </a:ln>
              <a:effectLst/>
            </c:spPr>
          </c:errBars>
          <c:val>
            <c:numRef>
              <c:f>MAR26PY!$Y$6</c:f>
              <c:numCache>
                <c:formatCode>General</c:formatCode>
                <c:ptCount val="1"/>
                <c:pt idx="0">
                  <c:v>0.11848162937886784</c:v>
                </c:pt>
              </c:numCache>
            </c:numRef>
          </c:val>
          <c:extLst>
            <c:ext xmlns:c16="http://schemas.microsoft.com/office/drawing/2014/chart" uri="{C3380CC4-5D6E-409C-BE32-E72D297353CC}">
              <c16:uniqueId val="{00000002-701B-43CA-B449-473C677F5A4D}"/>
            </c:ext>
          </c:extLst>
        </c:ser>
        <c:ser>
          <c:idx val="3"/>
          <c:order val="3"/>
          <c:tx>
            <c:strRef>
              <c:f>MAR26PY!$Z$5</c:f>
              <c:strCache>
                <c:ptCount val="1"/>
                <c:pt idx="0">
                  <c:v>Furans</c:v>
                </c:pt>
              </c:strCache>
            </c:strRef>
          </c:tx>
          <c:spPr>
            <a:solidFill>
              <a:schemeClr val="accent4"/>
            </a:solidFill>
            <a:ln>
              <a:noFill/>
            </a:ln>
            <a:effectLst/>
          </c:spPr>
          <c:invertIfNegative val="0"/>
          <c:errBars>
            <c:errBarType val="both"/>
            <c:errValType val="cust"/>
            <c:noEndCap val="0"/>
            <c:plus>
              <c:numRef>
                <c:f>MAR26PY!$Z$10</c:f>
                <c:numCache>
                  <c:formatCode>General</c:formatCode>
                  <c:ptCount val="1"/>
                  <c:pt idx="0">
                    <c:v>4.1471609591365328E-3</c:v>
                  </c:pt>
                </c:numCache>
              </c:numRef>
            </c:plus>
            <c:minus>
              <c:numRef>
                <c:f>MAR26PY!$Z$10</c:f>
                <c:numCache>
                  <c:formatCode>General</c:formatCode>
                  <c:ptCount val="1"/>
                  <c:pt idx="0">
                    <c:v>4.1471609591365328E-3</c:v>
                  </c:pt>
                </c:numCache>
              </c:numRef>
            </c:minus>
            <c:spPr>
              <a:noFill/>
              <a:ln w="28575" cap="flat" cmpd="sng" algn="ctr">
                <a:solidFill>
                  <a:schemeClr val="tx1">
                    <a:lumMod val="65000"/>
                    <a:lumOff val="35000"/>
                  </a:schemeClr>
                </a:solidFill>
                <a:round/>
              </a:ln>
              <a:effectLst/>
            </c:spPr>
          </c:errBars>
          <c:val>
            <c:numRef>
              <c:f>MAR26PY!$Z$6</c:f>
              <c:numCache>
                <c:formatCode>General</c:formatCode>
                <c:ptCount val="1"/>
                <c:pt idx="0">
                  <c:v>0.12523088825618678</c:v>
                </c:pt>
              </c:numCache>
            </c:numRef>
          </c:val>
          <c:extLst>
            <c:ext xmlns:c16="http://schemas.microsoft.com/office/drawing/2014/chart" uri="{C3380CC4-5D6E-409C-BE32-E72D297353CC}">
              <c16:uniqueId val="{00000003-701B-43CA-B449-473C677F5A4D}"/>
            </c:ext>
          </c:extLst>
        </c:ser>
        <c:ser>
          <c:idx val="4"/>
          <c:order val="4"/>
          <c:tx>
            <c:strRef>
              <c:f>MAR26PY!$AA$5</c:f>
              <c:strCache>
                <c:ptCount val="1"/>
                <c:pt idx="0">
                  <c:v>Alkyl Benzenes</c:v>
                </c:pt>
              </c:strCache>
            </c:strRef>
          </c:tx>
          <c:spPr>
            <a:solidFill>
              <a:schemeClr val="accent5"/>
            </a:solidFill>
            <a:ln>
              <a:noFill/>
            </a:ln>
            <a:effectLst/>
          </c:spPr>
          <c:invertIfNegative val="0"/>
          <c:errBars>
            <c:errBarType val="both"/>
            <c:errValType val="cust"/>
            <c:noEndCap val="0"/>
            <c:plus>
              <c:numRef>
                <c:f>MAR26PY!$AA$10</c:f>
                <c:numCache>
                  <c:formatCode>General</c:formatCode>
                  <c:ptCount val="1"/>
                  <c:pt idx="0">
                    <c:v>5.6427085017965095E-3</c:v>
                  </c:pt>
                </c:numCache>
              </c:numRef>
            </c:plus>
            <c:minus>
              <c:numRef>
                <c:f>MAR26PY!$AA$10</c:f>
                <c:numCache>
                  <c:formatCode>General</c:formatCode>
                  <c:ptCount val="1"/>
                  <c:pt idx="0">
                    <c:v>5.6427085017965095E-3</c:v>
                  </c:pt>
                </c:numCache>
              </c:numRef>
            </c:minus>
            <c:spPr>
              <a:noFill/>
              <a:ln w="28575" cap="flat" cmpd="sng" algn="ctr">
                <a:solidFill>
                  <a:schemeClr val="tx1">
                    <a:lumMod val="65000"/>
                    <a:lumOff val="35000"/>
                  </a:schemeClr>
                </a:solidFill>
                <a:round/>
              </a:ln>
              <a:effectLst/>
            </c:spPr>
          </c:errBars>
          <c:val>
            <c:numRef>
              <c:f>MAR26PY!$AA$6</c:f>
              <c:numCache>
                <c:formatCode>General</c:formatCode>
                <c:ptCount val="1"/>
                <c:pt idx="0">
                  <c:v>0.14541336923000758</c:v>
                </c:pt>
              </c:numCache>
            </c:numRef>
          </c:val>
          <c:extLst>
            <c:ext xmlns:c16="http://schemas.microsoft.com/office/drawing/2014/chart" uri="{C3380CC4-5D6E-409C-BE32-E72D297353CC}">
              <c16:uniqueId val="{00000004-701B-43CA-B449-473C677F5A4D}"/>
            </c:ext>
          </c:extLst>
        </c:ser>
        <c:ser>
          <c:idx val="5"/>
          <c:order val="5"/>
          <c:tx>
            <c:strRef>
              <c:f>MAR26PY!$AB$5</c:f>
              <c:strCache>
                <c:ptCount val="1"/>
                <c:pt idx="0">
                  <c:v>Alkyl Phenols</c:v>
                </c:pt>
              </c:strCache>
            </c:strRef>
          </c:tx>
          <c:spPr>
            <a:solidFill>
              <a:schemeClr val="accent6"/>
            </a:solidFill>
            <a:ln>
              <a:noFill/>
            </a:ln>
            <a:effectLst/>
          </c:spPr>
          <c:invertIfNegative val="0"/>
          <c:errBars>
            <c:errBarType val="both"/>
            <c:errValType val="cust"/>
            <c:noEndCap val="0"/>
            <c:plus>
              <c:numRef>
                <c:f>MAR26PY!$AB$10</c:f>
                <c:numCache>
                  <c:formatCode>General</c:formatCode>
                  <c:ptCount val="1"/>
                  <c:pt idx="0">
                    <c:v>5.0752496231361022E-3</c:v>
                  </c:pt>
                </c:numCache>
              </c:numRef>
            </c:plus>
            <c:minus>
              <c:numRef>
                <c:f>MAR26PY!$AB$10</c:f>
                <c:numCache>
                  <c:formatCode>General</c:formatCode>
                  <c:ptCount val="1"/>
                  <c:pt idx="0">
                    <c:v>5.0752496231361022E-3</c:v>
                  </c:pt>
                </c:numCache>
              </c:numRef>
            </c:minus>
            <c:spPr>
              <a:noFill/>
              <a:ln w="28575" cap="flat" cmpd="sng" algn="ctr">
                <a:solidFill>
                  <a:schemeClr val="tx1">
                    <a:lumMod val="65000"/>
                    <a:lumOff val="35000"/>
                  </a:schemeClr>
                </a:solidFill>
                <a:round/>
              </a:ln>
              <a:effectLst/>
            </c:spPr>
          </c:errBars>
          <c:val>
            <c:numRef>
              <c:f>MAR26PY!$AB$6</c:f>
              <c:numCache>
                <c:formatCode>General</c:formatCode>
                <c:ptCount val="1"/>
                <c:pt idx="0">
                  <c:v>0.26596146680678356</c:v>
                </c:pt>
              </c:numCache>
            </c:numRef>
          </c:val>
          <c:extLst>
            <c:ext xmlns:c16="http://schemas.microsoft.com/office/drawing/2014/chart" uri="{C3380CC4-5D6E-409C-BE32-E72D297353CC}">
              <c16:uniqueId val="{00000005-701B-43CA-B449-473C677F5A4D}"/>
            </c:ext>
          </c:extLst>
        </c:ser>
        <c:ser>
          <c:idx val="6"/>
          <c:order val="6"/>
          <c:tx>
            <c:strRef>
              <c:f>MAR26PY!$AC$5</c:f>
              <c:strCache>
                <c:ptCount val="1"/>
                <c:pt idx="0">
                  <c:v>Anhydrous Sugars</c:v>
                </c:pt>
              </c:strCache>
            </c:strRef>
          </c:tx>
          <c:spPr>
            <a:solidFill>
              <a:schemeClr val="accent1">
                <a:lumMod val="60000"/>
              </a:schemeClr>
            </a:solidFill>
            <a:ln>
              <a:noFill/>
            </a:ln>
            <a:effectLst/>
          </c:spPr>
          <c:invertIfNegative val="0"/>
          <c:errBars>
            <c:errBarType val="both"/>
            <c:errValType val="cust"/>
            <c:noEndCap val="0"/>
            <c:plus>
              <c:numRef>
                <c:f>MAR26PY!$AC$10</c:f>
                <c:numCache>
                  <c:formatCode>General</c:formatCode>
                  <c:ptCount val="1"/>
                  <c:pt idx="0">
                    <c:v>4.4814937654798361E-2</c:v>
                  </c:pt>
                </c:numCache>
              </c:numRef>
            </c:plus>
            <c:minus>
              <c:numRef>
                <c:f>MAR26PY!$AC$10</c:f>
                <c:numCache>
                  <c:formatCode>General</c:formatCode>
                  <c:ptCount val="1"/>
                  <c:pt idx="0">
                    <c:v>4.4814937654798361E-2</c:v>
                  </c:pt>
                </c:numCache>
              </c:numRef>
            </c:minus>
            <c:spPr>
              <a:noFill/>
              <a:ln w="28575" cap="flat" cmpd="sng" algn="ctr">
                <a:solidFill>
                  <a:schemeClr val="tx1">
                    <a:lumMod val="65000"/>
                    <a:lumOff val="35000"/>
                  </a:schemeClr>
                </a:solidFill>
                <a:round/>
              </a:ln>
              <a:effectLst/>
            </c:spPr>
          </c:errBars>
          <c:val>
            <c:numRef>
              <c:f>MAR26PY!$AC$6</c:f>
              <c:numCache>
                <c:formatCode>General</c:formatCode>
                <c:ptCount val="1"/>
                <c:pt idx="0">
                  <c:v>0.407536617647968</c:v>
                </c:pt>
              </c:numCache>
            </c:numRef>
          </c:val>
          <c:extLst>
            <c:ext xmlns:c16="http://schemas.microsoft.com/office/drawing/2014/chart" uri="{C3380CC4-5D6E-409C-BE32-E72D297353CC}">
              <c16:uniqueId val="{00000006-701B-43CA-B449-473C677F5A4D}"/>
            </c:ext>
          </c:extLst>
        </c:ser>
        <c:ser>
          <c:idx val="7"/>
          <c:order val="7"/>
          <c:tx>
            <c:strRef>
              <c:f>MAR26PY!$AD$5</c:f>
              <c:strCache>
                <c:ptCount val="1"/>
                <c:pt idx="0">
                  <c:v>Methoxy Phenols</c:v>
                </c:pt>
              </c:strCache>
            </c:strRef>
          </c:tx>
          <c:spPr>
            <a:solidFill>
              <a:schemeClr val="accent2">
                <a:lumMod val="60000"/>
              </a:schemeClr>
            </a:solidFill>
            <a:ln>
              <a:noFill/>
            </a:ln>
            <a:effectLst/>
          </c:spPr>
          <c:invertIfNegative val="0"/>
          <c:errBars>
            <c:errBarType val="both"/>
            <c:errValType val="cust"/>
            <c:noEndCap val="0"/>
            <c:plus>
              <c:numRef>
                <c:f>MAR26PY!$AD$10</c:f>
                <c:numCache>
                  <c:formatCode>General</c:formatCode>
                  <c:ptCount val="1"/>
                  <c:pt idx="0">
                    <c:v>1.1165421433694096E-2</c:v>
                  </c:pt>
                </c:numCache>
              </c:numRef>
            </c:plus>
            <c:minus>
              <c:numRef>
                <c:f>MAR26PY!$AD$10</c:f>
                <c:numCache>
                  <c:formatCode>General</c:formatCode>
                  <c:ptCount val="1"/>
                  <c:pt idx="0">
                    <c:v>1.1165421433694096E-2</c:v>
                  </c:pt>
                </c:numCache>
              </c:numRef>
            </c:minus>
            <c:spPr>
              <a:noFill/>
              <a:ln w="28575" cap="flat" cmpd="sng" algn="ctr">
                <a:solidFill>
                  <a:schemeClr val="tx1">
                    <a:lumMod val="65000"/>
                    <a:lumOff val="35000"/>
                  </a:schemeClr>
                </a:solidFill>
                <a:round/>
              </a:ln>
              <a:effectLst/>
            </c:spPr>
          </c:errBars>
          <c:val>
            <c:numRef>
              <c:f>MAR26PY!$AD$6</c:f>
              <c:numCache>
                <c:formatCode>General</c:formatCode>
                <c:ptCount val="1"/>
                <c:pt idx="0">
                  <c:v>0.17071644551995718</c:v>
                </c:pt>
              </c:numCache>
            </c:numRef>
          </c:val>
          <c:extLst>
            <c:ext xmlns:c16="http://schemas.microsoft.com/office/drawing/2014/chart" uri="{C3380CC4-5D6E-409C-BE32-E72D297353CC}">
              <c16:uniqueId val="{00000007-701B-43CA-B449-473C677F5A4D}"/>
            </c:ext>
          </c:extLst>
        </c:ser>
        <c:dLbls>
          <c:showLegendKey val="0"/>
          <c:showVal val="0"/>
          <c:showCatName val="0"/>
          <c:showSerName val="0"/>
          <c:showPercent val="0"/>
          <c:showBubbleSize val="0"/>
        </c:dLbls>
        <c:gapWidth val="150"/>
        <c:axId val="594036280"/>
        <c:axId val="594033984"/>
      </c:barChart>
      <c:catAx>
        <c:axId val="594036280"/>
        <c:scaling>
          <c:orientation val="minMax"/>
        </c:scaling>
        <c:delete val="1"/>
        <c:axPos val="b"/>
        <c:numFmt formatCode="General" sourceLinked="1"/>
        <c:majorTickMark val="none"/>
        <c:minorTickMark val="none"/>
        <c:tickLblPos val="nextTo"/>
        <c:crossAx val="594033984"/>
        <c:crosses val="autoZero"/>
        <c:auto val="1"/>
        <c:lblAlgn val="ctr"/>
        <c:lblOffset val="100"/>
        <c:noMultiLvlLbl val="0"/>
      </c:catAx>
      <c:valAx>
        <c:axId val="594033984"/>
        <c:scaling>
          <c:orientation val="minMax"/>
          <c:max val="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0362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Compound</a:t>
            </a:r>
            <a:r>
              <a:rPr lang="en-US" b="1" u="sng" baseline="0"/>
              <a:t> variance of AP13 at 290 degrees (60s)</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MAR26TOR!$Z$5</c:f>
              <c:strCache>
                <c:ptCount val="1"/>
                <c:pt idx="0">
                  <c:v>Light Oxygenate</c:v>
                </c:pt>
              </c:strCache>
            </c:strRef>
          </c:tx>
          <c:spPr>
            <a:solidFill>
              <a:schemeClr val="accent1"/>
            </a:solidFill>
            <a:ln>
              <a:noFill/>
            </a:ln>
            <a:effectLst/>
          </c:spPr>
          <c:invertIfNegative val="0"/>
          <c:errBars>
            <c:errBarType val="both"/>
            <c:errValType val="cust"/>
            <c:noEndCap val="0"/>
            <c:plus>
              <c:numRef>
                <c:f>MAR26TOR!$Z$10</c:f>
                <c:numCache>
                  <c:formatCode>General</c:formatCode>
                  <c:ptCount val="1"/>
                  <c:pt idx="0">
                    <c:v>0.22236520718055222</c:v>
                  </c:pt>
                </c:numCache>
              </c:numRef>
            </c:plus>
            <c:minus>
              <c:numRef>
                <c:f>MAR26TOR!$Z$10</c:f>
                <c:numCache>
                  <c:formatCode>General</c:formatCode>
                  <c:ptCount val="1"/>
                  <c:pt idx="0">
                    <c:v>0.22236520718055222</c:v>
                  </c:pt>
                </c:numCache>
              </c:numRef>
            </c:minus>
            <c:spPr>
              <a:noFill/>
              <a:ln w="28575" cap="flat" cmpd="sng" algn="ctr">
                <a:solidFill>
                  <a:schemeClr val="tx1">
                    <a:lumMod val="65000"/>
                    <a:lumOff val="35000"/>
                  </a:schemeClr>
                </a:solidFill>
                <a:round/>
              </a:ln>
              <a:effectLst/>
            </c:spPr>
          </c:errBars>
          <c:val>
            <c:numRef>
              <c:f>MAR26TOR!$Z$6</c:f>
              <c:numCache>
                <c:formatCode>General</c:formatCode>
                <c:ptCount val="1"/>
                <c:pt idx="0">
                  <c:v>2.8297691724391294</c:v>
                </c:pt>
              </c:numCache>
            </c:numRef>
          </c:val>
          <c:extLst>
            <c:ext xmlns:c16="http://schemas.microsoft.com/office/drawing/2014/chart" uri="{C3380CC4-5D6E-409C-BE32-E72D297353CC}">
              <c16:uniqueId val="{00000000-601D-4418-B5D4-923EF8BC0057}"/>
            </c:ext>
          </c:extLst>
        </c:ser>
        <c:ser>
          <c:idx val="1"/>
          <c:order val="1"/>
          <c:tx>
            <c:strRef>
              <c:f>MAR26TOR!$AA$5</c:f>
              <c:strCache>
                <c:ptCount val="1"/>
                <c:pt idx="0">
                  <c:v>Acetic Acid</c:v>
                </c:pt>
              </c:strCache>
            </c:strRef>
          </c:tx>
          <c:spPr>
            <a:solidFill>
              <a:schemeClr val="accent2"/>
            </a:solidFill>
            <a:ln>
              <a:noFill/>
            </a:ln>
            <a:effectLst/>
          </c:spPr>
          <c:invertIfNegative val="0"/>
          <c:errBars>
            <c:errBarType val="both"/>
            <c:errValType val="cust"/>
            <c:noEndCap val="0"/>
            <c:plus>
              <c:numRef>
                <c:f>MAR26TOR!$AA$10</c:f>
                <c:numCache>
                  <c:formatCode>General</c:formatCode>
                  <c:ptCount val="1"/>
                  <c:pt idx="0">
                    <c:v>5.9812791457381609E-2</c:v>
                  </c:pt>
                </c:numCache>
              </c:numRef>
            </c:plus>
            <c:minus>
              <c:numRef>
                <c:f>MAR26TOR!$AA$10</c:f>
                <c:numCache>
                  <c:formatCode>General</c:formatCode>
                  <c:ptCount val="1"/>
                  <c:pt idx="0">
                    <c:v>5.9812791457381609E-2</c:v>
                  </c:pt>
                </c:numCache>
              </c:numRef>
            </c:minus>
            <c:spPr>
              <a:noFill/>
              <a:ln w="28575" cap="flat" cmpd="sng" algn="ctr">
                <a:solidFill>
                  <a:schemeClr val="tx1">
                    <a:lumMod val="65000"/>
                    <a:lumOff val="35000"/>
                  </a:schemeClr>
                </a:solidFill>
                <a:round/>
              </a:ln>
              <a:effectLst/>
            </c:spPr>
          </c:errBars>
          <c:val>
            <c:numRef>
              <c:f>MAR26TOR!$AA$6</c:f>
              <c:numCache>
                <c:formatCode>General</c:formatCode>
                <c:ptCount val="1"/>
                <c:pt idx="0">
                  <c:v>2.2229729757826395</c:v>
                </c:pt>
              </c:numCache>
            </c:numRef>
          </c:val>
          <c:extLst>
            <c:ext xmlns:c16="http://schemas.microsoft.com/office/drawing/2014/chart" uri="{C3380CC4-5D6E-409C-BE32-E72D297353CC}">
              <c16:uniqueId val="{00000001-601D-4418-B5D4-923EF8BC0057}"/>
            </c:ext>
          </c:extLst>
        </c:ser>
        <c:ser>
          <c:idx val="2"/>
          <c:order val="2"/>
          <c:tx>
            <c:strRef>
              <c:f>MAR26TOR!$AB$5</c:f>
              <c:strCache>
                <c:ptCount val="1"/>
                <c:pt idx="0">
                  <c:v>Furfurals</c:v>
                </c:pt>
              </c:strCache>
            </c:strRef>
          </c:tx>
          <c:spPr>
            <a:solidFill>
              <a:schemeClr val="accent3"/>
            </a:solidFill>
            <a:ln>
              <a:noFill/>
            </a:ln>
            <a:effectLst/>
          </c:spPr>
          <c:invertIfNegative val="0"/>
          <c:errBars>
            <c:errBarType val="both"/>
            <c:errValType val="cust"/>
            <c:noEndCap val="0"/>
            <c:plus>
              <c:numRef>
                <c:f>MAR26TOR!$AB$10</c:f>
                <c:numCache>
                  <c:formatCode>General</c:formatCode>
                  <c:ptCount val="1"/>
                  <c:pt idx="0">
                    <c:v>3.4522494228281887E-2</c:v>
                  </c:pt>
                </c:numCache>
              </c:numRef>
            </c:plus>
            <c:minus>
              <c:numRef>
                <c:f>MAR26TOR!$AB$10</c:f>
                <c:numCache>
                  <c:formatCode>General</c:formatCode>
                  <c:ptCount val="1"/>
                  <c:pt idx="0">
                    <c:v>3.4522494228281887E-2</c:v>
                  </c:pt>
                </c:numCache>
              </c:numRef>
            </c:minus>
            <c:spPr>
              <a:noFill/>
              <a:ln w="28575" cap="flat" cmpd="sng" algn="ctr">
                <a:solidFill>
                  <a:schemeClr val="tx1">
                    <a:lumMod val="65000"/>
                    <a:lumOff val="35000"/>
                  </a:schemeClr>
                </a:solidFill>
                <a:round/>
              </a:ln>
              <a:effectLst/>
            </c:spPr>
          </c:errBars>
          <c:val>
            <c:numRef>
              <c:f>MAR26TOR!$AB$6</c:f>
              <c:numCache>
                <c:formatCode>General</c:formatCode>
                <c:ptCount val="1"/>
                <c:pt idx="0">
                  <c:v>1.226116822116742</c:v>
                </c:pt>
              </c:numCache>
            </c:numRef>
          </c:val>
          <c:extLst>
            <c:ext xmlns:c16="http://schemas.microsoft.com/office/drawing/2014/chart" uri="{C3380CC4-5D6E-409C-BE32-E72D297353CC}">
              <c16:uniqueId val="{00000002-601D-4418-B5D4-923EF8BC0057}"/>
            </c:ext>
          </c:extLst>
        </c:ser>
        <c:ser>
          <c:idx val="3"/>
          <c:order val="3"/>
          <c:tx>
            <c:strRef>
              <c:f>MAR26TOR!$AC$5</c:f>
              <c:strCache>
                <c:ptCount val="1"/>
                <c:pt idx="0">
                  <c:v>Furans</c:v>
                </c:pt>
              </c:strCache>
            </c:strRef>
          </c:tx>
          <c:spPr>
            <a:solidFill>
              <a:schemeClr val="accent4"/>
            </a:solidFill>
            <a:ln>
              <a:noFill/>
            </a:ln>
            <a:effectLst/>
          </c:spPr>
          <c:invertIfNegative val="0"/>
          <c:errBars>
            <c:errBarType val="both"/>
            <c:errValType val="cust"/>
            <c:noEndCap val="0"/>
            <c:plus>
              <c:numRef>
                <c:f>MAR26TOR!$AC$10</c:f>
                <c:numCache>
                  <c:formatCode>General</c:formatCode>
                  <c:ptCount val="1"/>
                  <c:pt idx="0">
                    <c:v>9.2362557631178851E-4</c:v>
                  </c:pt>
                </c:numCache>
              </c:numRef>
            </c:plus>
            <c:minus>
              <c:numRef>
                <c:f>MAR26TOR!$AC$10</c:f>
                <c:numCache>
                  <c:formatCode>General</c:formatCode>
                  <c:ptCount val="1"/>
                  <c:pt idx="0">
                    <c:v>9.2362557631178851E-4</c:v>
                  </c:pt>
                </c:numCache>
              </c:numRef>
            </c:minus>
            <c:spPr>
              <a:noFill/>
              <a:ln w="28575" cap="flat" cmpd="sng" algn="ctr">
                <a:solidFill>
                  <a:schemeClr val="tx1">
                    <a:lumMod val="65000"/>
                    <a:lumOff val="35000"/>
                  </a:schemeClr>
                </a:solidFill>
                <a:round/>
              </a:ln>
              <a:effectLst/>
            </c:spPr>
          </c:errBars>
          <c:val>
            <c:numRef>
              <c:f>MAR26TOR!$AC$6</c:f>
              <c:numCache>
                <c:formatCode>General</c:formatCode>
                <c:ptCount val="1"/>
                <c:pt idx="0">
                  <c:v>2.6880300633526675E-2</c:v>
                </c:pt>
              </c:numCache>
            </c:numRef>
          </c:val>
          <c:extLst>
            <c:ext xmlns:c16="http://schemas.microsoft.com/office/drawing/2014/chart" uri="{C3380CC4-5D6E-409C-BE32-E72D297353CC}">
              <c16:uniqueId val="{00000003-601D-4418-B5D4-923EF8BC0057}"/>
            </c:ext>
          </c:extLst>
        </c:ser>
        <c:ser>
          <c:idx val="4"/>
          <c:order val="4"/>
          <c:tx>
            <c:strRef>
              <c:f>MAR26TOR!$AD$5</c:f>
              <c:strCache>
                <c:ptCount val="1"/>
                <c:pt idx="0">
                  <c:v>Alkyl Benzenes</c:v>
                </c:pt>
              </c:strCache>
            </c:strRef>
          </c:tx>
          <c:spPr>
            <a:solidFill>
              <a:schemeClr val="accent5"/>
            </a:solidFill>
            <a:ln w="0">
              <a:noFill/>
            </a:ln>
            <a:effectLst/>
          </c:spPr>
          <c:invertIfNegative val="0"/>
          <c:errBars>
            <c:errBarType val="both"/>
            <c:errValType val="cust"/>
            <c:noEndCap val="0"/>
            <c:plus>
              <c:numRef>
                <c:f>MAR26TOR!$AD$10</c:f>
                <c:numCache>
                  <c:formatCode>General</c:formatCode>
                  <c:ptCount val="1"/>
                  <c:pt idx="0">
                    <c:v>9.0843907182189168E-4</c:v>
                  </c:pt>
                </c:numCache>
              </c:numRef>
            </c:plus>
            <c:minus>
              <c:numRef>
                <c:f>MAR26TOR!$AD$10</c:f>
                <c:numCache>
                  <c:formatCode>General</c:formatCode>
                  <c:ptCount val="1"/>
                  <c:pt idx="0">
                    <c:v>9.0843907182189168E-4</c:v>
                  </c:pt>
                </c:numCache>
              </c:numRef>
            </c:minus>
            <c:spPr>
              <a:noFill/>
              <a:ln w="28575" cap="flat" cmpd="sng" algn="ctr">
                <a:solidFill>
                  <a:schemeClr val="tx1">
                    <a:lumMod val="65000"/>
                    <a:lumOff val="35000"/>
                  </a:schemeClr>
                </a:solidFill>
                <a:round/>
              </a:ln>
              <a:effectLst/>
            </c:spPr>
          </c:errBars>
          <c:val>
            <c:numRef>
              <c:f>MAR26TOR!$AD$6</c:f>
              <c:numCache>
                <c:formatCode>General</c:formatCode>
                <c:ptCount val="1"/>
                <c:pt idx="0">
                  <c:v>7.2234718167965666E-3</c:v>
                </c:pt>
              </c:numCache>
            </c:numRef>
          </c:val>
          <c:extLst>
            <c:ext xmlns:c16="http://schemas.microsoft.com/office/drawing/2014/chart" uri="{C3380CC4-5D6E-409C-BE32-E72D297353CC}">
              <c16:uniqueId val="{00000004-601D-4418-B5D4-923EF8BC0057}"/>
            </c:ext>
          </c:extLst>
        </c:ser>
        <c:ser>
          <c:idx val="5"/>
          <c:order val="5"/>
          <c:tx>
            <c:strRef>
              <c:f>MAR26TOR!$AE$5</c:f>
              <c:strCache>
                <c:ptCount val="1"/>
                <c:pt idx="0">
                  <c:v>Alkyl Phenols</c:v>
                </c:pt>
              </c:strCache>
            </c:strRef>
          </c:tx>
          <c:spPr>
            <a:solidFill>
              <a:schemeClr val="accent6"/>
            </a:solidFill>
            <a:ln>
              <a:noFill/>
            </a:ln>
            <a:effectLst/>
          </c:spPr>
          <c:invertIfNegative val="0"/>
          <c:errBars>
            <c:errBarType val="both"/>
            <c:errValType val="cust"/>
            <c:noEndCap val="0"/>
            <c:plus>
              <c:numRef>
                <c:f>MAR26TOR!$AE$10</c:f>
                <c:numCache>
                  <c:formatCode>General</c:formatCode>
                  <c:ptCount val="1"/>
                  <c:pt idx="0">
                    <c:v>9.0642489285253456E-3</c:v>
                  </c:pt>
                </c:numCache>
              </c:numRef>
            </c:plus>
            <c:minus>
              <c:numRef>
                <c:f>MAR26TOR!$AE$10</c:f>
                <c:numCache>
                  <c:formatCode>General</c:formatCode>
                  <c:ptCount val="1"/>
                  <c:pt idx="0">
                    <c:v>9.0642489285253456E-3</c:v>
                  </c:pt>
                </c:numCache>
              </c:numRef>
            </c:minus>
            <c:spPr>
              <a:noFill/>
              <a:ln w="28575" cap="flat" cmpd="sng" algn="ctr">
                <a:solidFill>
                  <a:schemeClr val="tx1">
                    <a:lumMod val="65000"/>
                    <a:lumOff val="35000"/>
                  </a:schemeClr>
                </a:solidFill>
                <a:round/>
              </a:ln>
              <a:effectLst/>
            </c:spPr>
          </c:errBars>
          <c:val>
            <c:numRef>
              <c:f>MAR26TOR!$AE$6</c:f>
              <c:numCache>
                <c:formatCode>General</c:formatCode>
                <c:ptCount val="1"/>
                <c:pt idx="0">
                  <c:v>0.2646805652242139</c:v>
                </c:pt>
              </c:numCache>
            </c:numRef>
          </c:val>
          <c:extLst>
            <c:ext xmlns:c16="http://schemas.microsoft.com/office/drawing/2014/chart" uri="{C3380CC4-5D6E-409C-BE32-E72D297353CC}">
              <c16:uniqueId val="{00000005-601D-4418-B5D4-923EF8BC0057}"/>
            </c:ext>
          </c:extLst>
        </c:ser>
        <c:ser>
          <c:idx val="6"/>
          <c:order val="6"/>
          <c:tx>
            <c:strRef>
              <c:f>MAR26TOR!$AF$5</c:f>
              <c:strCache>
                <c:ptCount val="1"/>
                <c:pt idx="0">
                  <c:v>Anhydrous Sugars</c:v>
                </c:pt>
              </c:strCache>
            </c:strRef>
          </c:tx>
          <c:spPr>
            <a:solidFill>
              <a:schemeClr val="accent1">
                <a:lumMod val="60000"/>
              </a:schemeClr>
            </a:solidFill>
            <a:ln>
              <a:noFill/>
            </a:ln>
            <a:effectLst/>
          </c:spPr>
          <c:invertIfNegative val="0"/>
          <c:errBars>
            <c:errBarType val="both"/>
            <c:errValType val="cust"/>
            <c:noEndCap val="0"/>
            <c:plus>
              <c:numRef>
                <c:f>MAR26TOR!$AF$10</c:f>
                <c:numCache>
                  <c:formatCode>General</c:formatCode>
                  <c:ptCount val="1"/>
                  <c:pt idx="0">
                    <c:v>1.8031227815941298E-2</c:v>
                  </c:pt>
                </c:numCache>
              </c:numRef>
            </c:plus>
            <c:minus>
              <c:numRef>
                <c:f>MAR26TOR!$AF$10</c:f>
                <c:numCache>
                  <c:formatCode>General</c:formatCode>
                  <c:ptCount val="1"/>
                  <c:pt idx="0">
                    <c:v>1.8031227815941298E-2</c:v>
                  </c:pt>
                </c:numCache>
              </c:numRef>
            </c:minus>
            <c:spPr>
              <a:noFill/>
              <a:ln w="28575" cap="flat" cmpd="sng" algn="ctr">
                <a:solidFill>
                  <a:schemeClr val="tx1">
                    <a:lumMod val="65000"/>
                    <a:lumOff val="35000"/>
                  </a:schemeClr>
                </a:solidFill>
                <a:round/>
              </a:ln>
              <a:effectLst/>
            </c:spPr>
          </c:errBars>
          <c:val>
            <c:numRef>
              <c:f>MAR26TOR!$AF$6</c:f>
              <c:numCache>
                <c:formatCode>General</c:formatCode>
                <c:ptCount val="1"/>
                <c:pt idx="0">
                  <c:v>1.7857351953304241</c:v>
                </c:pt>
              </c:numCache>
            </c:numRef>
          </c:val>
          <c:extLst>
            <c:ext xmlns:c16="http://schemas.microsoft.com/office/drawing/2014/chart" uri="{C3380CC4-5D6E-409C-BE32-E72D297353CC}">
              <c16:uniqueId val="{00000006-601D-4418-B5D4-923EF8BC0057}"/>
            </c:ext>
          </c:extLst>
        </c:ser>
        <c:ser>
          <c:idx val="7"/>
          <c:order val="7"/>
          <c:tx>
            <c:strRef>
              <c:f>MAR26TOR!$AG$5</c:f>
              <c:strCache>
                <c:ptCount val="1"/>
                <c:pt idx="0">
                  <c:v>Methoxy Phenols</c:v>
                </c:pt>
              </c:strCache>
            </c:strRef>
          </c:tx>
          <c:spPr>
            <a:solidFill>
              <a:schemeClr val="accent2">
                <a:lumMod val="60000"/>
              </a:schemeClr>
            </a:solidFill>
            <a:ln>
              <a:noFill/>
            </a:ln>
            <a:effectLst/>
          </c:spPr>
          <c:invertIfNegative val="0"/>
          <c:errBars>
            <c:errBarType val="both"/>
            <c:errValType val="cust"/>
            <c:noEndCap val="0"/>
            <c:plus>
              <c:numRef>
                <c:f>MAR26TOR!$AG$10</c:f>
                <c:numCache>
                  <c:formatCode>General</c:formatCode>
                  <c:ptCount val="1"/>
                  <c:pt idx="0">
                    <c:v>3.2460828188875065E-2</c:v>
                  </c:pt>
                </c:numCache>
              </c:numRef>
            </c:plus>
            <c:minus>
              <c:numRef>
                <c:f>MAR26TOR!$AG$10</c:f>
                <c:numCache>
                  <c:formatCode>General</c:formatCode>
                  <c:ptCount val="1"/>
                  <c:pt idx="0">
                    <c:v>3.2460828188875065E-2</c:v>
                  </c:pt>
                </c:numCache>
              </c:numRef>
            </c:minus>
            <c:spPr>
              <a:noFill/>
              <a:ln w="28575" cap="flat" cmpd="sng" algn="ctr">
                <a:solidFill>
                  <a:schemeClr val="tx1">
                    <a:lumMod val="65000"/>
                    <a:lumOff val="35000"/>
                  </a:schemeClr>
                </a:solidFill>
                <a:round/>
              </a:ln>
              <a:effectLst/>
            </c:spPr>
          </c:errBars>
          <c:val>
            <c:numRef>
              <c:f>MAR26TOR!$AG$6</c:f>
              <c:numCache>
                <c:formatCode>General</c:formatCode>
                <c:ptCount val="1"/>
                <c:pt idx="0">
                  <c:v>0.52396007378037146</c:v>
                </c:pt>
              </c:numCache>
            </c:numRef>
          </c:val>
          <c:extLst>
            <c:ext xmlns:c16="http://schemas.microsoft.com/office/drawing/2014/chart" uri="{C3380CC4-5D6E-409C-BE32-E72D297353CC}">
              <c16:uniqueId val="{00000007-601D-4418-B5D4-923EF8BC0057}"/>
            </c:ext>
          </c:extLst>
        </c:ser>
        <c:dLbls>
          <c:showLegendKey val="0"/>
          <c:showVal val="0"/>
          <c:showCatName val="0"/>
          <c:showSerName val="0"/>
          <c:showPercent val="0"/>
          <c:showBubbleSize val="0"/>
        </c:dLbls>
        <c:gapWidth val="150"/>
        <c:axId val="606685296"/>
        <c:axId val="606678408"/>
      </c:barChart>
      <c:catAx>
        <c:axId val="606685296"/>
        <c:scaling>
          <c:orientation val="minMax"/>
        </c:scaling>
        <c:delete val="1"/>
        <c:axPos val="b"/>
        <c:numFmt formatCode="General" sourceLinked="1"/>
        <c:majorTickMark val="none"/>
        <c:minorTickMark val="none"/>
        <c:tickLblPos val="nextTo"/>
        <c:crossAx val="606678408"/>
        <c:crosses val="autoZero"/>
        <c:auto val="1"/>
        <c:lblAlgn val="ctr"/>
        <c:lblOffset val="100"/>
        <c:noMultiLvlLbl val="0"/>
      </c:catAx>
      <c:valAx>
        <c:axId val="606678408"/>
        <c:scaling>
          <c:orientation val="minMax"/>
          <c:max val="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6685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Compound variance of AP13 at 270 degrees(120s)</a:t>
            </a:r>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MAR30270TOR!$Z$5</c:f>
              <c:strCache>
                <c:ptCount val="1"/>
                <c:pt idx="0">
                  <c:v>Light Oxygenate</c:v>
                </c:pt>
              </c:strCache>
            </c:strRef>
          </c:tx>
          <c:spPr>
            <a:solidFill>
              <a:schemeClr val="accent1"/>
            </a:solidFill>
            <a:ln>
              <a:noFill/>
            </a:ln>
            <a:effectLst/>
          </c:spPr>
          <c:invertIfNegative val="0"/>
          <c:errBars>
            <c:errBarType val="both"/>
            <c:errValType val="cust"/>
            <c:noEndCap val="0"/>
            <c:plus>
              <c:numRef>
                <c:f>MAR30270TOR!$Z$10</c:f>
                <c:numCache>
                  <c:formatCode>General</c:formatCode>
                  <c:ptCount val="1"/>
                  <c:pt idx="0">
                    <c:v>0.14848959436855169</c:v>
                  </c:pt>
                </c:numCache>
              </c:numRef>
            </c:plus>
            <c:minus>
              <c:numRef>
                <c:f>MAR30270TOR!$Z$10</c:f>
                <c:numCache>
                  <c:formatCode>General</c:formatCode>
                  <c:ptCount val="1"/>
                  <c:pt idx="0">
                    <c:v>0.14848959436855169</c:v>
                  </c:pt>
                </c:numCache>
              </c:numRef>
            </c:minus>
            <c:spPr>
              <a:noFill/>
              <a:ln w="28575" cap="flat" cmpd="sng" algn="ctr">
                <a:solidFill>
                  <a:schemeClr val="tx1">
                    <a:lumMod val="65000"/>
                    <a:lumOff val="35000"/>
                  </a:schemeClr>
                </a:solidFill>
                <a:round/>
              </a:ln>
              <a:effectLst/>
            </c:spPr>
          </c:errBars>
          <c:val>
            <c:numRef>
              <c:f>MAR30270TOR!$Z$6</c:f>
              <c:numCache>
                <c:formatCode>General</c:formatCode>
                <c:ptCount val="1"/>
                <c:pt idx="0">
                  <c:v>1.5722418696116867</c:v>
                </c:pt>
              </c:numCache>
            </c:numRef>
          </c:val>
          <c:extLst>
            <c:ext xmlns:c16="http://schemas.microsoft.com/office/drawing/2014/chart" uri="{C3380CC4-5D6E-409C-BE32-E72D297353CC}">
              <c16:uniqueId val="{00000000-CC11-4846-AB4E-E302411B7C1D}"/>
            </c:ext>
          </c:extLst>
        </c:ser>
        <c:ser>
          <c:idx val="1"/>
          <c:order val="1"/>
          <c:tx>
            <c:strRef>
              <c:f>MAR30270TOR!$AA$5</c:f>
              <c:strCache>
                <c:ptCount val="1"/>
                <c:pt idx="0">
                  <c:v>Acetic Acid</c:v>
                </c:pt>
              </c:strCache>
            </c:strRef>
          </c:tx>
          <c:spPr>
            <a:solidFill>
              <a:schemeClr val="accent2"/>
            </a:solidFill>
            <a:ln>
              <a:noFill/>
            </a:ln>
            <a:effectLst/>
          </c:spPr>
          <c:invertIfNegative val="0"/>
          <c:errBars>
            <c:errBarType val="both"/>
            <c:errValType val="cust"/>
            <c:noEndCap val="0"/>
            <c:plus>
              <c:numRef>
                <c:f>MAR30270TOR!$AA$10</c:f>
                <c:numCache>
                  <c:formatCode>General</c:formatCode>
                  <c:ptCount val="1"/>
                  <c:pt idx="0">
                    <c:v>3.4225481109185413E-2</c:v>
                  </c:pt>
                </c:numCache>
              </c:numRef>
            </c:plus>
            <c:minus>
              <c:numRef>
                <c:f>MAR30270TOR!$AA$10</c:f>
                <c:numCache>
                  <c:formatCode>General</c:formatCode>
                  <c:ptCount val="1"/>
                  <c:pt idx="0">
                    <c:v>3.4225481109185413E-2</c:v>
                  </c:pt>
                </c:numCache>
              </c:numRef>
            </c:minus>
            <c:spPr>
              <a:noFill/>
              <a:ln w="28575" cap="flat" cmpd="sng" algn="ctr">
                <a:solidFill>
                  <a:schemeClr val="tx1">
                    <a:lumMod val="65000"/>
                    <a:lumOff val="35000"/>
                  </a:schemeClr>
                </a:solidFill>
                <a:round/>
              </a:ln>
              <a:effectLst/>
            </c:spPr>
          </c:errBars>
          <c:val>
            <c:numRef>
              <c:f>MAR30270TOR!$AA$6</c:f>
              <c:numCache>
                <c:formatCode>General</c:formatCode>
                <c:ptCount val="1"/>
                <c:pt idx="0">
                  <c:v>1.6578781205984958</c:v>
                </c:pt>
              </c:numCache>
            </c:numRef>
          </c:val>
          <c:extLst>
            <c:ext xmlns:c16="http://schemas.microsoft.com/office/drawing/2014/chart" uri="{C3380CC4-5D6E-409C-BE32-E72D297353CC}">
              <c16:uniqueId val="{00000001-CC11-4846-AB4E-E302411B7C1D}"/>
            </c:ext>
          </c:extLst>
        </c:ser>
        <c:ser>
          <c:idx val="2"/>
          <c:order val="2"/>
          <c:tx>
            <c:strRef>
              <c:f>MAR30270TOR!$AB$5</c:f>
              <c:strCache>
                <c:ptCount val="1"/>
                <c:pt idx="0">
                  <c:v>Furfurals</c:v>
                </c:pt>
              </c:strCache>
            </c:strRef>
          </c:tx>
          <c:spPr>
            <a:solidFill>
              <a:schemeClr val="accent3"/>
            </a:solidFill>
            <a:ln>
              <a:noFill/>
            </a:ln>
            <a:effectLst/>
          </c:spPr>
          <c:invertIfNegative val="0"/>
          <c:errBars>
            <c:errBarType val="both"/>
            <c:errValType val="cust"/>
            <c:noEndCap val="0"/>
            <c:plus>
              <c:numRef>
                <c:f>MAR30270TOR!$AB$10</c:f>
                <c:numCache>
                  <c:formatCode>General</c:formatCode>
                  <c:ptCount val="1"/>
                  <c:pt idx="0">
                    <c:v>1.8737347966713752E-2</c:v>
                  </c:pt>
                </c:numCache>
              </c:numRef>
            </c:plus>
            <c:minus>
              <c:numRef>
                <c:f>MAR30270TOR!$AB$10</c:f>
                <c:numCache>
                  <c:formatCode>General</c:formatCode>
                  <c:ptCount val="1"/>
                  <c:pt idx="0">
                    <c:v>1.8737347966713752E-2</c:v>
                  </c:pt>
                </c:numCache>
              </c:numRef>
            </c:minus>
            <c:spPr>
              <a:noFill/>
              <a:ln w="28575" cap="flat" cmpd="sng" algn="ctr">
                <a:solidFill>
                  <a:schemeClr val="tx1">
                    <a:lumMod val="65000"/>
                    <a:lumOff val="35000"/>
                  </a:schemeClr>
                </a:solidFill>
                <a:round/>
              </a:ln>
              <a:effectLst/>
            </c:spPr>
          </c:errBars>
          <c:val>
            <c:numRef>
              <c:f>MAR30270TOR!$AB$6</c:f>
              <c:numCache>
                <c:formatCode>General</c:formatCode>
                <c:ptCount val="1"/>
                <c:pt idx="0">
                  <c:v>0.52679395453637534</c:v>
                </c:pt>
              </c:numCache>
            </c:numRef>
          </c:val>
          <c:extLst>
            <c:ext xmlns:c16="http://schemas.microsoft.com/office/drawing/2014/chart" uri="{C3380CC4-5D6E-409C-BE32-E72D297353CC}">
              <c16:uniqueId val="{00000002-CC11-4846-AB4E-E302411B7C1D}"/>
            </c:ext>
          </c:extLst>
        </c:ser>
        <c:ser>
          <c:idx val="3"/>
          <c:order val="3"/>
          <c:tx>
            <c:strRef>
              <c:f>MAR30270TOR!$AC$5</c:f>
              <c:strCache>
                <c:ptCount val="1"/>
                <c:pt idx="0">
                  <c:v>Furans</c:v>
                </c:pt>
              </c:strCache>
            </c:strRef>
          </c:tx>
          <c:spPr>
            <a:solidFill>
              <a:schemeClr val="accent4"/>
            </a:solidFill>
            <a:ln>
              <a:noFill/>
            </a:ln>
            <a:effectLst/>
          </c:spPr>
          <c:invertIfNegative val="0"/>
          <c:val>
            <c:numRef>
              <c:f>MAR30270TOR!$AC$6</c:f>
              <c:numCache>
                <c:formatCode>General</c:formatCode>
                <c:ptCount val="1"/>
                <c:pt idx="0">
                  <c:v>0</c:v>
                </c:pt>
              </c:numCache>
            </c:numRef>
          </c:val>
          <c:extLst>
            <c:ext xmlns:c16="http://schemas.microsoft.com/office/drawing/2014/chart" uri="{C3380CC4-5D6E-409C-BE32-E72D297353CC}">
              <c16:uniqueId val="{00000003-CC11-4846-AB4E-E302411B7C1D}"/>
            </c:ext>
          </c:extLst>
        </c:ser>
        <c:ser>
          <c:idx val="4"/>
          <c:order val="4"/>
          <c:tx>
            <c:strRef>
              <c:f>MAR30270TOR!$AD$5</c:f>
              <c:strCache>
                <c:ptCount val="1"/>
                <c:pt idx="0">
                  <c:v>Alkyl Benzenes</c:v>
                </c:pt>
              </c:strCache>
            </c:strRef>
          </c:tx>
          <c:spPr>
            <a:solidFill>
              <a:schemeClr val="accent5"/>
            </a:solidFill>
            <a:ln>
              <a:noFill/>
            </a:ln>
            <a:effectLst/>
          </c:spPr>
          <c:invertIfNegative val="0"/>
          <c:errBars>
            <c:errBarType val="both"/>
            <c:errValType val="cust"/>
            <c:noEndCap val="0"/>
            <c:plus>
              <c:numRef>
                <c:f>MAR30270TOR!$AD$10</c:f>
                <c:numCache>
                  <c:formatCode>General</c:formatCode>
                  <c:ptCount val="1"/>
                  <c:pt idx="0">
                    <c:v>1.0009352479353664E-3</c:v>
                  </c:pt>
                </c:numCache>
              </c:numRef>
            </c:plus>
            <c:minus>
              <c:numRef>
                <c:f>MAR30270TOR!$AD$10</c:f>
                <c:numCache>
                  <c:formatCode>General</c:formatCode>
                  <c:ptCount val="1"/>
                  <c:pt idx="0">
                    <c:v>1.0009352479353664E-3</c:v>
                  </c:pt>
                </c:numCache>
              </c:numRef>
            </c:minus>
            <c:spPr>
              <a:noFill/>
              <a:ln w="28575" cap="flat" cmpd="sng" algn="ctr">
                <a:solidFill>
                  <a:schemeClr val="tx1">
                    <a:lumMod val="65000"/>
                    <a:lumOff val="35000"/>
                  </a:schemeClr>
                </a:solidFill>
                <a:round/>
              </a:ln>
              <a:effectLst/>
            </c:spPr>
          </c:errBars>
          <c:val>
            <c:numRef>
              <c:f>MAR30270TOR!$AD$6</c:f>
              <c:numCache>
                <c:formatCode>General</c:formatCode>
                <c:ptCount val="1"/>
                <c:pt idx="0">
                  <c:v>8.7829590182368755E-3</c:v>
                </c:pt>
              </c:numCache>
            </c:numRef>
          </c:val>
          <c:extLst>
            <c:ext xmlns:c16="http://schemas.microsoft.com/office/drawing/2014/chart" uri="{C3380CC4-5D6E-409C-BE32-E72D297353CC}">
              <c16:uniqueId val="{00000004-CC11-4846-AB4E-E302411B7C1D}"/>
            </c:ext>
          </c:extLst>
        </c:ser>
        <c:ser>
          <c:idx val="5"/>
          <c:order val="5"/>
          <c:tx>
            <c:strRef>
              <c:f>MAR30270TOR!$AE$5</c:f>
              <c:strCache>
                <c:ptCount val="1"/>
                <c:pt idx="0">
                  <c:v>Alkyl Phenols</c:v>
                </c:pt>
              </c:strCache>
            </c:strRef>
          </c:tx>
          <c:spPr>
            <a:solidFill>
              <a:schemeClr val="accent6"/>
            </a:solidFill>
            <a:ln>
              <a:noFill/>
            </a:ln>
            <a:effectLst/>
          </c:spPr>
          <c:invertIfNegative val="0"/>
          <c:errBars>
            <c:errBarType val="both"/>
            <c:errValType val="cust"/>
            <c:noEndCap val="0"/>
            <c:plus>
              <c:numRef>
                <c:f>MAR30270TOR!$AE$10</c:f>
                <c:numCache>
                  <c:formatCode>General</c:formatCode>
                  <c:ptCount val="1"/>
                  <c:pt idx="0">
                    <c:v>2.4752333239724811E-3</c:v>
                  </c:pt>
                </c:numCache>
              </c:numRef>
            </c:plus>
            <c:minus>
              <c:numRef>
                <c:f>MAR30270TOR!$AE$10</c:f>
                <c:numCache>
                  <c:formatCode>General</c:formatCode>
                  <c:ptCount val="1"/>
                  <c:pt idx="0">
                    <c:v>2.4752333239724811E-3</c:v>
                  </c:pt>
                </c:numCache>
              </c:numRef>
            </c:minus>
            <c:spPr>
              <a:noFill/>
              <a:ln w="28575" cap="flat" cmpd="sng" algn="ctr">
                <a:solidFill>
                  <a:schemeClr val="tx1">
                    <a:lumMod val="65000"/>
                    <a:lumOff val="35000"/>
                  </a:schemeClr>
                </a:solidFill>
                <a:round/>
              </a:ln>
              <a:effectLst/>
            </c:spPr>
          </c:errBars>
          <c:val>
            <c:numRef>
              <c:f>MAR30270TOR!$AE$6</c:f>
              <c:numCache>
                <c:formatCode>General</c:formatCode>
                <c:ptCount val="1"/>
                <c:pt idx="0">
                  <c:v>0.17891339869554893</c:v>
                </c:pt>
              </c:numCache>
            </c:numRef>
          </c:val>
          <c:extLst>
            <c:ext xmlns:c16="http://schemas.microsoft.com/office/drawing/2014/chart" uri="{C3380CC4-5D6E-409C-BE32-E72D297353CC}">
              <c16:uniqueId val="{00000005-CC11-4846-AB4E-E302411B7C1D}"/>
            </c:ext>
          </c:extLst>
        </c:ser>
        <c:ser>
          <c:idx val="6"/>
          <c:order val="6"/>
          <c:tx>
            <c:strRef>
              <c:f>MAR30270TOR!$AF$5</c:f>
              <c:strCache>
                <c:ptCount val="1"/>
                <c:pt idx="0">
                  <c:v>Anhydrous Sugars</c:v>
                </c:pt>
              </c:strCache>
            </c:strRef>
          </c:tx>
          <c:spPr>
            <a:solidFill>
              <a:schemeClr val="accent1">
                <a:lumMod val="60000"/>
              </a:schemeClr>
            </a:solidFill>
            <a:ln>
              <a:noFill/>
            </a:ln>
            <a:effectLst/>
          </c:spPr>
          <c:invertIfNegative val="0"/>
          <c:errBars>
            <c:errBarType val="both"/>
            <c:errValType val="cust"/>
            <c:noEndCap val="0"/>
            <c:plus>
              <c:numRef>
                <c:f>MAR30270TOR!$AF$10</c:f>
                <c:numCache>
                  <c:formatCode>General</c:formatCode>
                  <c:ptCount val="1"/>
                  <c:pt idx="0">
                    <c:v>6.8998784996729332E-3</c:v>
                  </c:pt>
                </c:numCache>
              </c:numRef>
            </c:plus>
            <c:minus>
              <c:numRef>
                <c:f>MAR30270TOR!$AF$10</c:f>
                <c:numCache>
                  <c:formatCode>General</c:formatCode>
                  <c:ptCount val="1"/>
                  <c:pt idx="0">
                    <c:v>6.8998784996729332E-3</c:v>
                  </c:pt>
                </c:numCache>
              </c:numRef>
            </c:minus>
            <c:spPr>
              <a:noFill/>
              <a:ln w="28575" cap="flat" cmpd="sng" algn="ctr">
                <a:solidFill>
                  <a:schemeClr val="tx1">
                    <a:lumMod val="65000"/>
                    <a:lumOff val="35000"/>
                  </a:schemeClr>
                </a:solidFill>
                <a:round/>
              </a:ln>
              <a:effectLst/>
            </c:spPr>
          </c:errBars>
          <c:val>
            <c:numRef>
              <c:f>MAR30270TOR!$AF$6</c:f>
              <c:numCache>
                <c:formatCode>General</c:formatCode>
                <c:ptCount val="1"/>
                <c:pt idx="0">
                  <c:v>0.73100384144434105</c:v>
                </c:pt>
              </c:numCache>
            </c:numRef>
          </c:val>
          <c:extLst>
            <c:ext xmlns:c16="http://schemas.microsoft.com/office/drawing/2014/chart" uri="{C3380CC4-5D6E-409C-BE32-E72D297353CC}">
              <c16:uniqueId val="{00000006-CC11-4846-AB4E-E302411B7C1D}"/>
            </c:ext>
          </c:extLst>
        </c:ser>
        <c:ser>
          <c:idx val="7"/>
          <c:order val="7"/>
          <c:tx>
            <c:strRef>
              <c:f>MAR30270TOR!$AG$5</c:f>
              <c:strCache>
                <c:ptCount val="1"/>
                <c:pt idx="0">
                  <c:v>Methoxy Phenols</c:v>
                </c:pt>
              </c:strCache>
            </c:strRef>
          </c:tx>
          <c:spPr>
            <a:solidFill>
              <a:schemeClr val="accent2">
                <a:lumMod val="60000"/>
              </a:schemeClr>
            </a:solidFill>
            <a:ln>
              <a:noFill/>
            </a:ln>
            <a:effectLst/>
          </c:spPr>
          <c:invertIfNegative val="0"/>
          <c:errBars>
            <c:errBarType val="both"/>
            <c:errValType val="cust"/>
            <c:noEndCap val="0"/>
            <c:plus>
              <c:numRef>
                <c:f>MAR30270TOR!$AG$10</c:f>
                <c:numCache>
                  <c:formatCode>General</c:formatCode>
                  <c:ptCount val="1"/>
                  <c:pt idx="0">
                    <c:v>1.7021410432109349E-2</c:v>
                  </c:pt>
                </c:numCache>
              </c:numRef>
            </c:plus>
            <c:minus>
              <c:numRef>
                <c:f>MAR30270TOR!$AG$10</c:f>
                <c:numCache>
                  <c:formatCode>General</c:formatCode>
                  <c:ptCount val="1"/>
                  <c:pt idx="0">
                    <c:v>1.7021410432109349E-2</c:v>
                  </c:pt>
                </c:numCache>
              </c:numRef>
            </c:minus>
            <c:spPr>
              <a:noFill/>
              <a:ln w="28575" cap="flat" cmpd="sng" algn="ctr">
                <a:solidFill>
                  <a:schemeClr val="tx1">
                    <a:lumMod val="65000"/>
                    <a:lumOff val="35000"/>
                  </a:schemeClr>
                </a:solidFill>
                <a:round/>
              </a:ln>
              <a:effectLst/>
            </c:spPr>
          </c:errBars>
          <c:val>
            <c:numRef>
              <c:f>MAR30270TOR!$AG$6</c:f>
              <c:numCache>
                <c:formatCode>General</c:formatCode>
                <c:ptCount val="1"/>
                <c:pt idx="0">
                  <c:v>0.24784136242789373</c:v>
                </c:pt>
              </c:numCache>
            </c:numRef>
          </c:val>
          <c:extLst>
            <c:ext xmlns:c16="http://schemas.microsoft.com/office/drawing/2014/chart" uri="{C3380CC4-5D6E-409C-BE32-E72D297353CC}">
              <c16:uniqueId val="{00000007-CC11-4846-AB4E-E302411B7C1D}"/>
            </c:ext>
          </c:extLst>
        </c:ser>
        <c:dLbls>
          <c:showLegendKey val="0"/>
          <c:showVal val="0"/>
          <c:showCatName val="0"/>
          <c:showSerName val="0"/>
          <c:showPercent val="0"/>
          <c:showBubbleSize val="0"/>
        </c:dLbls>
        <c:gapWidth val="150"/>
        <c:axId val="563037216"/>
        <c:axId val="563037872"/>
      </c:barChart>
      <c:catAx>
        <c:axId val="563037216"/>
        <c:scaling>
          <c:orientation val="minMax"/>
        </c:scaling>
        <c:delete val="1"/>
        <c:axPos val="b"/>
        <c:numFmt formatCode="General" sourceLinked="1"/>
        <c:majorTickMark val="none"/>
        <c:minorTickMark val="none"/>
        <c:tickLblPos val="nextTo"/>
        <c:crossAx val="563037872"/>
        <c:crosses val="autoZero"/>
        <c:auto val="1"/>
        <c:lblAlgn val="ctr"/>
        <c:lblOffset val="100"/>
        <c:noMultiLvlLbl val="0"/>
      </c:catAx>
      <c:valAx>
        <c:axId val="563037872"/>
        <c:scaling>
          <c:orientation val="minMax"/>
          <c:max val="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µg)[per mg of raw swicthgrass]</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0372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Compound</a:t>
            </a:r>
            <a:r>
              <a:rPr lang="en-US" b="1" u="sng" baseline="0"/>
              <a:t> variance of AP13 at 500 degrees (60s)</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MAR30PY!$W$5</c:f>
              <c:strCache>
                <c:ptCount val="1"/>
                <c:pt idx="0">
                  <c:v>Light Oxygenate</c:v>
                </c:pt>
              </c:strCache>
            </c:strRef>
          </c:tx>
          <c:spPr>
            <a:solidFill>
              <a:schemeClr val="accent1"/>
            </a:solidFill>
            <a:ln>
              <a:noFill/>
            </a:ln>
            <a:effectLst/>
          </c:spPr>
          <c:invertIfNegative val="0"/>
          <c:errBars>
            <c:errBarType val="both"/>
            <c:errValType val="cust"/>
            <c:noEndCap val="0"/>
            <c:plus>
              <c:numRef>
                <c:f>MAR30PY!$W$10</c:f>
                <c:numCache>
                  <c:formatCode>General</c:formatCode>
                  <c:ptCount val="1"/>
                  <c:pt idx="0">
                    <c:v>0.13134302739851111</c:v>
                  </c:pt>
                </c:numCache>
              </c:numRef>
            </c:plus>
            <c:minus>
              <c:numRef>
                <c:f>MAR30PY!$W$10</c:f>
                <c:numCache>
                  <c:formatCode>General</c:formatCode>
                  <c:ptCount val="1"/>
                  <c:pt idx="0">
                    <c:v>0.13134302739851111</c:v>
                  </c:pt>
                </c:numCache>
              </c:numRef>
            </c:minus>
            <c:spPr>
              <a:noFill/>
              <a:ln w="28575" cap="flat" cmpd="sng" algn="ctr">
                <a:solidFill>
                  <a:schemeClr val="tx1">
                    <a:lumMod val="65000"/>
                    <a:lumOff val="35000"/>
                  </a:schemeClr>
                </a:solidFill>
                <a:round/>
              </a:ln>
              <a:effectLst/>
            </c:spPr>
          </c:errBars>
          <c:val>
            <c:numRef>
              <c:f>MAR30PY!$W$6</c:f>
              <c:numCache>
                <c:formatCode>General</c:formatCode>
                <c:ptCount val="1"/>
                <c:pt idx="0">
                  <c:v>1.4436874062670484</c:v>
                </c:pt>
              </c:numCache>
            </c:numRef>
          </c:val>
          <c:extLst>
            <c:ext xmlns:c16="http://schemas.microsoft.com/office/drawing/2014/chart" uri="{C3380CC4-5D6E-409C-BE32-E72D297353CC}">
              <c16:uniqueId val="{00000000-78BA-4620-9000-EEDB4F63AB36}"/>
            </c:ext>
          </c:extLst>
        </c:ser>
        <c:ser>
          <c:idx val="1"/>
          <c:order val="1"/>
          <c:tx>
            <c:strRef>
              <c:f>MAR30PY!$X$5</c:f>
              <c:strCache>
                <c:ptCount val="1"/>
                <c:pt idx="0">
                  <c:v>Acetic Acid</c:v>
                </c:pt>
              </c:strCache>
            </c:strRef>
          </c:tx>
          <c:spPr>
            <a:solidFill>
              <a:schemeClr val="accent2"/>
            </a:solidFill>
            <a:ln>
              <a:noFill/>
            </a:ln>
            <a:effectLst/>
          </c:spPr>
          <c:invertIfNegative val="0"/>
          <c:errBars>
            <c:errBarType val="both"/>
            <c:errValType val="cust"/>
            <c:noEndCap val="0"/>
            <c:plus>
              <c:numRef>
                <c:f>MAR30PY!$X$10</c:f>
                <c:numCache>
                  <c:formatCode>General</c:formatCode>
                  <c:ptCount val="1"/>
                  <c:pt idx="0">
                    <c:v>1.8645202332419702E-2</c:v>
                  </c:pt>
                </c:numCache>
              </c:numRef>
            </c:plus>
            <c:minus>
              <c:numRef>
                <c:f>MAR30PY!$X$10</c:f>
                <c:numCache>
                  <c:formatCode>General</c:formatCode>
                  <c:ptCount val="1"/>
                  <c:pt idx="0">
                    <c:v>1.8645202332419702E-2</c:v>
                  </c:pt>
                </c:numCache>
              </c:numRef>
            </c:minus>
            <c:spPr>
              <a:noFill/>
              <a:ln w="28575" cap="flat" cmpd="sng" algn="ctr">
                <a:solidFill>
                  <a:schemeClr val="tx1">
                    <a:lumMod val="65000"/>
                    <a:lumOff val="35000"/>
                  </a:schemeClr>
                </a:solidFill>
                <a:round/>
              </a:ln>
              <a:effectLst/>
            </c:spPr>
          </c:errBars>
          <c:val>
            <c:numRef>
              <c:f>MAR30PY!$X$6</c:f>
              <c:numCache>
                <c:formatCode>General</c:formatCode>
                <c:ptCount val="1"/>
                <c:pt idx="0">
                  <c:v>0.70203694147443874</c:v>
                </c:pt>
              </c:numCache>
            </c:numRef>
          </c:val>
          <c:extLst>
            <c:ext xmlns:c16="http://schemas.microsoft.com/office/drawing/2014/chart" uri="{C3380CC4-5D6E-409C-BE32-E72D297353CC}">
              <c16:uniqueId val="{00000001-78BA-4620-9000-EEDB4F63AB36}"/>
            </c:ext>
          </c:extLst>
        </c:ser>
        <c:ser>
          <c:idx val="2"/>
          <c:order val="2"/>
          <c:tx>
            <c:strRef>
              <c:f>MAR30PY!$Y$5</c:f>
              <c:strCache>
                <c:ptCount val="1"/>
                <c:pt idx="0">
                  <c:v>Furfurals</c:v>
                </c:pt>
              </c:strCache>
            </c:strRef>
          </c:tx>
          <c:spPr>
            <a:solidFill>
              <a:schemeClr val="accent3"/>
            </a:solidFill>
            <a:ln>
              <a:noFill/>
            </a:ln>
            <a:effectLst/>
          </c:spPr>
          <c:invertIfNegative val="0"/>
          <c:errBars>
            <c:errBarType val="both"/>
            <c:errValType val="cust"/>
            <c:noEndCap val="0"/>
            <c:plus>
              <c:numRef>
                <c:f>MAR30PY!$Y$10</c:f>
                <c:numCache>
                  <c:formatCode>General</c:formatCode>
                  <c:ptCount val="1"/>
                  <c:pt idx="0">
                    <c:v>2.6562857820113001E-2</c:v>
                  </c:pt>
                </c:numCache>
              </c:numRef>
            </c:plus>
            <c:minus>
              <c:numRef>
                <c:f>MAR30PY!$Y$10</c:f>
                <c:numCache>
                  <c:formatCode>General</c:formatCode>
                  <c:ptCount val="1"/>
                  <c:pt idx="0">
                    <c:v>2.6562857820113001E-2</c:v>
                  </c:pt>
                </c:numCache>
              </c:numRef>
            </c:minus>
            <c:spPr>
              <a:noFill/>
              <a:ln w="28575" cap="flat" cmpd="sng" algn="ctr">
                <a:solidFill>
                  <a:schemeClr val="tx1">
                    <a:lumMod val="65000"/>
                    <a:lumOff val="35000"/>
                  </a:schemeClr>
                </a:solidFill>
                <a:round/>
              </a:ln>
              <a:effectLst/>
            </c:spPr>
          </c:errBars>
          <c:val>
            <c:numRef>
              <c:f>MAR30PY!$Y$6</c:f>
              <c:numCache>
                <c:formatCode>General</c:formatCode>
                <c:ptCount val="1"/>
                <c:pt idx="0">
                  <c:v>0.90676205596443138</c:v>
                </c:pt>
              </c:numCache>
            </c:numRef>
          </c:val>
          <c:extLst>
            <c:ext xmlns:c16="http://schemas.microsoft.com/office/drawing/2014/chart" uri="{C3380CC4-5D6E-409C-BE32-E72D297353CC}">
              <c16:uniqueId val="{00000002-78BA-4620-9000-EEDB4F63AB36}"/>
            </c:ext>
          </c:extLst>
        </c:ser>
        <c:ser>
          <c:idx val="3"/>
          <c:order val="3"/>
          <c:tx>
            <c:strRef>
              <c:f>MAR30PY!$Z$5</c:f>
              <c:strCache>
                <c:ptCount val="1"/>
                <c:pt idx="0">
                  <c:v>Furans</c:v>
                </c:pt>
              </c:strCache>
            </c:strRef>
          </c:tx>
          <c:spPr>
            <a:solidFill>
              <a:schemeClr val="accent4"/>
            </a:solidFill>
            <a:ln>
              <a:noFill/>
            </a:ln>
            <a:effectLst/>
          </c:spPr>
          <c:invertIfNegative val="0"/>
          <c:errBars>
            <c:errBarType val="both"/>
            <c:errValType val="cust"/>
            <c:noEndCap val="0"/>
            <c:plus>
              <c:numRef>
                <c:f>MAR30PY!$Z$10</c:f>
                <c:numCache>
                  <c:formatCode>General</c:formatCode>
                  <c:ptCount val="1"/>
                  <c:pt idx="0">
                    <c:v>6.9226933174746635E-3</c:v>
                  </c:pt>
                </c:numCache>
              </c:numRef>
            </c:plus>
            <c:minus>
              <c:numRef>
                <c:f>MAR30PY!$Z$10</c:f>
                <c:numCache>
                  <c:formatCode>General</c:formatCode>
                  <c:ptCount val="1"/>
                  <c:pt idx="0">
                    <c:v>6.9226933174746635E-3</c:v>
                  </c:pt>
                </c:numCache>
              </c:numRef>
            </c:minus>
            <c:spPr>
              <a:noFill/>
              <a:ln w="28575" cap="flat" cmpd="sng" algn="ctr">
                <a:solidFill>
                  <a:schemeClr val="tx1">
                    <a:lumMod val="65000"/>
                    <a:lumOff val="35000"/>
                  </a:schemeClr>
                </a:solidFill>
                <a:round/>
              </a:ln>
              <a:effectLst/>
            </c:spPr>
          </c:errBars>
          <c:val>
            <c:numRef>
              <c:f>MAR30PY!$Z$6</c:f>
              <c:numCache>
                <c:formatCode>General</c:formatCode>
                <c:ptCount val="1"/>
                <c:pt idx="0">
                  <c:v>0.24453620920589167</c:v>
                </c:pt>
              </c:numCache>
            </c:numRef>
          </c:val>
          <c:extLst>
            <c:ext xmlns:c16="http://schemas.microsoft.com/office/drawing/2014/chart" uri="{C3380CC4-5D6E-409C-BE32-E72D297353CC}">
              <c16:uniqueId val="{00000003-78BA-4620-9000-EEDB4F63AB36}"/>
            </c:ext>
          </c:extLst>
        </c:ser>
        <c:ser>
          <c:idx val="4"/>
          <c:order val="4"/>
          <c:tx>
            <c:strRef>
              <c:f>MAR30PY!$AA$5</c:f>
              <c:strCache>
                <c:ptCount val="1"/>
                <c:pt idx="0">
                  <c:v>Alkyl Benzenes</c:v>
                </c:pt>
              </c:strCache>
            </c:strRef>
          </c:tx>
          <c:spPr>
            <a:solidFill>
              <a:schemeClr val="accent5"/>
            </a:solidFill>
            <a:ln>
              <a:noFill/>
            </a:ln>
            <a:effectLst/>
          </c:spPr>
          <c:invertIfNegative val="0"/>
          <c:errBars>
            <c:errBarType val="both"/>
            <c:errValType val="cust"/>
            <c:noEndCap val="0"/>
            <c:plus>
              <c:numRef>
                <c:f>MAR30PY!$AA$10</c:f>
                <c:numCache>
                  <c:formatCode>General</c:formatCode>
                  <c:ptCount val="1"/>
                  <c:pt idx="0">
                    <c:v>4.7165384539222402E-3</c:v>
                  </c:pt>
                </c:numCache>
              </c:numRef>
            </c:plus>
            <c:minus>
              <c:numRef>
                <c:f>MAR30PY!$AA$10</c:f>
                <c:numCache>
                  <c:formatCode>General</c:formatCode>
                  <c:ptCount val="1"/>
                  <c:pt idx="0">
                    <c:v>4.7165384539222402E-3</c:v>
                  </c:pt>
                </c:numCache>
              </c:numRef>
            </c:minus>
            <c:spPr>
              <a:noFill/>
              <a:ln w="28575" cap="flat" cmpd="sng" algn="ctr">
                <a:solidFill>
                  <a:schemeClr val="tx1">
                    <a:lumMod val="65000"/>
                    <a:lumOff val="35000"/>
                  </a:schemeClr>
                </a:solidFill>
                <a:round/>
              </a:ln>
              <a:effectLst/>
            </c:spPr>
          </c:errBars>
          <c:val>
            <c:numRef>
              <c:f>MAR30PY!$AA$6</c:f>
              <c:numCache>
                <c:formatCode>General</c:formatCode>
                <c:ptCount val="1"/>
                <c:pt idx="0">
                  <c:v>0.17259037000316749</c:v>
                </c:pt>
              </c:numCache>
            </c:numRef>
          </c:val>
          <c:extLst>
            <c:ext xmlns:c16="http://schemas.microsoft.com/office/drawing/2014/chart" uri="{C3380CC4-5D6E-409C-BE32-E72D297353CC}">
              <c16:uniqueId val="{00000004-78BA-4620-9000-EEDB4F63AB36}"/>
            </c:ext>
          </c:extLst>
        </c:ser>
        <c:ser>
          <c:idx val="5"/>
          <c:order val="5"/>
          <c:tx>
            <c:strRef>
              <c:f>MAR30PY!$AB$5</c:f>
              <c:strCache>
                <c:ptCount val="1"/>
                <c:pt idx="0">
                  <c:v>Alkyl Phenols</c:v>
                </c:pt>
              </c:strCache>
            </c:strRef>
          </c:tx>
          <c:spPr>
            <a:solidFill>
              <a:schemeClr val="accent6"/>
            </a:solidFill>
            <a:ln>
              <a:noFill/>
            </a:ln>
            <a:effectLst/>
          </c:spPr>
          <c:invertIfNegative val="0"/>
          <c:errBars>
            <c:errBarType val="both"/>
            <c:errValType val="cust"/>
            <c:noEndCap val="0"/>
            <c:plus>
              <c:numRef>
                <c:f>MAR30PY!$AB$10</c:f>
                <c:numCache>
                  <c:formatCode>General</c:formatCode>
                  <c:ptCount val="1"/>
                  <c:pt idx="0">
                    <c:v>1.9281437278183416E-2</c:v>
                  </c:pt>
                </c:numCache>
              </c:numRef>
            </c:plus>
            <c:minus>
              <c:numRef>
                <c:f>MAR30PY!$AB$10</c:f>
                <c:numCache>
                  <c:formatCode>General</c:formatCode>
                  <c:ptCount val="1"/>
                  <c:pt idx="0">
                    <c:v>1.9281437278183416E-2</c:v>
                  </c:pt>
                </c:numCache>
              </c:numRef>
            </c:minus>
            <c:spPr>
              <a:noFill/>
              <a:ln w="28575" cap="flat" cmpd="sng" algn="ctr">
                <a:solidFill>
                  <a:schemeClr val="tx1">
                    <a:lumMod val="65000"/>
                    <a:lumOff val="35000"/>
                  </a:schemeClr>
                </a:solidFill>
                <a:round/>
              </a:ln>
              <a:effectLst/>
            </c:spPr>
          </c:errBars>
          <c:val>
            <c:numRef>
              <c:f>MAR30PY!$AB$6</c:f>
              <c:numCache>
                <c:formatCode>General</c:formatCode>
                <c:ptCount val="1"/>
                <c:pt idx="0">
                  <c:v>0.39437395246126339</c:v>
                </c:pt>
              </c:numCache>
            </c:numRef>
          </c:val>
          <c:extLst>
            <c:ext xmlns:c16="http://schemas.microsoft.com/office/drawing/2014/chart" uri="{C3380CC4-5D6E-409C-BE32-E72D297353CC}">
              <c16:uniqueId val="{00000005-78BA-4620-9000-EEDB4F63AB36}"/>
            </c:ext>
          </c:extLst>
        </c:ser>
        <c:ser>
          <c:idx val="6"/>
          <c:order val="6"/>
          <c:tx>
            <c:strRef>
              <c:f>MAR30PY!$AC$5</c:f>
              <c:strCache>
                <c:ptCount val="1"/>
                <c:pt idx="0">
                  <c:v>Anhydrous Sugars</c:v>
                </c:pt>
              </c:strCache>
            </c:strRef>
          </c:tx>
          <c:spPr>
            <a:solidFill>
              <a:schemeClr val="accent1">
                <a:lumMod val="60000"/>
              </a:schemeClr>
            </a:solidFill>
            <a:ln>
              <a:noFill/>
            </a:ln>
            <a:effectLst/>
          </c:spPr>
          <c:invertIfNegative val="0"/>
          <c:errBars>
            <c:errBarType val="both"/>
            <c:errValType val="cust"/>
            <c:noEndCap val="0"/>
            <c:plus>
              <c:numRef>
                <c:f>MAR30PY!$AC$10</c:f>
                <c:numCache>
                  <c:formatCode>General</c:formatCode>
                  <c:ptCount val="1"/>
                  <c:pt idx="0">
                    <c:v>5.5032664416997994E-2</c:v>
                  </c:pt>
                </c:numCache>
              </c:numRef>
            </c:plus>
            <c:minus>
              <c:numRef>
                <c:f>MAR30PY!$AC$10</c:f>
                <c:numCache>
                  <c:formatCode>General</c:formatCode>
                  <c:ptCount val="1"/>
                  <c:pt idx="0">
                    <c:v>5.5032664416997994E-2</c:v>
                  </c:pt>
                </c:numCache>
              </c:numRef>
            </c:minus>
            <c:spPr>
              <a:noFill/>
              <a:ln w="28575" cap="flat" cmpd="sng" algn="ctr">
                <a:solidFill>
                  <a:schemeClr val="tx1">
                    <a:lumMod val="65000"/>
                    <a:lumOff val="35000"/>
                  </a:schemeClr>
                </a:solidFill>
                <a:round/>
              </a:ln>
              <a:effectLst/>
            </c:spPr>
          </c:errBars>
          <c:val>
            <c:numRef>
              <c:f>MAR30PY!$AC$6</c:f>
              <c:numCache>
                <c:formatCode>General</c:formatCode>
                <c:ptCount val="1"/>
                <c:pt idx="0">
                  <c:v>1.27699087868822</c:v>
                </c:pt>
              </c:numCache>
            </c:numRef>
          </c:val>
          <c:extLst>
            <c:ext xmlns:c16="http://schemas.microsoft.com/office/drawing/2014/chart" uri="{C3380CC4-5D6E-409C-BE32-E72D297353CC}">
              <c16:uniqueId val="{00000006-78BA-4620-9000-EEDB4F63AB36}"/>
            </c:ext>
          </c:extLst>
        </c:ser>
        <c:ser>
          <c:idx val="7"/>
          <c:order val="7"/>
          <c:tx>
            <c:strRef>
              <c:f>MAR30PY!$AD$5</c:f>
              <c:strCache>
                <c:ptCount val="1"/>
                <c:pt idx="0">
                  <c:v>Methoxy Phenols</c:v>
                </c:pt>
              </c:strCache>
            </c:strRef>
          </c:tx>
          <c:spPr>
            <a:solidFill>
              <a:schemeClr val="accent2">
                <a:lumMod val="60000"/>
              </a:schemeClr>
            </a:solidFill>
            <a:ln>
              <a:noFill/>
            </a:ln>
            <a:effectLst/>
          </c:spPr>
          <c:invertIfNegative val="0"/>
          <c:errBars>
            <c:errBarType val="both"/>
            <c:errValType val="cust"/>
            <c:noEndCap val="0"/>
            <c:plus>
              <c:numRef>
                <c:f>MAR30PY!$AD$10</c:f>
                <c:numCache>
                  <c:formatCode>General</c:formatCode>
                  <c:ptCount val="1"/>
                  <c:pt idx="0">
                    <c:v>3.5083096316137638E-2</c:v>
                  </c:pt>
                </c:numCache>
              </c:numRef>
            </c:plus>
            <c:minus>
              <c:numRef>
                <c:f>MAR30PY!$AD$10</c:f>
                <c:numCache>
                  <c:formatCode>General</c:formatCode>
                  <c:ptCount val="1"/>
                  <c:pt idx="0">
                    <c:v>3.5083096316137638E-2</c:v>
                  </c:pt>
                </c:numCache>
              </c:numRef>
            </c:minus>
            <c:spPr>
              <a:noFill/>
              <a:ln w="28575" cap="flat" cmpd="sng" algn="ctr">
                <a:solidFill>
                  <a:schemeClr val="tx1">
                    <a:lumMod val="65000"/>
                    <a:lumOff val="35000"/>
                  </a:schemeClr>
                </a:solidFill>
                <a:round/>
              </a:ln>
              <a:effectLst/>
            </c:spPr>
          </c:errBars>
          <c:val>
            <c:numRef>
              <c:f>MAR30PY!$AD$6</c:f>
              <c:numCache>
                <c:formatCode>General</c:formatCode>
                <c:ptCount val="1"/>
                <c:pt idx="0">
                  <c:v>0.47222072257979786</c:v>
                </c:pt>
              </c:numCache>
            </c:numRef>
          </c:val>
          <c:extLst>
            <c:ext xmlns:c16="http://schemas.microsoft.com/office/drawing/2014/chart" uri="{C3380CC4-5D6E-409C-BE32-E72D297353CC}">
              <c16:uniqueId val="{00000007-78BA-4620-9000-EEDB4F63AB36}"/>
            </c:ext>
          </c:extLst>
        </c:ser>
        <c:dLbls>
          <c:showLegendKey val="0"/>
          <c:showVal val="0"/>
          <c:showCatName val="0"/>
          <c:showSerName val="0"/>
          <c:showPercent val="0"/>
          <c:showBubbleSize val="0"/>
        </c:dLbls>
        <c:gapWidth val="150"/>
        <c:axId val="582899432"/>
        <c:axId val="582903696"/>
      </c:barChart>
      <c:catAx>
        <c:axId val="582899432"/>
        <c:scaling>
          <c:orientation val="minMax"/>
        </c:scaling>
        <c:delete val="1"/>
        <c:axPos val="b"/>
        <c:numFmt formatCode="General" sourceLinked="1"/>
        <c:majorTickMark val="none"/>
        <c:minorTickMark val="none"/>
        <c:tickLblPos val="nextTo"/>
        <c:crossAx val="582903696"/>
        <c:crosses val="autoZero"/>
        <c:auto val="1"/>
        <c:lblAlgn val="ctr"/>
        <c:lblOffset val="100"/>
        <c:noMultiLvlLbl val="0"/>
      </c:catAx>
      <c:valAx>
        <c:axId val="582903696"/>
        <c:scaling>
          <c:orientation val="minMax"/>
          <c:max val="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8994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Compound</a:t>
            </a:r>
            <a:r>
              <a:rPr lang="en-US" b="1" u="sng" baseline="0"/>
              <a:t> variance of AP13 at 270 degrees (120s) </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APR3TOR!$AF$5</c:f>
              <c:strCache>
                <c:ptCount val="1"/>
                <c:pt idx="0">
                  <c:v>Light Oxygenate</c:v>
                </c:pt>
              </c:strCache>
            </c:strRef>
          </c:tx>
          <c:spPr>
            <a:solidFill>
              <a:schemeClr val="accent1"/>
            </a:solidFill>
            <a:ln>
              <a:noFill/>
            </a:ln>
            <a:effectLst/>
          </c:spPr>
          <c:invertIfNegative val="0"/>
          <c:errBars>
            <c:errBarType val="both"/>
            <c:errValType val="cust"/>
            <c:noEndCap val="0"/>
            <c:plus>
              <c:numRef>
                <c:f>APR3TOR!$AF$10</c:f>
                <c:numCache>
                  <c:formatCode>General</c:formatCode>
                  <c:ptCount val="1"/>
                  <c:pt idx="0">
                    <c:v>0.33428690824020874</c:v>
                  </c:pt>
                </c:numCache>
              </c:numRef>
            </c:plus>
            <c:minus>
              <c:numRef>
                <c:f>APR3TOR!$AF$10</c:f>
                <c:numCache>
                  <c:formatCode>General</c:formatCode>
                  <c:ptCount val="1"/>
                  <c:pt idx="0">
                    <c:v>0.33428690824020874</c:v>
                  </c:pt>
                </c:numCache>
              </c:numRef>
            </c:minus>
            <c:spPr>
              <a:noFill/>
              <a:ln w="28575" cap="flat" cmpd="sng" algn="ctr">
                <a:solidFill>
                  <a:schemeClr val="tx1">
                    <a:lumMod val="65000"/>
                    <a:lumOff val="35000"/>
                  </a:schemeClr>
                </a:solidFill>
                <a:round/>
              </a:ln>
              <a:effectLst/>
            </c:spPr>
          </c:errBars>
          <c:val>
            <c:numRef>
              <c:f>APR3TOR!$AF$6</c:f>
              <c:numCache>
                <c:formatCode>0.00</c:formatCode>
                <c:ptCount val="1"/>
                <c:pt idx="0">
                  <c:v>1.2599214179954759</c:v>
                </c:pt>
              </c:numCache>
            </c:numRef>
          </c:val>
          <c:extLst>
            <c:ext xmlns:c16="http://schemas.microsoft.com/office/drawing/2014/chart" uri="{C3380CC4-5D6E-409C-BE32-E72D297353CC}">
              <c16:uniqueId val="{00000000-D3A4-4229-9BDB-56B3E13E1EEB}"/>
            </c:ext>
          </c:extLst>
        </c:ser>
        <c:ser>
          <c:idx val="1"/>
          <c:order val="1"/>
          <c:tx>
            <c:strRef>
              <c:f>APR3TOR!$AG$5</c:f>
              <c:strCache>
                <c:ptCount val="1"/>
                <c:pt idx="0">
                  <c:v>Acetic Acid</c:v>
                </c:pt>
              </c:strCache>
            </c:strRef>
          </c:tx>
          <c:spPr>
            <a:solidFill>
              <a:schemeClr val="accent2"/>
            </a:solidFill>
            <a:ln>
              <a:noFill/>
            </a:ln>
            <a:effectLst/>
          </c:spPr>
          <c:invertIfNegative val="0"/>
          <c:errBars>
            <c:errBarType val="both"/>
            <c:errValType val="cust"/>
            <c:noEndCap val="0"/>
            <c:plus>
              <c:numRef>
                <c:f>APR3TOR!$AG$10</c:f>
                <c:numCache>
                  <c:formatCode>General</c:formatCode>
                  <c:ptCount val="1"/>
                  <c:pt idx="0">
                    <c:v>0.58799410540300023</c:v>
                  </c:pt>
                </c:numCache>
              </c:numRef>
            </c:plus>
            <c:minus>
              <c:numRef>
                <c:f>APR3TOR!$AG$10</c:f>
                <c:numCache>
                  <c:formatCode>General</c:formatCode>
                  <c:ptCount val="1"/>
                  <c:pt idx="0">
                    <c:v>0.58799410540300023</c:v>
                  </c:pt>
                </c:numCache>
              </c:numRef>
            </c:minus>
            <c:spPr>
              <a:noFill/>
              <a:ln w="28575" cap="flat" cmpd="sng" algn="ctr">
                <a:solidFill>
                  <a:schemeClr val="tx1">
                    <a:lumMod val="65000"/>
                    <a:lumOff val="35000"/>
                  </a:schemeClr>
                </a:solidFill>
                <a:round/>
              </a:ln>
              <a:effectLst/>
            </c:spPr>
          </c:errBars>
          <c:val>
            <c:numRef>
              <c:f>APR3TOR!$AG$6</c:f>
              <c:numCache>
                <c:formatCode>0.00</c:formatCode>
                <c:ptCount val="1"/>
                <c:pt idx="0">
                  <c:v>2.1170266122570651</c:v>
                </c:pt>
              </c:numCache>
            </c:numRef>
          </c:val>
          <c:extLst>
            <c:ext xmlns:c16="http://schemas.microsoft.com/office/drawing/2014/chart" uri="{C3380CC4-5D6E-409C-BE32-E72D297353CC}">
              <c16:uniqueId val="{00000001-D3A4-4229-9BDB-56B3E13E1EEB}"/>
            </c:ext>
          </c:extLst>
        </c:ser>
        <c:ser>
          <c:idx val="2"/>
          <c:order val="2"/>
          <c:tx>
            <c:strRef>
              <c:f>APR3TOR!$AH$5</c:f>
              <c:strCache>
                <c:ptCount val="1"/>
                <c:pt idx="0">
                  <c:v>Furfurals</c:v>
                </c:pt>
              </c:strCache>
            </c:strRef>
          </c:tx>
          <c:spPr>
            <a:solidFill>
              <a:schemeClr val="accent3"/>
            </a:solidFill>
            <a:ln>
              <a:noFill/>
            </a:ln>
            <a:effectLst/>
          </c:spPr>
          <c:invertIfNegative val="0"/>
          <c:errBars>
            <c:errBarType val="both"/>
            <c:errValType val="cust"/>
            <c:noEndCap val="0"/>
            <c:plus>
              <c:numRef>
                <c:f>APR3TOR!$AH$10</c:f>
                <c:numCache>
                  <c:formatCode>General</c:formatCode>
                  <c:ptCount val="1"/>
                  <c:pt idx="0">
                    <c:v>0.15066641631014516</c:v>
                  </c:pt>
                </c:numCache>
              </c:numRef>
            </c:plus>
            <c:minus>
              <c:numRef>
                <c:f>APR3TOR!$AH$10</c:f>
                <c:numCache>
                  <c:formatCode>General</c:formatCode>
                  <c:ptCount val="1"/>
                  <c:pt idx="0">
                    <c:v>0.15066641631014516</c:v>
                  </c:pt>
                </c:numCache>
              </c:numRef>
            </c:minus>
            <c:spPr>
              <a:noFill/>
              <a:ln w="28575" cap="flat" cmpd="sng" algn="ctr">
                <a:solidFill>
                  <a:schemeClr val="tx1">
                    <a:lumMod val="65000"/>
                    <a:lumOff val="35000"/>
                  </a:schemeClr>
                </a:solidFill>
                <a:round/>
              </a:ln>
              <a:effectLst/>
            </c:spPr>
          </c:errBars>
          <c:val>
            <c:numRef>
              <c:f>APR3TOR!$AH$6</c:f>
              <c:numCache>
                <c:formatCode>0.00</c:formatCode>
                <c:ptCount val="1"/>
                <c:pt idx="0">
                  <c:v>0.6213680846539209</c:v>
                </c:pt>
              </c:numCache>
            </c:numRef>
          </c:val>
          <c:extLst>
            <c:ext xmlns:c16="http://schemas.microsoft.com/office/drawing/2014/chart" uri="{C3380CC4-5D6E-409C-BE32-E72D297353CC}">
              <c16:uniqueId val="{00000002-D3A4-4229-9BDB-56B3E13E1EEB}"/>
            </c:ext>
          </c:extLst>
        </c:ser>
        <c:ser>
          <c:idx val="3"/>
          <c:order val="3"/>
          <c:tx>
            <c:strRef>
              <c:f>APR3TOR!$AI$5</c:f>
              <c:strCache>
                <c:ptCount val="1"/>
                <c:pt idx="0">
                  <c:v>Furans</c:v>
                </c:pt>
              </c:strCache>
            </c:strRef>
          </c:tx>
          <c:spPr>
            <a:solidFill>
              <a:schemeClr val="accent4"/>
            </a:solidFill>
            <a:ln>
              <a:noFill/>
            </a:ln>
            <a:effectLst/>
          </c:spPr>
          <c:invertIfNegative val="0"/>
          <c:val>
            <c:numRef>
              <c:f>APR3TOR!$AI$6</c:f>
              <c:numCache>
                <c:formatCode>0.00</c:formatCode>
                <c:ptCount val="1"/>
                <c:pt idx="0">
                  <c:v>0</c:v>
                </c:pt>
              </c:numCache>
            </c:numRef>
          </c:val>
          <c:extLst>
            <c:ext xmlns:c16="http://schemas.microsoft.com/office/drawing/2014/chart" uri="{C3380CC4-5D6E-409C-BE32-E72D297353CC}">
              <c16:uniqueId val="{00000003-D3A4-4229-9BDB-56B3E13E1EEB}"/>
            </c:ext>
          </c:extLst>
        </c:ser>
        <c:ser>
          <c:idx val="4"/>
          <c:order val="4"/>
          <c:tx>
            <c:strRef>
              <c:f>APR3TOR!$AJ$5</c:f>
              <c:strCache>
                <c:ptCount val="1"/>
                <c:pt idx="0">
                  <c:v>Alkyl Benzenes</c:v>
                </c:pt>
              </c:strCache>
            </c:strRef>
          </c:tx>
          <c:spPr>
            <a:solidFill>
              <a:schemeClr val="accent5"/>
            </a:solidFill>
            <a:ln>
              <a:noFill/>
            </a:ln>
            <a:effectLst/>
          </c:spPr>
          <c:invertIfNegative val="0"/>
          <c:val>
            <c:numRef>
              <c:f>APR3TOR!$AJ$6</c:f>
              <c:numCache>
                <c:formatCode>0.00</c:formatCode>
                <c:ptCount val="1"/>
                <c:pt idx="0">
                  <c:v>0</c:v>
                </c:pt>
              </c:numCache>
            </c:numRef>
          </c:val>
          <c:extLst>
            <c:ext xmlns:c16="http://schemas.microsoft.com/office/drawing/2014/chart" uri="{C3380CC4-5D6E-409C-BE32-E72D297353CC}">
              <c16:uniqueId val="{00000004-D3A4-4229-9BDB-56B3E13E1EEB}"/>
            </c:ext>
          </c:extLst>
        </c:ser>
        <c:ser>
          <c:idx val="5"/>
          <c:order val="5"/>
          <c:tx>
            <c:strRef>
              <c:f>APR3TOR!$AK$5</c:f>
              <c:strCache>
                <c:ptCount val="1"/>
                <c:pt idx="0">
                  <c:v>Alkyl Phenols</c:v>
                </c:pt>
              </c:strCache>
            </c:strRef>
          </c:tx>
          <c:spPr>
            <a:solidFill>
              <a:schemeClr val="accent6"/>
            </a:solidFill>
            <a:ln>
              <a:noFill/>
            </a:ln>
            <a:effectLst/>
          </c:spPr>
          <c:invertIfNegative val="0"/>
          <c:errBars>
            <c:errBarType val="both"/>
            <c:errValType val="cust"/>
            <c:noEndCap val="0"/>
            <c:plus>
              <c:numRef>
                <c:f>APR3TOR!$AK$10</c:f>
                <c:numCache>
                  <c:formatCode>General</c:formatCode>
                  <c:ptCount val="1"/>
                  <c:pt idx="0">
                    <c:v>5.7452573350375284E-2</c:v>
                  </c:pt>
                </c:numCache>
              </c:numRef>
            </c:plus>
            <c:minus>
              <c:numRef>
                <c:f>APR3TOR!$AK$10</c:f>
                <c:numCache>
                  <c:formatCode>General</c:formatCode>
                  <c:ptCount val="1"/>
                  <c:pt idx="0">
                    <c:v>5.7452573350375284E-2</c:v>
                  </c:pt>
                </c:numCache>
              </c:numRef>
            </c:minus>
            <c:spPr>
              <a:noFill/>
              <a:ln w="28575" cap="flat" cmpd="sng" algn="ctr">
                <a:solidFill>
                  <a:schemeClr val="tx1">
                    <a:lumMod val="65000"/>
                    <a:lumOff val="35000"/>
                  </a:schemeClr>
                </a:solidFill>
                <a:round/>
              </a:ln>
              <a:effectLst/>
            </c:spPr>
          </c:errBars>
          <c:val>
            <c:numRef>
              <c:f>APR3TOR!$AK$6</c:f>
              <c:numCache>
                <c:formatCode>0.00</c:formatCode>
                <c:ptCount val="1"/>
                <c:pt idx="0">
                  <c:v>0.24234800456663452</c:v>
                </c:pt>
              </c:numCache>
            </c:numRef>
          </c:val>
          <c:extLst>
            <c:ext xmlns:c16="http://schemas.microsoft.com/office/drawing/2014/chart" uri="{C3380CC4-5D6E-409C-BE32-E72D297353CC}">
              <c16:uniqueId val="{00000005-D3A4-4229-9BDB-56B3E13E1EEB}"/>
            </c:ext>
          </c:extLst>
        </c:ser>
        <c:ser>
          <c:idx val="6"/>
          <c:order val="6"/>
          <c:tx>
            <c:strRef>
              <c:f>APR3TOR!$AL$5</c:f>
              <c:strCache>
                <c:ptCount val="1"/>
                <c:pt idx="0">
                  <c:v>Anhydrous Sugars</c:v>
                </c:pt>
              </c:strCache>
            </c:strRef>
          </c:tx>
          <c:spPr>
            <a:solidFill>
              <a:schemeClr val="accent1">
                <a:lumMod val="60000"/>
              </a:schemeClr>
            </a:solidFill>
            <a:ln>
              <a:noFill/>
            </a:ln>
            <a:effectLst/>
          </c:spPr>
          <c:invertIfNegative val="0"/>
          <c:errBars>
            <c:errBarType val="both"/>
            <c:errValType val="cust"/>
            <c:noEndCap val="0"/>
            <c:plus>
              <c:numRef>
                <c:f>APR3TOR!$AL$10</c:f>
                <c:numCache>
                  <c:formatCode>General</c:formatCode>
                  <c:ptCount val="1"/>
                  <c:pt idx="0">
                    <c:v>0.27410631749652437</c:v>
                  </c:pt>
                </c:numCache>
              </c:numRef>
            </c:plus>
            <c:minus>
              <c:numRef>
                <c:f>APR3TOR!$AL$10</c:f>
                <c:numCache>
                  <c:formatCode>General</c:formatCode>
                  <c:ptCount val="1"/>
                  <c:pt idx="0">
                    <c:v>0.27410631749652437</c:v>
                  </c:pt>
                </c:numCache>
              </c:numRef>
            </c:minus>
            <c:spPr>
              <a:noFill/>
              <a:ln w="28575" cap="flat" cmpd="sng" algn="ctr">
                <a:solidFill>
                  <a:schemeClr val="tx1">
                    <a:lumMod val="65000"/>
                    <a:lumOff val="35000"/>
                  </a:schemeClr>
                </a:solidFill>
                <a:round/>
              </a:ln>
              <a:effectLst/>
            </c:spPr>
          </c:errBars>
          <c:val>
            <c:numRef>
              <c:f>APR3TOR!$AL$6</c:f>
              <c:numCache>
                <c:formatCode>0.00</c:formatCode>
                <c:ptCount val="1"/>
                <c:pt idx="0">
                  <c:v>1.0591125655398523</c:v>
                </c:pt>
              </c:numCache>
            </c:numRef>
          </c:val>
          <c:extLst>
            <c:ext xmlns:c16="http://schemas.microsoft.com/office/drawing/2014/chart" uri="{C3380CC4-5D6E-409C-BE32-E72D297353CC}">
              <c16:uniqueId val="{00000006-D3A4-4229-9BDB-56B3E13E1EEB}"/>
            </c:ext>
          </c:extLst>
        </c:ser>
        <c:ser>
          <c:idx val="7"/>
          <c:order val="7"/>
          <c:tx>
            <c:strRef>
              <c:f>APR3TOR!$AM$5</c:f>
              <c:strCache>
                <c:ptCount val="1"/>
                <c:pt idx="0">
                  <c:v>Methoxy Phenols</c:v>
                </c:pt>
              </c:strCache>
            </c:strRef>
          </c:tx>
          <c:spPr>
            <a:solidFill>
              <a:schemeClr val="accent2">
                <a:lumMod val="60000"/>
              </a:schemeClr>
            </a:solidFill>
            <a:ln>
              <a:noFill/>
            </a:ln>
            <a:effectLst/>
          </c:spPr>
          <c:invertIfNegative val="0"/>
          <c:errBars>
            <c:errBarType val="both"/>
            <c:errValType val="cust"/>
            <c:noEndCap val="0"/>
            <c:plus>
              <c:numRef>
                <c:f>APR3TOR!$AM$10</c:f>
                <c:numCache>
                  <c:formatCode>General</c:formatCode>
                  <c:ptCount val="1"/>
                  <c:pt idx="0">
                    <c:v>7.3771551651711301E-2</c:v>
                  </c:pt>
                </c:numCache>
              </c:numRef>
            </c:plus>
            <c:minus>
              <c:numRef>
                <c:f>APR3TOR!$AM$10</c:f>
                <c:numCache>
                  <c:formatCode>General</c:formatCode>
                  <c:ptCount val="1"/>
                  <c:pt idx="0">
                    <c:v>7.3771551651711301E-2</c:v>
                  </c:pt>
                </c:numCache>
              </c:numRef>
            </c:minus>
            <c:spPr>
              <a:noFill/>
              <a:ln w="28575" cap="flat" cmpd="sng" algn="ctr">
                <a:solidFill>
                  <a:schemeClr val="tx1">
                    <a:lumMod val="65000"/>
                    <a:lumOff val="35000"/>
                  </a:schemeClr>
                </a:solidFill>
                <a:round/>
              </a:ln>
              <a:effectLst/>
            </c:spPr>
          </c:errBars>
          <c:val>
            <c:numRef>
              <c:f>APR3TOR!$AM$6</c:f>
              <c:numCache>
                <c:formatCode>0.00</c:formatCode>
                <c:ptCount val="1"/>
                <c:pt idx="0">
                  <c:v>0.3057579330979992</c:v>
                </c:pt>
              </c:numCache>
            </c:numRef>
          </c:val>
          <c:extLst>
            <c:ext xmlns:c16="http://schemas.microsoft.com/office/drawing/2014/chart" uri="{C3380CC4-5D6E-409C-BE32-E72D297353CC}">
              <c16:uniqueId val="{00000007-D3A4-4229-9BDB-56B3E13E1EEB}"/>
            </c:ext>
          </c:extLst>
        </c:ser>
        <c:dLbls>
          <c:showLegendKey val="0"/>
          <c:showVal val="0"/>
          <c:showCatName val="0"/>
          <c:showSerName val="0"/>
          <c:showPercent val="0"/>
          <c:showBubbleSize val="0"/>
        </c:dLbls>
        <c:gapWidth val="150"/>
        <c:axId val="560572056"/>
        <c:axId val="560564184"/>
      </c:barChart>
      <c:catAx>
        <c:axId val="560572056"/>
        <c:scaling>
          <c:orientation val="minMax"/>
        </c:scaling>
        <c:delete val="1"/>
        <c:axPos val="b"/>
        <c:numFmt formatCode="General" sourceLinked="1"/>
        <c:majorTickMark val="none"/>
        <c:minorTickMark val="none"/>
        <c:tickLblPos val="nextTo"/>
        <c:crossAx val="560564184"/>
        <c:crosses val="autoZero"/>
        <c:auto val="1"/>
        <c:lblAlgn val="ctr"/>
        <c:lblOffset val="100"/>
        <c:noMultiLvlLbl val="0"/>
      </c:catAx>
      <c:valAx>
        <c:axId val="560564184"/>
        <c:scaling>
          <c:orientation val="minMax"/>
          <c:max val="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5720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Compound</a:t>
            </a:r>
            <a:r>
              <a:rPr lang="en-US" b="1" u="sng" baseline="0"/>
              <a:t> variance of AP13 at 500 degrees (60s)</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APR3PY!$W$5</c:f>
              <c:strCache>
                <c:ptCount val="1"/>
                <c:pt idx="0">
                  <c:v>Light Oxygenate</c:v>
                </c:pt>
              </c:strCache>
            </c:strRef>
          </c:tx>
          <c:spPr>
            <a:solidFill>
              <a:schemeClr val="accent1"/>
            </a:solidFill>
            <a:ln>
              <a:noFill/>
            </a:ln>
            <a:effectLst/>
          </c:spPr>
          <c:invertIfNegative val="0"/>
          <c:errBars>
            <c:errBarType val="both"/>
            <c:errValType val="cust"/>
            <c:noEndCap val="0"/>
            <c:plus>
              <c:numRef>
                <c:f>APR3PY!$W$10</c:f>
                <c:numCache>
                  <c:formatCode>General</c:formatCode>
                  <c:ptCount val="1"/>
                  <c:pt idx="0">
                    <c:v>0.25776178414531076</c:v>
                  </c:pt>
                </c:numCache>
              </c:numRef>
            </c:plus>
            <c:minus>
              <c:numRef>
                <c:f>APR3PY!$W$10</c:f>
                <c:numCache>
                  <c:formatCode>General</c:formatCode>
                  <c:ptCount val="1"/>
                  <c:pt idx="0">
                    <c:v>0.25776178414531076</c:v>
                  </c:pt>
                </c:numCache>
              </c:numRef>
            </c:minus>
            <c:spPr>
              <a:noFill/>
              <a:ln w="28575" cap="flat" cmpd="sng" algn="ctr">
                <a:solidFill>
                  <a:schemeClr val="tx1">
                    <a:lumMod val="65000"/>
                    <a:lumOff val="35000"/>
                  </a:schemeClr>
                </a:solidFill>
                <a:round/>
              </a:ln>
              <a:effectLst/>
            </c:spPr>
          </c:errBars>
          <c:val>
            <c:numRef>
              <c:f>APR3PY!$W$6</c:f>
              <c:numCache>
                <c:formatCode>0.00</c:formatCode>
                <c:ptCount val="1"/>
                <c:pt idx="0">
                  <c:v>1.9713422368010702</c:v>
                </c:pt>
              </c:numCache>
            </c:numRef>
          </c:val>
          <c:extLst>
            <c:ext xmlns:c16="http://schemas.microsoft.com/office/drawing/2014/chart" uri="{C3380CC4-5D6E-409C-BE32-E72D297353CC}">
              <c16:uniqueId val="{00000000-7BB0-48BF-A58F-B49E1AB389D4}"/>
            </c:ext>
          </c:extLst>
        </c:ser>
        <c:ser>
          <c:idx val="1"/>
          <c:order val="1"/>
          <c:tx>
            <c:strRef>
              <c:f>APR3PY!$X$5</c:f>
              <c:strCache>
                <c:ptCount val="1"/>
                <c:pt idx="0">
                  <c:v>Acetic Acid</c:v>
                </c:pt>
              </c:strCache>
            </c:strRef>
          </c:tx>
          <c:spPr>
            <a:solidFill>
              <a:schemeClr val="accent2"/>
            </a:solidFill>
            <a:ln>
              <a:noFill/>
            </a:ln>
            <a:effectLst/>
          </c:spPr>
          <c:invertIfNegative val="0"/>
          <c:errBars>
            <c:errBarType val="both"/>
            <c:errValType val="cust"/>
            <c:noEndCap val="0"/>
            <c:plus>
              <c:numRef>
                <c:f>APR3PY!$X$10</c:f>
                <c:numCache>
                  <c:formatCode>General</c:formatCode>
                  <c:ptCount val="1"/>
                  <c:pt idx="0">
                    <c:v>0.13729363783818804</c:v>
                  </c:pt>
                </c:numCache>
              </c:numRef>
            </c:plus>
            <c:minus>
              <c:numRef>
                <c:f>APR3PY!$X$10</c:f>
                <c:numCache>
                  <c:formatCode>General</c:formatCode>
                  <c:ptCount val="1"/>
                  <c:pt idx="0">
                    <c:v>0.13729363783818804</c:v>
                  </c:pt>
                </c:numCache>
              </c:numRef>
            </c:minus>
            <c:spPr>
              <a:noFill/>
              <a:ln w="28575" cap="flat" cmpd="sng" algn="ctr">
                <a:solidFill>
                  <a:schemeClr val="tx1">
                    <a:lumMod val="65000"/>
                    <a:lumOff val="35000"/>
                  </a:schemeClr>
                </a:solidFill>
                <a:round/>
              </a:ln>
              <a:effectLst/>
            </c:spPr>
          </c:errBars>
          <c:val>
            <c:numRef>
              <c:f>APR3PY!$X$6</c:f>
              <c:numCache>
                <c:formatCode>0.00</c:formatCode>
                <c:ptCount val="1"/>
                <c:pt idx="0">
                  <c:v>0.77776605247237651</c:v>
                </c:pt>
              </c:numCache>
            </c:numRef>
          </c:val>
          <c:extLst>
            <c:ext xmlns:c16="http://schemas.microsoft.com/office/drawing/2014/chart" uri="{C3380CC4-5D6E-409C-BE32-E72D297353CC}">
              <c16:uniqueId val="{00000001-7BB0-48BF-A58F-B49E1AB389D4}"/>
            </c:ext>
          </c:extLst>
        </c:ser>
        <c:ser>
          <c:idx val="2"/>
          <c:order val="2"/>
          <c:tx>
            <c:strRef>
              <c:f>APR3PY!$Y$5</c:f>
              <c:strCache>
                <c:ptCount val="1"/>
                <c:pt idx="0">
                  <c:v>Furfurals</c:v>
                </c:pt>
              </c:strCache>
            </c:strRef>
          </c:tx>
          <c:spPr>
            <a:solidFill>
              <a:schemeClr val="accent3"/>
            </a:solidFill>
            <a:ln>
              <a:noFill/>
            </a:ln>
            <a:effectLst/>
          </c:spPr>
          <c:invertIfNegative val="0"/>
          <c:errBars>
            <c:errBarType val="both"/>
            <c:errValType val="cust"/>
            <c:noEndCap val="0"/>
            <c:plus>
              <c:numRef>
                <c:f>APR3PY!$Y$10</c:f>
                <c:numCache>
                  <c:formatCode>General</c:formatCode>
                  <c:ptCount val="1"/>
                  <c:pt idx="0">
                    <c:v>0.1333971153212653</c:v>
                  </c:pt>
                </c:numCache>
              </c:numRef>
            </c:plus>
            <c:minus>
              <c:numRef>
                <c:f>APR3PY!$Y$10</c:f>
                <c:numCache>
                  <c:formatCode>General</c:formatCode>
                  <c:ptCount val="1"/>
                  <c:pt idx="0">
                    <c:v>0.1333971153212653</c:v>
                  </c:pt>
                </c:numCache>
              </c:numRef>
            </c:minus>
            <c:spPr>
              <a:noFill/>
              <a:ln w="28575" cap="flat" cmpd="sng" algn="ctr">
                <a:solidFill>
                  <a:schemeClr val="tx1">
                    <a:lumMod val="65000"/>
                    <a:lumOff val="35000"/>
                  </a:schemeClr>
                </a:solidFill>
                <a:round/>
              </a:ln>
              <a:effectLst/>
            </c:spPr>
          </c:errBars>
          <c:val>
            <c:numRef>
              <c:f>APR3PY!$Y$6</c:f>
              <c:numCache>
                <c:formatCode>0.00</c:formatCode>
                <c:ptCount val="1"/>
                <c:pt idx="0">
                  <c:v>1.0640130985814344</c:v>
                </c:pt>
              </c:numCache>
            </c:numRef>
          </c:val>
          <c:extLst>
            <c:ext xmlns:c16="http://schemas.microsoft.com/office/drawing/2014/chart" uri="{C3380CC4-5D6E-409C-BE32-E72D297353CC}">
              <c16:uniqueId val="{00000002-7BB0-48BF-A58F-B49E1AB389D4}"/>
            </c:ext>
          </c:extLst>
        </c:ser>
        <c:ser>
          <c:idx val="3"/>
          <c:order val="3"/>
          <c:tx>
            <c:strRef>
              <c:f>APR3PY!$Z$5</c:f>
              <c:strCache>
                <c:ptCount val="1"/>
                <c:pt idx="0">
                  <c:v>Furans</c:v>
                </c:pt>
              </c:strCache>
            </c:strRef>
          </c:tx>
          <c:spPr>
            <a:solidFill>
              <a:schemeClr val="accent4"/>
            </a:solidFill>
            <a:ln>
              <a:noFill/>
            </a:ln>
            <a:effectLst/>
          </c:spPr>
          <c:invertIfNegative val="0"/>
          <c:errBars>
            <c:errBarType val="both"/>
            <c:errValType val="cust"/>
            <c:noEndCap val="0"/>
            <c:plus>
              <c:numRef>
                <c:f>APR3PY!$Z$10</c:f>
                <c:numCache>
                  <c:formatCode>General</c:formatCode>
                  <c:ptCount val="1"/>
                  <c:pt idx="0">
                    <c:v>2.493071439039549E-2</c:v>
                  </c:pt>
                </c:numCache>
              </c:numRef>
            </c:plus>
            <c:minus>
              <c:numRef>
                <c:f>APR3PY!$Z$10</c:f>
                <c:numCache>
                  <c:formatCode>General</c:formatCode>
                  <c:ptCount val="1"/>
                  <c:pt idx="0">
                    <c:v>2.493071439039549E-2</c:v>
                  </c:pt>
                </c:numCache>
              </c:numRef>
            </c:minus>
            <c:spPr>
              <a:noFill/>
              <a:ln w="28575" cap="flat" cmpd="sng" algn="ctr">
                <a:solidFill>
                  <a:schemeClr val="tx1">
                    <a:lumMod val="65000"/>
                    <a:lumOff val="35000"/>
                  </a:schemeClr>
                </a:solidFill>
                <a:round/>
              </a:ln>
              <a:effectLst/>
            </c:spPr>
          </c:errBars>
          <c:val>
            <c:numRef>
              <c:f>APR3PY!$Z$6</c:f>
              <c:numCache>
                <c:formatCode>0.00</c:formatCode>
                <c:ptCount val="1"/>
                <c:pt idx="0">
                  <c:v>0.1561324049735496</c:v>
                </c:pt>
              </c:numCache>
            </c:numRef>
          </c:val>
          <c:extLst>
            <c:ext xmlns:c16="http://schemas.microsoft.com/office/drawing/2014/chart" uri="{C3380CC4-5D6E-409C-BE32-E72D297353CC}">
              <c16:uniqueId val="{00000003-7BB0-48BF-A58F-B49E1AB389D4}"/>
            </c:ext>
          </c:extLst>
        </c:ser>
        <c:ser>
          <c:idx val="4"/>
          <c:order val="4"/>
          <c:tx>
            <c:strRef>
              <c:f>APR3PY!$AA$5</c:f>
              <c:strCache>
                <c:ptCount val="1"/>
                <c:pt idx="0">
                  <c:v>Alkyl Benzenes</c:v>
                </c:pt>
              </c:strCache>
            </c:strRef>
          </c:tx>
          <c:spPr>
            <a:solidFill>
              <a:schemeClr val="accent5"/>
            </a:solidFill>
            <a:ln>
              <a:noFill/>
            </a:ln>
            <a:effectLst/>
          </c:spPr>
          <c:invertIfNegative val="0"/>
          <c:errBars>
            <c:errBarType val="both"/>
            <c:errValType val="cust"/>
            <c:noEndCap val="0"/>
            <c:plus>
              <c:numRef>
                <c:f>APR3PY!$AA$10</c:f>
                <c:numCache>
                  <c:formatCode>General</c:formatCode>
                  <c:ptCount val="1"/>
                  <c:pt idx="0">
                    <c:v>2.4043074188751793E-2</c:v>
                  </c:pt>
                </c:numCache>
              </c:numRef>
            </c:plus>
            <c:minus>
              <c:numRef>
                <c:f>APR3PY!$AA$10</c:f>
                <c:numCache>
                  <c:formatCode>General</c:formatCode>
                  <c:ptCount val="1"/>
                  <c:pt idx="0">
                    <c:v>2.4043074188751793E-2</c:v>
                  </c:pt>
                </c:numCache>
              </c:numRef>
            </c:minus>
            <c:spPr>
              <a:noFill/>
              <a:ln w="28575" cap="flat" cmpd="sng" algn="ctr">
                <a:solidFill>
                  <a:schemeClr val="tx1">
                    <a:lumMod val="65000"/>
                    <a:lumOff val="35000"/>
                  </a:schemeClr>
                </a:solidFill>
                <a:round/>
              </a:ln>
              <a:effectLst/>
            </c:spPr>
          </c:errBars>
          <c:val>
            <c:numRef>
              <c:f>APR3PY!$AA$6</c:f>
              <c:numCache>
                <c:formatCode>0.00</c:formatCode>
                <c:ptCount val="1"/>
                <c:pt idx="0">
                  <c:v>0.11386214090328424</c:v>
                </c:pt>
              </c:numCache>
            </c:numRef>
          </c:val>
          <c:extLst>
            <c:ext xmlns:c16="http://schemas.microsoft.com/office/drawing/2014/chart" uri="{C3380CC4-5D6E-409C-BE32-E72D297353CC}">
              <c16:uniqueId val="{00000004-7BB0-48BF-A58F-B49E1AB389D4}"/>
            </c:ext>
          </c:extLst>
        </c:ser>
        <c:ser>
          <c:idx val="5"/>
          <c:order val="5"/>
          <c:tx>
            <c:strRef>
              <c:f>APR3PY!$AB$5</c:f>
              <c:strCache>
                <c:ptCount val="1"/>
                <c:pt idx="0">
                  <c:v>Alkyl Phenols</c:v>
                </c:pt>
              </c:strCache>
            </c:strRef>
          </c:tx>
          <c:spPr>
            <a:solidFill>
              <a:schemeClr val="accent6"/>
            </a:solidFill>
            <a:ln>
              <a:noFill/>
            </a:ln>
            <a:effectLst/>
          </c:spPr>
          <c:invertIfNegative val="0"/>
          <c:errBars>
            <c:errBarType val="both"/>
            <c:errValType val="cust"/>
            <c:noEndCap val="0"/>
            <c:plus>
              <c:numRef>
                <c:f>APR3PY!$AB$10</c:f>
                <c:numCache>
                  <c:formatCode>General</c:formatCode>
                  <c:ptCount val="1"/>
                  <c:pt idx="0">
                    <c:v>7.7915367014661979E-2</c:v>
                  </c:pt>
                </c:numCache>
              </c:numRef>
            </c:plus>
            <c:minus>
              <c:numRef>
                <c:f>APR3PY!$AB$10</c:f>
                <c:numCache>
                  <c:formatCode>General</c:formatCode>
                  <c:ptCount val="1"/>
                  <c:pt idx="0">
                    <c:v>7.7915367014661979E-2</c:v>
                  </c:pt>
                </c:numCache>
              </c:numRef>
            </c:minus>
            <c:spPr>
              <a:noFill/>
              <a:ln w="28575" cap="flat" cmpd="sng" algn="ctr">
                <a:solidFill>
                  <a:schemeClr val="tx1">
                    <a:lumMod val="65000"/>
                    <a:lumOff val="35000"/>
                  </a:schemeClr>
                </a:solidFill>
                <a:round/>
              </a:ln>
              <a:effectLst/>
            </c:spPr>
          </c:errBars>
          <c:val>
            <c:numRef>
              <c:f>APR3PY!$AB$6</c:f>
              <c:numCache>
                <c:formatCode>0.00</c:formatCode>
                <c:ptCount val="1"/>
                <c:pt idx="0">
                  <c:v>0.39540876637526134</c:v>
                </c:pt>
              </c:numCache>
            </c:numRef>
          </c:val>
          <c:extLst>
            <c:ext xmlns:c16="http://schemas.microsoft.com/office/drawing/2014/chart" uri="{C3380CC4-5D6E-409C-BE32-E72D297353CC}">
              <c16:uniqueId val="{00000005-7BB0-48BF-A58F-B49E1AB389D4}"/>
            </c:ext>
          </c:extLst>
        </c:ser>
        <c:ser>
          <c:idx val="6"/>
          <c:order val="6"/>
          <c:tx>
            <c:strRef>
              <c:f>APR3PY!$AC$5</c:f>
              <c:strCache>
                <c:ptCount val="1"/>
                <c:pt idx="0">
                  <c:v>Anhydrous Sugars</c:v>
                </c:pt>
              </c:strCache>
            </c:strRef>
          </c:tx>
          <c:spPr>
            <a:solidFill>
              <a:schemeClr val="accent1">
                <a:lumMod val="60000"/>
              </a:schemeClr>
            </a:solidFill>
            <a:ln>
              <a:noFill/>
            </a:ln>
            <a:effectLst/>
          </c:spPr>
          <c:invertIfNegative val="0"/>
          <c:errBars>
            <c:errBarType val="both"/>
            <c:errValType val="cust"/>
            <c:noEndCap val="0"/>
            <c:plus>
              <c:numRef>
                <c:f>APR3PY!$AC$10</c:f>
                <c:numCache>
                  <c:formatCode>General</c:formatCode>
                  <c:ptCount val="1"/>
                  <c:pt idx="0">
                    <c:v>0.36135702693976501</c:v>
                  </c:pt>
                </c:numCache>
              </c:numRef>
            </c:plus>
            <c:minus>
              <c:numRef>
                <c:f>APR3PY!$AC$10</c:f>
                <c:numCache>
                  <c:formatCode>General</c:formatCode>
                  <c:ptCount val="1"/>
                  <c:pt idx="0">
                    <c:v>0.36135702693976501</c:v>
                  </c:pt>
                </c:numCache>
              </c:numRef>
            </c:minus>
            <c:spPr>
              <a:noFill/>
              <a:ln w="28575" cap="flat" cmpd="sng" algn="ctr">
                <a:solidFill>
                  <a:schemeClr val="tx1">
                    <a:lumMod val="65000"/>
                    <a:lumOff val="35000"/>
                  </a:schemeClr>
                </a:solidFill>
                <a:round/>
              </a:ln>
              <a:effectLst/>
            </c:spPr>
          </c:errBars>
          <c:val>
            <c:numRef>
              <c:f>APR3PY!$AC$6</c:f>
              <c:numCache>
                <c:formatCode>0.00</c:formatCode>
                <c:ptCount val="1"/>
                <c:pt idx="0">
                  <c:v>1.3398767787050614</c:v>
                </c:pt>
              </c:numCache>
            </c:numRef>
          </c:val>
          <c:extLst>
            <c:ext xmlns:c16="http://schemas.microsoft.com/office/drawing/2014/chart" uri="{C3380CC4-5D6E-409C-BE32-E72D297353CC}">
              <c16:uniqueId val="{00000006-7BB0-48BF-A58F-B49E1AB389D4}"/>
            </c:ext>
          </c:extLst>
        </c:ser>
        <c:ser>
          <c:idx val="7"/>
          <c:order val="7"/>
          <c:tx>
            <c:strRef>
              <c:f>APR3PY!$AD$5</c:f>
              <c:strCache>
                <c:ptCount val="1"/>
                <c:pt idx="0">
                  <c:v>Methoxy Phenols</c:v>
                </c:pt>
              </c:strCache>
            </c:strRef>
          </c:tx>
          <c:spPr>
            <a:solidFill>
              <a:schemeClr val="accent2">
                <a:lumMod val="60000"/>
              </a:schemeClr>
            </a:solidFill>
            <a:ln>
              <a:noFill/>
            </a:ln>
            <a:effectLst/>
          </c:spPr>
          <c:invertIfNegative val="0"/>
          <c:errBars>
            <c:errBarType val="both"/>
            <c:errValType val="cust"/>
            <c:noEndCap val="0"/>
            <c:plus>
              <c:numRef>
                <c:f>APR3PY!$AD$10</c:f>
                <c:numCache>
                  <c:formatCode>General</c:formatCode>
                  <c:ptCount val="1"/>
                  <c:pt idx="0">
                    <c:v>0.11982214083895255</c:v>
                  </c:pt>
                </c:numCache>
              </c:numRef>
            </c:plus>
            <c:minus>
              <c:numRef>
                <c:f>APR3PY!$AD$10</c:f>
                <c:numCache>
                  <c:formatCode>General</c:formatCode>
                  <c:ptCount val="1"/>
                  <c:pt idx="0">
                    <c:v>0.11982214083895255</c:v>
                  </c:pt>
                </c:numCache>
              </c:numRef>
            </c:minus>
            <c:spPr>
              <a:noFill/>
              <a:ln w="28575" cap="flat" cmpd="sng" algn="ctr">
                <a:solidFill>
                  <a:schemeClr val="tx1">
                    <a:lumMod val="65000"/>
                    <a:lumOff val="35000"/>
                  </a:schemeClr>
                </a:solidFill>
                <a:round/>
              </a:ln>
              <a:effectLst/>
            </c:spPr>
          </c:errBars>
          <c:val>
            <c:numRef>
              <c:f>APR3PY!$AD$6</c:f>
              <c:numCache>
                <c:formatCode>0.00</c:formatCode>
                <c:ptCount val="1"/>
                <c:pt idx="0">
                  <c:v>0.4633359749512021</c:v>
                </c:pt>
              </c:numCache>
            </c:numRef>
          </c:val>
          <c:extLst>
            <c:ext xmlns:c16="http://schemas.microsoft.com/office/drawing/2014/chart" uri="{C3380CC4-5D6E-409C-BE32-E72D297353CC}">
              <c16:uniqueId val="{00000007-7BB0-48BF-A58F-B49E1AB389D4}"/>
            </c:ext>
          </c:extLst>
        </c:ser>
        <c:dLbls>
          <c:showLegendKey val="0"/>
          <c:showVal val="0"/>
          <c:showCatName val="0"/>
          <c:showSerName val="0"/>
          <c:showPercent val="0"/>
          <c:showBubbleSize val="0"/>
        </c:dLbls>
        <c:gapWidth val="150"/>
        <c:axId val="531690008"/>
        <c:axId val="531695912"/>
      </c:barChart>
      <c:catAx>
        <c:axId val="531690008"/>
        <c:scaling>
          <c:orientation val="minMax"/>
        </c:scaling>
        <c:delete val="1"/>
        <c:axPos val="b"/>
        <c:numFmt formatCode="General" sourceLinked="1"/>
        <c:majorTickMark val="none"/>
        <c:minorTickMark val="none"/>
        <c:tickLblPos val="nextTo"/>
        <c:crossAx val="531695912"/>
        <c:crosses val="autoZero"/>
        <c:auto val="1"/>
        <c:lblAlgn val="ctr"/>
        <c:lblOffset val="100"/>
        <c:noMultiLvlLbl val="0"/>
      </c:catAx>
      <c:valAx>
        <c:axId val="531695912"/>
        <c:scaling>
          <c:orientation val="minMax"/>
          <c:max val="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6900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b="1" u="sng"/>
              <a:t>Compound</a:t>
            </a:r>
            <a:r>
              <a:rPr lang="en-US" b="1" u="sng" baseline="0"/>
              <a:t> variance at 270 degrees (3 triplicate samples of each variant of Switchgrass)</a:t>
            </a:r>
            <a:endParaRPr lang="en-US" b="1" u="sng"/>
          </a:p>
        </c:rich>
      </c:tx>
      <c:overlay val="0"/>
      <c:spPr>
        <a:noFill/>
        <a:ln>
          <a:noFill/>
        </a:ln>
        <a:effectLst/>
      </c:spPr>
      <c:txPr>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Accumulated!$B$4</c:f>
              <c:strCache>
                <c:ptCount val="1"/>
                <c:pt idx="0">
                  <c:v>COMT2mutant LOW S/G</c:v>
                </c:pt>
              </c:strCache>
            </c:strRef>
          </c:tx>
          <c:spPr>
            <a:solidFill>
              <a:schemeClr val="accent1"/>
            </a:solidFill>
            <a:ln>
              <a:noFill/>
            </a:ln>
            <a:effectLst/>
          </c:spPr>
          <c:invertIfNegative val="0"/>
          <c:errBars>
            <c:errBarType val="both"/>
            <c:errValType val="cust"/>
            <c:noEndCap val="0"/>
            <c:plus>
              <c:numRef>
                <c:f>Accumulated!$C$8:$J$8</c:f>
                <c:numCache>
                  <c:formatCode>General</c:formatCode>
                  <c:ptCount val="8"/>
                  <c:pt idx="0">
                    <c:v>0.37</c:v>
                  </c:pt>
                  <c:pt idx="1">
                    <c:v>7.0000000000000007E-2</c:v>
                  </c:pt>
                  <c:pt idx="2">
                    <c:v>0.02</c:v>
                  </c:pt>
                  <c:pt idx="3">
                    <c:v>0</c:v>
                  </c:pt>
                  <c:pt idx="4">
                    <c:v>0</c:v>
                  </c:pt>
                  <c:pt idx="5">
                    <c:v>0.01</c:v>
                  </c:pt>
                  <c:pt idx="6">
                    <c:v>0.04</c:v>
                  </c:pt>
                  <c:pt idx="7">
                    <c:v>0.02</c:v>
                  </c:pt>
                </c:numCache>
              </c:numRef>
            </c:plus>
            <c:minus>
              <c:numRef>
                <c:f>Accumulated!$C$8:$J$8</c:f>
                <c:numCache>
                  <c:formatCode>General</c:formatCode>
                  <c:ptCount val="8"/>
                  <c:pt idx="0">
                    <c:v>0.37</c:v>
                  </c:pt>
                  <c:pt idx="1">
                    <c:v>7.0000000000000007E-2</c:v>
                  </c:pt>
                  <c:pt idx="2">
                    <c:v>0.02</c:v>
                  </c:pt>
                  <c:pt idx="3">
                    <c:v>0</c:v>
                  </c:pt>
                  <c:pt idx="4">
                    <c:v>0</c:v>
                  </c:pt>
                  <c:pt idx="5">
                    <c:v>0.01</c:v>
                  </c:pt>
                  <c:pt idx="6">
                    <c:v>0.04</c:v>
                  </c:pt>
                  <c:pt idx="7">
                    <c:v>0.02</c:v>
                  </c:pt>
                </c:numCache>
              </c:numRef>
            </c:minus>
            <c:spPr>
              <a:noFill/>
              <a:ln w="28575" cap="flat" cmpd="sng" algn="ctr">
                <a:solidFill>
                  <a:schemeClr val="tx1">
                    <a:lumMod val="65000"/>
                    <a:lumOff val="35000"/>
                  </a:schemeClr>
                </a:solidFill>
                <a:round/>
              </a:ln>
              <a:effectLst/>
            </c:spPr>
          </c:errBars>
          <c:cat>
            <c:strRef>
              <c:f>Accumulated!$C$3:$J$3</c:f>
              <c:strCache>
                <c:ptCount val="8"/>
                <c:pt idx="0">
                  <c:v>Light Oxygenate</c:v>
                </c:pt>
                <c:pt idx="1">
                  <c:v>Acetic Acid</c:v>
                </c:pt>
                <c:pt idx="2">
                  <c:v>Furfurals</c:v>
                </c:pt>
                <c:pt idx="3">
                  <c:v>Furans</c:v>
                </c:pt>
                <c:pt idx="4">
                  <c:v>Alkyl Benzenes</c:v>
                </c:pt>
                <c:pt idx="5">
                  <c:v>Alkyl Phenols</c:v>
                </c:pt>
                <c:pt idx="6">
                  <c:v>Anhydrous Sugars</c:v>
                </c:pt>
                <c:pt idx="7">
                  <c:v>Methoxy Phenols</c:v>
                </c:pt>
              </c:strCache>
            </c:strRef>
          </c:cat>
          <c:val>
            <c:numRef>
              <c:f>Accumulated!$C$4:$J$4</c:f>
              <c:numCache>
                <c:formatCode>General</c:formatCode>
                <c:ptCount val="8"/>
                <c:pt idx="0">
                  <c:v>1.48</c:v>
                </c:pt>
                <c:pt idx="1">
                  <c:v>1.95</c:v>
                </c:pt>
                <c:pt idx="2">
                  <c:v>0.53</c:v>
                </c:pt>
                <c:pt idx="3">
                  <c:v>0.02</c:v>
                </c:pt>
                <c:pt idx="4">
                  <c:v>0.01</c:v>
                </c:pt>
                <c:pt idx="5">
                  <c:v>0.2</c:v>
                </c:pt>
                <c:pt idx="6">
                  <c:v>0.51</c:v>
                </c:pt>
                <c:pt idx="7">
                  <c:v>0.25</c:v>
                </c:pt>
              </c:numCache>
            </c:numRef>
          </c:val>
          <c:extLst>
            <c:ext xmlns:c16="http://schemas.microsoft.com/office/drawing/2014/chart" uri="{C3380CC4-5D6E-409C-BE32-E72D297353CC}">
              <c16:uniqueId val="{00000000-5EAD-4221-93B0-35FF38701FC8}"/>
            </c:ext>
          </c:extLst>
        </c:ser>
        <c:ser>
          <c:idx val="1"/>
          <c:order val="1"/>
          <c:tx>
            <c:strRef>
              <c:f>Accumulated!$B$5</c:f>
              <c:strCache>
                <c:ptCount val="1"/>
                <c:pt idx="0">
                  <c:v>NATURAL DIVERSITY SG LOW S/G</c:v>
                </c:pt>
              </c:strCache>
            </c:strRef>
          </c:tx>
          <c:spPr>
            <a:solidFill>
              <a:schemeClr val="accent2"/>
            </a:solidFill>
            <a:ln>
              <a:noFill/>
            </a:ln>
            <a:effectLst/>
          </c:spPr>
          <c:invertIfNegative val="0"/>
          <c:errBars>
            <c:errBarType val="both"/>
            <c:errValType val="cust"/>
            <c:noEndCap val="0"/>
            <c:plus>
              <c:numRef>
                <c:f>Accumulated!$C$9:$J$9</c:f>
                <c:numCache>
                  <c:formatCode>General</c:formatCode>
                  <c:ptCount val="8"/>
                  <c:pt idx="0">
                    <c:v>0.06</c:v>
                  </c:pt>
                  <c:pt idx="1">
                    <c:v>0.05</c:v>
                  </c:pt>
                  <c:pt idx="2">
                    <c:v>0.02</c:v>
                  </c:pt>
                  <c:pt idx="3">
                    <c:v>0</c:v>
                  </c:pt>
                  <c:pt idx="4">
                    <c:v>0</c:v>
                  </c:pt>
                  <c:pt idx="5">
                    <c:v>0</c:v>
                  </c:pt>
                  <c:pt idx="6">
                    <c:v>0.04</c:v>
                  </c:pt>
                  <c:pt idx="7">
                    <c:v>0.01</c:v>
                  </c:pt>
                </c:numCache>
              </c:numRef>
            </c:plus>
            <c:minus>
              <c:numRef>
                <c:f>Accumulated!$C$9:$J$9</c:f>
                <c:numCache>
                  <c:formatCode>General</c:formatCode>
                  <c:ptCount val="8"/>
                  <c:pt idx="0">
                    <c:v>0.06</c:v>
                  </c:pt>
                  <c:pt idx="1">
                    <c:v>0.05</c:v>
                  </c:pt>
                  <c:pt idx="2">
                    <c:v>0.02</c:v>
                  </c:pt>
                  <c:pt idx="3">
                    <c:v>0</c:v>
                  </c:pt>
                  <c:pt idx="4">
                    <c:v>0</c:v>
                  </c:pt>
                  <c:pt idx="5">
                    <c:v>0</c:v>
                  </c:pt>
                  <c:pt idx="6">
                    <c:v>0.04</c:v>
                  </c:pt>
                  <c:pt idx="7">
                    <c:v>0.01</c:v>
                  </c:pt>
                </c:numCache>
              </c:numRef>
            </c:minus>
            <c:spPr>
              <a:noFill/>
              <a:ln w="28575" cap="flat" cmpd="sng" algn="ctr">
                <a:solidFill>
                  <a:schemeClr val="tx1">
                    <a:lumMod val="65000"/>
                    <a:lumOff val="35000"/>
                  </a:schemeClr>
                </a:solidFill>
                <a:round/>
              </a:ln>
              <a:effectLst/>
            </c:spPr>
          </c:errBars>
          <c:cat>
            <c:strRef>
              <c:f>Accumulated!$C$3:$J$3</c:f>
              <c:strCache>
                <c:ptCount val="8"/>
                <c:pt idx="0">
                  <c:v>Light Oxygenate</c:v>
                </c:pt>
                <c:pt idx="1">
                  <c:v>Acetic Acid</c:v>
                </c:pt>
                <c:pt idx="2">
                  <c:v>Furfurals</c:v>
                </c:pt>
                <c:pt idx="3">
                  <c:v>Furans</c:v>
                </c:pt>
                <c:pt idx="4">
                  <c:v>Alkyl Benzenes</c:v>
                </c:pt>
                <c:pt idx="5">
                  <c:v>Alkyl Phenols</c:v>
                </c:pt>
                <c:pt idx="6">
                  <c:v>Anhydrous Sugars</c:v>
                </c:pt>
                <c:pt idx="7">
                  <c:v>Methoxy Phenols</c:v>
                </c:pt>
              </c:strCache>
            </c:strRef>
          </c:cat>
          <c:val>
            <c:numRef>
              <c:f>Accumulated!$C$5:$J$5</c:f>
              <c:numCache>
                <c:formatCode>General</c:formatCode>
                <c:ptCount val="8"/>
                <c:pt idx="0">
                  <c:v>1.46</c:v>
                </c:pt>
                <c:pt idx="1">
                  <c:v>1.76</c:v>
                </c:pt>
                <c:pt idx="2">
                  <c:v>0.95</c:v>
                </c:pt>
                <c:pt idx="3">
                  <c:v>0.03</c:v>
                </c:pt>
                <c:pt idx="4">
                  <c:v>0</c:v>
                </c:pt>
                <c:pt idx="5">
                  <c:v>0.09</c:v>
                </c:pt>
                <c:pt idx="6">
                  <c:v>0.4</c:v>
                </c:pt>
                <c:pt idx="7">
                  <c:v>0.26</c:v>
                </c:pt>
              </c:numCache>
            </c:numRef>
          </c:val>
          <c:extLst>
            <c:ext xmlns:c16="http://schemas.microsoft.com/office/drawing/2014/chart" uri="{C3380CC4-5D6E-409C-BE32-E72D297353CC}">
              <c16:uniqueId val="{00000001-5EAD-4221-93B0-35FF38701FC8}"/>
            </c:ext>
          </c:extLst>
        </c:ser>
        <c:ser>
          <c:idx val="2"/>
          <c:order val="2"/>
          <c:tx>
            <c:strRef>
              <c:f>Accumulated!$B$6</c:f>
              <c:strCache>
                <c:ptCount val="1"/>
                <c:pt idx="0">
                  <c:v>AP13 SG</c:v>
                </c:pt>
              </c:strCache>
            </c:strRef>
          </c:tx>
          <c:spPr>
            <a:solidFill>
              <a:schemeClr val="accent3"/>
            </a:solidFill>
            <a:ln>
              <a:noFill/>
            </a:ln>
            <a:effectLst/>
          </c:spPr>
          <c:invertIfNegative val="0"/>
          <c:errBars>
            <c:errBarType val="both"/>
            <c:errValType val="cust"/>
            <c:noEndCap val="0"/>
            <c:plus>
              <c:numRef>
                <c:f>Accumulated!$C$10:$J$10</c:f>
                <c:numCache>
                  <c:formatCode>General</c:formatCode>
                  <c:ptCount val="8"/>
                  <c:pt idx="0">
                    <c:v>0.33</c:v>
                  </c:pt>
                  <c:pt idx="1">
                    <c:v>0.59</c:v>
                  </c:pt>
                  <c:pt idx="2">
                    <c:v>0.15</c:v>
                  </c:pt>
                  <c:pt idx="3">
                    <c:v>0</c:v>
                  </c:pt>
                  <c:pt idx="4">
                    <c:v>0</c:v>
                  </c:pt>
                  <c:pt idx="5">
                    <c:v>0.06</c:v>
                  </c:pt>
                  <c:pt idx="6">
                    <c:v>0.27</c:v>
                  </c:pt>
                  <c:pt idx="7">
                    <c:v>7.0000000000000007E-2</c:v>
                  </c:pt>
                </c:numCache>
              </c:numRef>
            </c:plus>
            <c:minus>
              <c:numRef>
                <c:f>Accumulated!$C$10:$J$10</c:f>
                <c:numCache>
                  <c:formatCode>General</c:formatCode>
                  <c:ptCount val="8"/>
                  <c:pt idx="0">
                    <c:v>0.33</c:v>
                  </c:pt>
                  <c:pt idx="1">
                    <c:v>0.59</c:v>
                  </c:pt>
                  <c:pt idx="2">
                    <c:v>0.15</c:v>
                  </c:pt>
                  <c:pt idx="3">
                    <c:v>0</c:v>
                  </c:pt>
                  <c:pt idx="4">
                    <c:v>0</c:v>
                  </c:pt>
                  <c:pt idx="5">
                    <c:v>0.06</c:v>
                  </c:pt>
                  <c:pt idx="6">
                    <c:v>0.27</c:v>
                  </c:pt>
                  <c:pt idx="7">
                    <c:v>7.0000000000000007E-2</c:v>
                  </c:pt>
                </c:numCache>
              </c:numRef>
            </c:minus>
            <c:spPr>
              <a:noFill/>
              <a:ln w="28575" cap="flat" cmpd="sng" algn="ctr">
                <a:solidFill>
                  <a:schemeClr val="tx1">
                    <a:lumMod val="65000"/>
                    <a:lumOff val="35000"/>
                  </a:schemeClr>
                </a:solidFill>
                <a:round/>
              </a:ln>
              <a:effectLst/>
            </c:spPr>
          </c:errBars>
          <c:cat>
            <c:strRef>
              <c:f>Accumulated!$C$3:$J$3</c:f>
              <c:strCache>
                <c:ptCount val="8"/>
                <c:pt idx="0">
                  <c:v>Light Oxygenate</c:v>
                </c:pt>
                <c:pt idx="1">
                  <c:v>Acetic Acid</c:v>
                </c:pt>
                <c:pt idx="2">
                  <c:v>Furfurals</c:v>
                </c:pt>
                <c:pt idx="3">
                  <c:v>Furans</c:v>
                </c:pt>
                <c:pt idx="4">
                  <c:v>Alkyl Benzenes</c:v>
                </c:pt>
                <c:pt idx="5">
                  <c:v>Alkyl Phenols</c:v>
                </c:pt>
                <c:pt idx="6">
                  <c:v>Anhydrous Sugars</c:v>
                </c:pt>
                <c:pt idx="7">
                  <c:v>Methoxy Phenols</c:v>
                </c:pt>
              </c:strCache>
            </c:strRef>
          </c:cat>
          <c:val>
            <c:numRef>
              <c:f>Accumulated!$C$6:$J$6</c:f>
              <c:numCache>
                <c:formatCode>General</c:formatCode>
                <c:ptCount val="8"/>
                <c:pt idx="0">
                  <c:v>1.26</c:v>
                </c:pt>
                <c:pt idx="1">
                  <c:v>2.12</c:v>
                </c:pt>
                <c:pt idx="2">
                  <c:v>0.62</c:v>
                </c:pt>
                <c:pt idx="3">
                  <c:v>0</c:v>
                </c:pt>
                <c:pt idx="4">
                  <c:v>0</c:v>
                </c:pt>
                <c:pt idx="5">
                  <c:v>0.24</c:v>
                </c:pt>
                <c:pt idx="6">
                  <c:v>1.06</c:v>
                </c:pt>
                <c:pt idx="7">
                  <c:v>0.31</c:v>
                </c:pt>
              </c:numCache>
            </c:numRef>
          </c:val>
          <c:extLst>
            <c:ext xmlns:c16="http://schemas.microsoft.com/office/drawing/2014/chart" uri="{C3380CC4-5D6E-409C-BE32-E72D297353CC}">
              <c16:uniqueId val="{00000002-5EAD-4221-93B0-35FF38701FC8}"/>
            </c:ext>
          </c:extLst>
        </c:ser>
        <c:ser>
          <c:idx val="3"/>
          <c:order val="3"/>
          <c:tx>
            <c:strRef>
              <c:f>Accumulated!$B$7</c:f>
              <c:strCache>
                <c:ptCount val="1"/>
                <c:pt idx="0">
                  <c:v>COMT2Wildtype HIGH S/G</c:v>
                </c:pt>
              </c:strCache>
            </c:strRef>
          </c:tx>
          <c:spPr>
            <a:solidFill>
              <a:schemeClr val="accent4"/>
            </a:solidFill>
            <a:ln>
              <a:noFill/>
            </a:ln>
            <a:effectLst/>
          </c:spPr>
          <c:invertIfNegative val="0"/>
          <c:errBars>
            <c:errBarType val="both"/>
            <c:errValType val="cust"/>
            <c:noEndCap val="0"/>
            <c:plus>
              <c:numRef>
                <c:f>Accumulated!$C$11:$J$11</c:f>
                <c:numCache>
                  <c:formatCode>General</c:formatCode>
                  <c:ptCount val="8"/>
                  <c:pt idx="0">
                    <c:v>0.17</c:v>
                  </c:pt>
                  <c:pt idx="1">
                    <c:v>0.14000000000000001</c:v>
                  </c:pt>
                  <c:pt idx="2">
                    <c:v>0.03</c:v>
                  </c:pt>
                  <c:pt idx="3">
                    <c:v>0.01</c:v>
                  </c:pt>
                  <c:pt idx="4">
                    <c:v>0</c:v>
                  </c:pt>
                  <c:pt idx="5">
                    <c:v>0.02</c:v>
                  </c:pt>
                  <c:pt idx="6">
                    <c:v>0.04</c:v>
                  </c:pt>
                  <c:pt idx="7">
                    <c:v>0.02</c:v>
                  </c:pt>
                </c:numCache>
              </c:numRef>
            </c:plus>
            <c:minus>
              <c:numRef>
                <c:f>Accumulated!$C$11:$J$11</c:f>
                <c:numCache>
                  <c:formatCode>General</c:formatCode>
                  <c:ptCount val="8"/>
                  <c:pt idx="0">
                    <c:v>0.17</c:v>
                  </c:pt>
                  <c:pt idx="1">
                    <c:v>0.14000000000000001</c:v>
                  </c:pt>
                  <c:pt idx="2">
                    <c:v>0.03</c:v>
                  </c:pt>
                  <c:pt idx="3">
                    <c:v>0.01</c:v>
                  </c:pt>
                  <c:pt idx="4">
                    <c:v>0</c:v>
                  </c:pt>
                  <c:pt idx="5">
                    <c:v>0.02</c:v>
                  </c:pt>
                  <c:pt idx="6">
                    <c:v>0.04</c:v>
                  </c:pt>
                  <c:pt idx="7">
                    <c:v>0.02</c:v>
                  </c:pt>
                </c:numCache>
              </c:numRef>
            </c:minus>
            <c:spPr>
              <a:noFill/>
              <a:ln w="28575" cap="flat" cmpd="sng" algn="ctr">
                <a:solidFill>
                  <a:schemeClr val="tx1">
                    <a:lumMod val="65000"/>
                    <a:lumOff val="35000"/>
                  </a:schemeClr>
                </a:solidFill>
                <a:round/>
              </a:ln>
              <a:effectLst/>
            </c:spPr>
          </c:errBars>
          <c:cat>
            <c:strRef>
              <c:f>Accumulated!$C$3:$J$3</c:f>
              <c:strCache>
                <c:ptCount val="8"/>
                <c:pt idx="0">
                  <c:v>Light Oxygenate</c:v>
                </c:pt>
                <c:pt idx="1">
                  <c:v>Acetic Acid</c:v>
                </c:pt>
                <c:pt idx="2">
                  <c:v>Furfurals</c:v>
                </c:pt>
                <c:pt idx="3">
                  <c:v>Furans</c:v>
                </c:pt>
                <c:pt idx="4">
                  <c:v>Alkyl Benzenes</c:v>
                </c:pt>
                <c:pt idx="5">
                  <c:v>Alkyl Phenols</c:v>
                </c:pt>
                <c:pt idx="6">
                  <c:v>Anhydrous Sugars</c:v>
                </c:pt>
                <c:pt idx="7">
                  <c:v>Methoxy Phenols</c:v>
                </c:pt>
              </c:strCache>
            </c:strRef>
          </c:cat>
          <c:val>
            <c:numRef>
              <c:f>Accumulated!$C$7:$J$7</c:f>
              <c:numCache>
                <c:formatCode>General</c:formatCode>
                <c:ptCount val="8"/>
                <c:pt idx="0">
                  <c:v>1.28</c:v>
                </c:pt>
                <c:pt idx="1">
                  <c:v>1.55</c:v>
                </c:pt>
                <c:pt idx="2">
                  <c:v>0.52</c:v>
                </c:pt>
                <c:pt idx="3">
                  <c:v>0.02</c:v>
                </c:pt>
                <c:pt idx="4">
                  <c:v>0.01</c:v>
                </c:pt>
                <c:pt idx="5">
                  <c:v>0.24</c:v>
                </c:pt>
                <c:pt idx="6">
                  <c:v>0.64</c:v>
                </c:pt>
                <c:pt idx="7">
                  <c:v>0.26</c:v>
                </c:pt>
              </c:numCache>
            </c:numRef>
          </c:val>
          <c:extLst>
            <c:ext xmlns:c16="http://schemas.microsoft.com/office/drawing/2014/chart" uri="{C3380CC4-5D6E-409C-BE32-E72D297353CC}">
              <c16:uniqueId val="{00000003-5EAD-4221-93B0-35FF38701FC8}"/>
            </c:ext>
          </c:extLst>
        </c:ser>
        <c:dLbls>
          <c:showLegendKey val="0"/>
          <c:showVal val="0"/>
          <c:showCatName val="0"/>
          <c:showSerName val="0"/>
          <c:showPercent val="0"/>
          <c:showBubbleSize val="0"/>
        </c:dLbls>
        <c:gapWidth val="75"/>
        <c:overlap val="-25"/>
        <c:axId val="690671408"/>
        <c:axId val="690672720"/>
      </c:barChart>
      <c:catAx>
        <c:axId val="69067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0672720"/>
        <c:crosses val="autoZero"/>
        <c:auto val="1"/>
        <c:lblAlgn val="ctr"/>
        <c:lblOffset val="100"/>
        <c:noMultiLvlLbl val="0"/>
      </c:catAx>
      <c:valAx>
        <c:axId val="690672720"/>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Mass</a:t>
                </a:r>
                <a:r>
                  <a:rPr lang="en-US" b="1" baseline="0"/>
                  <a:t> (</a:t>
                </a:r>
                <a:r>
                  <a:rPr lang="en-US" b="1" baseline="0">
                    <a:latin typeface="Calibri" panose="020F0502020204030204" pitchFamily="34" charset="0"/>
                    <a:cs typeface="Calibri" panose="020F0502020204030204" pitchFamily="34" charset="0"/>
                  </a:rPr>
                  <a:t>µg) [per mg of raw switchgrass]</a:t>
                </a:r>
                <a:endParaRPr lang="en-US" b="1"/>
              </a:p>
            </c:rich>
          </c:tx>
          <c:layout>
            <c:manualLayout>
              <c:xMode val="edge"/>
              <c:yMode val="edge"/>
              <c:x val="1.7429193899782137E-2"/>
              <c:y val="0.1304629629629629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067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1908B-C3EC-4707-8E18-2FC29AC05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18607</Words>
  <Characters>106060</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Raiyan Nazim</dc:creator>
  <cp:keywords/>
  <dc:description/>
  <cp:lastModifiedBy>Raiyan Nazim</cp:lastModifiedBy>
  <cp:revision>10</cp:revision>
  <cp:lastPrinted>2019-08-01T03:09:00Z</cp:lastPrinted>
  <dcterms:created xsi:type="dcterms:W3CDTF">2019-07-30T17:35:00Z</dcterms:created>
  <dcterms:modified xsi:type="dcterms:W3CDTF">2019-08-01T03:09:00Z</dcterms:modified>
</cp:coreProperties>
</file>