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B4B72" w14:textId="77777777"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14:paraId="3CEA13A7" w14:textId="77777777" w:rsidR="00A50007" w:rsidRPr="0008176F" w:rsidRDefault="0008176F" w:rsidP="0008176F">
          <w:pPr>
            <w:pStyle w:val="NoSpacing"/>
            <w:jc w:val="center"/>
            <w:rPr>
              <w:caps/>
            </w:rPr>
          </w:pPr>
          <w:r w:rsidRPr="0008176F">
            <w:rPr>
              <w:caps/>
            </w:rPr>
            <w:t>University of Oklahoma</w:t>
          </w:r>
        </w:p>
        <w:p w14:paraId="7B00D331" w14:textId="77777777" w:rsidR="0008176F" w:rsidRPr="0008176F" w:rsidRDefault="0008176F" w:rsidP="0008176F">
          <w:pPr>
            <w:pStyle w:val="NoSpacing"/>
            <w:jc w:val="center"/>
            <w:rPr>
              <w:caps/>
            </w:rPr>
          </w:pPr>
        </w:p>
        <w:p w14:paraId="69B303B9" w14:textId="77777777" w:rsidR="0008176F" w:rsidRPr="0008176F" w:rsidRDefault="0008176F" w:rsidP="0008176F">
          <w:pPr>
            <w:pStyle w:val="NoSpacing"/>
            <w:jc w:val="center"/>
            <w:rPr>
              <w:caps/>
            </w:rPr>
          </w:pPr>
          <w:r w:rsidRPr="0008176F">
            <w:rPr>
              <w:caps/>
            </w:rPr>
            <w:t>Graduate College</w:t>
          </w:r>
        </w:p>
      </w:sdtContent>
    </w:sdt>
    <w:p w14:paraId="13A2B30A" w14:textId="77777777" w:rsidR="0008176F" w:rsidRPr="0008176F" w:rsidRDefault="0008176F" w:rsidP="0008176F">
      <w:pPr>
        <w:pStyle w:val="NoSpacing"/>
        <w:jc w:val="center"/>
        <w:rPr>
          <w:caps/>
        </w:rPr>
      </w:pPr>
    </w:p>
    <w:p w14:paraId="63BB5083" w14:textId="77777777" w:rsidR="0008176F" w:rsidRPr="0008176F" w:rsidRDefault="0008176F" w:rsidP="0008176F">
      <w:pPr>
        <w:pStyle w:val="NoSpacing"/>
        <w:jc w:val="center"/>
        <w:rPr>
          <w:caps/>
        </w:rPr>
      </w:pPr>
    </w:p>
    <w:p w14:paraId="240C8F2D" w14:textId="77777777" w:rsidR="0008176F" w:rsidRPr="0008176F" w:rsidRDefault="0008176F" w:rsidP="0008176F">
      <w:pPr>
        <w:pStyle w:val="NoSpacing"/>
        <w:jc w:val="center"/>
        <w:rPr>
          <w:caps/>
        </w:rPr>
      </w:pPr>
    </w:p>
    <w:p w14:paraId="10DD862B" w14:textId="77777777" w:rsidR="0008176F" w:rsidRPr="0008176F" w:rsidRDefault="0008176F" w:rsidP="0008176F">
      <w:pPr>
        <w:pStyle w:val="NoSpacing"/>
        <w:jc w:val="center"/>
        <w:rPr>
          <w:caps/>
        </w:rPr>
      </w:pPr>
    </w:p>
    <w:p w14:paraId="1D70EAC7" w14:textId="77777777" w:rsidR="0008176F" w:rsidRPr="0008176F" w:rsidRDefault="0008176F" w:rsidP="0008176F">
      <w:pPr>
        <w:pStyle w:val="NoSpacing"/>
        <w:jc w:val="center"/>
        <w:rPr>
          <w:caps/>
        </w:rPr>
      </w:pPr>
    </w:p>
    <w:p w14:paraId="0FEB8EE4" w14:textId="77777777" w:rsidR="0008176F" w:rsidRPr="0008176F" w:rsidRDefault="0008176F" w:rsidP="0008176F">
      <w:pPr>
        <w:pStyle w:val="NoSpacing"/>
        <w:jc w:val="center"/>
        <w:rPr>
          <w:caps/>
        </w:rPr>
      </w:pPr>
    </w:p>
    <w:p w14:paraId="5AD575F3"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4A1AE32A" w14:textId="77777777" w:rsidR="0008176F" w:rsidRPr="0008176F" w:rsidRDefault="00C70351" w:rsidP="0008176F">
          <w:pPr>
            <w:pStyle w:val="NoSpacing"/>
            <w:spacing w:line="480" w:lineRule="auto"/>
            <w:jc w:val="center"/>
            <w:rPr>
              <w:caps/>
            </w:rPr>
          </w:pPr>
          <w:r>
            <w:rPr>
              <w:caps/>
            </w:rPr>
            <w:t>ELECTROMYOGRAPHIC MEASUREMENT OF THE CHINCHILLA MIDDLE EAR MUSCLE REFLEX ELICITED BY ACOUSTIC OR BLAST STIMULI</w:t>
          </w:r>
        </w:p>
      </w:sdtContent>
    </w:sdt>
    <w:p w14:paraId="04898DB7" w14:textId="77777777" w:rsidR="0008176F" w:rsidRPr="0008176F" w:rsidRDefault="0008176F" w:rsidP="0008176F">
      <w:pPr>
        <w:pStyle w:val="NoSpacing"/>
        <w:jc w:val="center"/>
        <w:rPr>
          <w:caps/>
        </w:rPr>
      </w:pPr>
    </w:p>
    <w:p w14:paraId="2C0E5596" w14:textId="77777777" w:rsidR="0008176F" w:rsidRPr="0008176F" w:rsidRDefault="0008176F" w:rsidP="0008176F">
      <w:pPr>
        <w:pStyle w:val="NoSpacing"/>
        <w:jc w:val="center"/>
        <w:rPr>
          <w:caps/>
        </w:rPr>
      </w:pPr>
    </w:p>
    <w:p w14:paraId="3CF6267F" w14:textId="77777777" w:rsidR="0008176F" w:rsidRPr="0008176F" w:rsidRDefault="0008176F" w:rsidP="0008176F">
      <w:pPr>
        <w:pStyle w:val="NoSpacing"/>
        <w:jc w:val="center"/>
        <w:rPr>
          <w:caps/>
        </w:rPr>
      </w:pPr>
    </w:p>
    <w:p w14:paraId="4A2FA928" w14:textId="77777777" w:rsidR="0008176F" w:rsidRPr="0008176F" w:rsidRDefault="0008176F" w:rsidP="0008176F">
      <w:pPr>
        <w:pStyle w:val="NoSpacing"/>
        <w:jc w:val="center"/>
        <w:rPr>
          <w:caps/>
        </w:rPr>
      </w:pPr>
    </w:p>
    <w:p w14:paraId="21794743" w14:textId="77777777" w:rsidR="0008176F" w:rsidRPr="0008176F" w:rsidRDefault="0008176F" w:rsidP="0008176F">
      <w:pPr>
        <w:pStyle w:val="NoSpacing"/>
        <w:jc w:val="center"/>
        <w:rPr>
          <w:caps/>
        </w:rPr>
      </w:pPr>
    </w:p>
    <w:p w14:paraId="44AFA61D" w14:textId="77777777" w:rsidR="0008176F" w:rsidRPr="0008176F" w:rsidRDefault="0008176F" w:rsidP="0008176F">
      <w:pPr>
        <w:pStyle w:val="NoSpacing"/>
        <w:jc w:val="center"/>
        <w:rPr>
          <w:caps/>
        </w:rPr>
      </w:pPr>
    </w:p>
    <w:p w14:paraId="21847909" w14:textId="77777777" w:rsidR="0008176F" w:rsidRPr="0008176F" w:rsidRDefault="00D87012"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A303C">
            <w:rPr>
              <w:caps/>
            </w:rPr>
            <w:t>Dissertation</w:t>
          </w:r>
        </w:sdtContent>
      </w:sdt>
    </w:p>
    <w:p w14:paraId="72240138"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A4FAEF6" w14:textId="77777777" w:rsidR="0008176F" w:rsidRPr="0008176F" w:rsidRDefault="0008176F" w:rsidP="0008176F">
          <w:pPr>
            <w:pStyle w:val="NoSpacing"/>
            <w:jc w:val="center"/>
            <w:rPr>
              <w:caps/>
            </w:rPr>
          </w:pPr>
          <w:r w:rsidRPr="0008176F">
            <w:rPr>
              <w:caps/>
            </w:rPr>
            <w:t>submitted to the Graduate Faculty</w:t>
          </w:r>
        </w:p>
        <w:p w14:paraId="0DF809AF" w14:textId="77777777" w:rsidR="0008176F" w:rsidRDefault="0008176F" w:rsidP="0008176F">
          <w:pPr>
            <w:pStyle w:val="NoSpacing"/>
            <w:jc w:val="center"/>
          </w:pPr>
        </w:p>
        <w:p w14:paraId="7F982AC7" w14:textId="77777777" w:rsidR="0008176F" w:rsidRDefault="0008176F" w:rsidP="0008176F">
          <w:pPr>
            <w:pStyle w:val="NoSpacing"/>
            <w:jc w:val="center"/>
          </w:pPr>
          <w:r>
            <w:t>in partial fulfillment of the requirements for the</w:t>
          </w:r>
        </w:p>
        <w:p w14:paraId="0BAE1AF1" w14:textId="77777777" w:rsidR="0008176F" w:rsidRDefault="0008176F" w:rsidP="0008176F">
          <w:pPr>
            <w:pStyle w:val="NoSpacing"/>
            <w:jc w:val="center"/>
          </w:pPr>
        </w:p>
        <w:p w14:paraId="314C52C3" w14:textId="77777777" w:rsidR="0008176F" w:rsidRDefault="0008176F" w:rsidP="0008176F">
          <w:pPr>
            <w:pStyle w:val="NoSpacing"/>
            <w:jc w:val="center"/>
          </w:pPr>
          <w:r>
            <w:t>Degree of</w:t>
          </w:r>
        </w:p>
      </w:sdtContent>
    </w:sdt>
    <w:p w14:paraId="580FDA0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732D3568" w14:textId="77777777" w:rsidR="00746E16" w:rsidRDefault="001A303C" w:rsidP="00746E16">
          <w:pPr>
            <w:pStyle w:val="NoSpacing"/>
            <w:spacing w:line="480" w:lineRule="auto"/>
            <w:jc w:val="center"/>
            <w:rPr>
              <w:caps/>
            </w:rPr>
          </w:pPr>
          <w:r>
            <w:rPr>
              <w:caps/>
            </w:rPr>
            <w:t>Doctor of Philosophy</w:t>
          </w:r>
        </w:p>
      </w:sdtContent>
    </w:sdt>
    <w:p w14:paraId="2866CD52" w14:textId="77777777" w:rsidR="00730F0A" w:rsidRDefault="00730F0A" w:rsidP="0008176F">
      <w:pPr>
        <w:pStyle w:val="NoSpacing"/>
        <w:jc w:val="center"/>
      </w:pPr>
    </w:p>
    <w:p w14:paraId="0ADF840E" w14:textId="77777777" w:rsidR="00730F0A" w:rsidRDefault="00730F0A" w:rsidP="0008176F">
      <w:pPr>
        <w:pStyle w:val="NoSpacing"/>
        <w:jc w:val="center"/>
      </w:pPr>
    </w:p>
    <w:p w14:paraId="3BD9C894" w14:textId="77777777" w:rsidR="00730F0A" w:rsidRDefault="00730F0A" w:rsidP="0008176F">
      <w:pPr>
        <w:pStyle w:val="NoSpacing"/>
        <w:jc w:val="center"/>
      </w:pPr>
    </w:p>
    <w:p w14:paraId="2CF0B826" w14:textId="77777777" w:rsidR="00730F0A" w:rsidRDefault="00730F0A" w:rsidP="0008176F">
      <w:pPr>
        <w:pStyle w:val="NoSpacing"/>
        <w:jc w:val="center"/>
      </w:pPr>
    </w:p>
    <w:p w14:paraId="29D5503D" w14:textId="77777777" w:rsidR="00730F0A" w:rsidRDefault="00730F0A" w:rsidP="0008176F">
      <w:pPr>
        <w:pStyle w:val="NoSpacing"/>
        <w:jc w:val="center"/>
      </w:pPr>
    </w:p>
    <w:p w14:paraId="7774041B" w14:textId="77777777" w:rsidR="00730F0A" w:rsidRDefault="00730F0A" w:rsidP="0008176F">
      <w:pPr>
        <w:pStyle w:val="NoSpacing"/>
        <w:jc w:val="center"/>
      </w:pPr>
    </w:p>
    <w:p w14:paraId="38CE78BE" w14:textId="77777777" w:rsidR="00730F0A" w:rsidRDefault="00730F0A" w:rsidP="0008176F">
      <w:pPr>
        <w:pStyle w:val="NoSpacing"/>
        <w:jc w:val="center"/>
      </w:pPr>
    </w:p>
    <w:p w14:paraId="63FAF174" w14:textId="77777777" w:rsidR="00730F0A" w:rsidRDefault="00730F0A" w:rsidP="0008176F">
      <w:pPr>
        <w:pStyle w:val="NoSpacing"/>
        <w:jc w:val="center"/>
      </w:pPr>
      <w:r>
        <w:t>By</w:t>
      </w:r>
    </w:p>
    <w:p w14:paraId="2D0DE69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095383C6" w14:textId="77777777" w:rsidR="00746E16" w:rsidRDefault="00C70351" w:rsidP="00746E16">
          <w:pPr>
            <w:pStyle w:val="NoSpacing"/>
            <w:jc w:val="center"/>
            <w:rPr>
              <w:caps/>
            </w:rPr>
          </w:pPr>
          <w:r>
            <w:rPr>
              <w:caps/>
            </w:rPr>
            <w:t>ZACHARY YOKELL</w:t>
          </w:r>
        </w:p>
      </w:sdtContent>
    </w:sdt>
    <w:sdt>
      <w:sdtPr>
        <w:id w:val="30091838"/>
        <w:lock w:val="contentLocked"/>
        <w:placeholder>
          <w:docPart w:val="A81F602006EA4C16A9F3206BB0D96450"/>
        </w:placeholder>
        <w:group/>
      </w:sdtPr>
      <w:sdtContent>
        <w:p w14:paraId="63F30BC2"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7E170097" w14:textId="43B29D73" w:rsidR="00730F0A" w:rsidRDefault="00C70351" w:rsidP="00730F0A">
          <w:pPr>
            <w:pStyle w:val="NoSpacing"/>
            <w:jc w:val="center"/>
          </w:pPr>
          <w:r>
            <w:t>201</w:t>
          </w:r>
          <w:r w:rsidR="00432A9D">
            <w:t>9</w:t>
          </w:r>
        </w:p>
      </w:sdtContent>
    </w:sdt>
    <w:p w14:paraId="537EAF5E" w14:textId="77777777" w:rsidR="00730F0A" w:rsidRDefault="00730F0A" w:rsidP="00730F0A">
      <w:pPr>
        <w:pStyle w:val="NoSpacing"/>
        <w:jc w:val="center"/>
      </w:pPr>
      <w:r>
        <w:br w:type="page"/>
      </w:r>
    </w:p>
    <w:p w14:paraId="3E1A9592" w14:textId="77777777" w:rsidR="00730F0A" w:rsidRDefault="00730F0A" w:rsidP="00730F0A">
      <w:pPr>
        <w:pStyle w:val="NoSpacing"/>
        <w:jc w:val="center"/>
      </w:pPr>
    </w:p>
    <w:p w14:paraId="1CE8D583" w14:textId="77777777" w:rsidR="00F93475" w:rsidRDefault="00F93475" w:rsidP="00730F0A">
      <w:pPr>
        <w:pStyle w:val="NoSpacing"/>
        <w:jc w:val="center"/>
      </w:pPr>
    </w:p>
    <w:p w14:paraId="2B53C368" w14:textId="77777777" w:rsidR="00F93475" w:rsidRDefault="00F93475" w:rsidP="00730F0A">
      <w:pPr>
        <w:pStyle w:val="NoSpacing"/>
        <w:jc w:val="center"/>
      </w:pPr>
    </w:p>
    <w:p w14:paraId="477C24D4" w14:textId="77777777" w:rsidR="00730F0A" w:rsidRDefault="00730F0A" w:rsidP="00730F0A">
      <w:pPr>
        <w:pStyle w:val="NoSpacing"/>
        <w:jc w:val="center"/>
      </w:pPr>
    </w:p>
    <w:p w14:paraId="009DADC4"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3C1FD606" w14:textId="77777777" w:rsidR="00730F0A" w:rsidRPr="00730F0A" w:rsidRDefault="00C70351" w:rsidP="00730F0A">
          <w:pPr>
            <w:pStyle w:val="NoSpacing"/>
            <w:jc w:val="center"/>
            <w:rPr>
              <w:caps/>
            </w:rPr>
          </w:pPr>
          <w:r>
            <w:rPr>
              <w:caps/>
            </w:rPr>
            <w:t>ELECTROMYOGRAPHIC MEASUREMENT OF THE CHINCHILLA MIDDLE EAR MUSCLE REFLEX ELICITED BY ACOUSTIC OR BLAST STIMULI</w:t>
          </w:r>
        </w:p>
      </w:sdtContent>
    </w:sdt>
    <w:p w14:paraId="2C628943" w14:textId="77777777" w:rsidR="00730F0A" w:rsidRPr="00730F0A" w:rsidRDefault="00730F0A" w:rsidP="00730F0A">
      <w:pPr>
        <w:pStyle w:val="NoSpacing"/>
        <w:jc w:val="center"/>
        <w:rPr>
          <w:caps/>
        </w:rPr>
      </w:pPr>
    </w:p>
    <w:p w14:paraId="5B388F8D" w14:textId="77777777" w:rsidR="00730F0A" w:rsidRPr="00730F0A" w:rsidRDefault="00730F0A" w:rsidP="00730F0A">
      <w:pPr>
        <w:pStyle w:val="NoSpacing"/>
        <w:jc w:val="center"/>
        <w:rPr>
          <w:caps/>
        </w:rPr>
      </w:pPr>
    </w:p>
    <w:p w14:paraId="23E8079D" w14:textId="77777777" w:rsidR="00730F0A" w:rsidRPr="00730F0A" w:rsidRDefault="00D87012"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A303C">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1778E163" w14:textId="77777777" w:rsidR="00746E16" w:rsidRDefault="001A303C" w:rsidP="00746E16">
          <w:pPr>
            <w:pStyle w:val="NoSpacing"/>
            <w:jc w:val="center"/>
            <w:rPr>
              <w:caps/>
            </w:rPr>
          </w:pPr>
          <w:r>
            <w:rPr>
              <w:caps/>
            </w:rPr>
            <w:t>Stephenson School of Biomedical Engineering</w:t>
          </w:r>
        </w:p>
      </w:sdtContent>
    </w:sdt>
    <w:p w14:paraId="136B5428" w14:textId="77777777" w:rsidR="00730F0A" w:rsidRPr="00730F0A" w:rsidRDefault="00730F0A" w:rsidP="00730F0A">
      <w:pPr>
        <w:pStyle w:val="NoSpacing"/>
        <w:jc w:val="center"/>
        <w:rPr>
          <w:caps/>
        </w:rPr>
      </w:pPr>
    </w:p>
    <w:p w14:paraId="1788370F" w14:textId="77777777" w:rsidR="00730F0A" w:rsidRPr="00730F0A" w:rsidRDefault="00730F0A" w:rsidP="00730F0A">
      <w:pPr>
        <w:pStyle w:val="NoSpacing"/>
        <w:jc w:val="center"/>
        <w:rPr>
          <w:caps/>
        </w:rPr>
      </w:pPr>
    </w:p>
    <w:p w14:paraId="5FB4FA96" w14:textId="77777777" w:rsidR="00730F0A" w:rsidRPr="00730F0A" w:rsidRDefault="00730F0A" w:rsidP="00730F0A">
      <w:pPr>
        <w:pStyle w:val="NoSpacing"/>
        <w:jc w:val="center"/>
        <w:rPr>
          <w:caps/>
        </w:rPr>
      </w:pPr>
    </w:p>
    <w:p w14:paraId="3CFE38EA" w14:textId="77777777" w:rsidR="00730F0A" w:rsidRDefault="00730F0A" w:rsidP="00730F0A">
      <w:pPr>
        <w:pStyle w:val="NoSpacing"/>
        <w:jc w:val="center"/>
        <w:rPr>
          <w:caps/>
        </w:rPr>
      </w:pPr>
    </w:p>
    <w:p w14:paraId="7FDA3C79" w14:textId="77777777" w:rsidR="00730F0A" w:rsidRPr="00730F0A" w:rsidRDefault="00730F0A" w:rsidP="00730F0A">
      <w:pPr>
        <w:pStyle w:val="NoSpacing"/>
        <w:jc w:val="center"/>
        <w:rPr>
          <w:caps/>
        </w:rPr>
      </w:pPr>
    </w:p>
    <w:p w14:paraId="724EFB7E" w14:textId="77777777" w:rsidR="00730F0A" w:rsidRPr="00730F0A" w:rsidRDefault="00730F0A" w:rsidP="00730F0A">
      <w:pPr>
        <w:pStyle w:val="NoSpacing"/>
        <w:jc w:val="center"/>
        <w:rPr>
          <w:caps/>
        </w:rPr>
      </w:pPr>
    </w:p>
    <w:p w14:paraId="5B13159F" w14:textId="77777777" w:rsidR="00730F0A" w:rsidRPr="00730F0A" w:rsidRDefault="00730F0A" w:rsidP="00730F0A">
      <w:pPr>
        <w:pStyle w:val="NoSpacing"/>
        <w:jc w:val="center"/>
        <w:rPr>
          <w:caps/>
        </w:rPr>
      </w:pPr>
    </w:p>
    <w:p w14:paraId="0631508D"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2CEBF842" w14:textId="77777777" w:rsidR="00730F0A" w:rsidRPr="00730F0A" w:rsidRDefault="00730F0A" w:rsidP="00730F0A">
          <w:pPr>
            <w:pStyle w:val="NoSpacing"/>
            <w:jc w:val="center"/>
            <w:rPr>
              <w:caps/>
            </w:rPr>
          </w:pPr>
          <w:r w:rsidRPr="00730F0A">
            <w:rPr>
              <w:caps/>
            </w:rPr>
            <w:t>By</w:t>
          </w:r>
        </w:p>
      </w:sdtContent>
    </w:sdt>
    <w:p w14:paraId="739FB6F1" w14:textId="77777777" w:rsidR="00730F0A" w:rsidRDefault="00730F0A" w:rsidP="00730F0A">
      <w:pPr>
        <w:pStyle w:val="NoSpacing"/>
        <w:jc w:val="center"/>
      </w:pPr>
    </w:p>
    <w:p w14:paraId="513A39E1" w14:textId="77777777" w:rsidR="00730F0A" w:rsidRDefault="00730F0A" w:rsidP="00730F0A">
      <w:pPr>
        <w:pStyle w:val="NoSpacing"/>
        <w:jc w:val="center"/>
      </w:pPr>
    </w:p>
    <w:p w14:paraId="41CB502B" w14:textId="77777777" w:rsidR="00730F0A" w:rsidRDefault="00730F0A" w:rsidP="00730F0A">
      <w:pPr>
        <w:pStyle w:val="NoSpacing"/>
        <w:jc w:val="center"/>
      </w:pPr>
    </w:p>
    <w:p w14:paraId="2D30EBA1" w14:textId="77777777" w:rsidR="00432A9D" w:rsidRDefault="00730F0A" w:rsidP="00730F0A">
      <w:pPr>
        <w:pStyle w:val="NoSpacing"/>
        <w:jc w:val="right"/>
      </w:pPr>
      <w:r>
        <w:tab/>
      </w:r>
      <w:r>
        <w:tab/>
      </w:r>
    </w:p>
    <w:p w14:paraId="2C4741B0" w14:textId="77777777" w:rsidR="00A36220" w:rsidRDefault="00A36220" w:rsidP="00730F0A">
      <w:pPr>
        <w:pStyle w:val="NoSpacing"/>
        <w:jc w:val="right"/>
      </w:pPr>
    </w:p>
    <w:p w14:paraId="44AFBC40" w14:textId="77777777" w:rsidR="00A36220" w:rsidRDefault="00A36220" w:rsidP="00730F0A">
      <w:pPr>
        <w:pStyle w:val="NoSpacing"/>
        <w:jc w:val="right"/>
      </w:pPr>
    </w:p>
    <w:p w14:paraId="2FCF5CE3" w14:textId="48CC37C2" w:rsidR="00730F0A" w:rsidRPr="006B4721" w:rsidRDefault="00730F0A" w:rsidP="00730F0A">
      <w:pPr>
        <w:pStyle w:val="NoSpacing"/>
        <w:jc w:val="right"/>
      </w:pPr>
      <w:r>
        <w:tab/>
      </w:r>
      <w:r>
        <w:tab/>
      </w:r>
    </w:p>
    <w:p w14:paraId="412B2D15" w14:textId="77777777" w:rsidR="00730F0A" w:rsidRDefault="00D87012"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C70351">
            <w:t>Rong Gan</w:t>
          </w:r>
        </w:sdtContent>
      </w:sdt>
      <w:r w:rsidR="00730F0A">
        <w:t>, Chair</w:t>
      </w:r>
    </w:p>
    <w:p w14:paraId="306D5672" w14:textId="77777777" w:rsidR="00730F0A" w:rsidRDefault="00730F0A" w:rsidP="00730F0A">
      <w:pPr>
        <w:pStyle w:val="NoSpacing"/>
        <w:jc w:val="right"/>
      </w:pPr>
    </w:p>
    <w:p w14:paraId="6D9A28C1" w14:textId="77777777" w:rsidR="00730F0A" w:rsidRDefault="00730F0A" w:rsidP="00730F0A">
      <w:pPr>
        <w:pStyle w:val="NoSpacing"/>
        <w:jc w:val="right"/>
      </w:pPr>
    </w:p>
    <w:p w14:paraId="6749409E" w14:textId="77777777" w:rsidR="00730F0A" w:rsidRDefault="00D8701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1A303C">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C70351">
            <w:t>Lei Ding</w:t>
          </w:r>
        </w:sdtContent>
      </w:sdt>
    </w:p>
    <w:p w14:paraId="0040D973" w14:textId="77777777" w:rsidR="00730F0A" w:rsidRDefault="00730F0A" w:rsidP="00730F0A">
      <w:pPr>
        <w:pStyle w:val="NoSpacing"/>
        <w:jc w:val="right"/>
      </w:pPr>
    </w:p>
    <w:p w14:paraId="52E2C168" w14:textId="77777777" w:rsidR="00730F0A" w:rsidRDefault="00730F0A" w:rsidP="00730F0A">
      <w:pPr>
        <w:pStyle w:val="NoSpacing"/>
        <w:jc w:val="right"/>
      </w:pPr>
    </w:p>
    <w:p w14:paraId="27CFF774" w14:textId="77777777" w:rsidR="00730F0A" w:rsidRDefault="00D8701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1A303C">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C70351">
            <w:t>Edgar O’Rear</w:t>
          </w:r>
        </w:sdtContent>
      </w:sdt>
    </w:p>
    <w:p w14:paraId="7054D855" w14:textId="77777777" w:rsidR="00730F0A" w:rsidRDefault="00730F0A" w:rsidP="00730F0A">
      <w:pPr>
        <w:pStyle w:val="NoSpacing"/>
        <w:jc w:val="right"/>
      </w:pPr>
    </w:p>
    <w:p w14:paraId="01FC21C1" w14:textId="77777777" w:rsidR="00730F0A" w:rsidRDefault="00730F0A" w:rsidP="00730F0A">
      <w:pPr>
        <w:pStyle w:val="NoSpacing"/>
        <w:jc w:val="right"/>
      </w:pPr>
    </w:p>
    <w:p w14:paraId="78C1E371" w14:textId="77777777" w:rsidR="00FF0F0F" w:rsidRDefault="00D8701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1A303C">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C70351">
            <w:t>Vassilios Sikavitsas</w:t>
          </w:r>
        </w:sdtContent>
      </w:sdt>
    </w:p>
    <w:p w14:paraId="413F5997" w14:textId="77777777" w:rsidR="00FF0F0F" w:rsidRDefault="00FF0F0F" w:rsidP="00FF0F0F">
      <w:pPr>
        <w:pStyle w:val="NoSpacing"/>
        <w:jc w:val="right"/>
      </w:pPr>
    </w:p>
    <w:p w14:paraId="365CD34B" w14:textId="77777777" w:rsidR="00FF0F0F" w:rsidRDefault="00FF0F0F" w:rsidP="00FF0F0F">
      <w:pPr>
        <w:pStyle w:val="NoSpacing"/>
        <w:jc w:val="right"/>
      </w:pPr>
    </w:p>
    <w:p w14:paraId="270BE463" w14:textId="77777777" w:rsidR="00FF0F0F" w:rsidRDefault="00D87012"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1A303C">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6167FB">
            <w:t>Zahed Siddique</w:t>
          </w:r>
        </w:sdtContent>
      </w:sdt>
    </w:p>
    <w:p w14:paraId="0E4563D0" w14:textId="77777777" w:rsidR="00730F0A" w:rsidRDefault="00730F0A" w:rsidP="00730F0A">
      <w:pPr>
        <w:pStyle w:val="NoSpacing"/>
        <w:jc w:val="right"/>
      </w:pPr>
    </w:p>
    <w:p w14:paraId="1712DEBC" w14:textId="77777777" w:rsidR="00730F0A" w:rsidRDefault="00730F0A" w:rsidP="00730F0A">
      <w:pPr>
        <w:pStyle w:val="NoSpacing"/>
        <w:jc w:val="right"/>
      </w:pPr>
    </w:p>
    <w:p w14:paraId="49F7804D" w14:textId="77777777" w:rsidR="00730F0A" w:rsidRDefault="00730F0A" w:rsidP="00730F0A">
      <w:pPr>
        <w:pStyle w:val="NoSpacing"/>
        <w:jc w:val="right"/>
      </w:pPr>
    </w:p>
    <w:p w14:paraId="3701F80B" w14:textId="77777777" w:rsidR="00730F0A" w:rsidRDefault="00730F0A" w:rsidP="00730F0A">
      <w:pPr>
        <w:pStyle w:val="NoSpacing"/>
        <w:jc w:val="center"/>
      </w:pPr>
      <w:r>
        <w:br w:type="page"/>
      </w:r>
    </w:p>
    <w:p w14:paraId="61959151" w14:textId="77777777" w:rsidR="00730F0A" w:rsidRDefault="00730F0A" w:rsidP="00730F0A">
      <w:pPr>
        <w:pStyle w:val="NoSpacing"/>
        <w:jc w:val="center"/>
      </w:pPr>
    </w:p>
    <w:p w14:paraId="41F4A9AA" w14:textId="77777777" w:rsidR="00730F0A" w:rsidRDefault="00730F0A" w:rsidP="00730F0A">
      <w:pPr>
        <w:pStyle w:val="NoSpacing"/>
        <w:jc w:val="center"/>
      </w:pPr>
    </w:p>
    <w:p w14:paraId="621DC568" w14:textId="77777777" w:rsidR="00730F0A" w:rsidRDefault="00730F0A" w:rsidP="00730F0A">
      <w:pPr>
        <w:pStyle w:val="NoSpacing"/>
        <w:jc w:val="center"/>
      </w:pPr>
    </w:p>
    <w:p w14:paraId="2B2B2124" w14:textId="77777777" w:rsidR="00730F0A" w:rsidRDefault="00730F0A" w:rsidP="00730F0A">
      <w:pPr>
        <w:pStyle w:val="NoSpacing"/>
        <w:jc w:val="center"/>
      </w:pPr>
    </w:p>
    <w:p w14:paraId="30A32D4F" w14:textId="77777777" w:rsidR="00730F0A" w:rsidRDefault="00730F0A" w:rsidP="00730F0A">
      <w:pPr>
        <w:pStyle w:val="NoSpacing"/>
        <w:jc w:val="center"/>
      </w:pPr>
    </w:p>
    <w:p w14:paraId="7F0DF142" w14:textId="77777777" w:rsidR="00730F0A" w:rsidRDefault="00730F0A" w:rsidP="00730F0A">
      <w:pPr>
        <w:pStyle w:val="NoSpacing"/>
        <w:jc w:val="center"/>
      </w:pPr>
    </w:p>
    <w:p w14:paraId="54ED6EB5" w14:textId="77777777" w:rsidR="00730F0A" w:rsidRDefault="00730F0A" w:rsidP="00730F0A">
      <w:pPr>
        <w:pStyle w:val="NoSpacing"/>
        <w:jc w:val="center"/>
      </w:pPr>
    </w:p>
    <w:p w14:paraId="33BCE7CD" w14:textId="77777777" w:rsidR="00730F0A" w:rsidRDefault="00730F0A" w:rsidP="00730F0A">
      <w:pPr>
        <w:pStyle w:val="NoSpacing"/>
        <w:jc w:val="center"/>
      </w:pPr>
    </w:p>
    <w:p w14:paraId="71157956" w14:textId="77777777" w:rsidR="00730F0A" w:rsidRDefault="00730F0A" w:rsidP="00730F0A">
      <w:pPr>
        <w:pStyle w:val="NoSpacing"/>
        <w:jc w:val="center"/>
      </w:pPr>
    </w:p>
    <w:p w14:paraId="5FDCDE96" w14:textId="77777777" w:rsidR="00730F0A" w:rsidRDefault="00730F0A" w:rsidP="00730F0A">
      <w:pPr>
        <w:pStyle w:val="NoSpacing"/>
        <w:jc w:val="center"/>
      </w:pPr>
    </w:p>
    <w:p w14:paraId="3754148F" w14:textId="77777777" w:rsidR="00730F0A" w:rsidRDefault="00730F0A" w:rsidP="00730F0A">
      <w:pPr>
        <w:pStyle w:val="NoSpacing"/>
        <w:jc w:val="center"/>
      </w:pPr>
    </w:p>
    <w:p w14:paraId="2FA5734A" w14:textId="77777777" w:rsidR="00730F0A" w:rsidRDefault="00730F0A" w:rsidP="00730F0A">
      <w:pPr>
        <w:pStyle w:val="NoSpacing"/>
        <w:jc w:val="center"/>
      </w:pPr>
    </w:p>
    <w:p w14:paraId="7944A057" w14:textId="77777777" w:rsidR="00730F0A" w:rsidRDefault="00730F0A" w:rsidP="00730F0A">
      <w:pPr>
        <w:pStyle w:val="NoSpacing"/>
        <w:jc w:val="center"/>
      </w:pPr>
    </w:p>
    <w:p w14:paraId="58C82E3A" w14:textId="77777777" w:rsidR="00730F0A" w:rsidRDefault="00730F0A" w:rsidP="00730F0A">
      <w:pPr>
        <w:pStyle w:val="NoSpacing"/>
        <w:jc w:val="center"/>
      </w:pPr>
    </w:p>
    <w:p w14:paraId="12A25465" w14:textId="77777777" w:rsidR="00730F0A" w:rsidRDefault="00730F0A" w:rsidP="00730F0A">
      <w:pPr>
        <w:pStyle w:val="NoSpacing"/>
        <w:jc w:val="center"/>
      </w:pPr>
    </w:p>
    <w:p w14:paraId="788C5AB0" w14:textId="77777777" w:rsidR="00730F0A" w:rsidRDefault="00730F0A" w:rsidP="00730F0A">
      <w:pPr>
        <w:pStyle w:val="NoSpacing"/>
        <w:jc w:val="center"/>
      </w:pPr>
    </w:p>
    <w:p w14:paraId="3B801463" w14:textId="77777777" w:rsidR="00730F0A" w:rsidRDefault="00730F0A" w:rsidP="00730F0A">
      <w:pPr>
        <w:pStyle w:val="NoSpacing"/>
        <w:jc w:val="center"/>
      </w:pPr>
    </w:p>
    <w:p w14:paraId="3B9AFCF2" w14:textId="77777777" w:rsidR="00730F0A" w:rsidRDefault="00730F0A" w:rsidP="00730F0A">
      <w:pPr>
        <w:pStyle w:val="NoSpacing"/>
        <w:jc w:val="center"/>
      </w:pPr>
    </w:p>
    <w:p w14:paraId="43E6A7BB" w14:textId="77777777" w:rsidR="00730F0A" w:rsidRDefault="00730F0A" w:rsidP="00730F0A">
      <w:pPr>
        <w:pStyle w:val="NoSpacing"/>
        <w:jc w:val="center"/>
      </w:pPr>
    </w:p>
    <w:p w14:paraId="02BD8648" w14:textId="77777777" w:rsidR="00730F0A" w:rsidRDefault="00730F0A" w:rsidP="00730F0A">
      <w:pPr>
        <w:pStyle w:val="NoSpacing"/>
        <w:jc w:val="center"/>
      </w:pPr>
    </w:p>
    <w:p w14:paraId="3BD5275D" w14:textId="77777777" w:rsidR="00730F0A" w:rsidRDefault="00730F0A" w:rsidP="00730F0A">
      <w:pPr>
        <w:pStyle w:val="NoSpacing"/>
        <w:jc w:val="center"/>
      </w:pPr>
    </w:p>
    <w:p w14:paraId="7B53DEE5" w14:textId="77777777" w:rsidR="00730F0A" w:rsidRDefault="00730F0A" w:rsidP="00730F0A">
      <w:pPr>
        <w:pStyle w:val="NoSpacing"/>
        <w:jc w:val="center"/>
      </w:pPr>
    </w:p>
    <w:p w14:paraId="5B9AEC4E" w14:textId="77777777" w:rsidR="00730F0A" w:rsidRDefault="00730F0A" w:rsidP="00730F0A">
      <w:pPr>
        <w:pStyle w:val="NoSpacing"/>
        <w:jc w:val="center"/>
      </w:pPr>
    </w:p>
    <w:p w14:paraId="61684294" w14:textId="77777777" w:rsidR="00730F0A" w:rsidRDefault="00730F0A" w:rsidP="00730F0A">
      <w:pPr>
        <w:pStyle w:val="NoSpacing"/>
        <w:jc w:val="center"/>
      </w:pPr>
    </w:p>
    <w:p w14:paraId="77CF0439" w14:textId="77777777" w:rsidR="00730F0A" w:rsidRDefault="00730F0A" w:rsidP="00730F0A">
      <w:pPr>
        <w:pStyle w:val="NoSpacing"/>
        <w:jc w:val="center"/>
      </w:pPr>
    </w:p>
    <w:p w14:paraId="5BE20474" w14:textId="77777777" w:rsidR="00730F0A" w:rsidRDefault="00730F0A" w:rsidP="00730F0A">
      <w:pPr>
        <w:pStyle w:val="NoSpacing"/>
        <w:jc w:val="center"/>
      </w:pPr>
    </w:p>
    <w:p w14:paraId="08D1B8D3" w14:textId="77777777" w:rsidR="00730F0A" w:rsidRDefault="00730F0A" w:rsidP="00730F0A">
      <w:pPr>
        <w:pStyle w:val="NoSpacing"/>
        <w:jc w:val="center"/>
      </w:pPr>
    </w:p>
    <w:p w14:paraId="70AC3298" w14:textId="77777777" w:rsidR="00730F0A" w:rsidRDefault="00730F0A" w:rsidP="00730F0A">
      <w:pPr>
        <w:pStyle w:val="NoSpacing"/>
        <w:jc w:val="center"/>
      </w:pPr>
    </w:p>
    <w:p w14:paraId="191DD70D" w14:textId="77777777" w:rsidR="00730F0A" w:rsidRDefault="00730F0A" w:rsidP="00730F0A">
      <w:pPr>
        <w:pStyle w:val="NoSpacing"/>
        <w:jc w:val="center"/>
      </w:pPr>
    </w:p>
    <w:p w14:paraId="28CFBB81" w14:textId="77777777" w:rsidR="00730F0A" w:rsidRDefault="00730F0A" w:rsidP="00730F0A">
      <w:pPr>
        <w:pStyle w:val="NoSpacing"/>
        <w:jc w:val="center"/>
      </w:pPr>
    </w:p>
    <w:p w14:paraId="44591D07" w14:textId="77777777" w:rsidR="00730F0A" w:rsidRDefault="00730F0A" w:rsidP="00730F0A">
      <w:pPr>
        <w:pStyle w:val="NoSpacing"/>
        <w:jc w:val="center"/>
      </w:pPr>
    </w:p>
    <w:p w14:paraId="29BB753A" w14:textId="77777777" w:rsidR="00730F0A" w:rsidRDefault="00730F0A" w:rsidP="00730F0A">
      <w:pPr>
        <w:pStyle w:val="NoSpacing"/>
        <w:jc w:val="center"/>
      </w:pPr>
    </w:p>
    <w:p w14:paraId="178D0A30" w14:textId="77777777" w:rsidR="00730F0A" w:rsidRDefault="00730F0A" w:rsidP="00730F0A">
      <w:pPr>
        <w:pStyle w:val="NoSpacing"/>
        <w:jc w:val="center"/>
      </w:pPr>
    </w:p>
    <w:p w14:paraId="18CC9E4B" w14:textId="77777777" w:rsidR="00730F0A" w:rsidRDefault="00730F0A" w:rsidP="00730F0A">
      <w:pPr>
        <w:pStyle w:val="NoSpacing"/>
        <w:jc w:val="center"/>
      </w:pPr>
    </w:p>
    <w:p w14:paraId="7CE16854" w14:textId="77777777" w:rsidR="00730F0A" w:rsidRDefault="00730F0A" w:rsidP="00730F0A">
      <w:pPr>
        <w:pStyle w:val="NoSpacing"/>
        <w:jc w:val="center"/>
      </w:pPr>
    </w:p>
    <w:p w14:paraId="6E6C4A7C" w14:textId="77777777" w:rsidR="00730F0A" w:rsidRDefault="00730F0A" w:rsidP="00730F0A">
      <w:pPr>
        <w:pStyle w:val="NoSpacing"/>
        <w:jc w:val="center"/>
      </w:pPr>
    </w:p>
    <w:p w14:paraId="4B726D82" w14:textId="77777777" w:rsidR="00730F0A" w:rsidRDefault="00730F0A" w:rsidP="00730F0A">
      <w:pPr>
        <w:pStyle w:val="NoSpacing"/>
        <w:jc w:val="center"/>
      </w:pPr>
    </w:p>
    <w:p w14:paraId="7FDFF4CE" w14:textId="77777777" w:rsidR="00730F0A" w:rsidRDefault="00730F0A" w:rsidP="00730F0A">
      <w:pPr>
        <w:pStyle w:val="NoSpacing"/>
        <w:jc w:val="center"/>
      </w:pPr>
    </w:p>
    <w:p w14:paraId="4DBF8835" w14:textId="77777777" w:rsidR="00730F0A" w:rsidRDefault="00730F0A" w:rsidP="00730F0A">
      <w:pPr>
        <w:pStyle w:val="NoSpacing"/>
        <w:jc w:val="center"/>
      </w:pPr>
    </w:p>
    <w:p w14:paraId="47D93F62" w14:textId="77777777" w:rsidR="00730F0A" w:rsidRDefault="00730F0A" w:rsidP="00730F0A">
      <w:pPr>
        <w:pStyle w:val="NoSpacing"/>
        <w:jc w:val="center"/>
      </w:pPr>
    </w:p>
    <w:p w14:paraId="74615C2E" w14:textId="77777777" w:rsidR="00730F0A" w:rsidRDefault="00730F0A" w:rsidP="00730F0A">
      <w:pPr>
        <w:pStyle w:val="NoSpacing"/>
        <w:jc w:val="center"/>
      </w:pPr>
    </w:p>
    <w:p w14:paraId="561A38C9" w14:textId="77777777" w:rsidR="00730F0A" w:rsidRDefault="00730F0A" w:rsidP="00730F0A">
      <w:pPr>
        <w:pStyle w:val="NoSpacing"/>
        <w:jc w:val="center"/>
      </w:pPr>
    </w:p>
    <w:p w14:paraId="47015C66" w14:textId="08CBAA8F" w:rsidR="00730F0A" w:rsidRDefault="00D87012"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70351">
            <w:t>ZACHARY YOKELL</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5B65DF">
            <w:t>2019</w:t>
          </w:r>
        </w:sdtContent>
      </w:sdt>
    </w:p>
    <w:p w14:paraId="1A4285AE" w14:textId="5E442944" w:rsidR="00730F0A" w:rsidRDefault="00730F0A" w:rsidP="00730F0A">
      <w:pPr>
        <w:pStyle w:val="NoSpacing"/>
        <w:jc w:val="center"/>
      </w:pPr>
      <w:r>
        <w:t>All Rights Reserved.</w:t>
      </w:r>
    </w:p>
    <w:p w14:paraId="77EFF48F" w14:textId="4B861081" w:rsidR="00D87012" w:rsidRDefault="00D87012" w:rsidP="00730F0A">
      <w:pPr>
        <w:pStyle w:val="NoSpacing"/>
        <w:jc w:val="center"/>
      </w:pPr>
    </w:p>
    <w:p w14:paraId="7133F6C2" w14:textId="77777777" w:rsidR="00D87012" w:rsidRDefault="00D87012" w:rsidP="00730F0A">
      <w:pPr>
        <w:pStyle w:val="NoSpacing"/>
        <w:jc w:val="center"/>
      </w:pPr>
    </w:p>
    <w:p w14:paraId="718E5EC5" w14:textId="77777777" w:rsidR="00D87012" w:rsidRDefault="006F10CE" w:rsidP="00D87012">
      <w:r>
        <w:br w:type="page"/>
      </w:r>
      <w:r w:rsidR="00D87012">
        <w:lastRenderedPageBreak/>
        <w:t>I dedicate this dissertation to Neilee Wood, my overwhelmingly understanding spouse extraordinaire who’s stood by me through my time in this program.</w:t>
      </w:r>
    </w:p>
    <w:p w14:paraId="050F28C6" w14:textId="4F8454D5" w:rsidR="008E1C26" w:rsidRDefault="008E1C26" w:rsidP="008E1C26">
      <w:pPr>
        <w:sectPr w:rsidR="008E1C26" w:rsidSect="00183731">
          <w:pgSz w:w="12240" w:h="15840" w:code="1"/>
          <w:pgMar w:top="1440" w:right="1440" w:bottom="1440" w:left="1440" w:header="720" w:footer="720" w:gutter="0"/>
          <w:cols w:space="720"/>
          <w:docGrid w:linePitch="360"/>
        </w:sectPr>
      </w:pPr>
    </w:p>
    <w:p w14:paraId="319BEF20" w14:textId="77777777" w:rsidR="008E1C26" w:rsidRDefault="00775701" w:rsidP="00A02A61">
      <w:pPr>
        <w:pStyle w:val="Heading1"/>
        <w:numPr>
          <w:ilvl w:val="0"/>
          <w:numId w:val="0"/>
        </w:numPr>
      </w:pPr>
      <w:bookmarkStart w:id="0" w:name="_Toc310579464"/>
      <w:bookmarkStart w:id="1" w:name="_Toc185880"/>
      <w:r>
        <w:lastRenderedPageBreak/>
        <w:t>Acknowledgements</w:t>
      </w:r>
      <w:bookmarkEnd w:id="0"/>
      <w:bookmarkEnd w:id="1"/>
    </w:p>
    <w:p w14:paraId="46316522" w14:textId="77777777" w:rsidR="0089235C" w:rsidRDefault="006167FB" w:rsidP="00E77477">
      <w:r>
        <w:t xml:space="preserve">I would like to </w:t>
      </w:r>
      <w:r w:rsidR="001D335F">
        <w:t>thank</w:t>
      </w:r>
      <w:r>
        <w:t xml:space="preserve"> Dr. Rong Gan</w:t>
      </w:r>
      <w:r w:rsidR="0089235C">
        <w:t>, my advisor and the primary investigator of the Biomedi</w:t>
      </w:r>
      <w:r w:rsidR="00D94A72">
        <w:t>cal Engineering Laboratory at the University of Oklahoma</w:t>
      </w:r>
      <w:r w:rsidR="0089235C">
        <w:t xml:space="preserve">. Her support and advice since I first joined the lab in 2012 have been invaluable. </w:t>
      </w:r>
    </w:p>
    <w:p w14:paraId="7001A044" w14:textId="7924F9CA" w:rsidR="0089235C" w:rsidRDefault="0089235C" w:rsidP="00E77477">
      <w:r>
        <w:t xml:space="preserve">I would also like to thank the other members of the lab, both past and present. </w:t>
      </w:r>
      <w:r w:rsidR="00AC5B40">
        <w:t xml:space="preserve">Shangyuan Jiang, a fellow Ph.D. student who joined around the same time as </w:t>
      </w:r>
      <w:r w:rsidR="00B25DEE">
        <w:t>I did</w:t>
      </w:r>
      <w:r w:rsidR="00AC5B40">
        <w:t xml:space="preserve">, has been a great companion through many shared late nights in the lab. </w:t>
      </w:r>
      <w:r>
        <w:t xml:space="preserve">Don Nakmali was </w:t>
      </w:r>
      <w:r w:rsidR="00D94A72">
        <w:t>instrumental</w:t>
      </w:r>
      <w:r>
        <w:t xml:space="preserve"> in determining the best way to insert electrodes into the chinchilla stapedius muscle. Brooke Hitt and Kyle Smith have also been </w:t>
      </w:r>
      <w:r w:rsidR="00D94A72">
        <w:t>incredibly</w:t>
      </w:r>
      <w:r>
        <w:t xml:space="preserve"> helpful with the various animal studies I have been involved in with this lab. </w:t>
      </w:r>
      <w:r w:rsidR="00206EB3">
        <w:t xml:space="preserve">Dr. </w:t>
      </w:r>
      <w:r w:rsidR="00AC5B40">
        <w:t xml:space="preserve">Xiying Guan, </w:t>
      </w:r>
      <w:r w:rsidR="00E43785">
        <w:t xml:space="preserve">Dr. Xuelin Wang, Dr. Xiao Ji, </w:t>
      </w:r>
      <w:r w:rsidR="00AC5B40">
        <w:t xml:space="preserve">Marcus Brown, </w:t>
      </w:r>
      <w:r w:rsidR="00206EB3">
        <w:t xml:space="preserve">Warren Engels, </w:t>
      </w:r>
      <w:r w:rsidR="009B3C55">
        <w:t xml:space="preserve">Dr. Tao Chen, </w:t>
      </w:r>
      <w:r w:rsidR="00E43785">
        <w:t xml:space="preserve">Dr. Junfeng Liang, and </w:t>
      </w:r>
      <w:r w:rsidR="00206EB3">
        <w:t>Kegan Leckness</w:t>
      </w:r>
      <w:r w:rsidR="009B3C55">
        <w:t xml:space="preserve"> have all helped in some way </w:t>
      </w:r>
      <w:r w:rsidR="00B25DEE">
        <w:t>throughout</w:t>
      </w:r>
      <w:r w:rsidR="009B3C55">
        <w:t xml:space="preserve"> my time here.</w:t>
      </w:r>
    </w:p>
    <w:p w14:paraId="096E4585" w14:textId="64861A0C" w:rsidR="003450B1" w:rsidRDefault="0089235C" w:rsidP="00E77477">
      <w:r>
        <w:t xml:space="preserve">I would like to thank </w:t>
      </w:r>
      <w:r w:rsidR="00B25DEE">
        <w:t xml:space="preserve">the members of </w:t>
      </w:r>
      <w:r>
        <w:t xml:space="preserve">my committee for their feedback. </w:t>
      </w:r>
    </w:p>
    <w:p w14:paraId="666DB9AF" w14:textId="77777777" w:rsidR="0089235C" w:rsidRDefault="0089235C" w:rsidP="00E77477">
      <w:r>
        <w:t xml:space="preserve">Finally, I would like to thank </w:t>
      </w:r>
      <w:r w:rsidR="009B3C55">
        <w:t xml:space="preserve">my </w:t>
      </w:r>
      <w:r w:rsidR="00552E35">
        <w:t>wife</w:t>
      </w:r>
      <w:r w:rsidR="009B3C55">
        <w:t xml:space="preserve"> Neilee and </w:t>
      </w:r>
      <w:r>
        <w:t xml:space="preserve">my </w:t>
      </w:r>
      <w:r w:rsidR="009B3C55">
        <w:t>family</w:t>
      </w:r>
      <w:r w:rsidR="00AC5B40">
        <w:t xml:space="preserve"> for their love, support, and help through the entirety of my graduate studies.</w:t>
      </w:r>
    </w:p>
    <w:p w14:paraId="1A795B86" w14:textId="77777777" w:rsidR="00C512AC" w:rsidRDefault="00C512AC" w:rsidP="00E77477">
      <w:r>
        <w:t xml:space="preserve">This work was supported by NIH </w:t>
      </w:r>
      <w:r w:rsidRPr="00C512AC">
        <w:t>R01DC011585</w:t>
      </w:r>
      <w:r>
        <w:t xml:space="preserve"> and DOD W81XWH-14-1-00228.</w:t>
      </w:r>
    </w:p>
    <w:p w14:paraId="3CB8DB34" w14:textId="1BB2FE9D" w:rsidR="00775701" w:rsidRDefault="00775701" w:rsidP="00A02A61">
      <w:pPr>
        <w:pStyle w:val="Title"/>
        <w:numPr>
          <w:ilvl w:val="0"/>
          <w:numId w:val="0"/>
        </w:numPr>
      </w:pPr>
      <w:r>
        <w:br w:type="page"/>
      </w:r>
      <w:r>
        <w:lastRenderedPageBreak/>
        <w:t xml:space="preserve">Table of </w:t>
      </w:r>
      <w:r w:rsidRPr="00775701">
        <w:t>Contents</w:t>
      </w:r>
    </w:p>
    <w:bookmarkStart w:id="2" w:name="_GoBack"/>
    <w:bookmarkEnd w:id="2"/>
    <w:p w14:paraId="3AD1A9F1" w14:textId="1D507089" w:rsidR="00216C1B" w:rsidRDefault="00F7122D">
      <w:pPr>
        <w:pStyle w:val="TOC1"/>
        <w:rPr>
          <w:rFonts w:eastAsiaTheme="minorEastAsia" w:cstheme="minorBidi"/>
          <w:noProof/>
          <w:sz w:val="22"/>
          <w:szCs w:val="22"/>
          <w:lang w:eastAsia="ja-JP" w:bidi="ar-SA"/>
        </w:rPr>
      </w:pPr>
      <w:r>
        <w:fldChar w:fldCharType="begin"/>
      </w:r>
      <w:r w:rsidR="000F56FF">
        <w:instrText xml:space="preserve"> TOC \o "3-3" \h \z \t "Heading 1,1,Heading 2,2,Chapter,1" </w:instrText>
      </w:r>
      <w:r>
        <w:fldChar w:fldCharType="separate"/>
      </w:r>
      <w:hyperlink w:anchor="_Toc185880" w:history="1">
        <w:r w:rsidR="00216C1B" w:rsidRPr="00B14924">
          <w:rPr>
            <w:rStyle w:val="Hyperlink"/>
            <w:noProof/>
          </w:rPr>
          <w:t>Acknowledgements</w:t>
        </w:r>
        <w:r w:rsidR="00216C1B">
          <w:rPr>
            <w:noProof/>
            <w:webHidden/>
          </w:rPr>
          <w:tab/>
        </w:r>
        <w:r w:rsidR="00216C1B">
          <w:rPr>
            <w:noProof/>
            <w:webHidden/>
          </w:rPr>
          <w:fldChar w:fldCharType="begin"/>
        </w:r>
        <w:r w:rsidR="00216C1B">
          <w:rPr>
            <w:noProof/>
            <w:webHidden/>
          </w:rPr>
          <w:instrText xml:space="preserve"> PAGEREF _Toc185880 \h </w:instrText>
        </w:r>
        <w:r w:rsidR="00216C1B">
          <w:rPr>
            <w:noProof/>
            <w:webHidden/>
          </w:rPr>
        </w:r>
        <w:r w:rsidR="00216C1B">
          <w:rPr>
            <w:noProof/>
            <w:webHidden/>
          </w:rPr>
          <w:fldChar w:fldCharType="separate"/>
        </w:r>
        <w:r w:rsidR="00FC3CCD">
          <w:rPr>
            <w:noProof/>
            <w:webHidden/>
          </w:rPr>
          <w:t>iv</w:t>
        </w:r>
        <w:r w:rsidR="00216C1B">
          <w:rPr>
            <w:noProof/>
            <w:webHidden/>
          </w:rPr>
          <w:fldChar w:fldCharType="end"/>
        </w:r>
      </w:hyperlink>
    </w:p>
    <w:p w14:paraId="187156C6" w14:textId="7B2276D1" w:rsidR="00216C1B" w:rsidRDefault="00216C1B">
      <w:pPr>
        <w:pStyle w:val="TOC1"/>
        <w:rPr>
          <w:rFonts w:eastAsiaTheme="minorEastAsia" w:cstheme="minorBidi"/>
          <w:noProof/>
          <w:sz w:val="22"/>
          <w:szCs w:val="22"/>
          <w:lang w:eastAsia="ja-JP" w:bidi="ar-SA"/>
        </w:rPr>
      </w:pPr>
      <w:hyperlink w:anchor="_Toc185881" w:history="1">
        <w:r w:rsidRPr="00B14924">
          <w:rPr>
            <w:rStyle w:val="Hyperlink"/>
            <w:noProof/>
          </w:rPr>
          <w:t>List of Tables</w:t>
        </w:r>
        <w:r>
          <w:rPr>
            <w:noProof/>
            <w:webHidden/>
          </w:rPr>
          <w:tab/>
        </w:r>
        <w:r>
          <w:rPr>
            <w:noProof/>
            <w:webHidden/>
          </w:rPr>
          <w:fldChar w:fldCharType="begin"/>
        </w:r>
        <w:r>
          <w:rPr>
            <w:noProof/>
            <w:webHidden/>
          </w:rPr>
          <w:instrText xml:space="preserve"> PAGEREF _Toc185881 \h </w:instrText>
        </w:r>
        <w:r>
          <w:rPr>
            <w:noProof/>
            <w:webHidden/>
          </w:rPr>
        </w:r>
        <w:r>
          <w:rPr>
            <w:noProof/>
            <w:webHidden/>
          </w:rPr>
          <w:fldChar w:fldCharType="separate"/>
        </w:r>
        <w:r w:rsidR="00FC3CCD">
          <w:rPr>
            <w:noProof/>
            <w:webHidden/>
          </w:rPr>
          <w:t>ix</w:t>
        </w:r>
        <w:r>
          <w:rPr>
            <w:noProof/>
            <w:webHidden/>
          </w:rPr>
          <w:fldChar w:fldCharType="end"/>
        </w:r>
      </w:hyperlink>
    </w:p>
    <w:p w14:paraId="4F1AA3B3" w14:textId="36987E57" w:rsidR="00216C1B" w:rsidRDefault="00216C1B">
      <w:pPr>
        <w:pStyle w:val="TOC1"/>
        <w:rPr>
          <w:rFonts w:eastAsiaTheme="minorEastAsia" w:cstheme="minorBidi"/>
          <w:noProof/>
          <w:sz w:val="22"/>
          <w:szCs w:val="22"/>
          <w:lang w:eastAsia="ja-JP" w:bidi="ar-SA"/>
        </w:rPr>
      </w:pPr>
      <w:hyperlink w:anchor="_Toc185882" w:history="1">
        <w:r w:rsidRPr="00B14924">
          <w:rPr>
            <w:rStyle w:val="Hyperlink"/>
            <w:noProof/>
          </w:rPr>
          <w:t>List of Figures</w:t>
        </w:r>
        <w:r>
          <w:rPr>
            <w:noProof/>
            <w:webHidden/>
          </w:rPr>
          <w:tab/>
        </w:r>
        <w:r>
          <w:rPr>
            <w:noProof/>
            <w:webHidden/>
          </w:rPr>
          <w:fldChar w:fldCharType="begin"/>
        </w:r>
        <w:r>
          <w:rPr>
            <w:noProof/>
            <w:webHidden/>
          </w:rPr>
          <w:instrText xml:space="preserve"> PAGEREF _Toc185882 \h </w:instrText>
        </w:r>
        <w:r>
          <w:rPr>
            <w:noProof/>
            <w:webHidden/>
          </w:rPr>
        </w:r>
        <w:r>
          <w:rPr>
            <w:noProof/>
            <w:webHidden/>
          </w:rPr>
          <w:fldChar w:fldCharType="separate"/>
        </w:r>
        <w:r w:rsidR="00FC3CCD">
          <w:rPr>
            <w:noProof/>
            <w:webHidden/>
          </w:rPr>
          <w:t>x</w:t>
        </w:r>
        <w:r>
          <w:rPr>
            <w:noProof/>
            <w:webHidden/>
          </w:rPr>
          <w:fldChar w:fldCharType="end"/>
        </w:r>
      </w:hyperlink>
    </w:p>
    <w:p w14:paraId="4C06E597" w14:textId="3FDB8D61" w:rsidR="00216C1B" w:rsidRDefault="00216C1B">
      <w:pPr>
        <w:pStyle w:val="TOC1"/>
        <w:rPr>
          <w:rFonts w:eastAsiaTheme="minorEastAsia" w:cstheme="minorBidi"/>
          <w:noProof/>
          <w:sz w:val="22"/>
          <w:szCs w:val="22"/>
          <w:lang w:eastAsia="ja-JP" w:bidi="ar-SA"/>
        </w:rPr>
      </w:pPr>
      <w:hyperlink w:anchor="_Toc185883" w:history="1">
        <w:r w:rsidRPr="00B14924">
          <w:rPr>
            <w:rStyle w:val="Hyperlink"/>
            <w:noProof/>
          </w:rPr>
          <w:t>Abstract</w:t>
        </w:r>
        <w:r>
          <w:rPr>
            <w:noProof/>
            <w:webHidden/>
          </w:rPr>
          <w:tab/>
        </w:r>
        <w:r>
          <w:rPr>
            <w:noProof/>
            <w:webHidden/>
          </w:rPr>
          <w:fldChar w:fldCharType="begin"/>
        </w:r>
        <w:r>
          <w:rPr>
            <w:noProof/>
            <w:webHidden/>
          </w:rPr>
          <w:instrText xml:space="preserve"> PAGEREF _Toc185883 \h </w:instrText>
        </w:r>
        <w:r>
          <w:rPr>
            <w:noProof/>
            <w:webHidden/>
          </w:rPr>
        </w:r>
        <w:r>
          <w:rPr>
            <w:noProof/>
            <w:webHidden/>
          </w:rPr>
          <w:fldChar w:fldCharType="separate"/>
        </w:r>
        <w:r w:rsidR="00FC3CCD">
          <w:rPr>
            <w:noProof/>
            <w:webHidden/>
          </w:rPr>
          <w:t>xii</w:t>
        </w:r>
        <w:r>
          <w:rPr>
            <w:noProof/>
            <w:webHidden/>
          </w:rPr>
          <w:fldChar w:fldCharType="end"/>
        </w:r>
      </w:hyperlink>
    </w:p>
    <w:p w14:paraId="3FA2AA59" w14:textId="728B78CC" w:rsidR="00216C1B" w:rsidRDefault="00216C1B">
      <w:pPr>
        <w:pStyle w:val="TOC1"/>
        <w:rPr>
          <w:rFonts w:eastAsiaTheme="minorEastAsia" w:cstheme="minorBidi"/>
          <w:noProof/>
          <w:sz w:val="22"/>
          <w:szCs w:val="22"/>
          <w:lang w:eastAsia="ja-JP" w:bidi="ar-SA"/>
        </w:rPr>
      </w:pPr>
      <w:hyperlink w:anchor="_Toc185884" w:history="1">
        <w:r w:rsidRPr="00B14924">
          <w:rPr>
            <w:rStyle w:val="Hyperlink"/>
            <w:noProof/>
          </w:rPr>
          <w:t>Chapter 1: Introduction</w:t>
        </w:r>
        <w:r>
          <w:rPr>
            <w:noProof/>
            <w:webHidden/>
          </w:rPr>
          <w:tab/>
        </w:r>
        <w:r>
          <w:rPr>
            <w:noProof/>
            <w:webHidden/>
          </w:rPr>
          <w:fldChar w:fldCharType="begin"/>
        </w:r>
        <w:r>
          <w:rPr>
            <w:noProof/>
            <w:webHidden/>
          </w:rPr>
          <w:instrText xml:space="preserve"> PAGEREF _Toc185884 \h </w:instrText>
        </w:r>
        <w:r>
          <w:rPr>
            <w:noProof/>
            <w:webHidden/>
          </w:rPr>
        </w:r>
        <w:r>
          <w:rPr>
            <w:noProof/>
            <w:webHidden/>
          </w:rPr>
          <w:fldChar w:fldCharType="separate"/>
        </w:r>
        <w:r w:rsidR="00FC3CCD">
          <w:rPr>
            <w:noProof/>
            <w:webHidden/>
          </w:rPr>
          <w:t>1</w:t>
        </w:r>
        <w:r>
          <w:rPr>
            <w:noProof/>
            <w:webHidden/>
          </w:rPr>
          <w:fldChar w:fldCharType="end"/>
        </w:r>
      </w:hyperlink>
    </w:p>
    <w:p w14:paraId="5E6DDFAA" w14:textId="5E1CEE8D" w:rsidR="00216C1B" w:rsidRDefault="00216C1B">
      <w:pPr>
        <w:pStyle w:val="TOC2"/>
        <w:tabs>
          <w:tab w:val="right" w:leader="dot" w:pos="9350"/>
        </w:tabs>
        <w:rPr>
          <w:rFonts w:eastAsiaTheme="minorEastAsia" w:cstheme="minorBidi"/>
          <w:noProof/>
          <w:sz w:val="22"/>
          <w:szCs w:val="22"/>
          <w:lang w:eastAsia="ja-JP" w:bidi="ar-SA"/>
        </w:rPr>
      </w:pPr>
      <w:hyperlink w:anchor="_Toc185885" w:history="1">
        <w:r w:rsidRPr="00B14924">
          <w:rPr>
            <w:rStyle w:val="Hyperlink"/>
            <w:noProof/>
          </w:rPr>
          <w:t>1.1 Mammalian Ear Anatomy</w:t>
        </w:r>
        <w:r>
          <w:rPr>
            <w:noProof/>
            <w:webHidden/>
          </w:rPr>
          <w:tab/>
        </w:r>
        <w:r>
          <w:rPr>
            <w:noProof/>
            <w:webHidden/>
          </w:rPr>
          <w:fldChar w:fldCharType="begin"/>
        </w:r>
        <w:r>
          <w:rPr>
            <w:noProof/>
            <w:webHidden/>
          </w:rPr>
          <w:instrText xml:space="preserve"> PAGEREF _Toc185885 \h </w:instrText>
        </w:r>
        <w:r>
          <w:rPr>
            <w:noProof/>
            <w:webHidden/>
          </w:rPr>
        </w:r>
        <w:r>
          <w:rPr>
            <w:noProof/>
            <w:webHidden/>
          </w:rPr>
          <w:fldChar w:fldCharType="separate"/>
        </w:r>
        <w:r w:rsidR="00FC3CCD">
          <w:rPr>
            <w:noProof/>
            <w:webHidden/>
          </w:rPr>
          <w:t>1</w:t>
        </w:r>
        <w:r>
          <w:rPr>
            <w:noProof/>
            <w:webHidden/>
          </w:rPr>
          <w:fldChar w:fldCharType="end"/>
        </w:r>
      </w:hyperlink>
    </w:p>
    <w:p w14:paraId="382A539A" w14:textId="5923CA49" w:rsidR="00216C1B" w:rsidRDefault="00216C1B">
      <w:pPr>
        <w:pStyle w:val="TOC3"/>
        <w:tabs>
          <w:tab w:val="right" w:leader="dot" w:pos="9350"/>
        </w:tabs>
        <w:rPr>
          <w:rFonts w:eastAsiaTheme="minorEastAsia" w:cstheme="minorBidi"/>
          <w:noProof/>
          <w:sz w:val="22"/>
          <w:szCs w:val="22"/>
          <w:lang w:eastAsia="ja-JP" w:bidi="ar-SA"/>
        </w:rPr>
      </w:pPr>
      <w:hyperlink w:anchor="_Toc185886" w:history="1">
        <w:r w:rsidRPr="00B14924">
          <w:rPr>
            <w:rStyle w:val="Hyperlink"/>
            <w:noProof/>
          </w:rPr>
          <w:t>1.1.1 Structures of the Ear</w:t>
        </w:r>
        <w:r>
          <w:rPr>
            <w:noProof/>
            <w:webHidden/>
          </w:rPr>
          <w:tab/>
        </w:r>
        <w:r>
          <w:rPr>
            <w:noProof/>
            <w:webHidden/>
          </w:rPr>
          <w:fldChar w:fldCharType="begin"/>
        </w:r>
        <w:r>
          <w:rPr>
            <w:noProof/>
            <w:webHidden/>
          </w:rPr>
          <w:instrText xml:space="preserve"> PAGEREF _Toc185886 \h </w:instrText>
        </w:r>
        <w:r>
          <w:rPr>
            <w:noProof/>
            <w:webHidden/>
          </w:rPr>
        </w:r>
        <w:r>
          <w:rPr>
            <w:noProof/>
            <w:webHidden/>
          </w:rPr>
          <w:fldChar w:fldCharType="separate"/>
        </w:r>
        <w:r w:rsidR="00FC3CCD">
          <w:rPr>
            <w:noProof/>
            <w:webHidden/>
          </w:rPr>
          <w:t>1</w:t>
        </w:r>
        <w:r>
          <w:rPr>
            <w:noProof/>
            <w:webHidden/>
          </w:rPr>
          <w:fldChar w:fldCharType="end"/>
        </w:r>
      </w:hyperlink>
    </w:p>
    <w:p w14:paraId="4AD6026D" w14:textId="1DB0EC29" w:rsidR="00216C1B" w:rsidRDefault="00216C1B">
      <w:pPr>
        <w:pStyle w:val="TOC3"/>
        <w:tabs>
          <w:tab w:val="right" w:leader="dot" w:pos="9350"/>
        </w:tabs>
        <w:rPr>
          <w:rFonts w:eastAsiaTheme="minorEastAsia" w:cstheme="minorBidi"/>
          <w:noProof/>
          <w:sz w:val="22"/>
          <w:szCs w:val="22"/>
          <w:lang w:eastAsia="ja-JP" w:bidi="ar-SA"/>
        </w:rPr>
      </w:pPr>
      <w:hyperlink w:anchor="_Toc185887" w:history="1">
        <w:r w:rsidRPr="00B14924">
          <w:rPr>
            <w:rStyle w:val="Hyperlink"/>
            <w:noProof/>
          </w:rPr>
          <w:t>1.1.2 Middle Ear Muscle Reflex</w:t>
        </w:r>
        <w:r>
          <w:rPr>
            <w:noProof/>
            <w:webHidden/>
          </w:rPr>
          <w:tab/>
        </w:r>
        <w:r>
          <w:rPr>
            <w:noProof/>
            <w:webHidden/>
          </w:rPr>
          <w:fldChar w:fldCharType="begin"/>
        </w:r>
        <w:r>
          <w:rPr>
            <w:noProof/>
            <w:webHidden/>
          </w:rPr>
          <w:instrText xml:space="preserve"> PAGEREF _Toc185887 \h </w:instrText>
        </w:r>
        <w:r>
          <w:rPr>
            <w:noProof/>
            <w:webHidden/>
          </w:rPr>
        </w:r>
        <w:r>
          <w:rPr>
            <w:noProof/>
            <w:webHidden/>
          </w:rPr>
          <w:fldChar w:fldCharType="separate"/>
        </w:r>
        <w:r w:rsidR="00FC3CCD">
          <w:rPr>
            <w:noProof/>
            <w:webHidden/>
          </w:rPr>
          <w:t>1</w:t>
        </w:r>
        <w:r>
          <w:rPr>
            <w:noProof/>
            <w:webHidden/>
          </w:rPr>
          <w:fldChar w:fldCharType="end"/>
        </w:r>
      </w:hyperlink>
    </w:p>
    <w:p w14:paraId="0F27F461" w14:textId="4105FCB7" w:rsidR="00216C1B" w:rsidRDefault="00216C1B">
      <w:pPr>
        <w:pStyle w:val="TOC3"/>
        <w:tabs>
          <w:tab w:val="right" w:leader="dot" w:pos="9350"/>
        </w:tabs>
        <w:rPr>
          <w:rFonts w:eastAsiaTheme="minorEastAsia" w:cstheme="minorBidi"/>
          <w:noProof/>
          <w:sz w:val="22"/>
          <w:szCs w:val="22"/>
          <w:lang w:eastAsia="ja-JP" w:bidi="ar-SA"/>
        </w:rPr>
      </w:pPr>
      <w:hyperlink w:anchor="_Toc185888" w:history="1">
        <w:r w:rsidRPr="00B14924">
          <w:rPr>
            <w:rStyle w:val="Hyperlink"/>
            <w:noProof/>
          </w:rPr>
          <w:t>1.1.3 Muscle Biomechanics</w:t>
        </w:r>
        <w:r>
          <w:rPr>
            <w:noProof/>
            <w:webHidden/>
          </w:rPr>
          <w:tab/>
        </w:r>
        <w:r>
          <w:rPr>
            <w:noProof/>
            <w:webHidden/>
          </w:rPr>
          <w:fldChar w:fldCharType="begin"/>
        </w:r>
        <w:r>
          <w:rPr>
            <w:noProof/>
            <w:webHidden/>
          </w:rPr>
          <w:instrText xml:space="preserve"> PAGEREF _Toc185888 \h </w:instrText>
        </w:r>
        <w:r>
          <w:rPr>
            <w:noProof/>
            <w:webHidden/>
          </w:rPr>
        </w:r>
        <w:r>
          <w:rPr>
            <w:noProof/>
            <w:webHidden/>
          </w:rPr>
          <w:fldChar w:fldCharType="separate"/>
        </w:r>
        <w:r w:rsidR="00FC3CCD">
          <w:rPr>
            <w:noProof/>
            <w:webHidden/>
          </w:rPr>
          <w:t>3</w:t>
        </w:r>
        <w:r>
          <w:rPr>
            <w:noProof/>
            <w:webHidden/>
          </w:rPr>
          <w:fldChar w:fldCharType="end"/>
        </w:r>
      </w:hyperlink>
    </w:p>
    <w:p w14:paraId="0AD6EC7B" w14:textId="70C35B1D" w:rsidR="00216C1B" w:rsidRDefault="00216C1B">
      <w:pPr>
        <w:pStyle w:val="TOC2"/>
        <w:tabs>
          <w:tab w:val="right" w:leader="dot" w:pos="9350"/>
        </w:tabs>
        <w:rPr>
          <w:rFonts w:eastAsiaTheme="minorEastAsia" w:cstheme="minorBidi"/>
          <w:noProof/>
          <w:sz w:val="22"/>
          <w:szCs w:val="22"/>
          <w:lang w:eastAsia="ja-JP" w:bidi="ar-SA"/>
        </w:rPr>
      </w:pPr>
      <w:hyperlink w:anchor="_Toc185889" w:history="1">
        <w:r w:rsidRPr="00B14924">
          <w:rPr>
            <w:rStyle w:val="Hyperlink"/>
            <w:noProof/>
          </w:rPr>
          <w:t>1.2 The Significance of Hearing Damage</w:t>
        </w:r>
        <w:r>
          <w:rPr>
            <w:noProof/>
            <w:webHidden/>
          </w:rPr>
          <w:tab/>
        </w:r>
        <w:r>
          <w:rPr>
            <w:noProof/>
            <w:webHidden/>
          </w:rPr>
          <w:fldChar w:fldCharType="begin"/>
        </w:r>
        <w:r>
          <w:rPr>
            <w:noProof/>
            <w:webHidden/>
          </w:rPr>
          <w:instrText xml:space="preserve"> PAGEREF _Toc185889 \h </w:instrText>
        </w:r>
        <w:r>
          <w:rPr>
            <w:noProof/>
            <w:webHidden/>
          </w:rPr>
        </w:r>
        <w:r>
          <w:rPr>
            <w:noProof/>
            <w:webHidden/>
          </w:rPr>
          <w:fldChar w:fldCharType="separate"/>
        </w:r>
        <w:r w:rsidR="00FC3CCD">
          <w:rPr>
            <w:noProof/>
            <w:webHidden/>
          </w:rPr>
          <w:t>5</w:t>
        </w:r>
        <w:r>
          <w:rPr>
            <w:noProof/>
            <w:webHidden/>
          </w:rPr>
          <w:fldChar w:fldCharType="end"/>
        </w:r>
      </w:hyperlink>
    </w:p>
    <w:p w14:paraId="723AE9D8" w14:textId="289C7780" w:rsidR="00216C1B" w:rsidRDefault="00216C1B">
      <w:pPr>
        <w:pStyle w:val="TOC2"/>
        <w:tabs>
          <w:tab w:val="right" w:leader="dot" w:pos="9350"/>
        </w:tabs>
        <w:rPr>
          <w:rFonts w:eastAsiaTheme="minorEastAsia" w:cstheme="minorBidi"/>
          <w:noProof/>
          <w:sz w:val="22"/>
          <w:szCs w:val="22"/>
          <w:lang w:eastAsia="ja-JP" w:bidi="ar-SA"/>
        </w:rPr>
      </w:pPr>
      <w:hyperlink w:anchor="_Toc185890" w:history="1">
        <w:r w:rsidRPr="00B14924">
          <w:rPr>
            <w:rStyle w:val="Hyperlink"/>
            <w:noProof/>
          </w:rPr>
          <w:t>1.3 Audiological and Muscle Testing</w:t>
        </w:r>
        <w:r>
          <w:rPr>
            <w:noProof/>
            <w:webHidden/>
          </w:rPr>
          <w:tab/>
        </w:r>
        <w:r>
          <w:rPr>
            <w:noProof/>
            <w:webHidden/>
          </w:rPr>
          <w:fldChar w:fldCharType="begin"/>
        </w:r>
        <w:r>
          <w:rPr>
            <w:noProof/>
            <w:webHidden/>
          </w:rPr>
          <w:instrText xml:space="preserve"> PAGEREF _Toc185890 \h </w:instrText>
        </w:r>
        <w:r>
          <w:rPr>
            <w:noProof/>
            <w:webHidden/>
          </w:rPr>
        </w:r>
        <w:r>
          <w:rPr>
            <w:noProof/>
            <w:webHidden/>
          </w:rPr>
          <w:fldChar w:fldCharType="separate"/>
        </w:r>
        <w:r w:rsidR="00FC3CCD">
          <w:rPr>
            <w:noProof/>
            <w:webHidden/>
          </w:rPr>
          <w:t>9</w:t>
        </w:r>
        <w:r>
          <w:rPr>
            <w:noProof/>
            <w:webHidden/>
          </w:rPr>
          <w:fldChar w:fldCharType="end"/>
        </w:r>
      </w:hyperlink>
    </w:p>
    <w:p w14:paraId="592A0864" w14:textId="63963553" w:rsidR="00216C1B" w:rsidRDefault="00216C1B">
      <w:pPr>
        <w:pStyle w:val="TOC3"/>
        <w:tabs>
          <w:tab w:val="right" w:leader="dot" w:pos="9350"/>
        </w:tabs>
        <w:rPr>
          <w:rFonts w:eastAsiaTheme="minorEastAsia" w:cstheme="minorBidi"/>
          <w:noProof/>
          <w:sz w:val="22"/>
          <w:szCs w:val="22"/>
          <w:lang w:eastAsia="ja-JP" w:bidi="ar-SA"/>
        </w:rPr>
      </w:pPr>
      <w:hyperlink w:anchor="_Toc185891" w:history="1">
        <w:r w:rsidRPr="00B14924">
          <w:rPr>
            <w:rStyle w:val="Hyperlink"/>
            <w:noProof/>
          </w:rPr>
          <w:t>1.3.1 Acoustic Reflex Threshold Testing</w:t>
        </w:r>
        <w:r>
          <w:rPr>
            <w:noProof/>
            <w:webHidden/>
          </w:rPr>
          <w:tab/>
        </w:r>
        <w:r>
          <w:rPr>
            <w:noProof/>
            <w:webHidden/>
          </w:rPr>
          <w:fldChar w:fldCharType="begin"/>
        </w:r>
        <w:r>
          <w:rPr>
            <w:noProof/>
            <w:webHidden/>
          </w:rPr>
          <w:instrText xml:space="preserve"> PAGEREF _Toc185891 \h </w:instrText>
        </w:r>
        <w:r>
          <w:rPr>
            <w:noProof/>
            <w:webHidden/>
          </w:rPr>
        </w:r>
        <w:r>
          <w:rPr>
            <w:noProof/>
            <w:webHidden/>
          </w:rPr>
          <w:fldChar w:fldCharType="separate"/>
        </w:r>
        <w:r w:rsidR="00FC3CCD">
          <w:rPr>
            <w:noProof/>
            <w:webHidden/>
          </w:rPr>
          <w:t>9</w:t>
        </w:r>
        <w:r>
          <w:rPr>
            <w:noProof/>
            <w:webHidden/>
          </w:rPr>
          <w:fldChar w:fldCharType="end"/>
        </w:r>
      </w:hyperlink>
    </w:p>
    <w:p w14:paraId="3C90C729" w14:textId="55DB9D59" w:rsidR="00216C1B" w:rsidRDefault="00216C1B">
      <w:pPr>
        <w:pStyle w:val="TOC3"/>
        <w:tabs>
          <w:tab w:val="right" w:leader="dot" w:pos="9350"/>
        </w:tabs>
        <w:rPr>
          <w:rFonts w:eastAsiaTheme="minorEastAsia" w:cstheme="minorBidi"/>
          <w:noProof/>
          <w:sz w:val="22"/>
          <w:szCs w:val="22"/>
          <w:lang w:eastAsia="ja-JP" w:bidi="ar-SA"/>
        </w:rPr>
      </w:pPr>
      <w:hyperlink w:anchor="_Toc185892" w:history="1">
        <w:r w:rsidRPr="00B14924">
          <w:rPr>
            <w:rStyle w:val="Hyperlink"/>
            <w:noProof/>
          </w:rPr>
          <w:t>1.3.2 Electromyography</w:t>
        </w:r>
        <w:r>
          <w:rPr>
            <w:noProof/>
            <w:webHidden/>
          </w:rPr>
          <w:tab/>
        </w:r>
        <w:r>
          <w:rPr>
            <w:noProof/>
            <w:webHidden/>
          </w:rPr>
          <w:fldChar w:fldCharType="begin"/>
        </w:r>
        <w:r>
          <w:rPr>
            <w:noProof/>
            <w:webHidden/>
          </w:rPr>
          <w:instrText xml:space="preserve"> PAGEREF _Toc185892 \h </w:instrText>
        </w:r>
        <w:r>
          <w:rPr>
            <w:noProof/>
            <w:webHidden/>
          </w:rPr>
        </w:r>
        <w:r>
          <w:rPr>
            <w:noProof/>
            <w:webHidden/>
          </w:rPr>
          <w:fldChar w:fldCharType="separate"/>
        </w:r>
        <w:r w:rsidR="00FC3CCD">
          <w:rPr>
            <w:noProof/>
            <w:webHidden/>
          </w:rPr>
          <w:t>10</w:t>
        </w:r>
        <w:r>
          <w:rPr>
            <w:noProof/>
            <w:webHidden/>
          </w:rPr>
          <w:fldChar w:fldCharType="end"/>
        </w:r>
      </w:hyperlink>
    </w:p>
    <w:p w14:paraId="193539C7" w14:textId="08FC5CE8" w:rsidR="00216C1B" w:rsidRDefault="00216C1B">
      <w:pPr>
        <w:pStyle w:val="TOC3"/>
        <w:tabs>
          <w:tab w:val="right" w:leader="dot" w:pos="9350"/>
        </w:tabs>
        <w:rPr>
          <w:rFonts w:eastAsiaTheme="minorEastAsia" w:cstheme="minorBidi"/>
          <w:noProof/>
          <w:sz w:val="22"/>
          <w:szCs w:val="22"/>
          <w:lang w:eastAsia="ja-JP" w:bidi="ar-SA"/>
        </w:rPr>
      </w:pPr>
      <w:hyperlink w:anchor="_Toc185893" w:history="1">
        <w:r w:rsidRPr="00B14924">
          <w:rPr>
            <w:rStyle w:val="Hyperlink"/>
            <w:noProof/>
          </w:rPr>
          <w:t>1.3.3 Auditory Brainstem Response</w:t>
        </w:r>
        <w:r>
          <w:rPr>
            <w:noProof/>
            <w:webHidden/>
          </w:rPr>
          <w:tab/>
        </w:r>
        <w:r>
          <w:rPr>
            <w:noProof/>
            <w:webHidden/>
          </w:rPr>
          <w:fldChar w:fldCharType="begin"/>
        </w:r>
        <w:r>
          <w:rPr>
            <w:noProof/>
            <w:webHidden/>
          </w:rPr>
          <w:instrText xml:space="preserve"> PAGEREF _Toc185893 \h </w:instrText>
        </w:r>
        <w:r>
          <w:rPr>
            <w:noProof/>
            <w:webHidden/>
          </w:rPr>
        </w:r>
        <w:r>
          <w:rPr>
            <w:noProof/>
            <w:webHidden/>
          </w:rPr>
          <w:fldChar w:fldCharType="separate"/>
        </w:r>
        <w:r w:rsidR="00FC3CCD">
          <w:rPr>
            <w:noProof/>
            <w:webHidden/>
          </w:rPr>
          <w:t>12</w:t>
        </w:r>
        <w:r>
          <w:rPr>
            <w:noProof/>
            <w:webHidden/>
          </w:rPr>
          <w:fldChar w:fldCharType="end"/>
        </w:r>
      </w:hyperlink>
    </w:p>
    <w:p w14:paraId="29F63E84" w14:textId="08DA7E63" w:rsidR="00216C1B" w:rsidRDefault="00216C1B">
      <w:pPr>
        <w:pStyle w:val="TOC2"/>
        <w:tabs>
          <w:tab w:val="right" w:leader="dot" w:pos="9350"/>
        </w:tabs>
        <w:rPr>
          <w:rFonts w:eastAsiaTheme="minorEastAsia" w:cstheme="minorBidi"/>
          <w:noProof/>
          <w:sz w:val="22"/>
          <w:szCs w:val="22"/>
          <w:lang w:eastAsia="ja-JP" w:bidi="ar-SA"/>
        </w:rPr>
      </w:pPr>
      <w:hyperlink w:anchor="_Toc185894" w:history="1">
        <w:r w:rsidRPr="00B14924">
          <w:rPr>
            <w:rStyle w:val="Hyperlink"/>
            <w:noProof/>
          </w:rPr>
          <w:t>1.4 Chinchillas as a Hearing Model</w:t>
        </w:r>
        <w:r>
          <w:rPr>
            <w:noProof/>
            <w:webHidden/>
          </w:rPr>
          <w:tab/>
        </w:r>
        <w:r>
          <w:rPr>
            <w:noProof/>
            <w:webHidden/>
          </w:rPr>
          <w:fldChar w:fldCharType="begin"/>
        </w:r>
        <w:r>
          <w:rPr>
            <w:noProof/>
            <w:webHidden/>
          </w:rPr>
          <w:instrText xml:space="preserve"> PAGEREF _Toc185894 \h </w:instrText>
        </w:r>
        <w:r>
          <w:rPr>
            <w:noProof/>
            <w:webHidden/>
          </w:rPr>
        </w:r>
        <w:r>
          <w:rPr>
            <w:noProof/>
            <w:webHidden/>
          </w:rPr>
          <w:fldChar w:fldCharType="separate"/>
        </w:r>
        <w:r w:rsidR="00FC3CCD">
          <w:rPr>
            <w:noProof/>
            <w:webHidden/>
          </w:rPr>
          <w:t>13</w:t>
        </w:r>
        <w:r>
          <w:rPr>
            <w:noProof/>
            <w:webHidden/>
          </w:rPr>
          <w:fldChar w:fldCharType="end"/>
        </w:r>
      </w:hyperlink>
    </w:p>
    <w:p w14:paraId="66C922C5" w14:textId="4D276952" w:rsidR="00216C1B" w:rsidRDefault="00216C1B">
      <w:pPr>
        <w:pStyle w:val="TOC3"/>
        <w:tabs>
          <w:tab w:val="right" w:leader="dot" w:pos="9350"/>
        </w:tabs>
        <w:rPr>
          <w:rFonts w:eastAsiaTheme="minorEastAsia" w:cstheme="minorBidi"/>
          <w:noProof/>
          <w:sz w:val="22"/>
          <w:szCs w:val="22"/>
          <w:lang w:eastAsia="ja-JP" w:bidi="ar-SA"/>
        </w:rPr>
      </w:pPr>
      <w:hyperlink w:anchor="_Toc185895" w:history="1">
        <w:r w:rsidRPr="00B14924">
          <w:rPr>
            <w:rStyle w:val="Hyperlink"/>
            <w:noProof/>
          </w:rPr>
          <w:t>1.4.1 Strengths of Chinchillas as a Hearing Model</w:t>
        </w:r>
        <w:r>
          <w:rPr>
            <w:noProof/>
            <w:webHidden/>
          </w:rPr>
          <w:tab/>
        </w:r>
        <w:r>
          <w:rPr>
            <w:noProof/>
            <w:webHidden/>
          </w:rPr>
          <w:fldChar w:fldCharType="begin"/>
        </w:r>
        <w:r>
          <w:rPr>
            <w:noProof/>
            <w:webHidden/>
          </w:rPr>
          <w:instrText xml:space="preserve"> PAGEREF _Toc185895 \h </w:instrText>
        </w:r>
        <w:r>
          <w:rPr>
            <w:noProof/>
            <w:webHidden/>
          </w:rPr>
        </w:r>
        <w:r>
          <w:rPr>
            <w:noProof/>
            <w:webHidden/>
          </w:rPr>
          <w:fldChar w:fldCharType="separate"/>
        </w:r>
        <w:r w:rsidR="00FC3CCD">
          <w:rPr>
            <w:noProof/>
            <w:webHidden/>
          </w:rPr>
          <w:t>13</w:t>
        </w:r>
        <w:r>
          <w:rPr>
            <w:noProof/>
            <w:webHidden/>
          </w:rPr>
          <w:fldChar w:fldCharType="end"/>
        </w:r>
      </w:hyperlink>
    </w:p>
    <w:p w14:paraId="4D47D115" w14:textId="3184BEF2" w:rsidR="00216C1B" w:rsidRDefault="00216C1B">
      <w:pPr>
        <w:pStyle w:val="TOC3"/>
        <w:tabs>
          <w:tab w:val="right" w:leader="dot" w:pos="9350"/>
        </w:tabs>
        <w:rPr>
          <w:rFonts w:eastAsiaTheme="minorEastAsia" w:cstheme="minorBidi"/>
          <w:noProof/>
          <w:sz w:val="22"/>
          <w:szCs w:val="22"/>
          <w:lang w:eastAsia="ja-JP" w:bidi="ar-SA"/>
        </w:rPr>
      </w:pPr>
      <w:hyperlink w:anchor="_Toc185896" w:history="1">
        <w:r w:rsidRPr="00B14924">
          <w:rPr>
            <w:rStyle w:val="Hyperlink"/>
            <w:noProof/>
          </w:rPr>
          <w:t>1.4.2 Animal Model MEMR Literature</w:t>
        </w:r>
        <w:r>
          <w:rPr>
            <w:noProof/>
            <w:webHidden/>
          </w:rPr>
          <w:tab/>
        </w:r>
        <w:r>
          <w:rPr>
            <w:noProof/>
            <w:webHidden/>
          </w:rPr>
          <w:fldChar w:fldCharType="begin"/>
        </w:r>
        <w:r>
          <w:rPr>
            <w:noProof/>
            <w:webHidden/>
          </w:rPr>
          <w:instrText xml:space="preserve"> PAGEREF _Toc185896 \h </w:instrText>
        </w:r>
        <w:r>
          <w:rPr>
            <w:noProof/>
            <w:webHidden/>
          </w:rPr>
        </w:r>
        <w:r>
          <w:rPr>
            <w:noProof/>
            <w:webHidden/>
          </w:rPr>
          <w:fldChar w:fldCharType="separate"/>
        </w:r>
        <w:r w:rsidR="00FC3CCD">
          <w:rPr>
            <w:noProof/>
            <w:webHidden/>
          </w:rPr>
          <w:t>14</w:t>
        </w:r>
        <w:r>
          <w:rPr>
            <w:noProof/>
            <w:webHidden/>
          </w:rPr>
          <w:fldChar w:fldCharType="end"/>
        </w:r>
      </w:hyperlink>
    </w:p>
    <w:p w14:paraId="572CF396" w14:textId="699AB71C" w:rsidR="00216C1B" w:rsidRDefault="00216C1B">
      <w:pPr>
        <w:pStyle w:val="TOC3"/>
        <w:tabs>
          <w:tab w:val="right" w:leader="dot" w:pos="9350"/>
        </w:tabs>
        <w:rPr>
          <w:rFonts w:eastAsiaTheme="minorEastAsia" w:cstheme="minorBidi"/>
          <w:noProof/>
          <w:sz w:val="22"/>
          <w:szCs w:val="22"/>
          <w:lang w:eastAsia="ja-JP" w:bidi="ar-SA"/>
        </w:rPr>
      </w:pPr>
      <w:hyperlink w:anchor="_Toc185897" w:history="1">
        <w:r w:rsidRPr="00B14924">
          <w:rPr>
            <w:rStyle w:val="Hyperlink"/>
            <w:noProof/>
          </w:rPr>
          <w:t>1.4.3 Sedation and its Implications on Ear Research</w:t>
        </w:r>
        <w:r>
          <w:rPr>
            <w:noProof/>
            <w:webHidden/>
          </w:rPr>
          <w:tab/>
        </w:r>
        <w:r>
          <w:rPr>
            <w:noProof/>
            <w:webHidden/>
          </w:rPr>
          <w:fldChar w:fldCharType="begin"/>
        </w:r>
        <w:r>
          <w:rPr>
            <w:noProof/>
            <w:webHidden/>
          </w:rPr>
          <w:instrText xml:space="preserve"> PAGEREF _Toc185897 \h </w:instrText>
        </w:r>
        <w:r>
          <w:rPr>
            <w:noProof/>
            <w:webHidden/>
          </w:rPr>
        </w:r>
        <w:r>
          <w:rPr>
            <w:noProof/>
            <w:webHidden/>
          </w:rPr>
          <w:fldChar w:fldCharType="separate"/>
        </w:r>
        <w:r w:rsidR="00FC3CCD">
          <w:rPr>
            <w:noProof/>
            <w:webHidden/>
          </w:rPr>
          <w:t>15</w:t>
        </w:r>
        <w:r>
          <w:rPr>
            <w:noProof/>
            <w:webHidden/>
          </w:rPr>
          <w:fldChar w:fldCharType="end"/>
        </w:r>
      </w:hyperlink>
    </w:p>
    <w:p w14:paraId="72899CFA" w14:textId="29E812B9" w:rsidR="00216C1B" w:rsidRDefault="00216C1B">
      <w:pPr>
        <w:pStyle w:val="TOC2"/>
        <w:tabs>
          <w:tab w:val="right" w:leader="dot" w:pos="9350"/>
        </w:tabs>
        <w:rPr>
          <w:rFonts w:eastAsiaTheme="minorEastAsia" w:cstheme="minorBidi"/>
          <w:noProof/>
          <w:sz w:val="22"/>
          <w:szCs w:val="22"/>
          <w:lang w:eastAsia="ja-JP" w:bidi="ar-SA"/>
        </w:rPr>
      </w:pPr>
      <w:hyperlink w:anchor="_Toc185898" w:history="1">
        <w:r w:rsidRPr="00B14924">
          <w:rPr>
            <w:rStyle w:val="Hyperlink"/>
            <w:noProof/>
          </w:rPr>
          <w:t>1.5 Study Goals</w:t>
        </w:r>
        <w:r>
          <w:rPr>
            <w:noProof/>
            <w:webHidden/>
          </w:rPr>
          <w:tab/>
        </w:r>
        <w:r>
          <w:rPr>
            <w:noProof/>
            <w:webHidden/>
          </w:rPr>
          <w:fldChar w:fldCharType="begin"/>
        </w:r>
        <w:r>
          <w:rPr>
            <w:noProof/>
            <w:webHidden/>
          </w:rPr>
          <w:instrText xml:space="preserve"> PAGEREF _Toc185898 \h </w:instrText>
        </w:r>
        <w:r>
          <w:rPr>
            <w:noProof/>
            <w:webHidden/>
          </w:rPr>
        </w:r>
        <w:r>
          <w:rPr>
            <w:noProof/>
            <w:webHidden/>
          </w:rPr>
          <w:fldChar w:fldCharType="separate"/>
        </w:r>
        <w:r w:rsidR="00FC3CCD">
          <w:rPr>
            <w:noProof/>
            <w:webHidden/>
          </w:rPr>
          <w:t>17</w:t>
        </w:r>
        <w:r>
          <w:rPr>
            <w:noProof/>
            <w:webHidden/>
          </w:rPr>
          <w:fldChar w:fldCharType="end"/>
        </w:r>
      </w:hyperlink>
    </w:p>
    <w:p w14:paraId="24581AB5" w14:textId="2507D61C" w:rsidR="00216C1B" w:rsidRDefault="00216C1B">
      <w:pPr>
        <w:pStyle w:val="TOC1"/>
        <w:rPr>
          <w:rFonts w:eastAsiaTheme="minorEastAsia" w:cstheme="minorBidi"/>
          <w:noProof/>
          <w:sz w:val="22"/>
          <w:szCs w:val="22"/>
          <w:lang w:eastAsia="ja-JP" w:bidi="ar-SA"/>
        </w:rPr>
      </w:pPr>
      <w:hyperlink w:anchor="_Toc185899" w:history="1">
        <w:r w:rsidRPr="00B14924">
          <w:rPr>
            <w:rStyle w:val="Hyperlink"/>
            <w:noProof/>
          </w:rPr>
          <w:t>Chapter 2: Electromyographic Characterization of Chinchilla MEMR</w:t>
        </w:r>
        <w:r>
          <w:rPr>
            <w:noProof/>
            <w:webHidden/>
          </w:rPr>
          <w:tab/>
        </w:r>
        <w:r>
          <w:rPr>
            <w:noProof/>
            <w:webHidden/>
          </w:rPr>
          <w:fldChar w:fldCharType="begin"/>
        </w:r>
        <w:r>
          <w:rPr>
            <w:noProof/>
            <w:webHidden/>
          </w:rPr>
          <w:instrText xml:space="preserve"> PAGEREF _Toc185899 \h </w:instrText>
        </w:r>
        <w:r>
          <w:rPr>
            <w:noProof/>
            <w:webHidden/>
          </w:rPr>
        </w:r>
        <w:r>
          <w:rPr>
            <w:noProof/>
            <w:webHidden/>
          </w:rPr>
          <w:fldChar w:fldCharType="separate"/>
        </w:r>
        <w:r w:rsidR="00FC3CCD">
          <w:rPr>
            <w:noProof/>
            <w:webHidden/>
          </w:rPr>
          <w:t>18</w:t>
        </w:r>
        <w:r>
          <w:rPr>
            <w:noProof/>
            <w:webHidden/>
          </w:rPr>
          <w:fldChar w:fldCharType="end"/>
        </w:r>
      </w:hyperlink>
    </w:p>
    <w:p w14:paraId="63055D34" w14:textId="78F02306" w:rsidR="00216C1B" w:rsidRDefault="00216C1B">
      <w:pPr>
        <w:pStyle w:val="TOC2"/>
        <w:tabs>
          <w:tab w:val="right" w:leader="dot" w:pos="9350"/>
        </w:tabs>
        <w:rPr>
          <w:rFonts w:eastAsiaTheme="minorEastAsia" w:cstheme="minorBidi"/>
          <w:noProof/>
          <w:sz w:val="22"/>
          <w:szCs w:val="22"/>
          <w:lang w:eastAsia="ja-JP" w:bidi="ar-SA"/>
        </w:rPr>
      </w:pPr>
      <w:hyperlink w:anchor="_Toc185900" w:history="1">
        <w:r w:rsidRPr="00B14924">
          <w:rPr>
            <w:rStyle w:val="Hyperlink"/>
            <w:noProof/>
          </w:rPr>
          <w:t>2.1 Introduction</w:t>
        </w:r>
        <w:r>
          <w:rPr>
            <w:noProof/>
            <w:webHidden/>
          </w:rPr>
          <w:tab/>
        </w:r>
        <w:r>
          <w:rPr>
            <w:noProof/>
            <w:webHidden/>
          </w:rPr>
          <w:fldChar w:fldCharType="begin"/>
        </w:r>
        <w:r>
          <w:rPr>
            <w:noProof/>
            <w:webHidden/>
          </w:rPr>
          <w:instrText xml:space="preserve"> PAGEREF _Toc185900 \h </w:instrText>
        </w:r>
        <w:r>
          <w:rPr>
            <w:noProof/>
            <w:webHidden/>
          </w:rPr>
        </w:r>
        <w:r>
          <w:rPr>
            <w:noProof/>
            <w:webHidden/>
          </w:rPr>
          <w:fldChar w:fldCharType="separate"/>
        </w:r>
        <w:r w:rsidR="00FC3CCD">
          <w:rPr>
            <w:noProof/>
            <w:webHidden/>
          </w:rPr>
          <w:t>18</w:t>
        </w:r>
        <w:r>
          <w:rPr>
            <w:noProof/>
            <w:webHidden/>
          </w:rPr>
          <w:fldChar w:fldCharType="end"/>
        </w:r>
      </w:hyperlink>
    </w:p>
    <w:p w14:paraId="5FD590B8" w14:textId="5AF3873E" w:rsidR="00216C1B" w:rsidRDefault="00216C1B">
      <w:pPr>
        <w:pStyle w:val="TOC2"/>
        <w:tabs>
          <w:tab w:val="right" w:leader="dot" w:pos="9350"/>
        </w:tabs>
        <w:rPr>
          <w:rFonts w:eastAsiaTheme="minorEastAsia" w:cstheme="minorBidi"/>
          <w:noProof/>
          <w:sz w:val="22"/>
          <w:szCs w:val="22"/>
          <w:lang w:eastAsia="ja-JP" w:bidi="ar-SA"/>
        </w:rPr>
      </w:pPr>
      <w:hyperlink w:anchor="_Toc185901" w:history="1">
        <w:r w:rsidRPr="00B14924">
          <w:rPr>
            <w:rStyle w:val="Hyperlink"/>
            <w:noProof/>
          </w:rPr>
          <w:t>2.2 Experimental Setup</w:t>
        </w:r>
        <w:r>
          <w:rPr>
            <w:noProof/>
            <w:webHidden/>
          </w:rPr>
          <w:tab/>
        </w:r>
        <w:r>
          <w:rPr>
            <w:noProof/>
            <w:webHidden/>
          </w:rPr>
          <w:fldChar w:fldCharType="begin"/>
        </w:r>
        <w:r>
          <w:rPr>
            <w:noProof/>
            <w:webHidden/>
          </w:rPr>
          <w:instrText xml:space="preserve"> PAGEREF _Toc185901 \h </w:instrText>
        </w:r>
        <w:r>
          <w:rPr>
            <w:noProof/>
            <w:webHidden/>
          </w:rPr>
        </w:r>
        <w:r>
          <w:rPr>
            <w:noProof/>
            <w:webHidden/>
          </w:rPr>
          <w:fldChar w:fldCharType="separate"/>
        </w:r>
        <w:r w:rsidR="00FC3CCD">
          <w:rPr>
            <w:noProof/>
            <w:webHidden/>
          </w:rPr>
          <w:t>18</w:t>
        </w:r>
        <w:r>
          <w:rPr>
            <w:noProof/>
            <w:webHidden/>
          </w:rPr>
          <w:fldChar w:fldCharType="end"/>
        </w:r>
      </w:hyperlink>
    </w:p>
    <w:p w14:paraId="1F1DD436" w14:textId="2BC4CD46" w:rsidR="00216C1B" w:rsidRDefault="00216C1B">
      <w:pPr>
        <w:pStyle w:val="TOC3"/>
        <w:tabs>
          <w:tab w:val="right" w:leader="dot" w:pos="9350"/>
        </w:tabs>
        <w:rPr>
          <w:rFonts w:eastAsiaTheme="minorEastAsia" w:cstheme="minorBidi"/>
          <w:noProof/>
          <w:sz w:val="22"/>
          <w:szCs w:val="22"/>
          <w:lang w:eastAsia="ja-JP" w:bidi="ar-SA"/>
        </w:rPr>
      </w:pPr>
      <w:hyperlink w:anchor="_Toc185902" w:history="1">
        <w:r w:rsidRPr="00B14924">
          <w:rPr>
            <w:rStyle w:val="Hyperlink"/>
            <w:noProof/>
          </w:rPr>
          <w:t>2.2.1 Chinchilla Specimens</w:t>
        </w:r>
        <w:r>
          <w:rPr>
            <w:noProof/>
            <w:webHidden/>
          </w:rPr>
          <w:tab/>
        </w:r>
        <w:r>
          <w:rPr>
            <w:noProof/>
            <w:webHidden/>
          </w:rPr>
          <w:fldChar w:fldCharType="begin"/>
        </w:r>
        <w:r>
          <w:rPr>
            <w:noProof/>
            <w:webHidden/>
          </w:rPr>
          <w:instrText xml:space="preserve"> PAGEREF _Toc185902 \h </w:instrText>
        </w:r>
        <w:r>
          <w:rPr>
            <w:noProof/>
            <w:webHidden/>
          </w:rPr>
        </w:r>
        <w:r>
          <w:rPr>
            <w:noProof/>
            <w:webHidden/>
          </w:rPr>
          <w:fldChar w:fldCharType="separate"/>
        </w:r>
        <w:r w:rsidR="00FC3CCD">
          <w:rPr>
            <w:noProof/>
            <w:webHidden/>
          </w:rPr>
          <w:t>18</w:t>
        </w:r>
        <w:r>
          <w:rPr>
            <w:noProof/>
            <w:webHidden/>
          </w:rPr>
          <w:fldChar w:fldCharType="end"/>
        </w:r>
      </w:hyperlink>
    </w:p>
    <w:p w14:paraId="5662EEA3" w14:textId="0220BDDC" w:rsidR="00216C1B" w:rsidRDefault="00216C1B">
      <w:pPr>
        <w:pStyle w:val="TOC3"/>
        <w:tabs>
          <w:tab w:val="right" w:leader="dot" w:pos="9350"/>
        </w:tabs>
        <w:rPr>
          <w:rFonts w:eastAsiaTheme="minorEastAsia" w:cstheme="minorBidi"/>
          <w:noProof/>
          <w:sz w:val="22"/>
          <w:szCs w:val="22"/>
          <w:lang w:eastAsia="ja-JP" w:bidi="ar-SA"/>
        </w:rPr>
      </w:pPr>
      <w:hyperlink w:anchor="_Toc185903" w:history="1">
        <w:r w:rsidRPr="00B14924">
          <w:rPr>
            <w:rStyle w:val="Hyperlink"/>
            <w:noProof/>
          </w:rPr>
          <w:t>2.2.2 Bipolar Electrode</w:t>
        </w:r>
        <w:r>
          <w:rPr>
            <w:noProof/>
            <w:webHidden/>
          </w:rPr>
          <w:tab/>
        </w:r>
        <w:r>
          <w:rPr>
            <w:noProof/>
            <w:webHidden/>
          </w:rPr>
          <w:fldChar w:fldCharType="begin"/>
        </w:r>
        <w:r>
          <w:rPr>
            <w:noProof/>
            <w:webHidden/>
          </w:rPr>
          <w:instrText xml:space="preserve"> PAGEREF _Toc185903 \h </w:instrText>
        </w:r>
        <w:r>
          <w:rPr>
            <w:noProof/>
            <w:webHidden/>
          </w:rPr>
        </w:r>
        <w:r>
          <w:rPr>
            <w:noProof/>
            <w:webHidden/>
          </w:rPr>
          <w:fldChar w:fldCharType="separate"/>
        </w:r>
        <w:r w:rsidR="00FC3CCD">
          <w:rPr>
            <w:noProof/>
            <w:webHidden/>
          </w:rPr>
          <w:t>19</w:t>
        </w:r>
        <w:r>
          <w:rPr>
            <w:noProof/>
            <w:webHidden/>
          </w:rPr>
          <w:fldChar w:fldCharType="end"/>
        </w:r>
      </w:hyperlink>
    </w:p>
    <w:p w14:paraId="2C69C6F2" w14:textId="1B474AC2" w:rsidR="00216C1B" w:rsidRDefault="00216C1B">
      <w:pPr>
        <w:pStyle w:val="TOC3"/>
        <w:tabs>
          <w:tab w:val="right" w:leader="dot" w:pos="9350"/>
        </w:tabs>
        <w:rPr>
          <w:rFonts w:eastAsiaTheme="minorEastAsia" w:cstheme="minorBidi"/>
          <w:noProof/>
          <w:sz w:val="22"/>
          <w:szCs w:val="22"/>
          <w:lang w:eastAsia="ja-JP" w:bidi="ar-SA"/>
        </w:rPr>
      </w:pPr>
      <w:hyperlink w:anchor="_Toc185904" w:history="1">
        <w:r w:rsidRPr="00B14924">
          <w:rPr>
            <w:rStyle w:val="Hyperlink"/>
            <w:noProof/>
          </w:rPr>
          <w:t>2.2.3 Surgical Preparation and Initial Hearing Testing</w:t>
        </w:r>
        <w:r>
          <w:rPr>
            <w:noProof/>
            <w:webHidden/>
          </w:rPr>
          <w:tab/>
        </w:r>
        <w:r>
          <w:rPr>
            <w:noProof/>
            <w:webHidden/>
          </w:rPr>
          <w:fldChar w:fldCharType="begin"/>
        </w:r>
        <w:r>
          <w:rPr>
            <w:noProof/>
            <w:webHidden/>
          </w:rPr>
          <w:instrText xml:space="preserve"> PAGEREF _Toc185904 \h </w:instrText>
        </w:r>
        <w:r>
          <w:rPr>
            <w:noProof/>
            <w:webHidden/>
          </w:rPr>
        </w:r>
        <w:r>
          <w:rPr>
            <w:noProof/>
            <w:webHidden/>
          </w:rPr>
          <w:fldChar w:fldCharType="separate"/>
        </w:r>
        <w:r w:rsidR="00FC3CCD">
          <w:rPr>
            <w:noProof/>
            <w:webHidden/>
          </w:rPr>
          <w:t>19</w:t>
        </w:r>
        <w:r>
          <w:rPr>
            <w:noProof/>
            <w:webHidden/>
          </w:rPr>
          <w:fldChar w:fldCharType="end"/>
        </w:r>
      </w:hyperlink>
    </w:p>
    <w:p w14:paraId="710202AF" w14:textId="7289E707" w:rsidR="00216C1B" w:rsidRDefault="00216C1B">
      <w:pPr>
        <w:pStyle w:val="TOC3"/>
        <w:tabs>
          <w:tab w:val="right" w:leader="dot" w:pos="9350"/>
        </w:tabs>
        <w:rPr>
          <w:rFonts w:eastAsiaTheme="minorEastAsia" w:cstheme="minorBidi"/>
          <w:noProof/>
          <w:sz w:val="22"/>
          <w:szCs w:val="22"/>
          <w:lang w:eastAsia="ja-JP" w:bidi="ar-SA"/>
        </w:rPr>
      </w:pPr>
      <w:hyperlink w:anchor="_Toc185905" w:history="1">
        <w:r w:rsidRPr="00B14924">
          <w:rPr>
            <w:rStyle w:val="Hyperlink"/>
            <w:noProof/>
          </w:rPr>
          <w:t>2.2.4 Surgical Electrode Insertion</w:t>
        </w:r>
        <w:r>
          <w:rPr>
            <w:noProof/>
            <w:webHidden/>
          </w:rPr>
          <w:tab/>
        </w:r>
        <w:r>
          <w:rPr>
            <w:noProof/>
            <w:webHidden/>
          </w:rPr>
          <w:fldChar w:fldCharType="begin"/>
        </w:r>
        <w:r>
          <w:rPr>
            <w:noProof/>
            <w:webHidden/>
          </w:rPr>
          <w:instrText xml:space="preserve"> PAGEREF _Toc185905 \h </w:instrText>
        </w:r>
        <w:r>
          <w:rPr>
            <w:noProof/>
            <w:webHidden/>
          </w:rPr>
        </w:r>
        <w:r>
          <w:rPr>
            <w:noProof/>
            <w:webHidden/>
          </w:rPr>
          <w:fldChar w:fldCharType="separate"/>
        </w:r>
        <w:r w:rsidR="00FC3CCD">
          <w:rPr>
            <w:noProof/>
            <w:webHidden/>
          </w:rPr>
          <w:t>22</w:t>
        </w:r>
        <w:r>
          <w:rPr>
            <w:noProof/>
            <w:webHidden/>
          </w:rPr>
          <w:fldChar w:fldCharType="end"/>
        </w:r>
      </w:hyperlink>
    </w:p>
    <w:p w14:paraId="752DEC6E" w14:textId="1CF6DF76" w:rsidR="00216C1B" w:rsidRDefault="00216C1B">
      <w:pPr>
        <w:pStyle w:val="TOC3"/>
        <w:tabs>
          <w:tab w:val="right" w:leader="dot" w:pos="9350"/>
        </w:tabs>
        <w:rPr>
          <w:rFonts w:eastAsiaTheme="minorEastAsia" w:cstheme="minorBidi"/>
          <w:noProof/>
          <w:sz w:val="22"/>
          <w:szCs w:val="22"/>
          <w:lang w:eastAsia="ja-JP" w:bidi="ar-SA"/>
        </w:rPr>
      </w:pPr>
      <w:hyperlink w:anchor="_Toc185906" w:history="1">
        <w:r w:rsidRPr="00B14924">
          <w:rPr>
            <w:rStyle w:val="Hyperlink"/>
            <w:noProof/>
          </w:rPr>
          <w:t>2.2.5 MEMR Threshold Determination</w:t>
        </w:r>
        <w:r>
          <w:rPr>
            <w:noProof/>
            <w:webHidden/>
          </w:rPr>
          <w:tab/>
        </w:r>
        <w:r>
          <w:rPr>
            <w:noProof/>
            <w:webHidden/>
          </w:rPr>
          <w:fldChar w:fldCharType="begin"/>
        </w:r>
        <w:r>
          <w:rPr>
            <w:noProof/>
            <w:webHidden/>
          </w:rPr>
          <w:instrText xml:space="preserve"> PAGEREF _Toc185906 \h </w:instrText>
        </w:r>
        <w:r>
          <w:rPr>
            <w:noProof/>
            <w:webHidden/>
          </w:rPr>
        </w:r>
        <w:r>
          <w:rPr>
            <w:noProof/>
            <w:webHidden/>
          </w:rPr>
          <w:fldChar w:fldCharType="separate"/>
        </w:r>
        <w:r w:rsidR="00FC3CCD">
          <w:rPr>
            <w:noProof/>
            <w:webHidden/>
          </w:rPr>
          <w:t>23</w:t>
        </w:r>
        <w:r>
          <w:rPr>
            <w:noProof/>
            <w:webHidden/>
          </w:rPr>
          <w:fldChar w:fldCharType="end"/>
        </w:r>
      </w:hyperlink>
    </w:p>
    <w:p w14:paraId="7DD437B6" w14:textId="5CD96817" w:rsidR="00216C1B" w:rsidRDefault="00216C1B">
      <w:pPr>
        <w:pStyle w:val="TOC3"/>
        <w:tabs>
          <w:tab w:val="right" w:leader="dot" w:pos="9350"/>
        </w:tabs>
        <w:rPr>
          <w:rFonts w:eastAsiaTheme="minorEastAsia" w:cstheme="minorBidi"/>
          <w:noProof/>
          <w:sz w:val="22"/>
          <w:szCs w:val="22"/>
          <w:lang w:eastAsia="ja-JP" w:bidi="ar-SA"/>
        </w:rPr>
      </w:pPr>
      <w:hyperlink w:anchor="_Toc185907" w:history="1">
        <w:r w:rsidRPr="00B14924">
          <w:rPr>
            <w:rStyle w:val="Hyperlink"/>
            <w:noProof/>
          </w:rPr>
          <w:t>2.2.6 Data analysis</w:t>
        </w:r>
        <w:r>
          <w:rPr>
            <w:noProof/>
            <w:webHidden/>
          </w:rPr>
          <w:tab/>
        </w:r>
        <w:r>
          <w:rPr>
            <w:noProof/>
            <w:webHidden/>
          </w:rPr>
          <w:fldChar w:fldCharType="begin"/>
        </w:r>
        <w:r>
          <w:rPr>
            <w:noProof/>
            <w:webHidden/>
          </w:rPr>
          <w:instrText xml:space="preserve"> PAGEREF _Toc185907 \h </w:instrText>
        </w:r>
        <w:r>
          <w:rPr>
            <w:noProof/>
            <w:webHidden/>
          </w:rPr>
        </w:r>
        <w:r>
          <w:rPr>
            <w:noProof/>
            <w:webHidden/>
          </w:rPr>
          <w:fldChar w:fldCharType="separate"/>
        </w:r>
        <w:r w:rsidR="00FC3CCD">
          <w:rPr>
            <w:noProof/>
            <w:webHidden/>
          </w:rPr>
          <w:t>23</w:t>
        </w:r>
        <w:r>
          <w:rPr>
            <w:noProof/>
            <w:webHidden/>
          </w:rPr>
          <w:fldChar w:fldCharType="end"/>
        </w:r>
      </w:hyperlink>
    </w:p>
    <w:p w14:paraId="516A35C8" w14:textId="5F7A0907" w:rsidR="00216C1B" w:rsidRDefault="00216C1B">
      <w:pPr>
        <w:pStyle w:val="TOC2"/>
        <w:tabs>
          <w:tab w:val="right" w:leader="dot" w:pos="9350"/>
        </w:tabs>
        <w:rPr>
          <w:rFonts w:eastAsiaTheme="minorEastAsia" w:cstheme="minorBidi"/>
          <w:noProof/>
          <w:sz w:val="22"/>
          <w:szCs w:val="22"/>
          <w:lang w:eastAsia="ja-JP" w:bidi="ar-SA"/>
        </w:rPr>
      </w:pPr>
      <w:hyperlink w:anchor="_Toc185908" w:history="1">
        <w:r w:rsidRPr="00B14924">
          <w:rPr>
            <w:rStyle w:val="Hyperlink"/>
            <w:noProof/>
          </w:rPr>
          <w:t>2.3 Results</w:t>
        </w:r>
        <w:r>
          <w:rPr>
            <w:noProof/>
            <w:webHidden/>
          </w:rPr>
          <w:tab/>
        </w:r>
        <w:r>
          <w:rPr>
            <w:noProof/>
            <w:webHidden/>
          </w:rPr>
          <w:fldChar w:fldCharType="begin"/>
        </w:r>
        <w:r>
          <w:rPr>
            <w:noProof/>
            <w:webHidden/>
          </w:rPr>
          <w:instrText xml:space="preserve"> PAGEREF _Toc185908 \h </w:instrText>
        </w:r>
        <w:r>
          <w:rPr>
            <w:noProof/>
            <w:webHidden/>
          </w:rPr>
        </w:r>
        <w:r>
          <w:rPr>
            <w:noProof/>
            <w:webHidden/>
          </w:rPr>
          <w:fldChar w:fldCharType="separate"/>
        </w:r>
        <w:r w:rsidR="00FC3CCD">
          <w:rPr>
            <w:noProof/>
            <w:webHidden/>
          </w:rPr>
          <w:t>28</w:t>
        </w:r>
        <w:r>
          <w:rPr>
            <w:noProof/>
            <w:webHidden/>
          </w:rPr>
          <w:fldChar w:fldCharType="end"/>
        </w:r>
      </w:hyperlink>
    </w:p>
    <w:p w14:paraId="729E0C73" w14:textId="483D63B1" w:rsidR="00216C1B" w:rsidRDefault="00216C1B">
      <w:pPr>
        <w:pStyle w:val="TOC3"/>
        <w:tabs>
          <w:tab w:val="right" w:leader="dot" w:pos="9350"/>
        </w:tabs>
        <w:rPr>
          <w:rFonts w:eastAsiaTheme="minorEastAsia" w:cstheme="minorBidi"/>
          <w:noProof/>
          <w:sz w:val="22"/>
          <w:szCs w:val="22"/>
          <w:lang w:eastAsia="ja-JP" w:bidi="ar-SA"/>
        </w:rPr>
      </w:pPr>
      <w:hyperlink w:anchor="_Toc185909" w:history="1">
        <w:r w:rsidRPr="00B14924">
          <w:rPr>
            <w:rStyle w:val="Hyperlink"/>
            <w:noProof/>
          </w:rPr>
          <w:t>2.3.1 MEMR Threshold in Chinchillas</w:t>
        </w:r>
        <w:r>
          <w:rPr>
            <w:noProof/>
            <w:webHidden/>
          </w:rPr>
          <w:tab/>
        </w:r>
        <w:r>
          <w:rPr>
            <w:noProof/>
            <w:webHidden/>
          </w:rPr>
          <w:fldChar w:fldCharType="begin"/>
        </w:r>
        <w:r>
          <w:rPr>
            <w:noProof/>
            <w:webHidden/>
          </w:rPr>
          <w:instrText xml:space="preserve"> PAGEREF _Toc185909 \h </w:instrText>
        </w:r>
        <w:r>
          <w:rPr>
            <w:noProof/>
            <w:webHidden/>
          </w:rPr>
        </w:r>
        <w:r>
          <w:rPr>
            <w:noProof/>
            <w:webHidden/>
          </w:rPr>
          <w:fldChar w:fldCharType="separate"/>
        </w:r>
        <w:r w:rsidR="00FC3CCD">
          <w:rPr>
            <w:noProof/>
            <w:webHidden/>
          </w:rPr>
          <w:t>28</w:t>
        </w:r>
        <w:r>
          <w:rPr>
            <w:noProof/>
            <w:webHidden/>
          </w:rPr>
          <w:fldChar w:fldCharType="end"/>
        </w:r>
      </w:hyperlink>
    </w:p>
    <w:p w14:paraId="34508CF7" w14:textId="3956E154" w:rsidR="00216C1B" w:rsidRDefault="00216C1B">
      <w:pPr>
        <w:pStyle w:val="TOC3"/>
        <w:tabs>
          <w:tab w:val="right" w:leader="dot" w:pos="9350"/>
        </w:tabs>
        <w:rPr>
          <w:rFonts w:eastAsiaTheme="minorEastAsia" w:cstheme="minorBidi"/>
          <w:noProof/>
          <w:sz w:val="22"/>
          <w:szCs w:val="22"/>
          <w:lang w:eastAsia="ja-JP" w:bidi="ar-SA"/>
        </w:rPr>
      </w:pPr>
      <w:hyperlink w:anchor="_Toc185910" w:history="1">
        <w:r w:rsidRPr="00B14924">
          <w:rPr>
            <w:rStyle w:val="Hyperlink"/>
            <w:noProof/>
          </w:rPr>
          <w:t>2.3.2 Comparison of MEMR Threshold as Determined by ART Testing vs EMG</w:t>
        </w:r>
        <w:r>
          <w:rPr>
            <w:noProof/>
            <w:webHidden/>
          </w:rPr>
          <w:tab/>
        </w:r>
        <w:r>
          <w:rPr>
            <w:noProof/>
            <w:webHidden/>
          </w:rPr>
          <w:fldChar w:fldCharType="begin"/>
        </w:r>
        <w:r>
          <w:rPr>
            <w:noProof/>
            <w:webHidden/>
          </w:rPr>
          <w:instrText xml:space="preserve"> PAGEREF _Toc185910 \h </w:instrText>
        </w:r>
        <w:r>
          <w:rPr>
            <w:noProof/>
            <w:webHidden/>
          </w:rPr>
        </w:r>
        <w:r>
          <w:rPr>
            <w:noProof/>
            <w:webHidden/>
          </w:rPr>
          <w:fldChar w:fldCharType="separate"/>
        </w:r>
        <w:r w:rsidR="00FC3CCD">
          <w:rPr>
            <w:noProof/>
            <w:webHidden/>
          </w:rPr>
          <w:t>30</w:t>
        </w:r>
        <w:r>
          <w:rPr>
            <w:noProof/>
            <w:webHidden/>
          </w:rPr>
          <w:fldChar w:fldCharType="end"/>
        </w:r>
      </w:hyperlink>
    </w:p>
    <w:p w14:paraId="113CBCDF" w14:textId="3E8BB8ED" w:rsidR="00216C1B" w:rsidRDefault="00216C1B">
      <w:pPr>
        <w:pStyle w:val="TOC3"/>
        <w:tabs>
          <w:tab w:val="right" w:leader="dot" w:pos="9350"/>
        </w:tabs>
        <w:rPr>
          <w:rFonts w:eastAsiaTheme="minorEastAsia" w:cstheme="minorBidi"/>
          <w:noProof/>
          <w:sz w:val="22"/>
          <w:szCs w:val="22"/>
          <w:lang w:eastAsia="ja-JP" w:bidi="ar-SA"/>
        </w:rPr>
      </w:pPr>
      <w:hyperlink w:anchor="_Toc185911" w:history="1">
        <w:r w:rsidRPr="00B14924">
          <w:rPr>
            <w:rStyle w:val="Hyperlink"/>
            <w:noProof/>
          </w:rPr>
          <w:t>2.3.3 MEMR Latency</w:t>
        </w:r>
        <w:r>
          <w:rPr>
            <w:noProof/>
            <w:webHidden/>
          </w:rPr>
          <w:tab/>
        </w:r>
        <w:r>
          <w:rPr>
            <w:noProof/>
            <w:webHidden/>
          </w:rPr>
          <w:fldChar w:fldCharType="begin"/>
        </w:r>
        <w:r>
          <w:rPr>
            <w:noProof/>
            <w:webHidden/>
          </w:rPr>
          <w:instrText xml:space="preserve"> PAGEREF _Toc185911 \h </w:instrText>
        </w:r>
        <w:r>
          <w:rPr>
            <w:noProof/>
            <w:webHidden/>
          </w:rPr>
        </w:r>
        <w:r>
          <w:rPr>
            <w:noProof/>
            <w:webHidden/>
          </w:rPr>
          <w:fldChar w:fldCharType="separate"/>
        </w:r>
        <w:r w:rsidR="00FC3CCD">
          <w:rPr>
            <w:noProof/>
            <w:webHidden/>
          </w:rPr>
          <w:t>30</w:t>
        </w:r>
        <w:r>
          <w:rPr>
            <w:noProof/>
            <w:webHidden/>
          </w:rPr>
          <w:fldChar w:fldCharType="end"/>
        </w:r>
      </w:hyperlink>
    </w:p>
    <w:p w14:paraId="62266205" w14:textId="335892A8" w:rsidR="00216C1B" w:rsidRDefault="00216C1B">
      <w:pPr>
        <w:pStyle w:val="TOC2"/>
        <w:tabs>
          <w:tab w:val="right" w:leader="dot" w:pos="9350"/>
        </w:tabs>
        <w:rPr>
          <w:rFonts w:eastAsiaTheme="minorEastAsia" w:cstheme="minorBidi"/>
          <w:noProof/>
          <w:sz w:val="22"/>
          <w:szCs w:val="22"/>
          <w:lang w:eastAsia="ja-JP" w:bidi="ar-SA"/>
        </w:rPr>
      </w:pPr>
      <w:hyperlink w:anchor="_Toc185912" w:history="1">
        <w:r w:rsidRPr="00B14924">
          <w:rPr>
            <w:rStyle w:val="Hyperlink"/>
            <w:noProof/>
          </w:rPr>
          <w:t>2.4 Discussion</w:t>
        </w:r>
        <w:r>
          <w:rPr>
            <w:noProof/>
            <w:webHidden/>
          </w:rPr>
          <w:tab/>
        </w:r>
        <w:r>
          <w:rPr>
            <w:noProof/>
            <w:webHidden/>
          </w:rPr>
          <w:fldChar w:fldCharType="begin"/>
        </w:r>
        <w:r>
          <w:rPr>
            <w:noProof/>
            <w:webHidden/>
          </w:rPr>
          <w:instrText xml:space="preserve"> PAGEREF _Toc185912 \h </w:instrText>
        </w:r>
        <w:r>
          <w:rPr>
            <w:noProof/>
            <w:webHidden/>
          </w:rPr>
        </w:r>
        <w:r>
          <w:rPr>
            <w:noProof/>
            <w:webHidden/>
          </w:rPr>
          <w:fldChar w:fldCharType="separate"/>
        </w:r>
        <w:r w:rsidR="00FC3CCD">
          <w:rPr>
            <w:noProof/>
            <w:webHidden/>
          </w:rPr>
          <w:t>32</w:t>
        </w:r>
        <w:r>
          <w:rPr>
            <w:noProof/>
            <w:webHidden/>
          </w:rPr>
          <w:fldChar w:fldCharType="end"/>
        </w:r>
      </w:hyperlink>
    </w:p>
    <w:p w14:paraId="758B3DB1" w14:textId="3B267B80" w:rsidR="00216C1B" w:rsidRDefault="00216C1B">
      <w:pPr>
        <w:pStyle w:val="TOC3"/>
        <w:tabs>
          <w:tab w:val="right" w:leader="dot" w:pos="9350"/>
        </w:tabs>
        <w:rPr>
          <w:rFonts w:eastAsiaTheme="minorEastAsia" w:cstheme="minorBidi"/>
          <w:noProof/>
          <w:sz w:val="22"/>
          <w:szCs w:val="22"/>
          <w:lang w:eastAsia="ja-JP" w:bidi="ar-SA"/>
        </w:rPr>
      </w:pPr>
      <w:hyperlink w:anchor="_Toc185913" w:history="1">
        <w:r w:rsidRPr="00B14924">
          <w:rPr>
            <w:rStyle w:val="Hyperlink"/>
            <w:noProof/>
          </w:rPr>
          <w:t>2.4.1 Discrepancies Between EMG and ART Testing Results</w:t>
        </w:r>
        <w:r>
          <w:rPr>
            <w:noProof/>
            <w:webHidden/>
          </w:rPr>
          <w:tab/>
        </w:r>
        <w:r>
          <w:rPr>
            <w:noProof/>
            <w:webHidden/>
          </w:rPr>
          <w:fldChar w:fldCharType="begin"/>
        </w:r>
        <w:r>
          <w:rPr>
            <w:noProof/>
            <w:webHidden/>
          </w:rPr>
          <w:instrText xml:space="preserve"> PAGEREF _Toc185913 \h </w:instrText>
        </w:r>
        <w:r>
          <w:rPr>
            <w:noProof/>
            <w:webHidden/>
          </w:rPr>
        </w:r>
        <w:r>
          <w:rPr>
            <w:noProof/>
            <w:webHidden/>
          </w:rPr>
          <w:fldChar w:fldCharType="separate"/>
        </w:r>
        <w:r w:rsidR="00FC3CCD">
          <w:rPr>
            <w:noProof/>
            <w:webHidden/>
          </w:rPr>
          <w:t>32</w:t>
        </w:r>
        <w:r>
          <w:rPr>
            <w:noProof/>
            <w:webHidden/>
          </w:rPr>
          <w:fldChar w:fldCharType="end"/>
        </w:r>
      </w:hyperlink>
    </w:p>
    <w:p w14:paraId="79CAB45F" w14:textId="553A5E8E" w:rsidR="00216C1B" w:rsidRDefault="00216C1B">
      <w:pPr>
        <w:pStyle w:val="TOC3"/>
        <w:tabs>
          <w:tab w:val="right" w:leader="dot" w:pos="9350"/>
        </w:tabs>
        <w:rPr>
          <w:rFonts w:eastAsiaTheme="minorEastAsia" w:cstheme="minorBidi"/>
          <w:noProof/>
          <w:sz w:val="22"/>
          <w:szCs w:val="22"/>
          <w:lang w:eastAsia="ja-JP" w:bidi="ar-SA"/>
        </w:rPr>
      </w:pPr>
      <w:hyperlink w:anchor="_Toc185914" w:history="1">
        <w:r w:rsidRPr="00B14924">
          <w:rPr>
            <w:rStyle w:val="Hyperlink"/>
            <w:noProof/>
          </w:rPr>
          <w:t>2.4.2 Comparison to Existing Literature</w:t>
        </w:r>
        <w:r>
          <w:rPr>
            <w:noProof/>
            <w:webHidden/>
          </w:rPr>
          <w:tab/>
        </w:r>
        <w:r>
          <w:rPr>
            <w:noProof/>
            <w:webHidden/>
          </w:rPr>
          <w:fldChar w:fldCharType="begin"/>
        </w:r>
        <w:r>
          <w:rPr>
            <w:noProof/>
            <w:webHidden/>
          </w:rPr>
          <w:instrText xml:space="preserve"> PAGEREF _Toc185914 \h </w:instrText>
        </w:r>
        <w:r>
          <w:rPr>
            <w:noProof/>
            <w:webHidden/>
          </w:rPr>
        </w:r>
        <w:r>
          <w:rPr>
            <w:noProof/>
            <w:webHidden/>
          </w:rPr>
          <w:fldChar w:fldCharType="separate"/>
        </w:r>
        <w:r w:rsidR="00FC3CCD">
          <w:rPr>
            <w:noProof/>
            <w:webHidden/>
          </w:rPr>
          <w:t>33</w:t>
        </w:r>
        <w:r>
          <w:rPr>
            <w:noProof/>
            <w:webHidden/>
          </w:rPr>
          <w:fldChar w:fldCharType="end"/>
        </w:r>
      </w:hyperlink>
    </w:p>
    <w:p w14:paraId="70769120" w14:textId="2AD9BB53" w:rsidR="00216C1B" w:rsidRDefault="00216C1B">
      <w:pPr>
        <w:pStyle w:val="TOC3"/>
        <w:tabs>
          <w:tab w:val="right" w:leader="dot" w:pos="9350"/>
        </w:tabs>
        <w:rPr>
          <w:rFonts w:eastAsiaTheme="minorEastAsia" w:cstheme="minorBidi"/>
          <w:noProof/>
          <w:sz w:val="22"/>
          <w:szCs w:val="22"/>
          <w:lang w:eastAsia="ja-JP" w:bidi="ar-SA"/>
        </w:rPr>
      </w:pPr>
      <w:hyperlink w:anchor="_Toc185915" w:history="1">
        <w:r w:rsidRPr="00B14924">
          <w:rPr>
            <w:rStyle w:val="Hyperlink"/>
            <w:noProof/>
          </w:rPr>
          <w:t>2.4.3 Surgical Electrode Insertion Success Rate</w:t>
        </w:r>
        <w:r>
          <w:rPr>
            <w:noProof/>
            <w:webHidden/>
          </w:rPr>
          <w:tab/>
        </w:r>
        <w:r>
          <w:rPr>
            <w:noProof/>
            <w:webHidden/>
          </w:rPr>
          <w:fldChar w:fldCharType="begin"/>
        </w:r>
        <w:r>
          <w:rPr>
            <w:noProof/>
            <w:webHidden/>
          </w:rPr>
          <w:instrText xml:space="preserve"> PAGEREF _Toc185915 \h </w:instrText>
        </w:r>
        <w:r>
          <w:rPr>
            <w:noProof/>
            <w:webHidden/>
          </w:rPr>
        </w:r>
        <w:r>
          <w:rPr>
            <w:noProof/>
            <w:webHidden/>
          </w:rPr>
          <w:fldChar w:fldCharType="separate"/>
        </w:r>
        <w:r w:rsidR="00FC3CCD">
          <w:rPr>
            <w:noProof/>
            <w:webHidden/>
          </w:rPr>
          <w:t>36</w:t>
        </w:r>
        <w:r>
          <w:rPr>
            <w:noProof/>
            <w:webHidden/>
          </w:rPr>
          <w:fldChar w:fldCharType="end"/>
        </w:r>
      </w:hyperlink>
    </w:p>
    <w:p w14:paraId="0FAA7921" w14:textId="1A66DA8A" w:rsidR="00216C1B" w:rsidRDefault="00216C1B">
      <w:pPr>
        <w:pStyle w:val="TOC3"/>
        <w:tabs>
          <w:tab w:val="right" w:leader="dot" w:pos="9350"/>
        </w:tabs>
        <w:rPr>
          <w:rFonts w:eastAsiaTheme="minorEastAsia" w:cstheme="minorBidi"/>
          <w:noProof/>
          <w:sz w:val="22"/>
          <w:szCs w:val="22"/>
          <w:lang w:eastAsia="ja-JP" w:bidi="ar-SA"/>
        </w:rPr>
      </w:pPr>
      <w:hyperlink w:anchor="_Toc185916" w:history="1">
        <w:r w:rsidRPr="00B14924">
          <w:rPr>
            <w:rStyle w:val="Hyperlink"/>
            <w:noProof/>
          </w:rPr>
          <w:t>2.4.4 Study Limitations</w:t>
        </w:r>
        <w:r>
          <w:rPr>
            <w:noProof/>
            <w:webHidden/>
          </w:rPr>
          <w:tab/>
        </w:r>
        <w:r>
          <w:rPr>
            <w:noProof/>
            <w:webHidden/>
          </w:rPr>
          <w:fldChar w:fldCharType="begin"/>
        </w:r>
        <w:r>
          <w:rPr>
            <w:noProof/>
            <w:webHidden/>
          </w:rPr>
          <w:instrText xml:space="preserve"> PAGEREF _Toc185916 \h </w:instrText>
        </w:r>
        <w:r>
          <w:rPr>
            <w:noProof/>
            <w:webHidden/>
          </w:rPr>
        </w:r>
        <w:r>
          <w:rPr>
            <w:noProof/>
            <w:webHidden/>
          </w:rPr>
          <w:fldChar w:fldCharType="separate"/>
        </w:r>
        <w:r w:rsidR="00FC3CCD">
          <w:rPr>
            <w:noProof/>
            <w:webHidden/>
          </w:rPr>
          <w:t>37</w:t>
        </w:r>
        <w:r>
          <w:rPr>
            <w:noProof/>
            <w:webHidden/>
          </w:rPr>
          <w:fldChar w:fldCharType="end"/>
        </w:r>
      </w:hyperlink>
    </w:p>
    <w:p w14:paraId="19F5AE3F" w14:textId="3AB99535" w:rsidR="00216C1B" w:rsidRDefault="00216C1B">
      <w:pPr>
        <w:pStyle w:val="TOC1"/>
        <w:rPr>
          <w:rFonts w:eastAsiaTheme="minorEastAsia" w:cstheme="minorBidi"/>
          <w:noProof/>
          <w:sz w:val="22"/>
          <w:szCs w:val="22"/>
          <w:lang w:eastAsia="ja-JP" w:bidi="ar-SA"/>
        </w:rPr>
      </w:pPr>
      <w:hyperlink w:anchor="_Toc185917" w:history="1">
        <w:r w:rsidRPr="00B14924">
          <w:rPr>
            <w:rStyle w:val="Hyperlink"/>
            <w:noProof/>
          </w:rPr>
          <w:t>Chapter 3: Behavior of Middle Ear Muscle Reflex in Response to Blast Overpressure</w:t>
        </w:r>
        <w:r>
          <w:rPr>
            <w:noProof/>
            <w:webHidden/>
          </w:rPr>
          <w:tab/>
        </w:r>
        <w:r>
          <w:rPr>
            <w:noProof/>
            <w:webHidden/>
          </w:rPr>
          <w:fldChar w:fldCharType="begin"/>
        </w:r>
        <w:r>
          <w:rPr>
            <w:noProof/>
            <w:webHidden/>
          </w:rPr>
          <w:instrText xml:space="preserve"> PAGEREF _Toc185917 \h </w:instrText>
        </w:r>
        <w:r>
          <w:rPr>
            <w:noProof/>
            <w:webHidden/>
          </w:rPr>
        </w:r>
        <w:r>
          <w:rPr>
            <w:noProof/>
            <w:webHidden/>
          </w:rPr>
          <w:fldChar w:fldCharType="separate"/>
        </w:r>
        <w:r w:rsidR="00FC3CCD">
          <w:rPr>
            <w:noProof/>
            <w:webHidden/>
          </w:rPr>
          <w:t>38</w:t>
        </w:r>
        <w:r>
          <w:rPr>
            <w:noProof/>
            <w:webHidden/>
          </w:rPr>
          <w:fldChar w:fldCharType="end"/>
        </w:r>
      </w:hyperlink>
    </w:p>
    <w:p w14:paraId="012A76C4" w14:textId="4EE7C3E0" w:rsidR="00216C1B" w:rsidRDefault="00216C1B">
      <w:pPr>
        <w:pStyle w:val="TOC2"/>
        <w:tabs>
          <w:tab w:val="right" w:leader="dot" w:pos="9350"/>
        </w:tabs>
        <w:rPr>
          <w:rFonts w:eastAsiaTheme="minorEastAsia" w:cstheme="minorBidi"/>
          <w:noProof/>
          <w:sz w:val="22"/>
          <w:szCs w:val="22"/>
          <w:lang w:eastAsia="ja-JP" w:bidi="ar-SA"/>
        </w:rPr>
      </w:pPr>
      <w:hyperlink w:anchor="_Toc185918" w:history="1">
        <w:r w:rsidRPr="00B14924">
          <w:rPr>
            <w:rStyle w:val="Hyperlink"/>
            <w:noProof/>
          </w:rPr>
          <w:t>3.1 Introduction</w:t>
        </w:r>
        <w:r>
          <w:rPr>
            <w:noProof/>
            <w:webHidden/>
          </w:rPr>
          <w:tab/>
        </w:r>
        <w:r>
          <w:rPr>
            <w:noProof/>
            <w:webHidden/>
          </w:rPr>
          <w:fldChar w:fldCharType="begin"/>
        </w:r>
        <w:r>
          <w:rPr>
            <w:noProof/>
            <w:webHidden/>
          </w:rPr>
          <w:instrText xml:space="preserve"> PAGEREF _Toc185918 \h </w:instrText>
        </w:r>
        <w:r>
          <w:rPr>
            <w:noProof/>
            <w:webHidden/>
          </w:rPr>
        </w:r>
        <w:r>
          <w:rPr>
            <w:noProof/>
            <w:webHidden/>
          </w:rPr>
          <w:fldChar w:fldCharType="separate"/>
        </w:r>
        <w:r w:rsidR="00FC3CCD">
          <w:rPr>
            <w:noProof/>
            <w:webHidden/>
          </w:rPr>
          <w:t>38</w:t>
        </w:r>
        <w:r>
          <w:rPr>
            <w:noProof/>
            <w:webHidden/>
          </w:rPr>
          <w:fldChar w:fldCharType="end"/>
        </w:r>
      </w:hyperlink>
    </w:p>
    <w:p w14:paraId="551AE271" w14:textId="6D8BE994" w:rsidR="00216C1B" w:rsidRDefault="00216C1B">
      <w:pPr>
        <w:pStyle w:val="TOC2"/>
        <w:tabs>
          <w:tab w:val="right" w:leader="dot" w:pos="9350"/>
        </w:tabs>
        <w:rPr>
          <w:rFonts w:eastAsiaTheme="minorEastAsia" w:cstheme="minorBidi"/>
          <w:noProof/>
          <w:sz w:val="22"/>
          <w:szCs w:val="22"/>
          <w:lang w:eastAsia="ja-JP" w:bidi="ar-SA"/>
        </w:rPr>
      </w:pPr>
      <w:hyperlink w:anchor="_Toc185919" w:history="1">
        <w:r w:rsidRPr="00B14924">
          <w:rPr>
            <w:rStyle w:val="Hyperlink"/>
            <w:noProof/>
          </w:rPr>
          <w:t>3.2 Experimental Setup</w:t>
        </w:r>
        <w:r>
          <w:rPr>
            <w:noProof/>
            <w:webHidden/>
          </w:rPr>
          <w:tab/>
        </w:r>
        <w:r>
          <w:rPr>
            <w:noProof/>
            <w:webHidden/>
          </w:rPr>
          <w:fldChar w:fldCharType="begin"/>
        </w:r>
        <w:r>
          <w:rPr>
            <w:noProof/>
            <w:webHidden/>
          </w:rPr>
          <w:instrText xml:space="preserve"> PAGEREF _Toc185919 \h </w:instrText>
        </w:r>
        <w:r>
          <w:rPr>
            <w:noProof/>
            <w:webHidden/>
          </w:rPr>
        </w:r>
        <w:r>
          <w:rPr>
            <w:noProof/>
            <w:webHidden/>
          </w:rPr>
          <w:fldChar w:fldCharType="separate"/>
        </w:r>
        <w:r w:rsidR="00FC3CCD">
          <w:rPr>
            <w:noProof/>
            <w:webHidden/>
          </w:rPr>
          <w:t>39</w:t>
        </w:r>
        <w:r>
          <w:rPr>
            <w:noProof/>
            <w:webHidden/>
          </w:rPr>
          <w:fldChar w:fldCharType="end"/>
        </w:r>
      </w:hyperlink>
    </w:p>
    <w:p w14:paraId="036DED76" w14:textId="50C63109" w:rsidR="00216C1B" w:rsidRDefault="00216C1B">
      <w:pPr>
        <w:pStyle w:val="TOC3"/>
        <w:tabs>
          <w:tab w:val="right" w:leader="dot" w:pos="9350"/>
        </w:tabs>
        <w:rPr>
          <w:rFonts w:eastAsiaTheme="minorEastAsia" w:cstheme="minorBidi"/>
          <w:noProof/>
          <w:sz w:val="22"/>
          <w:szCs w:val="22"/>
          <w:lang w:eastAsia="ja-JP" w:bidi="ar-SA"/>
        </w:rPr>
      </w:pPr>
      <w:hyperlink w:anchor="_Toc185920" w:history="1">
        <w:r w:rsidRPr="00B14924">
          <w:rPr>
            <w:rStyle w:val="Hyperlink"/>
            <w:noProof/>
          </w:rPr>
          <w:t>3.2.1 Chinchilla Specimens</w:t>
        </w:r>
        <w:r>
          <w:rPr>
            <w:noProof/>
            <w:webHidden/>
          </w:rPr>
          <w:tab/>
        </w:r>
        <w:r>
          <w:rPr>
            <w:noProof/>
            <w:webHidden/>
          </w:rPr>
          <w:fldChar w:fldCharType="begin"/>
        </w:r>
        <w:r>
          <w:rPr>
            <w:noProof/>
            <w:webHidden/>
          </w:rPr>
          <w:instrText xml:space="preserve"> PAGEREF _Toc185920 \h </w:instrText>
        </w:r>
        <w:r>
          <w:rPr>
            <w:noProof/>
            <w:webHidden/>
          </w:rPr>
        </w:r>
        <w:r>
          <w:rPr>
            <w:noProof/>
            <w:webHidden/>
          </w:rPr>
          <w:fldChar w:fldCharType="separate"/>
        </w:r>
        <w:r w:rsidR="00FC3CCD">
          <w:rPr>
            <w:noProof/>
            <w:webHidden/>
          </w:rPr>
          <w:t>39</w:t>
        </w:r>
        <w:r>
          <w:rPr>
            <w:noProof/>
            <w:webHidden/>
          </w:rPr>
          <w:fldChar w:fldCharType="end"/>
        </w:r>
      </w:hyperlink>
    </w:p>
    <w:p w14:paraId="2B3B6FBB" w14:textId="57DCE09C" w:rsidR="00216C1B" w:rsidRDefault="00216C1B">
      <w:pPr>
        <w:pStyle w:val="TOC3"/>
        <w:tabs>
          <w:tab w:val="right" w:leader="dot" w:pos="9350"/>
        </w:tabs>
        <w:rPr>
          <w:rFonts w:eastAsiaTheme="minorEastAsia" w:cstheme="minorBidi"/>
          <w:noProof/>
          <w:sz w:val="22"/>
          <w:szCs w:val="22"/>
          <w:lang w:eastAsia="ja-JP" w:bidi="ar-SA"/>
        </w:rPr>
      </w:pPr>
      <w:hyperlink w:anchor="_Toc185921" w:history="1">
        <w:r w:rsidRPr="00B14924">
          <w:rPr>
            <w:rStyle w:val="Hyperlink"/>
            <w:noProof/>
          </w:rPr>
          <w:t>3.2.2 Sedation and Electrode Insertion</w:t>
        </w:r>
        <w:r>
          <w:rPr>
            <w:noProof/>
            <w:webHidden/>
          </w:rPr>
          <w:tab/>
        </w:r>
        <w:r>
          <w:rPr>
            <w:noProof/>
            <w:webHidden/>
          </w:rPr>
          <w:fldChar w:fldCharType="begin"/>
        </w:r>
        <w:r>
          <w:rPr>
            <w:noProof/>
            <w:webHidden/>
          </w:rPr>
          <w:instrText xml:space="preserve"> PAGEREF _Toc185921 \h </w:instrText>
        </w:r>
        <w:r>
          <w:rPr>
            <w:noProof/>
            <w:webHidden/>
          </w:rPr>
        </w:r>
        <w:r>
          <w:rPr>
            <w:noProof/>
            <w:webHidden/>
          </w:rPr>
          <w:fldChar w:fldCharType="separate"/>
        </w:r>
        <w:r w:rsidR="00FC3CCD">
          <w:rPr>
            <w:noProof/>
            <w:webHidden/>
          </w:rPr>
          <w:t>40</w:t>
        </w:r>
        <w:r>
          <w:rPr>
            <w:noProof/>
            <w:webHidden/>
          </w:rPr>
          <w:fldChar w:fldCharType="end"/>
        </w:r>
      </w:hyperlink>
    </w:p>
    <w:p w14:paraId="223A24B0" w14:textId="076EF138" w:rsidR="00216C1B" w:rsidRDefault="00216C1B">
      <w:pPr>
        <w:pStyle w:val="TOC3"/>
        <w:tabs>
          <w:tab w:val="right" w:leader="dot" w:pos="9350"/>
        </w:tabs>
        <w:rPr>
          <w:rFonts w:eastAsiaTheme="minorEastAsia" w:cstheme="minorBidi"/>
          <w:noProof/>
          <w:sz w:val="22"/>
          <w:szCs w:val="22"/>
          <w:lang w:eastAsia="ja-JP" w:bidi="ar-SA"/>
        </w:rPr>
      </w:pPr>
      <w:hyperlink w:anchor="_Toc185922" w:history="1">
        <w:r w:rsidRPr="00B14924">
          <w:rPr>
            <w:rStyle w:val="Hyperlink"/>
            <w:noProof/>
          </w:rPr>
          <w:t>3.2.3 Blast Exposure</w:t>
        </w:r>
        <w:r>
          <w:rPr>
            <w:noProof/>
            <w:webHidden/>
          </w:rPr>
          <w:tab/>
        </w:r>
        <w:r>
          <w:rPr>
            <w:noProof/>
            <w:webHidden/>
          </w:rPr>
          <w:fldChar w:fldCharType="begin"/>
        </w:r>
        <w:r>
          <w:rPr>
            <w:noProof/>
            <w:webHidden/>
          </w:rPr>
          <w:instrText xml:space="preserve"> PAGEREF _Toc185922 \h </w:instrText>
        </w:r>
        <w:r>
          <w:rPr>
            <w:noProof/>
            <w:webHidden/>
          </w:rPr>
        </w:r>
        <w:r>
          <w:rPr>
            <w:noProof/>
            <w:webHidden/>
          </w:rPr>
          <w:fldChar w:fldCharType="separate"/>
        </w:r>
        <w:r w:rsidR="00FC3CCD">
          <w:rPr>
            <w:noProof/>
            <w:webHidden/>
          </w:rPr>
          <w:t>40</w:t>
        </w:r>
        <w:r>
          <w:rPr>
            <w:noProof/>
            <w:webHidden/>
          </w:rPr>
          <w:fldChar w:fldCharType="end"/>
        </w:r>
      </w:hyperlink>
    </w:p>
    <w:p w14:paraId="2B9E3FEB" w14:textId="22392797" w:rsidR="00216C1B" w:rsidRDefault="00216C1B">
      <w:pPr>
        <w:pStyle w:val="TOC2"/>
        <w:tabs>
          <w:tab w:val="right" w:leader="dot" w:pos="9350"/>
        </w:tabs>
        <w:rPr>
          <w:rFonts w:eastAsiaTheme="minorEastAsia" w:cstheme="minorBidi"/>
          <w:noProof/>
          <w:sz w:val="22"/>
          <w:szCs w:val="22"/>
          <w:lang w:eastAsia="ja-JP" w:bidi="ar-SA"/>
        </w:rPr>
      </w:pPr>
      <w:hyperlink w:anchor="_Toc185923" w:history="1">
        <w:r w:rsidRPr="00B14924">
          <w:rPr>
            <w:rStyle w:val="Hyperlink"/>
            <w:noProof/>
          </w:rPr>
          <w:t>3.3 Results</w:t>
        </w:r>
        <w:r>
          <w:rPr>
            <w:noProof/>
            <w:webHidden/>
          </w:rPr>
          <w:tab/>
        </w:r>
        <w:r>
          <w:rPr>
            <w:noProof/>
            <w:webHidden/>
          </w:rPr>
          <w:fldChar w:fldCharType="begin"/>
        </w:r>
        <w:r>
          <w:rPr>
            <w:noProof/>
            <w:webHidden/>
          </w:rPr>
          <w:instrText xml:space="preserve"> PAGEREF _Toc185923 \h </w:instrText>
        </w:r>
        <w:r>
          <w:rPr>
            <w:noProof/>
            <w:webHidden/>
          </w:rPr>
        </w:r>
        <w:r>
          <w:rPr>
            <w:noProof/>
            <w:webHidden/>
          </w:rPr>
          <w:fldChar w:fldCharType="separate"/>
        </w:r>
        <w:r w:rsidR="00FC3CCD">
          <w:rPr>
            <w:noProof/>
            <w:webHidden/>
          </w:rPr>
          <w:t>43</w:t>
        </w:r>
        <w:r>
          <w:rPr>
            <w:noProof/>
            <w:webHidden/>
          </w:rPr>
          <w:fldChar w:fldCharType="end"/>
        </w:r>
      </w:hyperlink>
    </w:p>
    <w:p w14:paraId="7106D4E3" w14:textId="6164B6C7" w:rsidR="00216C1B" w:rsidRDefault="00216C1B">
      <w:pPr>
        <w:pStyle w:val="TOC2"/>
        <w:tabs>
          <w:tab w:val="right" w:leader="dot" w:pos="9350"/>
        </w:tabs>
        <w:rPr>
          <w:rFonts w:eastAsiaTheme="minorEastAsia" w:cstheme="minorBidi"/>
          <w:noProof/>
          <w:sz w:val="22"/>
          <w:szCs w:val="22"/>
          <w:lang w:eastAsia="ja-JP" w:bidi="ar-SA"/>
        </w:rPr>
      </w:pPr>
      <w:hyperlink w:anchor="_Toc185924" w:history="1">
        <w:r w:rsidRPr="00B14924">
          <w:rPr>
            <w:rStyle w:val="Hyperlink"/>
            <w:noProof/>
          </w:rPr>
          <w:t>3.4 Discussion</w:t>
        </w:r>
        <w:r>
          <w:rPr>
            <w:noProof/>
            <w:webHidden/>
          </w:rPr>
          <w:tab/>
        </w:r>
        <w:r>
          <w:rPr>
            <w:noProof/>
            <w:webHidden/>
          </w:rPr>
          <w:fldChar w:fldCharType="begin"/>
        </w:r>
        <w:r>
          <w:rPr>
            <w:noProof/>
            <w:webHidden/>
          </w:rPr>
          <w:instrText xml:space="preserve"> PAGEREF _Toc185924 \h </w:instrText>
        </w:r>
        <w:r>
          <w:rPr>
            <w:noProof/>
            <w:webHidden/>
          </w:rPr>
        </w:r>
        <w:r>
          <w:rPr>
            <w:noProof/>
            <w:webHidden/>
          </w:rPr>
          <w:fldChar w:fldCharType="separate"/>
        </w:r>
        <w:r w:rsidR="00FC3CCD">
          <w:rPr>
            <w:noProof/>
            <w:webHidden/>
          </w:rPr>
          <w:t>48</w:t>
        </w:r>
        <w:r>
          <w:rPr>
            <w:noProof/>
            <w:webHidden/>
          </w:rPr>
          <w:fldChar w:fldCharType="end"/>
        </w:r>
      </w:hyperlink>
    </w:p>
    <w:p w14:paraId="2E220359" w14:textId="6FDDFA3B" w:rsidR="00216C1B" w:rsidRDefault="00216C1B">
      <w:pPr>
        <w:pStyle w:val="TOC3"/>
        <w:tabs>
          <w:tab w:val="right" w:leader="dot" w:pos="9350"/>
        </w:tabs>
        <w:rPr>
          <w:rFonts w:eastAsiaTheme="minorEastAsia" w:cstheme="minorBidi"/>
          <w:noProof/>
          <w:sz w:val="22"/>
          <w:szCs w:val="22"/>
          <w:lang w:eastAsia="ja-JP" w:bidi="ar-SA"/>
        </w:rPr>
      </w:pPr>
      <w:hyperlink w:anchor="_Toc185925" w:history="1">
        <w:r w:rsidRPr="00B14924">
          <w:rPr>
            <w:rStyle w:val="Hyperlink"/>
            <w:noProof/>
          </w:rPr>
          <w:t>3.4.1 EMG Amplitude and Muscle Response Strength</w:t>
        </w:r>
        <w:r>
          <w:rPr>
            <w:noProof/>
            <w:webHidden/>
          </w:rPr>
          <w:tab/>
        </w:r>
        <w:r>
          <w:rPr>
            <w:noProof/>
            <w:webHidden/>
          </w:rPr>
          <w:fldChar w:fldCharType="begin"/>
        </w:r>
        <w:r>
          <w:rPr>
            <w:noProof/>
            <w:webHidden/>
          </w:rPr>
          <w:instrText xml:space="preserve"> PAGEREF _Toc185925 \h </w:instrText>
        </w:r>
        <w:r>
          <w:rPr>
            <w:noProof/>
            <w:webHidden/>
          </w:rPr>
        </w:r>
        <w:r>
          <w:rPr>
            <w:noProof/>
            <w:webHidden/>
          </w:rPr>
          <w:fldChar w:fldCharType="separate"/>
        </w:r>
        <w:r w:rsidR="00FC3CCD">
          <w:rPr>
            <w:noProof/>
            <w:webHidden/>
          </w:rPr>
          <w:t>48</w:t>
        </w:r>
        <w:r>
          <w:rPr>
            <w:noProof/>
            <w:webHidden/>
          </w:rPr>
          <w:fldChar w:fldCharType="end"/>
        </w:r>
      </w:hyperlink>
    </w:p>
    <w:p w14:paraId="69E742F9" w14:textId="6ABD3C46" w:rsidR="00216C1B" w:rsidRDefault="00216C1B">
      <w:pPr>
        <w:pStyle w:val="TOC3"/>
        <w:tabs>
          <w:tab w:val="right" w:leader="dot" w:pos="9350"/>
        </w:tabs>
        <w:rPr>
          <w:rFonts w:eastAsiaTheme="minorEastAsia" w:cstheme="minorBidi"/>
          <w:noProof/>
          <w:sz w:val="22"/>
          <w:szCs w:val="22"/>
          <w:lang w:eastAsia="ja-JP" w:bidi="ar-SA"/>
        </w:rPr>
      </w:pPr>
      <w:hyperlink w:anchor="_Toc185926" w:history="1">
        <w:r w:rsidRPr="00B14924">
          <w:rPr>
            <w:rStyle w:val="Hyperlink"/>
            <w:noProof/>
          </w:rPr>
          <w:t>3.4.2 Blast MEMR Latency</w:t>
        </w:r>
        <w:r>
          <w:rPr>
            <w:noProof/>
            <w:webHidden/>
          </w:rPr>
          <w:tab/>
        </w:r>
        <w:r>
          <w:rPr>
            <w:noProof/>
            <w:webHidden/>
          </w:rPr>
          <w:fldChar w:fldCharType="begin"/>
        </w:r>
        <w:r>
          <w:rPr>
            <w:noProof/>
            <w:webHidden/>
          </w:rPr>
          <w:instrText xml:space="preserve"> PAGEREF _Toc185926 \h </w:instrText>
        </w:r>
        <w:r>
          <w:rPr>
            <w:noProof/>
            <w:webHidden/>
          </w:rPr>
        </w:r>
        <w:r>
          <w:rPr>
            <w:noProof/>
            <w:webHidden/>
          </w:rPr>
          <w:fldChar w:fldCharType="separate"/>
        </w:r>
        <w:r w:rsidR="00FC3CCD">
          <w:rPr>
            <w:noProof/>
            <w:webHidden/>
          </w:rPr>
          <w:t>48</w:t>
        </w:r>
        <w:r>
          <w:rPr>
            <w:noProof/>
            <w:webHidden/>
          </w:rPr>
          <w:fldChar w:fldCharType="end"/>
        </w:r>
      </w:hyperlink>
    </w:p>
    <w:p w14:paraId="68013BE5" w14:textId="3375678E" w:rsidR="00216C1B" w:rsidRDefault="00216C1B">
      <w:pPr>
        <w:pStyle w:val="TOC3"/>
        <w:tabs>
          <w:tab w:val="right" w:leader="dot" w:pos="9350"/>
        </w:tabs>
        <w:rPr>
          <w:rFonts w:eastAsiaTheme="minorEastAsia" w:cstheme="minorBidi"/>
          <w:noProof/>
          <w:sz w:val="22"/>
          <w:szCs w:val="22"/>
          <w:lang w:eastAsia="ja-JP" w:bidi="ar-SA"/>
        </w:rPr>
      </w:pPr>
      <w:hyperlink w:anchor="_Toc185927" w:history="1">
        <w:r w:rsidRPr="00B14924">
          <w:rPr>
            <w:rStyle w:val="Hyperlink"/>
            <w:noProof/>
          </w:rPr>
          <w:t>3.4.3 Study Limitations</w:t>
        </w:r>
        <w:r>
          <w:rPr>
            <w:noProof/>
            <w:webHidden/>
          </w:rPr>
          <w:tab/>
        </w:r>
        <w:r>
          <w:rPr>
            <w:noProof/>
            <w:webHidden/>
          </w:rPr>
          <w:fldChar w:fldCharType="begin"/>
        </w:r>
        <w:r>
          <w:rPr>
            <w:noProof/>
            <w:webHidden/>
          </w:rPr>
          <w:instrText xml:space="preserve"> PAGEREF _Toc185927 \h </w:instrText>
        </w:r>
        <w:r>
          <w:rPr>
            <w:noProof/>
            <w:webHidden/>
          </w:rPr>
        </w:r>
        <w:r>
          <w:rPr>
            <w:noProof/>
            <w:webHidden/>
          </w:rPr>
          <w:fldChar w:fldCharType="separate"/>
        </w:r>
        <w:r w:rsidR="00FC3CCD">
          <w:rPr>
            <w:noProof/>
            <w:webHidden/>
          </w:rPr>
          <w:t>49</w:t>
        </w:r>
        <w:r>
          <w:rPr>
            <w:noProof/>
            <w:webHidden/>
          </w:rPr>
          <w:fldChar w:fldCharType="end"/>
        </w:r>
      </w:hyperlink>
    </w:p>
    <w:p w14:paraId="1263C08C" w14:textId="741249BC" w:rsidR="00216C1B" w:rsidRDefault="00216C1B">
      <w:pPr>
        <w:pStyle w:val="TOC1"/>
        <w:rPr>
          <w:rFonts w:eastAsiaTheme="minorEastAsia" w:cstheme="minorBidi"/>
          <w:noProof/>
          <w:sz w:val="22"/>
          <w:szCs w:val="22"/>
          <w:lang w:eastAsia="ja-JP" w:bidi="ar-SA"/>
        </w:rPr>
      </w:pPr>
      <w:hyperlink w:anchor="_Toc185928" w:history="1">
        <w:r w:rsidRPr="00B14924">
          <w:rPr>
            <w:rStyle w:val="Hyperlink"/>
            <w:noProof/>
          </w:rPr>
          <w:t>Chapter 4: Use of Electromyography to Quantify Level of Hearing Damage from Prolonged High Intensity Sound Exposure</w:t>
        </w:r>
        <w:r>
          <w:rPr>
            <w:noProof/>
            <w:webHidden/>
          </w:rPr>
          <w:tab/>
        </w:r>
        <w:r>
          <w:rPr>
            <w:noProof/>
            <w:webHidden/>
          </w:rPr>
          <w:fldChar w:fldCharType="begin"/>
        </w:r>
        <w:r>
          <w:rPr>
            <w:noProof/>
            <w:webHidden/>
          </w:rPr>
          <w:instrText xml:space="preserve"> PAGEREF _Toc185928 \h </w:instrText>
        </w:r>
        <w:r>
          <w:rPr>
            <w:noProof/>
            <w:webHidden/>
          </w:rPr>
        </w:r>
        <w:r>
          <w:rPr>
            <w:noProof/>
            <w:webHidden/>
          </w:rPr>
          <w:fldChar w:fldCharType="separate"/>
        </w:r>
        <w:r w:rsidR="00FC3CCD">
          <w:rPr>
            <w:noProof/>
            <w:webHidden/>
          </w:rPr>
          <w:t>50</w:t>
        </w:r>
        <w:r>
          <w:rPr>
            <w:noProof/>
            <w:webHidden/>
          </w:rPr>
          <w:fldChar w:fldCharType="end"/>
        </w:r>
      </w:hyperlink>
    </w:p>
    <w:p w14:paraId="17DE741B" w14:textId="2B2E77AB" w:rsidR="00216C1B" w:rsidRDefault="00216C1B">
      <w:pPr>
        <w:pStyle w:val="TOC2"/>
        <w:tabs>
          <w:tab w:val="right" w:leader="dot" w:pos="9350"/>
        </w:tabs>
        <w:rPr>
          <w:rFonts w:eastAsiaTheme="minorEastAsia" w:cstheme="minorBidi"/>
          <w:noProof/>
          <w:sz w:val="22"/>
          <w:szCs w:val="22"/>
          <w:lang w:eastAsia="ja-JP" w:bidi="ar-SA"/>
        </w:rPr>
      </w:pPr>
      <w:hyperlink w:anchor="_Toc185929" w:history="1">
        <w:r w:rsidRPr="00B14924">
          <w:rPr>
            <w:rStyle w:val="Hyperlink"/>
            <w:noProof/>
          </w:rPr>
          <w:t>4.1 Introduction</w:t>
        </w:r>
        <w:r>
          <w:rPr>
            <w:noProof/>
            <w:webHidden/>
          </w:rPr>
          <w:tab/>
        </w:r>
        <w:r>
          <w:rPr>
            <w:noProof/>
            <w:webHidden/>
          </w:rPr>
          <w:fldChar w:fldCharType="begin"/>
        </w:r>
        <w:r>
          <w:rPr>
            <w:noProof/>
            <w:webHidden/>
          </w:rPr>
          <w:instrText xml:space="preserve"> PAGEREF _Toc185929 \h </w:instrText>
        </w:r>
        <w:r>
          <w:rPr>
            <w:noProof/>
            <w:webHidden/>
          </w:rPr>
        </w:r>
        <w:r>
          <w:rPr>
            <w:noProof/>
            <w:webHidden/>
          </w:rPr>
          <w:fldChar w:fldCharType="separate"/>
        </w:r>
        <w:r w:rsidR="00FC3CCD">
          <w:rPr>
            <w:noProof/>
            <w:webHidden/>
          </w:rPr>
          <w:t>50</w:t>
        </w:r>
        <w:r>
          <w:rPr>
            <w:noProof/>
            <w:webHidden/>
          </w:rPr>
          <w:fldChar w:fldCharType="end"/>
        </w:r>
      </w:hyperlink>
    </w:p>
    <w:p w14:paraId="4C1900F5" w14:textId="290E3A5B" w:rsidR="00216C1B" w:rsidRDefault="00216C1B">
      <w:pPr>
        <w:pStyle w:val="TOC2"/>
        <w:tabs>
          <w:tab w:val="right" w:leader="dot" w:pos="9350"/>
        </w:tabs>
        <w:rPr>
          <w:rFonts w:eastAsiaTheme="minorEastAsia" w:cstheme="minorBidi"/>
          <w:noProof/>
          <w:sz w:val="22"/>
          <w:szCs w:val="22"/>
          <w:lang w:eastAsia="ja-JP" w:bidi="ar-SA"/>
        </w:rPr>
      </w:pPr>
      <w:hyperlink w:anchor="_Toc185930" w:history="1">
        <w:r w:rsidRPr="00B14924">
          <w:rPr>
            <w:rStyle w:val="Hyperlink"/>
            <w:noProof/>
          </w:rPr>
          <w:t>4.2 Experimental Setup</w:t>
        </w:r>
        <w:r>
          <w:rPr>
            <w:noProof/>
            <w:webHidden/>
          </w:rPr>
          <w:tab/>
        </w:r>
        <w:r>
          <w:rPr>
            <w:noProof/>
            <w:webHidden/>
          </w:rPr>
          <w:fldChar w:fldCharType="begin"/>
        </w:r>
        <w:r>
          <w:rPr>
            <w:noProof/>
            <w:webHidden/>
          </w:rPr>
          <w:instrText xml:space="preserve"> PAGEREF _Toc185930 \h </w:instrText>
        </w:r>
        <w:r>
          <w:rPr>
            <w:noProof/>
            <w:webHidden/>
          </w:rPr>
        </w:r>
        <w:r>
          <w:rPr>
            <w:noProof/>
            <w:webHidden/>
          </w:rPr>
          <w:fldChar w:fldCharType="separate"/>
        </w:r>
        <w:r w:rsidR="00FC3CCD">
          <w:rPr>
            <w:noProof/>
            <w:webHidden/>
          </w:rPr>
          <w:t>50</w:t>
        </w:r>
        <w:r>
          <w:rPr>
            <w:noProof/>
            <w:webHidden/>
          </w:rPr>
          <w:fldChar w:fldCharType="end"/>
        </w:r>
      </w:hyperlink>
    </w:p>
    <w:p w14:paraId="764685FA" w14:textId="6328B6C3" w:rsidR="00216C1B" w:rsidRDefault="00216C1B">
      <w:pPr>
        <w:pStyle w:val="TOC3"/>
        <w:tabs>
          <w:tab w:val="right" w:leader="dot" w:pos="9350"/>
        </w:tabs>
        <w:rPr>
          <w:rFonts w:eastAsiaTheme="minorEastAsia" w:cstheme="minorBidi"/>
          <w:noProof/>
          <w:sz w:val="22"/>
          <w:szCs w:val="22"/>
          <w:lang w:eastAsia="ja-JP" w:bidi="ar-SA"/>
        </w:rPr>
      </w:pPr>
      <w:hyperlink w:anchor="_Toc185931" w:history="1">
        <w:r w:rsidRPr="00B14924">
          <w:rPr>
            <w:rStyle w:val="Hyperlink"/>
            <w:noProof/>
          </w:rPr>
          <w:t>4.2.1 Chinchilla Specimens</w:t>
        </w:r>
        <w:r>
          <w:rPr>
            <w:noProof/>
            <w:webHidden/>
          </w:rPr>
          <w:tab/>
        </w:r>
        <w:r>
          <w:rPr>
            <w:noProof/>
            <w:webHidden/>
          </w:rPr>
          <w:fldChar w:fldCharType="begin"/>
        </w:r>
        <w:r>
          <w:rPr>
            <w:noProof/>
            <w:webHidden/>
          </w:rPr>
          <w:instrText xml:space="preserve"> PAGEREF _Toc185931 \h </w:instrText>
        </w:r>
        <w:r>
          <w:rPr>
            <w:noProof/>
            <w:webHidden/>
          </w:rPr>
        </w:r>
        <w:r>
          <w:rPr>
            <w:noProof/>
            <w:webHidden/>
          </w:rPr>
          <w:fldChar w:fldCharType="separate"/>
        </w:r>
        <w:r w:rsidR="00FC3CCD">
          <w:rPr>
            <w:noProof/>
            <w:webHidden/>
          </w:rPr>
          <w:t>50</w:t>
        </w:r>
        <w:r>
          <w:rPr>
            <w:noProof/>
            <w:webHidden/>
          </w:rPr>
          <w:fldChar w:fldCharType="end"/>
        </w:r>
      </w:hyperlink>
    </w:p>
    <w:p w14:paraId="0A8EB2E5" w14:textId="6E89B130" w:rsidR="00216C1B" w:rsidRDefault="00216C1B">
      <w:pPr>
        <w:pStyle w:val="TOC3"/>
        <w:tabs>
          <w:tab w:val="right" w:leader="dot" w:pos="9350"/>
        </w:tabs>
        <w:rPr>
          <w:rFonts w:eastAsiaTheme="minorEastAsia" w:cstheme="minorBidi"/>
          <w:noProof/>
          <w:sz w:val="22"/>
          <w:szCs w:val="22"/>
          <w:lang w:eastAsia="ja-JP" w:bidi="ar-SA"/>
        </w:rPr>
      </w:pPr>
      <w:hyperlink w:anchor="_Toc185932" w:history="1">
        <w:r w:rsidRPr="00B14924">
          <w:rPr>
            <w:rStyle w:val="Hyperlink"/>
            <w:noProof/>
          </w:rPr>
          <w:t>4.2.2 Pre-testing</w:t>
        </w:r>
        <w:r>
          <w:rPr>
            <w:noProof/>
            <w:webHidden/>
          </w:rPr>
          <w:tab/>
        </w:r>
        <w:r>
          <w:rPr>
            <w:noProof/>
            <w:webHidden/>
          </w:rPr>
          <w:fldChar w:fldCharType="begin"/>
        </w:r>
        <w:r>
          <w:rPr>
            <w:noProof/>
            <w:webHidden/>
          </w:rPr>
          <w:instrText xml:space="preserve"> PAGEREF _Toc185932 \h </w:instrText>
        </w:r>
        <w:r>
          <w:rPr>
            <w:noProof/>
            <w:webHidden/>
          </w:rPr>
        </w:r>
        <w:r>
          <w:rPr>
            <w:noProof/>
            <w:webHidden/>
          </w:rPr>
          <w:fldChar w:fldCharType="separate"/>
        </w:r>
        <w:r w:rsidR="00FC3CCD">
          <w:rPr>
            <w:noProof/>
            <w:webHidden/>
          </w:rPr>
          <w:t>51</w:t>
        </w:r>
        <w:r>
          <w:rPr>
            <w:noProof/>
            <w:webHidden/>
          </w:rPr>
          <w:fldChar w:fldCharType="end"/>
        </w:r>
      </w:hyperlink>
    </w:p>
    <w:p w14:paraId="1F71C466" w14:textId="6DBE9709" w:rsidR="00216C1B" w:rsidRDefault="00216C1B">
      <w:pPr>
        <w:pStyle w:val="TOC3"/>
        <w:tabs>
          <w:tab w:val="right" w:leader="dot" w:pos="9350"/>
        </w:tabs>
        <w:rPr>
          <w:rFonts w:eastAsiaTheme="minorEastAsia" w:cstheme="minorBidi"/>
          <w:noProof/>
          <w:sz w:val="22"/>
          <w:szCs w:val="22"/>
          <w:lang w:eastAsia="ja-JP" w:bidi="ar-SA"/>
        </w:rPr>
      </w:pPr>
      <w:hyperlink w:anchor="_Toc185933" w:history="1">
        <w:r w:rsidRPr="00B14924">
          <w:rPr>
            <w:rStyle w:val="Hyperlink"/>
            <w:noProof/>
          </w:rPr>
          <w:t>4.2.3 High Intensity Noise Exposure</w:t>
        </w:r>
        <w:r>
          <w:rPr>
            <w:noProof/>
            <w:webHidden/>
          </w:rPr>
          <w:tab/>
        </w:r>
        <w:r>
          <w:rPr>
            <w:noProof/>
            <w:webHidden/>
          </w:rPr>
          <w:fldChar w:fldCharType="begin"/>
        </w:r>
        <w:r>
          <w:rPr>
            <w:noProof/>
            <w:webHidden/>
          </w:rPr>
          <w:instrText xml:space="preserve"> PAGEREF _Toc185933 \h </w:instrText>
        </w:r>
        <w:r>
          <w:rPr>
            <w:noProof/>
            <w:webHidden/>
          </w:rPr>
        </w:r>
        <w:r>
          <w:rPr>
            <w:noProof/>
            <w:webHidden/>
          </w:rPr>
          <w:fldChar w:fldCharType="separate"/>
        </w:r>
        <w:r w:rsidR="00FC3CCD">
          <w:rPr>
            <w:noProof/>
            <w:webHidden/>
          </w:rPr>
          <w:t>51</w:t>
        </w:r>
        <w:r>
          <w:rPr>
            <w:noProof/>
            <w:webHidden/>
          </w:rPr>
          <w:fldChar w:fldCharType="end"/>
        </w:r>
      </w:hyperlink>
    </w:p>
    <w:p w14:paraId="6A884249" w14:textId="16AB5A29" w:rsidR="00216C1B" w:rsidRDefault="00216C1B">
      <w:pPr>
        <w:pStyle w:val="TOC3"/>
        <w:tabs>
          <w:tab w:val="right" w:leader="dot" w:pos="9350"/>
        </w:tabs>
        <w:rPr>
          <w:rFonts w:eastAsiaTheme="minorEastAsia" w:cstheme="minorBidi"/>
          <w:noProof/>
          <w:sz w:val="22"/>
          <w:szCs w:val="22"/>
          <w:lang w:eastAsia="ja-JP" w:bidi="ar-SA"/>
        </w:rPr>
      </w:pPr>
      <w:hyperlink w:anchor="_Toc185934" w:history="1">
        <w:r w:rsidRPr="00B14924">
          <w:rPr>
            <w:rStyle w:val="Hyperlink"/>
            <w:noProof/>
          </w:rPr>
          <w:t>4.2.4 Post-testing</w:t>
        </w:r>
        <w:r>
          <w:rPr>
            <w:noProof/>
            <w:webHidden/>
          </w:rPr>
          <w:tab/>
        </w:r>
        <w:r>
          <w:rPr>
            <w:noProof/>
            <w:webHidden/>
          </w:rPr>
          <w:fldChar w:fldCharType="begin"/>
        </w:r>
        <w:r>
          <w:rPr>
            <w:noProof/>
            <w:webHidden/>
          </w:rPr>
          <w:instrText xml:space="preserve"> PAGEREF _Toc185934 \h </w:instrText>
        </w:r>
        <w:r>
          <w:rPr>
            <w:noProof/>
            <w:webHidden/>
          </w:rPr>
        </w:r>
        <w:r>
          <w:rPr>
            <w:noProof/>
            <w:webHidden/>
          </w:rPr>
          <w:fldChar w:fldCharType="separate"/>
        </w:r>
        <w:r w:rsidR="00FC3CCD">
          <w:rPr>
            <w:noProof/>
            <w:webHidden/>
          </w:rPr>
          <w:t>53</w:t>
        </w:r>
        <w:r>
          <w:rPr>
            <w:noProof/>
            <w:webHidden/>
          </w:rPr>
          <w:fldChar w:fldCharType="end"/>
        </w:r>
      </w:hyperlink>
    </w:p>
    <w:p w14:paraId="0863E46E" w14:textId="34D923D3" w:rsidR="00216C1B" w:rsidRDefault="00216C1B">
      <w:pPr>
        <w:pStyle w:val="TOC2"/>
        <w:tabs>
          <w:tab w:val="right" w:leader="dot" w:pos="9350"/>
        </w:tabs>
        <w:rPr>
          <w:rFonts w:eastAsiaTheme="minorEastAsia" w:cstheme="minorBidi"/>
          <w:noProof/>
          <w:sz w:val="22"/>
          <w:szCs w:val="22"/>
          <w:lang w:eastAsia="ja-JP" w:bidi="ar-SA"/>
        </w:rPr>
      </w:pPr>
      <w:hyperlink w:anchor="_Toc185935" w:history="1">
        <w:r w:rsidRPr="00B14924">
          <w:rPr>
            <w:rStyle w:val="Hyperlink"/>
            <w:noProof/>
          </w:rPr>
          <w:t>4.3 Results</w:t>
        </w:r>
        <w:r>
          <w:rPr>
            <w:noProof/>
            <w:webHidden/>
          </w:rPr>
          <w:tab/>
        </w:r>
        <w:r>
          <w:rPr>
            <w:noProof/>
            <w:webHidden/>
          </w:rPr>
          <w:fldChar w:fldCharType="begin"/>
        </w:r>
        <w:r>
          <w:rPr>
            <w:noProof/>
            <w:webHidden/>
          </w:rPr>
          <w:instrText xml:space="preserve"> PAGEREF _Toc185935 \h </w:instrText>
        </w:r>
        <w:r>
          <w:rPr>
            <w:noProof/>
            <w:webHidden/>
          </w:rPr>
        </w:r>
        <w:r>
          <w:rPr>
            <w:noProof/>
            <w:webHidden/>
          </w:rPr>
          <w:fldChar w:fldCharType="separate"/>
        </w:r>
        <w:r w:rsidR="00FC3CCD">
          <w:rPr>
            <w:noProof/>
            <w:webHidden/>
          </w:rPr>
          <w:t>53</w:t>
        </w:r>
        <w:r>
          <w:rPr>
            <w:noProof/>
            <w:webHidden/>
          </w:rPr>
          <w:fldChar w:fldCharType="end"/>
        </w:r>
      </w:hyperlink>
    </w:p>
    <w:p w14:paraId="7B3F17BD" w14:textId="7F3C9D00" w:rsidR="00216C1B" w:rsidRDefault="00216C1B">
      <w:pPr>
        <w:pStyle w:val="TOC2"/>
        <w:tabs>
          <w:tab w:val="right" w:leader="dot" w:pos="9350"/>
        </w:tabs>
        <w:rPr>
          <w:rFonts w:eastAsiaTheme="minorEastAsia" w:cstheme="minorBidi"/>
          <w:noProof/>
          <w:sz w:val="22"/>
          <w:szCs w:val="22"/>
          <w:lang w:eastAsia="ja-JP" w:bidi="ar-SA"/>
        </w:rPr>
      </w:pPr>
      <w:hyperlink w:anchor="_Toc185936" w:history="1">
        <w:r w:rsidRPr="00B14924">
          <w:rPr>
            <w:rStyle w:val="Hyperlink"/>
            <w:noProof/>
          </w:rPr>
          <w:t>4.4 Discussion</w:t>
        </w:r>
        <w:r>
          <w:rPr>
            <w:noProof/>
            <w:webHidden/>
          </w:rPr>
          <w:tab/>
        </w:r>
        <w:r>
          <w:rPr>
            <w:noProof/>
            <w:webHidden/>
          </w:rPr>
          <w:fldChar w:fldCharType="begin"/>
        </w:r>
        <w:r>
          <w:rPr>
            <w:noProof/>
            <w:webHidden/>
          </w:rPr>
          <w:instrText xml:space="preserve"> PAGEREF _Toc185936 \h </w:instrText>
        </w:r>
        <w:r>
          <w:rPr>
            <w:noProof/>
            <w:webHidden/>
          </w:rPr>
        </w:r>
        <w:r>
          <w:rPr>
            <w:noProof/>
            <w:webHidden/>
          </w:rPr>
          <w:fldChar w:fldCharType="separate"/>
        </w:r>
        <w:r w:rsidR="00FC3CCD">
          <w:rPr>
            <w:noProof/>
            <w:webHidden/>
          </w:rPr>
          <w:t>58</w:t>
        </w:r>
        <w:r>
          <w:rPr>
            <w:noProof/>
            <w:webHidden/>
          </w:rPr>
          <w:fldChar w:fldCharType="end"/>
        </w:r>
      </w:hyperlink>
    </w:p>
    <w:p w14:paraId="3E7EAE50" w14:textId="27257804" w:rsidR="00216C1B" w:rsidRDefault="00216C1B">
      <w:pPr>
        <w:pStyle w:val="TOC3"/>
        <w:tabs>
          <w:tab w:val="right" w:leader="dot" w:pos="9350"/>
        </w:tabs>
        <w:rPr>
          <w:rFonts w:eastAsiaTheme="minorEastAsia" w:cstheme="minorBidi"/>
          <w:noProof/>
          <w:sz w:val="22"/>
          <w:szCs w:val="22"/>
          <w:lang w:eastAsia="ja-JP" w:bidi="ar-SA"/>
        </w:rPr>
      </w:pPr>
      <w:hyperlink w:anchor="_Toc185937" w:history="1">
        <w:r w:rsidRPr="00B14924">
          <w:rPr>
            <w:rStyle w:val="Hyperlink"/>
            <w:noProof/>
          </w:rPr>
          <w:t>4.4.1 Comparison to Existing Literature</w:t>
        </w:r>
        <w:r>
          <w:rPr>
            <w:noProof/>
            <w:webHidden/>
          </w:rPr>
          <w:tab/>
        </w:r>
        <w:r>
          <w:rPr>
            <w:noProof/>
            <w:webHidden/>
          </w:rPr>
          <w:fldChar w:fldCharType="begin"/>
        </w:r>
        <w:r>
          <w:rPr>
            <w:noProof/>
            <w:webHidden/>
          </w:rPr>
          <w:instrText xml:space="preserve"> PAGEREF _Toc185937 \h </w:instrText>
        </w:r>
        <w:r>
          <w:rPr>
            <w:noProof/>
            <w:webHidden/>
          </w:rPr>
        </w:r>
        <w:r>
          <w:rPr>
            <w:noProof/>
            <w:webHidden/>
          </w:rPr>
          <w:fldChar w:fldCharType="separate"/>
        </w:r>
        <w:r w:rsidR="00FC3CCD">
          <w:rPr>
            <w:noProof/>
            <w:webHidden/>
          </w:rPr>
          <w:t>58</w:t>
        </w:r>
        <w:r>
          <w:rPr>
            <w:noProof/>
            <w:webHidden/>
          </w:rPr>
          <w:fldChar w:fldCharType="end"/>
        </w:r>
      </w:hyperlink>
    </w:p>
    <w:p w14:paraId="1CF20842" w14:textId="58025C9A" w:rsidR="00216C1B" w:rsidRDefault="00216C1B">
      <w:pPr>
        <w:pStyle w:val="TOC3"/>
        <w:tabs>
          <w:tab w:val="right" w:leader="dot" w:pos="9350"/>
        </w:tabs>
        <w:rPr>
          <w:rFonts w:eastAsiaTheme="minorEastAsia" w:cstheme="minorBidi"/>
          <w:noProof/>
          <w:sz w:val="22"/>
          <w:szCs w:val="22"/>
          <w:lang w:eastAsia="ja-JP" w:bidi="ar-SA"/>
        </w:rPr>
      </w:pPr>
      <w:hyperlink w:anchor="_Toc185938" w:history="1">
        <w:r w:rsidRPr="00B14924">
          <w:rPr>
            <w:rStyle w:val="Hyperlink"/>
            <w:noProof/>
          </w:rPr>
          <w:t>4.4.2 Asymmetrical Threshold Shift</w:t>
        </w:r>
        <w:r>
          <w:rPr>
            <w:noProof/>
            <w:webHidden/>
          </w:rPr>
          <w:tab/>
        </w:r>
        <w:r>
          <w:rPr>
            <w:noProof/>
            <w:webHidden/>
          </w:rPr>
          <w:fldChar w:fldCharType="begin"/>
        </w:r>
        <w:r>
          <w:rPr>
            <w:noProof/>
            <w:webHidden/>
          </w:rPr>
          <w:instrText xml:space="preserve"> PAGEREF _Toc185938 \h </w:instrText>
        </w:r>
        <w:r>
          <w:rPr>
            <w:noProof/>
            <w:webHidden/>
          </w:rPr>
        </w:r>
        <w:r>
          <w:rPr>
            <w:noProof/>
            <w:webHidden/>
          </w:rPr>
          <w:fldChar w:fldCharType="separate"/>
        </w:r>
        <w:r w:rsidR="00FC3CCD">
          <w:rPr>
            <w:noProof/>
            <w:webHidden/>
          </w:rPr>
          <w:t>59</w:t>
        </w:r>
        <w:r>
          <w:rPr>
            <w:noProof/>
            <w:webHidden/>
          </w:rPr>
          <w:fldChar w:fldCharType="end"/>
        </w:r>
      </w:hyperlink>
    </w:p>
    <w:p w14:paraId="0C33939D" w14:textId="4C95F2DE" w:rsidR="00216C1B" w:rsidRDefault="00216C1B">
      <w:pPr>
        <w:pStyle w:val="TOC3"/>
        <w:tabs>
          <w:tab w:val="right" w:leader="dot" w:pos="9350"/>
        </w:tabs>
        <w:rPr>
          <w:rFonts w:eastAsiaTheme="minorEastAsia" w:cstheme="minorBidi"/>
          <w:noProof/>
          <w:sz w:val="22"/>
          <w:szCs w:val="22"/>
          <w:lang w:eastAsia="ja-JP" w:bidi="ar-SA"/>
        </w:rPr>
      </w:pPr>
      <w:hyperlink w:anchor="_Toc185939" w:history="1">
        <w:r w:rsidRPr="00B14924">
          <w:rPr>
            <w:rStyle w:val="Hyperlink"/>
            <w:noProof/>
          </w:rPr>
          <w:t>4.4.3 Study Limitations</w:t>
        </w:r>
        <w:r>
          <w:rPr>
            <w:noProof/>
            <w:webHidden/>
          </w:rPr>
          <w:tab/>
        </w:r>
        <w:r>
          <w:rPr>
            <w:noProof/>
            <w:webHidden/>
          </w:rPr>
          <w:fldChar w:fldCharType="begin"/>
        </w:r>
        <w:r>
          <w:rPr>
            <w:noProof/>
            <w:webHidden/>
          </w:rPr>
          <w:instrText xml:space="preserve"> PAGEREF _Toc185939 \h </w:instrText>
        </w:r>
        <w:r>
          <w:rPr>
            <w:noProof/>
            <w:webHidden/>
          </w:rPr>
        </w:r>
        <w:r>
          <w:rPr>
            <w:noProof/>
            <w:webHidden/>
          </w:rPr>
          <w:fldChar w:fldCharType="separate"/>
        </w:r>
        <w:r w:rsidR="00FC3CCD">
          <w:rPr>
            <w:noProof/>
            <w:webHidden/>
          </w:rPr>
          <w:t>60</w:t>
        </w:r>
        <w:r>
          <w:rPr>
            <w:noProof/>
            <w:webHidden/>
          </w:rPr>
          <w:fldChar w:fldCharType="end"/>
        </w:r>
      </w:hyperlink>
    </w:p>
    <w:p w14:paraId="31B29406" w14:textId="356C0416" w:rsidR="00216C1B" w:rsidRDefault="00216C1B">
      <w:pPr>
        <w:pStyle w:val="TOC1"/>
        <w:rPr>
          <w:rFonts w:eastAsiaTheme="minorEastAsia" w:cstheme="minorBidi"/>
          <w:noProof/>
          <w:sz w:val="22"/>
          <w:szCs w:val="22"/>
          <w:lang w:eastAsia="ja-JP" w:bidi="ar-SA"/>
        </w:rPr>
      </w:pPr>
      <w:hyperlink w:anchor="_Toc185940" w:history="1">
        <w:r w:rsidRPr="00B14924">
          <w:rPr>
            <w:rStyle w:val="Hyperlink"/>
            <w:noProof/>
          </w:rPr>
          <w:t>Chapter 5: Conclusions and Future Studies</w:t>
        </w:r>
        <w:r>
          <w:rPr>
            <w:noProof/>
            <w:webHidden/>
          </w:rPr>
          <w:tab/>
        </w:r>
        <w:r>
          <w:rPr>
            <w:noProof/>
            <w:webHidden/>
          </w:rPr>
          <w:fldChar w:fldCharType="begin"/>
        </w:r>
        <w:r>
          <w:rPr>
            <w:noProof/>
            <w:webHidden/>
          </w:rPr>
          <w:instrText xml:space="preserve"> PAGEREF _Toc185940 \h </w:instrText>
        </w:r>
        <w:r>
          <w:rPr>
            <w:noProof/>
            <w:webHidden/>
          </w:rPr>
        </w:r>
        <w:r>
          <w:rPr>
            <w:noProof/>
            <w:webHidden/>
          </w:rPr>
          <w:fldChar w:fldCharType="separate"/>
        </w:r>
        <w:r w:rsidR="00FC3CCD">
          <w:rPr>
            <w:noProof/>
            <w:webHidden/>
          </w:rPr>
          <w:t>61</w:t>
        </w:r>
        <w:r>
          <w:rPr>
            <w:noProof/>
            <w:webHidden/>
          </w:rPr>
          <w:fldChar w:fldCharType="end"/>
        </w:r>
      </w:hyperlink>
    </w:p>
    <w:p w14:paraId="2AE5878B" w14:textId="7F20B684" w:rsidR="00216C1B" w:rsidRDefault="00216C1B">
      <w:pPr>
        <w:pStyle w:val="TOC2"/>
        <w:tabs>
          <w:tab w:val="right" w:leader="dot" w:pos="9350"/>
        </w:tabs>
        <w:rPr>
          <w:rFonts w:eastAsiaTheme="minorEastAsia" w:cstheme="minorBidi"/>
          <w:noProof/>
          <w:sz w:val="22"/>
          <w:szCs w:val="22"/>
          <w:lang w:eastAsia="ja-JP" w:bidi="ar-SA"/>
        </w:rPr>
      </w:pPr>
      <w:hyperlink w:anchor="_Toc185941" w:history="1">
        <w:r w:rsidRPr="00B14924">
          <w:rPr>
            <w:rStyle w:val="Hyperlink"/>
            <w:noProof/>
          </w:rPr>
          <w:t>5.1 Conclusions</w:t>
        </w:r>
        <w:r>
          <w:rPr>
            <w:noProof/>
            <w:webHidden/>
          </w:rPr>
          <w:tab/>
        </w:r>
        <w:r>
          <w:rPr>
            <w:noProof/>
            <w:webHidden/>
          </w:rPr>
          <w:fldChar w:fldCharType="begin"/>
        </w:r>
        <w:r>
          <w:rPr>
            <w:noProof/>
            <w:webHidden/>
          </w:rPr>
          <w:instrText xml:space="preserve"> PAGEREF _Toc185941 \h </w:instrText>
        </w:r>
        <w:r>
          <w:rPr>
            <w:noProof/>
            <w:webHidden/>
          </w:rPr>
        </w:r>
        <w:r>
          <w:rPr>
            <w:noProof/>
            <w:webHidden/>
          </w:rPr>
          <w:fldChar w:fldCharType="separate"/>
        </w:r>
        <w:r w:rsidR="00FC3CCD">
          <w:rPr>
            <w:noProof/>
            <w:webHidden/>
          </w:rPr>
          <w:t>61</w:t>
        </w:r>
        <w:r>
          <w:rPr>
            <w:noProof/>
            <w:webHidden/>
          </w:rPr>
          <w:fldChar w:fldCharType="end"/>
        </w:r>
      </w:hyperlink>
    </w:p>
    <w:p w14:paraId="428D9F69" w14:textId="16564BA8" w:rsidR="00216C1B" w:rsidRDefault="00216C1B">
      <w:pPr>
        <w:pStyle w:val="TOC3"/>
        <w:tabs>
          <w:tab w:val="right" w:leader="dot" w:pos="9350"/>
        </w:tabs>
        <w:rPr>
          <w:rFonts w:eastAsiaTheme="minorEastAsia" w:cstheme="minorBidi"/>
          <w:noProof/>
          <w:sz w:val="22"/>
          <w:szCs w:val="22"/>
          <w:lang w:eastAsia="ja-JP" w:bidi="ar-SA"/>
        </w:rPr>
      </w:pPr>
      <w:hyperlink w:anchor="_Toc185942" w:history="1">
        <w:r w:rsidRPr="00B14924">
          <w:rPr>
            <w:rStyle w:val="Hyperlink"/>
            <w:noProof/>
          </w:rPr>
          <w:t>5.1.1 Viability of EMG for MEMR Studies</w:t>
        </w:r>
        <w:r>
          <w:rPr>
            <w:noProof/>
            <w:webHidden/>
          </w:rPr>
          <w:tab/>
        </w:r>
        <w:r>
          <w:rPr>
            <w:noProof/>
            <w:webHidden/>
          </w:rPr>
          <w:fldChar w:fldCharType="begin"/>
        </w:r>
        <w:r>
          <w:rPr>
            <w:noProof/>
            <w:webHidden/>
          </w:rPr>
          <w:instrText xml:space="preserve"> PAGEREF _Toc185942 \h </w:instrText>
        </w:r>
        <w:r>
          <w:rPr>
            <w:noProof/>
            <w:webHidden/>
          </w:rPr>
        </w:r>
        <w:r>
          <w:rPr>
            <w:noProof/>
            <w:webHidden/>
          </w:rPr>
          <w:fldChar w:fldCharType="separate"/>
        </w:r>
        <w:r w:rsidR="00FC3CCD">
          <w:rPr>
            <w:noProof/>
            <w:webHidden/>
          </w:rPr>
          <w:t>61</w:t>
        </w:r>
        <w:r>
          <w:rPr>
            <w:noProof/>
            <w:webHidden/>
          </w:rPr>
          <w:fldChar w:fldCharType="end"/>
        </w:r>
      </w:hyperlink>
    </w:p>
    <w:p w14:paraId="4E2956A9" w14:textId="4F4A8178" w:rsidR="00216C1B" w:rsidRDefault="00216C1B">
      <w:pPr>
        <w:pStyle w:val="TOC3"/>
        <w:tabs>
          <w:tab w:val="right" w:leader="dot" w:pos="9350"/>
        </w:tabs>
        <w:rPr>
          <w:rFonts w:eastAsiaTheme="minorEastAsia" w:cstheme="minorBidi"/>
          <w:noProof/>
          <w:sz w:val="22"/>
          <w:szCs w:val="22"/>
          <w:lang w:eastAsia="ja-JP" w:bidi="ar-SA"/>
        </w:rPr>
      </w:pPr>
      <w:hyperlink w:anchor="_Toc185943" w:history="1">
        <w:r w:rsidRPr="00B14924">
          <w:rPr>
            <w:rStyle w:val="Hyperlink"/>
            <w:noProof/>
          </w:rPr>
          <w:t>5.1.2 EMG Analysis of MEMR During Blast Exposure</w:t>
        </w:r>
        <w:r>
          <w:rPr>
            <w:noProof/>
            <w:webHidden/>
          </w:rPr>
          <w:tab/>
        </w:r>
        <w:r>
          <w:rPr>
            <w:noProof/>
            <w:webHidden/>
          </w:rPr>
          <w:fldChar w:fldCharType="begin"/>
        </w:r>
        <w:r>
          <w:rPr>
            <w:noProof/>
            <w:webHidden/>
          </w:rPr>
          <w:instrText xml:space="preserve"> PAGEREF _Toc185943 \h </w:instrText>
        </w:r>
        <w:r>
          <w:rPr>
            <w:noProof/>
            <w:webHidden/>
          </w:rPr>
        </w:r>
        <w:r>
          <w:rPr>
            <w:noProof/>
            <w:webHidden/>
          </w:rPr>
          <w:fldChar w:fldCharType="separate"/>
        </w:r>
        <w:r w:rsidR="00FC3CCD">
          <w:rPr>
            <w:noProof/>
            <w:webHidden/>
          </w:rPr>
          <w:t>62</w:t>
        </w:r>
        <w:r>
          <w:rPr>
            <w:noProof/>
            <w:webHidden/>
          </w:rPr>
          <w:fldChar w:fldCharType="end"/>
        </w:r>
      </w:hyperlink>
    </w:p>
    <w:p w14:paraId="22EE713B" w14:textId="0D1AE1F0" w:rsidR="00216C1B" w:rsidRDefault="00216C1B">
      <w:pPr>
        <w:pStyle w:val="TOC3"/>
        <w:tabs>
          <w:tab w:val="right" w:leader="dot" w:pos="9350"/>
        </w:tabs>
        <w:rPr>
          <w:rFonts w:eastAsiaTheme="minorEastAsia" w:cstheme="minorBidi"/>
          <w:noProof/>
          <w:sz w:val="22"/>
          <w:szCs w:val="22"/>
          <w:lang w:eastAsia="ja-JP" w:bidi="ar-SA"/>
        </w:rPr>
      </w:pPr>
      <w:hyperlink w:anchor="_Toc185944" w:history="1">
        <w:r w:rsidRPr="00B14924">
          <w:rPr>
            <w:rStyle w:val="Hyperlink"/>
            <w:noProof/>
          </w:rPr>
          <w:t>5.1.3 EMG Analysis of MEMR After High Intensity Sound Exposure</w:t>
        </w:r>
        <w:r>
          <w:rPr>
            <w:noProof/>
            <w:webHidden/>
          </w:rPr>
          <w:tab/>
        </w:r>
        <w:r>
          <w:rPr>
            <w:noProof/>
            <w:webHidden/>
          </w:rPr>
          <w:fldChar w:fldCharType="begin"/>
        </w:r>
        <w:r>
          <w:rPr>
            <w:noProof/>
            <w:webHidden/>
          </w:rPr>
          <w:instrText xml:space="preserve"> PAGEREF _Toc185944 \h </w:instrText>
        </w:r>
        <w:r>
          <w:rPr>
            <w:noProof/>
            <w:webHidden/>
          </w:rPr>
        </w:r>
        <w:r>
          <w:rPr>
            <w:noProof/>
            <w:webHidden/>
          </w:rPr>
          <w:fldChar w:fldCharType="separate"/>
        </w:r>
        <w:r w:rsidR="00FC3CCD">
          <w:rPr>
            <w:noProof/>
            <w:webHidden/>
          </w:rPr>
          <w:t>62</w:t>
        </w:r>
        <w:r>
          <w:rPr>
            <w:noProof/>
            <w:webHidden/>
          </w:rPr>
          <w:fldChar w:fldCharType="end"/>
        </w:r>
      </w:hyperlink>
    </w:p>
    <w:p w14:paraId="307AA420" w14:textId="34704BA4" w:rsidR="00216C1B" w:rsidRDefault="00216C1B">
      <w:pPr>
        <w:pStyle w:val="TOC2"/>
        <w:tabs>
          <w:tab w:val="right" w:leader="dot" w:pos="9350"/>
        </w:tabs>
        <w:rPr>
          <w:rFonts w:eastAsiaTheme="minorEastAsia" w:cstheme="minorBidi"/>
          <w:noProof/>
          <w:sz w:val="22"/>
          <w:szCs w:val="22"/>
          <w:lang w:eastAsia="ja-JP" w:bidi="ar-SA"/>
        </w:rPr>
      </w:pPr>
      <w:hyperlink w:anchor="_Toc185945" w:history="1">
        <w:r w:rsidRPr="00B14924">
          <w:rPr>
            <w:rStyle w:val="Hyperlink"/>
            <w:noProof/>
          </w:rPr>
          <w:t>5.2 Future Studies</w:t>
        </w:r>
        <w:r>
          <w:rPr>
            <w:noProof/>
            <w:webHidden/>
          </w:rPr>
          <w:tab/>
        </w:r>
        <w:r>
          <w:rPr>
            <w:noProof/>
            <w:webHidden/>
          </w:rPr>
          <w:fldChar w:fldCharType="begin"/>
        </w:r>
        <w:r>
          <w:rPr>
            <w:noProof/>
            <w:webHidden/>
          </w:rPr>
          <w:instrText xml:space="preserve"> PAGEREF _Toc185945 \h </w:instrText>
        </w:r>
        <w:r>
          <w:rPr>
            <w:noProof/>
            <w:webHidden/>
          </w:rPr>
        </w:r>
        <w:r>
          <w:rPr>
            <w:noProof/>
            <w:webHidden/>
          </w:rPr>
          <w:fldChar w:fldCharType="separate"/>
        </w:r>
        <w:r w:rsidR="00FC3CCD">
          <w:rPr>
            <w:noProof/>
            <w:webHidden/>
          </w:rPr>
          <w:t>62</w:t>
        </w:r>
        <w:r>
          <w:rPr>
            <w:noProof/>
            <w:webHidden/>
          </w:rPr>
          <w:fldChar w:fldCharType="end"/>
        </w:r>
      </w:hyperlink>
    </w:p>
    <w:p w14:paraId="6BF7223C" w14:textId="0C28B0AC" w:rsidR="00216C1B" w:rsidRDefault="00216C1B">
      <w:pPr>
        <w:pStyle w:val="TOC1"/>
        <w:rPr>
          <w:rFonts w:eastAsiaTheme="minorEastAsia" w:cstheme="minorBidi"/>
          <w:noProof/>
          <w:sz w:val="22"/>
          <w:szCs w:val="22"/>
          <w:lang w:eastAsia="ja-JP" w:bidi="ar-SA"/>
        </w:rPr>
      </w:pPr>
      <w:hyperlink w:anchor="_Toc185946" w:history="1">
        <w:r w:rsidRPr="00B14924">
          <w:rPr>
            <w:rStyle w:val="Hyperlink"/>
            <w:noProof/>
          </w:rPr>
          <w:t>References</w:t>
        </w:r>
        <w:r>
          <w:rPr>
            <w:noProof/>
            <w:webHidden/>
          </w:rPr>
          <w:tab/>
        </w:r>
        <w:r>
          <w:rPr>
            <w:noProof/>
            <w:webHidden/>
          </w:rPr>
          <w:fldChar w:fldCharType="begin"/>
        </w:r>
        <w:r>
          <w:rPr>
            <w:noProof/>
            <w:webHidden/>
          </w:rPr>
          <w:instrText xml:space="preserve"> PAGEREF _Toc185946 \h </w:instrText>
        </w:r>
        <w:r>
          <w:rPr>
            <w:noProof/>
            <w:webHidden/>
          </w:rPr>
        </w:r>
        <w:r>
          <w:rPr>
            <w:noProof/>
            <w:webHidden/>
          </w:rPr>
          <w:fldChar w:fldCharType="separate"/>
        </w:r>
        <w:r w:rsidR="00FC3CCD">
          <w:rPr>
            <w:noProof/>
            <w:webHidden/>
          </w:rPr>
          <w:t>65</w:t>
        </w:r>
        <w:r>
          <w:rPr>
            <w:noProof/>
            <w:webHidden/>
          </w:rPr>
          <w:fldChar w:fldCharType="end"/>
        </w:r>
      </w:hyperlink>
    </w:p>
    <w:p w14:paraId="02E943FF" w14:textId="1237E8BC" w:rsidR="00216C1B" w:rsidRDefault="00216C1B">
      <w:pPr>
        <w:pStyle w:val="TOC1"/>
        <w:rPr>
          <w:rFonts w:eastAsiaTheme="minorEastAsia" w:cstheme="minorBidi"/>
          <w:noProof/>
          <w:sz w:val="22"/>
          <w:szCs w:val="22"/>
          <w:lang w:eastAsia="ja-JP" w:bidi="ar-SA"/>
        </w:rPr>
      </w:pPr>
      <w:hyperlink w:anchor="_Toc185947" w:history="1">
        <w:r w:rsidRPr="00B14924">
          <w:rPr>
            <w:rStyle w:val="Hyperlink"/>
            <w:noProof/>
          </w:rPr>
          <w:t>Appendix A: List of Acronyms</w:t>
        </w:r>
        <w:r>
          <w:rPr>
            <w:noProof/>
            <w:webHidden/>
          </w:rPr>
          <w:tab/>
        </w:r>
        <w:r>
          <w:rPr>
            <w:noProof/>
            <w:webHidden/>
          </w:rPr>
          <w:fldChar w:fldCharType="begin"/>
        </w:r>
        <w:r>
          <w:rPr>
            <w:noProof/>
            <w:webHidden/>
          </w:rPr>
          <w:instrText xml:space="preserve"> PAGEREF _Toc185947 \h </w:instrText>
        </w:r>
        <w:r>
          <w:rPr>
            <w:noProof/>
            <w:webHidden/>
          </w:rPr>
        </w:r>
        <w:r>
          <w:rPr>
            <w:noProof/>
            <w:webHidden/>
          </w:rPr>
          <w:fldChar w:fldCharType="separate"/>
        </w:r>
        <w:r w:rsidR="00FC3CCD">
          <w:rPr>
            <w:noProof/>
            <w:webHidden/>
          </w:rPr>
          <w:t>75</w:t>
        </w:r>
        <w:r>
          <w:rPr>
            <w:noProof/>
            <w:webHidden/>
          </w:rPr>
          <w:fldChar w:fldCharType="end"/>
        </w:r>
      </w:hyperlink>
    </w:p>
    <w:p w14:paraId="49E24C34" w14:textId="374D5CF7" w:rsidR="00216C1B" w:rsidRDefault="00216C1B">
      <w:pPr>
        <w:pStyle w:val="TOC1"/>
        <w:rPr>
          <w:rFonts w:eastAsiaTheme="minorEastAsia" w:cstheme="minorBidi"/>
          <w:noProof/>
          <w:sz w:val="22"/>
          <w:szCs w:val="22"/>
          <w:lang w:eastAsia="ja-JP" w:bidi="ar-SA"/>
        </w:rPr>
      </w:pPr>
      <w:hyperlink w:anchor="_Toc185948" w:history="1">
        <w:r w:rsidRPr="00B14924">
          <w:rPr>
            <w:rStyle w:val="Hyperlink"/>
            <w:noProof/>
          </w:rPr>
          <w:t>Appendix B: MATLAB Code</w:t>
        </w:r>
        <w:r>
          <w:rPr>
            <w:noProof/>
            <w:webHidden/>
          </w:rPr>
          <w:tab/>
        </w:r>
        <w:r>
          <w:rPr>
            <w:noProof/>
            <w:webHidden/>
          </w:rPr>
          <w:fldChar w:fldCharType="begin"/>
        </w:r>
        <w:r>
          <w:rPr>
            <w:noProof/>
            <w:webHidden/>
          </w:rPr>
          <w:instrText xml:space="preserve"> PAGEREF _Toc185948 \h </w:instrText>
        </w:r>
        <w:r>
          <w:rPr>
            <w:noProof/>
            <w:webHidden/>
          </w:rPr>
        </w:r>
        <w:r>
          <w:rPr>
            <w:noProof/>
            <w:webHidden/>
          </w:rPr>
          <w:fldChar w:fldCharType="separate"/>
        </w:r>
        <w:r w:rsidR="00FC3CCD">
          <w:rPr>
            <w:noProof/>
            <w:webHidden/>
          </w:rPr>
          <w:t>76</w:t>
        </w:r>
        <w:r>
          <w:rPr>
            <w:noProof/>
            <w:webHidden/>
          </w:rPr>
          <w:fldChar w:fldCharType="end"/>
        </w:r>
      </w:hyperlink>
    </w:p>
    <w:p w14:paraId="2C0FF554" w14:textId="5C449DFB" w:rsidR="00DA1971" w:rsidRDefault="00F7122D" w:rsidP="00DA1971">
      <w:r>
        <w:fldChar w:fldCharType="end"/>
      </w:r>
      <w:r w:rsidR="00C92079">
        <w:t xml:space="preserve"> </w:t>
      </w:r>
    </w:p>
    <w:p w14:paraId="7B436E0E" w14:textId="77777777" w:rsidR="00775701" w:rsidRDefault="00DA1971" w:rsidP="00A02A61">
      <w:pPr>
        <w:pStyle w:val="Heading1"/>
        <w:numPr>
          <w:ilvl w:val="0"/>
          <w:numId w:val="0"/>
        </w:numPr>
      </w:pPr>
      <w:r>
        <w:br w:type="page"/>
      </w:r>
      <w:bookmarkStart w:id="3" w:name="_Toc310579465"/>
      <w:bookmarkStart w:id="4" w:name="_Toc185881"/>
      <w:r>
        <w:lastRenderedPageBreak/>
        <w:t>List of Tables</w:t>
      </w:r>
      <w:bookmarkEnd w:id="3"/>
      <w:bookmarkEnd w:id="4"/>
    </w:p>
    <w:p w14:paraId="0E13E088" w14:textId="76C455B9" w:rsidR="00216C1B" w:rsidRDefault="00F7122D">
      <w:pPr>
        <w:pStyle w:val="TableofFigures"/>
        <w:tabs>
          <w:tab w:val="right" w:leader="dot" w:pos="9350"/>
        </w:tabs>
        <w:rPr>
          <w:rFonts w:eastAsiaTheme="minorEastAsia" w:cstheme="minorBidi"/>
          <w:noProof/>
          <w:sz w:val="22"/>
          <w:szCs w:val="22"/>
          <w:lang w:eastAsia="ja-JP" w:bidi="ar-SA"/>
        </w:rPr>
      </w:pPr>
      <w:r>
        <w:fldChar w:fldCharType="begin"/>
      </w:r>
      <w:r w:rsidR="00CC7E26">
        <w:instrText xml:space="preserve"> TOC \h \z \c "Table" </w:instrText>
      </w:r>
      <w:r>
        <w:fldChar w:fldCharType="separate"/>
      </w:r>
      <w:hyperlink w:anchor="_Toc185871" w:history="1">
        <w:r w:rsidR="00216C1B" w:rsidRPr="00042979">
          <w:rPr>
            <w:rStyle w:val="Hyperlink"/>
            <w:noProof/>
          </w:rPr>
          <w:t>Table 1</w:t>
        </w:r>
        <w:r w:rsidR="00216C1B" w:rsidRPr="00042979">
          <w:rPr>
            <w:rStyle w:val="Hyperlink"/>
            <w:noProof/>
          </w:rPr>
          <w:noBreakHyphen/>
          <w:t>1 OSHA guidelines for noise exposure</w:t>
        </w:r>
        <w:r w:rsidR="00216C1B">
          <w:rPr>
            <w:noProof/>
            <w:webHidden/>
          </w:rPr>
          <w:tab/>
        </w:r>
        <w:r w:rsidR="00216C1B">
          <w:rPr>
            <w:noProof/>
            <w:webHidden/>
          </w:rPr>
          <w:fldChar w:fldCharType="begin"/>
        </w:r>
        <w:r w:rsidR="00216C1B">
          <w:rPr>
            <w:noProof/>
            <w:webHidden/>
          </w:rPr>
          <w:instrText xml:space="preserve"> PAGEREF _Toc185871 \h </w:instrText>
        </w:r>
        <w:r w:rsidR="00216C1B">
          <w:rPr>
            <w:noProof/>
            <w:webHidden/>
          </w:rPr>
        </w:r>
        <w:r w:rsidR="00216C1B">
          <w:rPr>
            <w:noProof/>
            <w:webHidden/>
          </w:rPr>
          <w:fldChar w:fldCharType="separate"/>
        </w:r>
        <w:r w:rsidR="00FC3CCD">
          <w:rPr>
            <w:noProof/>
            <w:webHidden/>
          </w:rPr>
          <w:t>7</w:t>
        </w:r>
        <w:r w:rsidR="00216C1B">
          <w:rPr>
            <w:noProof/>
            <w:webHidden/>
          </w:rPr>
          <w:fldChar w:fldCharType="end"/>
        </w:r>
      </w:hyperlink>
    </w:p>
    <w:p w14:paraId="2B9989DD" w14:textId="235F3338" w:rsidR="00216C1B" w:rsidRDefault="00216C1B">
      <w:pPr>
        <w:pStyle w:val="TableofFigures"/>
        <w:tabs>
          <w:tab w:val="right" w:leader="dot" w:pos="9350"/>
        </w:tabs>
        <w:rPr>
          <w:rFonts w:eastAsiaTheme="minorEastAsia" w:cstheme="minorBidi"/>
          <w:noProof/>
          <w:sz w:val="22"/>
          <w:szCs w:val="22"/>
          <w:lang w:eastAsia="ja-JP" w:bidi="ar-SA"/>
        </w:rPr>
      </w:pPr>
      <w:hyperlink w:anchor="_Toc185872" w:history="1">
        <w:r w:rsidRPr="00042979">
          <w:rPr>
            <w:rStyle w:val="Hyperlink"/>
            <w:noProof/>
          </w:rPr>
          <w:t>Table 2</w:t>
        </w:r>
        <w:r w:rsidRPr="00042979">
          <w:rPr>
            <w:rStyle w:val="Hyperlink"/>
            <w:noProof/>
          </w:rPr>
          <w:noBreakHyphen/>
          <w:t>1 MEMR thresholds (dB) as determined through EMG</w:t>
        </w:r>
        <w:r>
          <w:rPr>
            <w:noProof/>
            <w:webHidden/>
          </w:rPr>
          <w:tab/>
        </w:r>
        <w:r>
          <w:rPr>
            <w:noProof/>
            <w:webHidden/>
          </w:rPr>
          <w:fldChar w:fldCharType="begin"/>
        </w:r>
        <w:r>
          <w:rPr>
            <w:noProof/>
            <w:webHidden/>
          </w:rPr>
          <w:instrText xml:space="preserve"> PAGEREF _Toc185872 \h </w:instrText>
        </w:r>
        <w:r>
          <w:rPr>
            <w:noProof/>
            <w:webHidden/>
          </w:rPr>
        </w:r>
        <w:r>
          <w:rPr>
            <w:noProof/>
            <w:webHidden/>
          </w:rPr>
          <w:fldChar w:fldCharType="separate"/>
        </w:r>
        <w:r w:rsidR="00FC3CCD">
          <w:rPr>
            <w:noProof/>
            <w:webHidden/>
          </w:rPr>
          <w:t>29</w:t>
        </w:r>
        <w:r>
          <w:rPr>
            <w:noProof/>
            <w:webHidden/>
          </w:rPr>
          <w:fldChar w:fldCharType="end"/>
        </w:r>
      </w:hyperlink>
    </w:p>
    <w:p w14:paraId="3C4AAF90" w14:textId="3257656A" w:rsidR="00216C1B" w:rsidRDefault="00216C1B">
      <w:pPr>
        <w:pStyle w:val="TableofFigures"/>
        <w:tabs>
          <w:tab w:val="right" w:leader="dot" w:pos="9350"/>
        </w:tabs>
        <w:rPr>
          <w:rFonts w:eastAsiaTheme="minorEastAsia" w:cstheme="minorBidi"/>
          <w:noProof/>
          <w:sz w:val="22"/>
          <w:szCs w:val="22"/>
          <w:lang w:eastAsia="ja-JP" w:bidi="ar-SA"/>
        </w:rPr>
      </w:pPr>
      <w:hyperlink w:anchor="_Toc185873" w:history="1">
        <w:r w:rsidRPr="00042979">
          <w:rPr>
            <w:rStyle w:val="Hyperlink"/>
            <w:noProof/>
          </w:rPr>
          <w:t>Table 2</w:t>
        </w:r>
        <w:r w:rsidRPr="00042979">
          <w:rPr>
            <w:rStyle w:val="Hyperlink"/>
            <w:noProof/>
          </w:rPr>
          <w:noBreakHyphen/>
          <w:t>2 MEMR thresholds (dB) as determined through ART testing</w:t>
        </w:r>
        <w:r>
          <w:rPr>
            <w:noProof/>
            <w:webHidden/>
          </w:rPr>
          <w:tab/>
        </w:r>
        <w:r>
          <w:rPr>
            <w:noProof/>
            <w:webHidden/>
          </w:rPr>
          <w:fldChar w:fldCharType="begin"/>
        </w:r>
        <w:r>
          <w:rPr>
            <w:noProof/>
            <w:webHidden/>
          </w:rPr>
          <w:instrText xml:space="preserve"> PAGEREF _Toc185873 \h </w:instrText>
        </w:r>
        <w:r>
          <w:rPr>
            <w:noProof/>
            <w:webHidden/>
          </w:rPr>
        </w:r>
        <w:r>
          <w:rPr>
            <w:noProof/>
            <w:webHidden/>
          </w:rPr>
          <w:fldChar w:fldCharType="separate"/>
        </w:r>
        <w:r w:rsidR="00FC3CCD">
          <w:rPr>
            <w:noProof/>
            <w:webHidden/>
          </w:rPr>
          <w:t>29</w:t>
        </w:r>
        <w:r>
          <w:rPr>
            <w:noProof/>
            <w:webHidden/>
          </w:rPr>
          <w:fldChar w:fldCharType="end"/>
        </w:r>
      </w:hyperlink>
    </w:p>
    <w:p w14:paraId="183DFDB5" w14:textId="1D99786A" w:rsidR="00216C1B" w:rsidRDefault="00216C1B">
      <w:pPr>
        <w:pStyle w:val="TableofFigures"/>
        <w:tabs>
          <w:tab w:val="right" w:leader="dot" w:pos="9350"/>
        </w:tabs>
        <w:rPr>
          <w:rFonts w:eastAsiaTheme="minorEastAsia" w:cstheme="minorBidi"/>
          <w:noProof/>
          <w:sz w:val="22"/>
          <w:szCs w:val="22"/>
          <w:lang w:eastAsia="ja-JP" w:bidi="ar-SA"/>
        </w:rPr>
      </w:pPr>
      <w:hyperlink w:anchor="_Toc185874" w:history="1">
        <w:r w:rsidRPr="00042979">
          <w:rPr>
            <w:rStyle w:val="Hyperlink"/>
            <w:noProof/>
          </w:rPr>
          <w:t>Table 2</w:t>
        </w:r>
        <w:r w:rsidRPr="00042979">
          <w:rPr>
            <w:rStyle w:val="Hyperlink"/>
            <w:noProof/>
          </w:rPr>
          <w:noBreakHyphen/>
          <w:t>3 MEMR latency (ms) measured at activation threshold</w:t>
        </w:r>
        <w:r>
          <w:rPr>
            <w:noProof/>
            <w:webHidden/>
          </w:rPr>
          <w:tab/>
        </w:r>
        <w:r>
          <w:rPr>
            <w:noProof/>
            <w:webHidden/>
          </w:rPr>
          <w:fldChar w:fldCharType="begin"/>
        </w:r>
        <w:r>
          <w:rPr>
            <w:noProof/>
            <w:webHidden/>
          </w:rPr>
          <w:instrText xml:space="preserve"> PAGEREF _Toc185874 \h </w:instrText>
        </w:r>
        <w:r>
          <w:rPr>
            <w:noProof/>
            <w:webHidden/>
          </w:rPr>
        </w:r>
        <w:r>
          <w:rPr>
            <w:noProof/>
            <w:webHidden/>
          </w:rPr>
          <w:fldChar w:fldCharType="separate"/>
        </w:r>
        <w:r w:rsidR="00FC3CCD">
          <w:rPr>
            <w:noProof/>
            <w:webHidden/>
          </w:rPr>
          <w:t>31</w:t>
        </w:r>
        <w:r>
          <w:rPr>
            <w:noProof/>
            <w:webHidden/>
          </w:rPr>
          <w:fldChar w:fldCharType="end"/>
        </w:r>
      </w:hyperlink>
    </w:p>
    <w:p w14:paraId="1D3ACCCB" w14:textId="484531A3" w:rsidR="00216C1B" w:rsidRDefault="00216C1B">
      <w:pPr>
        <w:pStyle w:val="TableofFigures"/>
        <w:tabs>
          <w:tab w:val="right" w:leader="dot" w:pos="9350"/>
        </w:tabs>
        <w:rPr>
          <w:rFonts w:eastAsiaTheme="minorEastAsia" w:cstheme="minorBidi"/>
          <w:noProof/>
          <w:sz w:val="22"/>
          <w:szCs w:val="22"/>
          <w:lang w:eastAsia="ja-JP" w:bidi="ar-SA"/>
        </w:rPr>
      </w:pPr>
      <w:hyperlink w:anchor="_Toc185875" w:history="1">
        <w:r w:rsidRPr="00042979">
          <w:rPr>
            <w:rStyle w:val="Hyperlink"/>
            <w:noProof/>
          </w:rPr>
          <w:t>Table 2</w:t>
        </w:r>
        <w:r w:rsidRPr="00042979">
          <w:rPr>
            <w:rStyle w:val="Hyperlink"/>
            <w:noProof/>
          </w:rPr>
          <w:noBreakHyphen/>
          <w:t>4 MEMR latency (ms) measured at 110 dB</w:t>
        </w:r>
        <w:r>
          <w:rPr>
            <w:noProof/>
            <w:webHidden/>
          </w:rPr>
          <w:tab/>
        </w:r>
        <w:r>
          <w:rPr>
            <w:noProof/>
            <w:webHidden/>
          </w:rPr>
          <w:fldChar w:fldCharType="begin"/>
        </w:r>
        <w:r>
          <w:rPr>
            <w:noProof/>
            <w:webHidden/>
          </w:rPr>
          <w:instrText xml:space="preserve"> PAGEREF _Toc185875 \h </w:instrText>
        </w:r>
        <w:r>
          <w:rPr>
            <w:noProof/>
            <w:webHidden/>
          </w:rPr>
        </w:r>
        <w:r>
          <w:rPr>
            <w:noProof/>
            <w:webHidden/>
          </w:rPr>
          <w:fldChar w:fldCharType="separate"/>
        </w:r>
        <w:r w:rsidR="00FC3CCD">
          <w:rPr>
            <w:noProof/>
            <w:webHidden/>
          </w:rPr>
          <w:t>31</w:t>
        </w:r>
        <w:r>
          <w:rPr>
            <w:noProof/>
            <w:webHidden/>
          </w:rPr>
          <w:fldChar w:fldCharType="end"/>
        </w:r>
      </w:hyperlink>
    </w:p>
    <w:p w14:paraId="73CF3886" w14:textId="64113E55" w:rsidR="00216C1B" w:rsidRDefault="00216C1B">
      <w:pPr>
        <w:pStyle w:val="TableofFigures"/>
        <w:tabs>
          <w:tab w:val="right" w:leader="dot" w:pos="9350"/>
        </w:tabs>
        <w:rPr>
          <w:rFonts w:eastAsiaTheme="minorEastAsia" w:cstheme="minorBidi"/>
          <w:noProof/>
          <w:sz w:val="22"/>
          <w:szCs w:val="22"/>
          <w:lang w:eastAsia="ja-JP" w:bidi="ar-SA"/>
        </w:rPr>
      </w:pPr>
      <w:hyperlink w:anchor="_Toc185876" w:history="1">
        <w:r w:rsidRPr="00042979">
          <w:rPr>
            <w:rStyle w:val="Hyperlink"/>
            <w:noProof/>
          </w:rPr>
          <w:t>Table 4</w:t>
        </w:r>
        <w:r w:rsidRPr="00042979">
          <w:rPr>
            <w:rStyle w:val="Hyperlink"/>
            <w:noProof/>
          </w:rPr>
          <w:noBreakHyphen/>
          <w:t>1 Average MEMR thresholds (dB) at each frequency</w:t>
        </w:r>
        <w:r>
          <w:rPr>
            <w:noProof/>
            <w:webHidden/>
          </w:rPr>
          <w:tab/>
        </w:r>
        <w:r>
          <w:rPr>
            <w:noProof/>
            <w:webHidden/>
          </w:rPr>
          <w:fldChar w:fldCharType="begin"/>
        </w:r>
        <w:r>
          <w:rPr>
            <w:noProof/>
            <w:webHidden/>
          </w:rPr>
          <w:instrText xml:space="preserve"> PAGEREF _Toc185876 \h </w:instrText>
        </w:r>
        <w:r>
          <w:rPr>
            <w:noProof/>
            <w:webHidden/>
          </w:rPr>
        </w:r>
        <w:r>
          <w:rPr>
            <w:noProof/>
            <w:webHidden/>
          </w:rPr>
          <w:fldChar w:fldCharType="separate"/>
        </w:r>
        <w:r w:rsidR="00FC3CCD">
          <w:rPr>
            <w:noProof/>
            <w:webHidden/>
          </w:rPr>
          <w:t>55</w:t>
        </w:r>
        <w:r>
          <w:rPr>
            <w:noProof/>
            <w:webHidden/>
          </w:rPr>
          <w:fldChar w:fldCharType="end"/>
        </w:r>
      </w:hyperlink>
    </w:p>
    <w:p w14:paraId="6FB85008" w14:textId="500459A0" w:rsidR="00216C1B" w:rsidRDefault="00216C1B">
      <w:pPr>
        <w:pStyle w:val="TableofFigures"/>
        <w:tabs>
          <w:tab w:val="right" w:leader="dot" w:pos="9350"/>
        </w:tabs>
        <w:rPr>
          <w:rFonts w:eastAsiaTheme="minorEastAsia" w:cstheme="minorBidi"/>
          <w:noProof/>
          <w:sz w:val="22"/>
          <w:szCs w:val="22"/>
          <w:lang w:eastAsia="ja-JP" w:bidi="ar-SA"/>
        </w:rPr>
      </w:pPr>
      <w:hyperlink w:anchor="_Toc185877" w:history="1">
        <w:r w:rsidRPr="00042979">
          <w:rPr>
            <w:rStyle w:val="Hyperlink"/>
            <w:noProof/>
          </w:rPr>
          <w:t>Table 4</w:t>
        </w:r>
        <w:r w:rsidRPr="00042979">
          <w:rPr>
            <w:rStyle w:val="Hyperlink"/>
            <w:noProof/>
          </w:rPr>
          <w:noBreakHyphen/>
          <w:t>2 Average ABR thresholds (dB) at each frequency</w:t>
        </w:r>
        <w:r>
          <w:rPr>
            <w:noProof/>
            <w:webHidden/>
          </w:rPr>
          <w:tab/>
        </w:r>
        <w:r>
          <w:rPr>
            <w:noProof/>
            <w:webHidden/>
          </w:rPr>
          <w:fldChar w:fldCharType="begin"/>
        </w:r>
        <w:r>
          <w:rPr>
            <w:noProof/>
            <w:webHidden/>
          </w:rPr>
          <w:instrText xml:space="preserve"> PAGEREF _Toc185877 \h </w:instrText>
        </w:r>
        <w:r>
          <w:rPr>
            <w:noProof/>
            <w:webHidden/>
          </w:rPr>
        </w:r>
        <w:r>
          <w:rPr>
            <w:noProof/>
            <w:webHidden/>
          </w:rPr>
          <w:fldChar w:fldCharType="separate"/>
        </w:r>
        <w:r w:rsidR="00FC3CCD">
          <w:rPr>
            <w:noProof/>
            <w:webHidden/>
          </w:rPr>
          <w:t>55</w:t>
        </w:r>
        <w:r>
          <w:rPr>
            <w:noProof/>
            <w:webHidden/>
          </w:rPr>
          <w:fldChar w:fldCharType="end"/>
        </w:r>
      </w:hyperlink>
    </w:p>
    <w:p w14:paraId="7BDBEB09" w14:textId="05EA7194" w:rsidR="00DE1EF7" w:rsidRDefault="00F7122D" w:rsidP="00DE1EF7">
      <w:r>
        <w:fldChar w:fldCharType="end"/>
      </w:r>
    </w:p>
    <w:p w14:paraId="3ED4A97D" w14:textId="77777777" w:rsidR="00DA1971" w:rsidRDefault="00DA1971" w:rsidP="00A02A61">
      <w:pPr>
        <w:pStyle w:val="Heading1"/>
        <w:numPr>
          <w:ilvl w:val="0"/>
          <w:numId w:val="0"/>
        </w:numPr>
      </w:pPr>
      <w:r>
        <w:br w:type="page"/>
      </w:r>
      <w:bookmarkStart w:id="5" w:name="_Toc310579466"/>
      <w:bookmarkStart w:id="6" w:name="_Toc185882"/>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A303C">
            <w:t>List of Figures</w:t>
          </w:r>
        </w:sdtContent>
      </w:sdt>
      <w:bookmarkEnd w:id="5"/>
      <w:bookmarkEnd w:id="6"/>
    </w:p>
    <w:p w14:paraId="692CC10E" w14:textId="748EEDC9" w:rsidR="00216C1B" w:rsidRPr="00216C1B" w:rsidRDefault="00F7122D">
      <w:pPr>
        <w:pStyle w:val="TableofFigures"/>
        <w:tabs>
          <w:tab w:val="right" w:leader="dot" w:pos="9350"/>
        </w:tabs>
        <w:rPr>
          <w:rFonts w:eastAsiaTheme="minorEastAsia" w:cstheme="minorBidi"/>
          <w:noProof/>
          <w:sz w:val="22"/>
          <w:szCs w:val="22"/>
          <w:lang w:eastAsia="ja-JP" w:bidi="ar-SA"/>
        </w:rPr>
      </w:pPr>
      <w:r>
        <w:fldChar w:fldCharType="begin"/>
      </w:r>
      <w:r w:rsidR="00CC7E26">
        <w:instrText xml:space="preserve"> TOC \h \z \c "Figure" </w:instrText>
      </w:r>
      <w:r>
        <w:fldChar w:fldCharType="separate"/>
      </w:r>
      <w:hyperlink r:id="rId8" w:anchor="_Toc185829" w:history="1">
        <w:r w:rsidR="00216C1B" w:rsidRPr="00216C1B">
          <w:rPr>
            <w:rStyle w:val="Hyperlink"/>
            <w:noProof/>
          </w:rPr>
          <w:t>Figure 1</w:t>
        </w:r>
        <w:r w:rsidR="00216C1B" w:rsidRPr="00216C1B">
          <w:rPr>
            <w:rStyle w:val="Hyperlink"/>
            <w:noProof/>
          </w:rPr>
          <w:noBreakHyphen/>
          <w:t>1. Friedlander curve indicating overpressure (red) and underpressure (blue).</w:t>
        </w:r>
        <w:r w:rsidR="00216C1B" w:rsidRPr="00216C1B">
          <w:rPr>
            <w:noProof/>
            <w:webHidden/>
          </w:rPr>
          <w:tab/>
        </w:r>
        <w:r w:rsidR="00216C1B" w:rsidRPr="00216C1B">
          <w:rPr>
            <w:noProof/>
            <w:webHidden/>
          </w:rPr>
          <w:fldChar w:fldCharType="begin"/>
        </w:r>
        <w:r w:rsidR="00216C1B" w:rsidRPr="00216C1B">
          <w:rPr>
            <w:noProof/>
            <w:webHidden/>
          </w:rPr>
          <w:instrText xml:space="preserve"> PAGEREF _Toc185829 \h </w:instrText>
        </w:r>
        <w:r w:rsidR="00216C1B" w:rsidRPr="00216C1B">
          <w:rPr>
            <w:noProof/>
            <w:webHidden/>
          </w:rPr>
        </w:r>
        <w:r w:rsidR="00216C1B" w:rsidRPr="00216C1B">
          <w:rPr>
            <w:noProof/>
            <w:webHidden/>
          </w:rPr>
          <w:fldChar w:fldCharType="separate"/>
        </w:r>
        <w:r w:rsidR="00FC3CCD">
          <w:rPr>
            <w:noProof/>
            <w:webHidden/>
          </w:rPr>
          <w:t>8</w:t>
        </w:r>
        <w:r w:rsidR="00216C1B" w:rsidRPr="00216C1B">
          <w:rPr>
            <w:noProof/>
            <w:webHidden/>
          </w:rPr>
          <w:fldChar w:fldCharType="end"/>
        </w:r>
      </w:hyperlink>
    </w:p>
    <w:p w14:paraId="74F72055" w14:textId="3B8AE00A" w:rsidR="00216C1B" w:rsidRPr="00216C1B" w:rsidRDefault="00216C1B">
      <w:pPr>
        <w:pStyle w:val="TableofFigures"/>
        <w:tabs>
          <w:tab w:val="right" w:leader="dot" w:pos="9350"/>
        </w:tabs>
        <w:rPr>
          <w:rFonts w:eastAsiaTheme="minorEastAsia" w:cstheme="minorBidi"/>
          <w:noProof/>
          <w:sz w:val="22"/>
          <w:szCs w:val="22"/>
          <w:lang w:eastAsia="ja-JP" w:bidi="ar-SA"/>
        </w:rPr>
      </w:pPr>
      <w:hyperlink r:id="rId9" w:anchor="_Toc185830" w:history="1">
        <w:r w:rsidRPr="00216C1B">
          <w:rPr>
            <w:rStyle w:val="Hyperlink"/>
            <w:noProof/>
          </w:rPr>
          <w:t>Figure 1</w:t>
        </w:r>
        <w:r w:rsidRPr="00216C1B">
          <w:rPr>
            <w:rStyle w:val="Hyperlink"/>
            <w:noProof/>
          </w:rPr>
          <w:noBreakHyphen/>
          <w:t>2. Chinchilla ossicles and middle ear muscles.</w:t>
        </w:r>
        <w:r w:rsidRPr="00216C1B">
          <w:rPr>
            <w:noProof/>
            <w:webHidden/>
          </w:rPr>
          <w:tab/>
        </w:r>
        <w:r w:rsidRPr="00216C1B">
          <w:rPr>
            <w:noProof/>
            <w:webHidden/>
          </w:rPr>
          <w:fldChar w:fldCharType="begin"/>
        </w:r>
        <w:r w:rsidRPr="00216C1B">
          <w:rPr>
            <w:noProof/>
            <w:webHidden/>
          </w:rPr>
          <w:instrText xml:space="preserve"> PAGEREF _Toc185830 \h </w:instrText>
        </w:r>
        <w:r w:rsidRPr="00216C1B">
          <w:rPr>
            <w:noProof/>
            <w:webHidden/>
          </w:rPr>
        </w:r>
        <w:r w:rsidRPr="00216C1B">
          <w:rPr>
            <w:noProof/>
            <w:webHidden/>
          </w:rPr>
          <w:fldChar w:fldCharType="separate"/>
        </w:r>
        <w:r w:rsidR="00FC3CCD">
          <w:rPr>
            <w:noProof/>
            <w:webHidden/>
          </w:rPr>
          <w:t>14</w:t>
        </w:r>
        <w:r w:rsidRPr="00216C1B">
          <w:rPr>
            <w:noProof/>
            <w:webHidden/>
          </w:rPr>
          <w:fldChar w:fldCharType="end"/>
        </w:r>
      </w:hyperlink>
    </w:p>
    <w:p w14:paraId="47A04C72" w14:textId="7773CE72" w:rsidR="00216C1B" w:rsidRPr="00216C1B" w:rsidRDefault="00216C1B">
      <w:pPr>
        <w:pStyle w:val="TableofFigures"/>
        <w:tabs>
          <w:tab w:val="right" w:leader="dot" w:pos="9350"/>
        </w:tabs>
        <w:rPr>
          <w:rFonts w:eastAsiaTheme="minorEastAsia" w:cstheme="minorBidi"/>
          <w:noProof/>
          <w:sz w:val="22"/>
          <w:szCs w:val="22"/>
          <w:lang w:eastAsia="ja-JP" w:bidi="ar-SA"/>
        </w:rPr>
      </w:pPr>
      <w:hyperlink r:id="rId10" w:anchor="_Toc185831" w:history="1">
        <w:r w:rsidRPr="00216C1B">
          <w:rPr>
            <w:rStyle w:val="Hyperlink"/>
            <w:noProof/>
          </w:rPr>
          <w:t>Figure 2</w:t>
        </w:r>
        <w:r w:rsidRPr="00216C1B">
          <w:rPr>
            <w:rStyle w:val="Hyperlink"/>
            <w:noProof/>
          </w:rPr>
          <w:noBreakHyphen/>
          <w:t>1. Bipolar tungsten electrode design with silver data port connections (left end) and exposed tungsten for muscle insertion (right end).</w:t>
        </w:r>
        <w:r w:rsidRPr="00216C1B">
          <w:rPr>
            <w:noProof/>
            <w:webHidden/>
          </w:rPr>
          <w:tab/>
        </w:r>
        <w:r w:rsidRPr="00216C1B">
          <w:rPr>
            <w:noProof/>
            <w:webHidden/>
          </w:rPr>
          <w:fldChar w:fldCharType="begin"/>
        </w:r>
        <w:r w:rsidRPr="00216C1B">
          <w:rPr>
            <w:noProof/>
            <w:webHidden/>
          </w:rPr>
          <w:instrText xml:space="preserve"> PAGEREF _Toc185831 \h </w:instrText>
        </w:r>
        <w:r w:rsidRPr="00216C1B">
          <w:rPr>
            <w:noProof/>
            <w:webHidden/>
          </w:rPr>
        </w:r>
        <w:r w:rsidRPr="00216C1B">
          <w:rPr>
            <w:noProof/>
            <w:webHidden/>
          </w:rPr>
          <w:fldChar w:fldCharType="separate"/>
        </w:r>
        <w:r w:rsidR="00FC3CCD">
          <w:rPr>
            <w:noProof/>
            <w:webHidden/>
          </w:rPr>
          <w:t>19</w:t>
        </w:r>
        <w:r w:rsidRPr="00216C1B">
          <w:rPr>
            <w:noProof/>
            <w:webHidden/>
          </w:rPr>
          <w:fldChar w:fldCharType="end"/>
        </w:r>
      </w:hyperlink>
    </w:p>
    <w:p w14:paraId="6BA19D15" w14:textId="662D49D6" w:rsidR="00216C1B" w:rsidRPr="00216C1B" w:rsidRDefault="00216C1B">
      <w:pPr>
        <w:pStyle w:val="TableofFigures"/>
        <w:tabs>
          <w:tab w:val="right" w:leader="dot" w:pos="9350"/>
        </w:tabs>
        <w:rPr>
          <w:rFonts w:eastAsiaTheme="minorEastAsia" w:cstheme="minorBidi"/>
          <w:noProof/>
          <w:sz w:val="22"/>
          <w:szCs w:val="22"/>
          <w:lang w:eastAsia="ja-JP" w:bidi="ar-SA"/>
        </w:rPr>
      </w:pPr>
      <w:hyperlink r:id="rId11" w:anchor="_Toc185832" w:history="1">
        <w:r w:rsidRPr="00216C1B">
          <w:rPr>
            <w:rStyle w:val="Hyperlink"/>
            <w:noProof/>
          </w:rPr>
          <w:t>Figure 2</w:t>
        </w:r>
        <w:r w:rsidRPr="00216C1B">
          <w:rPr>
            <w:rStyle w:val="Hyperlink"/>
            <w:noProof/>
          </w:rPr>
          <w:noBreakHyphen/>
          <w:t>2. Chinchilla skull, marked with the sites for initial surgical entry (red), further exposure (blue), and skull-penetration target (green).</w:t>
        </w:r>
        <w:r w:rsidRPr="00216C1B">
          <w:rPr>
            <w:noProof/>
            <w:webHidden/>
          </w:rPr>
          <w:tab/>
        </w:r>
        <w:r w:rsidRPr="00216C1B">
          <w:rPr>
            <w:noProof/>
            <w:webHidden/>
          </w:rPr>
          <w:fldChar w:fldCharType="begin"/>
        </w:r>
        <w:r w:rsidRPr="00216C1B">
          <w:rPr>
            <w:noProof/>
            <w:webHidden/>
          </w:rPr>
          <w:instrText xml:space="preserve"> PAGEREF _Toc185832 \h </w:instrText>
        </w:r>
        <w:r w:rsidRPr="00216C1B">
          <w:rPr>
            <w:noProof/>
            <w:webHidden/>
          </w:rPr>
        </w:r>
        <w:r w:rsidRPr="00216C1B">
          <w:rPr>
            <w:noProof/>
            <w:webHidden/>
          </w:rPr>
          <w:fldChar w:fldCharType="separate"/>
        </w:r>
        <w:r w:rsidR="00FC3CCD">
          <w:rPr>
            <w:noProof/>
            <w:webHidden/>
          </w:rPr>
          <w:t>20</w:t>
        </w:r>
        <w:r w:rsidRPr="00216C1B">
          <w:rPr>
            <w:noProof/>
            <w:webHidden/>
          </w:rPr>
          <w:fldChar w:fldCharType="end"/>
        </w:r>
      </w:hyperlink>
    </w:p>
    <w:p w14:paraId="32142F82" w14:textId="492DC33C" w:rsidR="00216C1B" w:rsidRPr="00216C1B" w:rsidRDefault="00216C1B">
      <w:pPr>
        <w:pStyle w:val="TableofFigures"/>
        <w:tabs>
          <w:tab w:val="right" w:leader="dot" w:pos="9350"/>
        </w:tabs>
        <w:rPr>
          <w:rFonts w:eastAsiaTheme="minorEastAsia" w:cstheme="minorBidi"/>
          <w:noProof/>
          <w:sz w:val="22"/>
          <w:szCs w:val="22"/>
          <w:lang w:eastAsia="ja-JP" w:bidi="ar-SA"/>
        </w:rPr>
      </w:pPr>
      <w:hyperlink r:id="rId12" w:anchor="_Toc185833" w:history="1">
        <w:r w:rsidRPr="00216C1B">
          <w:rPr>
            <w:rStyle w:val="Hyperlink"/>
            <w:noProof/>
          </w:rPr>
          <w:t>Figure 2</w:t>
        </w:r>
        <w:r w:rsidRPr="00216C1B">
          <w:rPr>
            <w:rStyle w:val="Hyperlink"/>
            <w:noProof/>
          </w:rPr>
          <w:noBreakHyphen/>
          <w:t>3. Electrode inserted into the chinchilla stapedius muscle.</w:t>
        </w:r>
        <w:r w:rsidRPr="00216C1B">
          <w:rPr>
            <w:noProof/>
            <w:webHidden/>
          </w:rPr>
          <w:tab/>
        </w:r>
        <w:r w:rsidRPr="00216C1B">
          <w:rPr>
            <w:noProof/>
            <w:webHidden/>
          </w:rPr>
          <w:fldChar w:fldCharType="begin"/>
        </w:r>
        <w:r w:rsidRPr="00216C1B">
          <w:rPr>
            <w:noProof/>
            <w:webHidden/>
          </w:rPr>
          <w:instrText xml:space="preserve"> PAGEREF _Toc185833 \h </w:instrText>
        </w:r>
        <w:r w:rsidRPr="00216C1B">
          <w:rPr>
            <w:noProof/>
            <w:webHidden/>
          </w:rPr>
        </w:r>
        <w:r w:rsidRPr="00216C1B">
          <w:rPr>
            <w:noProof/>
            <w:webHidden/>
          </w:rPr>
          <w:fldChar w:fldCharType="separate"/>
        </w:r>
        <w:r w:rsidR="00FC3CCD">
          <w:rPr>
            <w:noProof/>
            <w:webHidden/>
          </w:rPr>
          <w:t>21</w:t>
        </w:r>
        <w:r w:rsidRPr="00216C1B">
          <w:rPr>
            <w:noProof/>
            <w:webHidden/>
          </w:rPr>
          <w:fldChar w:fldCharType="end"/>
        </w:r>
      </w:hyperlink>
    </w:p>
    <w:p w14:paraId="4B6F51E3" w14:textId="6AD235A9" w:rsidR="00216C1B" w:rsidRPr="00216C1B" w:rsidRDefault="00216C1B">
      <w:pPr>
        <w:pStyle w:val="TableofFigures"/>
        <w:tabs>
          <w:tab w:val="right" w:leader="dot" w:pos="9350"/>
        </w:tabs>
        <w:rPr>
          <w:rFonts w:eastAsiaTheme="minorEastAsia" w:cstheme="minorBidi"/>
          <w:noProof/>
          <w:sz w:val="22"/>
          <w:szCs w:val="22"/>
          <w:lang w:eastAsia="ja-JP" w:bidi="ar-SA"/>
        </w:rPr>
      </w:pPr>
      <w:hyperlink r:id="rId13" w:anchor="_Toc185834" w:history="1">
        <w:r w:rsidRPr="00216C1B">
          <w:rPr>
            <w:rStyle w:val="Hyperlink"/>
            <w:noProof/>
          </w:rPr>
          <w:t>Figure 2</w:t>
        </w:r>
        <w:r w:rsidRPr="00216C1B">
          <w:rPr>
            <w:rStyle w:val="Hyperlink"/>
            <w:noProof/>
          </w:rPr>
          <w:noBreakHyphen/>
          <w:t>4. EMG electrode recording schematic including electronics for data acquisition and stimulus generation.</w:t>
        </w:r>
        <w:r w:rsidRPr="00216C1B">
          <w:rPr>
            <w:noProof/>
            <w:webHidden/>
          </w:rPr>
          <w:tab/>
        </w:r>
        <w:r w:rsidRPr="00216C1B">
          <w:rPr>
            <w:noProof/>
            <w:webHidden/>
          </w:rPr>
          <w:fldChar w:fldCharType="begin"/>
        </w:r>
        <w:r w:rsidRPr="00216C1B">
          <w:rPr>
            <w:noProof/>
            <w:webHidden/>
          </w:rPr>
          <w:instrText xml:space="preserve"> PAGEREF _Toc185834 \h </w:instrText>
        </w:r>
        <w:r w:rsidRPr="00216C1B">
          <w:rPr>
            <w:noProof/>
            <w:webHidden/>
          </w:rPr>
        </w:r>
        <w:r w:rsidRPr="00216C1B">
          <w:rPr>
            <w:noProof/>
            <w:webHidden/>
          </w:rPr>
          <w:fldChar w:fldCharType="separate"/>
        </w:r>
        <w:r w:rsidR="00FC3CCD">
          <w:rPr>
            <w:noProof/>
            <w:webHidden/>
          </w:rPr>
          <w:t>22</w:t>
        </w:r>
        <w:r w:rsidRPr="00216C1B">
          <w:rPr>
            <w:noProof/>
            <w:webHidden/>
          </w:rPr>
          <w:fldChar w:fldCharType="end"/>
        </w:r>
      </w:hyperlink>
    </w:p>
    <w:p w14:paraId="08A54C22" w14:textId="41721BA4" w:rsidR="00216C1B" w:rsidRPr="00216C1B" w:rsidRDefault="00216C1B">
      <w:pPr>
        <w:pStyle w:val="TableofFigures"/>
        <w:tabs>
          <w:tab w:val="right" w:leader="dot" w:pos="9350"/>
        </w:tabs>
        <w:rPr>
          <w:rFonts w:eastAsiaTheme="minorEastAsia" w:cstheme="minorBidi"/>
          <w:noProof/>
          <w:sz w:val="22"/>
          <w:szCs w:val="22"/>
          <w:lang w:eastAsia="ja-JP" w:bidi="ar-SA"/>
        </w:rPr>
      </w:pPr>
      <w:hyperlink r:id="rId14" w:anchor="_Toc185835" w:history="1">
        <w:r w:rsidRPr="00216C1B">
          <w:rPr>
            <w:rStyle w:val="Hyperlink"/>
            <w:noProof/>
          </w:rPr>
          <w:t>Figure 2</w:t>
        </w:r>
        <w:r w:rsidRPr="00216C1B">
          <w:rPr>
            <w:rStyle w:val="Hyperlink"/>
            <w:noProof/>
          </w:rPr>
          <w:noBreakHyphen/>
          <w:t>5. Filtered but otherwise unprocessed EMG data over a stimulus intensity range from 50-110 dB.</w:t>
        </w:r>
        <w:r w:rsidRPr="00216C1B">
          <w:rPr>
            <w:noProof/>
            <w:webHidden/>
          </w:rPr>
          <w:tab/>
        </w:r>
        <w:r w:rsidRPr="00216C1B">
          <w:rPr>
            <w:noProof/>
            <w:webHidden/>
          </w:rPr>
          <w:fldChar w:fldCharType="begin"/>
        </w:r>
        <w:r w:rsidRPr="00216C1B">
          <w:rPr>
            <w:noProof/>
            <w:webHidden/>
          </w:rPr>
          <w:instrText xml:space="preserve"> PAGEREF _Toc185835 \h </w:instrText>
        </w:r>
        <w:r w:rsidRPr="00216C1B">
          <w:rPr>
            <w:noProof/>
            <w:webHidden/>
          </w:rPr>
        </w:r>
        <w:r w:rsidRPr="00216C1B">
          <w:rPr>
            <w:noProof/>
            <w:webHidden/>
          </w:rPr>
          <w:fldChar w:fldCharType="separate"/>
        </w:r>
        <w:r w:rsidR="00FC3CCD">
          <w:rPr>
            <w:noProof/>
            <w:webHidden/>
          </w:rPr>
          <w:t>25</w:t>
        </w:r>
        <w:r w:rsidRPr="00216C1B">
          <w:rPr>
            <w:noProof/>
            <w:webHidden/>
          </w:rPr>
          <w:fldChar w:fldCharType="end"/>
        </w:r>
      </w:hyperlink>
    </w:p>
    <w:p w14:paraId="48665F96" w14:textId="4D832E5C" w:rsidR="00216C1B" w:rsidRPr="00216C1B" w:rsidRDefault="00216C1B">
      <w:pPr>
        <w:pStyle w:val="TableofFigures"/>
        <w:tabs>
          <w:tab w:val="right" w:leader="dot" w:pos="9350"/>
        </w:tabs>
        <w:rPr>
          <w:rFonts w:eastAsiaTheme="minorEastAsia" w:cstheme="minorBidi"/>
          <w:noProof/>
          <w:sz w:val="22"/>
          <w:szCs w:val="22"/>
          <w:lang w:eastAsia="ja-JP" w:bidi="ar-SA"/>
        </w:rPr>
      </w:pPr>
      <w:hyperlink w:anchor="_Toc185836" w:history="1">
        <w:r w:rsidRPr="00216C1B">
          <w:rPr>
            <w:rStyle w:val="Hyperlink"/>
            <w:noProof/>
          </w:rPr>
          <w:t>Figure 2</w:t>
        </w:r>
        <w:r w:rsidRPr="00216C1B">
          <w:rPr>
            <w:rStyle w:val="Hyperlink"/>
            <w:noProof/>
          </w:rPr>
          <w:noBreakHyphen/>
          <w:t>6. Stages of EMG processing.</w:t>
        </w:r>
        <w:r w:rsidRPr="00216C1B">
          <w:rPr>
            <w:noProof/>
            <w:webHidden/>
          </w:rPr>
          <w:tab/>
        </w:r>
        <w:r w:rsidRPr="00216C1B">
          <w:rPr>
            <w:noProof/>
            <w:webHidden/>
          </w:rPr>
          <w:fldChar w:fldCharType="begin"/>
        </w:r>
        <w:r w:rsidRPr="00216C1B">
          <w:rPr>
            <w:noProof/>
            <w:webHidden/>
          </w:rPr>
          <w:instrText xml:space="preserve"> PAGEREF _Toc185836 \h </w:instrText>
        </w:r>
        <w:r w:rsidRPr="00216C1B">
          <w:rPr>
            <w:noProof/>
            <w:webHidden/>
          </w:rPr>
        </w:r>
        <w:r w:rsidRPr="00216C1B">
          <w:rPr>
            <w:noProof/>
            <w:webHidden/>
          </w:rPr>
          <w:fldChar w:fldCharType="separate"/>
        </w:r>
        <w:r w:rsidR="00FC3CCD">
          <w:rPr>
            <w:noProof/>
            <w:webHidden/>
          </w:rPr>
          <w:t>27</w:t>
        </w:r>
        <w:r w:rsidRPr="00216C1B">
          <w:rPr>
            <w:noProof/>
            <w:webHidden/>
          </w:rPr>
          <w:fldChar w:fldCharType="end"/>
        </w:r>
      </w:hyperlink>
    </w:p>
    <w:p w14:paraId="1A6DCFEA" w14:textId="6E58979B" w:rsidR="00216C1B" w:rsidRPr="00216C1B" w:rsidRDefault="00216C1B">
      <w:pPr>
        <w:pStyle w:val="TableofFigures"/>
        <w:tabs>
          <w:tab w:val="right" w:leader="dot" w:pos="9350"/>
        </w:tabs>
        <w:rPr>
          <w:rFonts w:eastAsiaTheme="minorEastAsia" w:cstheme="minorBidi"/>
          <w:noProof/>
          <w:sz w:val="22"/>
          <w:szCs w:val="22"/>
          <w:lang w:eastAsia="ja-JP" w:bidi="ar-SA"/>
        </w:rPr>
      </w:pPr>
      <w:hyperlink w:anchor="_Toc185837" w:history="1">
        <w:r w:rsidRPr="00216C1B">
          <w:rPr>
            <w:rStyle w:val="Hyperlink"/>
            <w:noProof/>
          </w:rPr>
          <w:t>Figure 2</w:t>
        </w:r>
        <w:r w:rsidRPr="00216C1B">
          <w:rPr>
            <w:rStyle w:val="Hyperlink"/>
            <w:noProof/>
          </w:rPr>
          <w:noBreakHyphen/>
          <w:t>7. MEMR thresholds determined by ART testing and EMG.</w:t>
        </w:r>
        <w:r w:rsidRPr="00216C1B">
          <w:rPr>
            <w:noProof/>
            <w:webHidden/>
          </w:rPr>
          <w:tab/>
        </w:r>
        <w:r w:rsidRPr="00216C1B">
          <w:rPr>
            <w:noProof/>
            <w:webHidden/>
          </w:rPr>
          <w:fldChar w:fldCharType="begin"/>
        </w:r>
        <w:r w:rsidRPr="00216C1B">
          <w:rPr>
            <w:noProof/>
            <w:webHidden/>
          </w:rPr>
          <w:instrText xml:space="preserve"> PAGEREF _Toc185837 \h </w:instrText>
        </w:r>
        <w:r w:rsidRPr="00216C1B">
          <w:rPr>
            <w:noProof/>
            <w:webHidden/>
          </w:rPr>
        </w:r>
        <w:r w:rsidRPr="00216C1B">
          <w:rPr>
            <w:noProof/>
            <w:webHidden/>
          </w:rPr>
          <w:fldChar w:fldCharType="separate"/>
        </w:r>
        <w:r w:rsidR="00FC3CCD">
          <w:rPr>
            <w:noProof/>
            <w:webHidden/>
          </w:rPr>
          <w:t>28</w:t>
        </w:r>
        <w:r w:rsidRPr="00216C1B">
          <w:rPr>
            <w:noProof/>
            <w:webHidden/>
          </w:rPr>
          <w:fldChar w:fldCharType="end"/>
        </w:r>
      </w:hyperlink>
    </w:p>
    <w:p w14:paraId="01CE165C" w14:textId="08DE57B9" w:rsidR="00216C1B" w:rsidRPr="00216C1B" w:rsidRDefault="00216C1B">
      <w:pPr>
        <w:pStyle w:val="TableofFigures"/>
        <w:tabs>
          <w:tab w:val="right" w:leader="dot" w:pos="9350"/>
        </w:tabs>
        <w:rPr>
          <w:rFonts w:eastAsiaTheme="minorEastAsia" w:cstheme="minorBidi"/>
          <w:noProof/>
          <w:sz w:val="22"/>
          <w:szCs w:val="22"/>
          <w:lang w:eastAsia="ja-JP" w:bidi="ar-SA"/>
        </w:rPr>
      </w:pPr>
      <w:hyperlink w:anchor="_Toc185838" w:history="1">
        <w:r w:rsidRPr="00216C1B">
          <w:rPr>
            <w:rStyle w:val="Hyperlink"/>
            <w:noProof/>
          </w:rPr>
          <w:t>Figure 2</w:t>
        </w:r>
        <w:r w:rsidRPr="00216C1B">
          <w:rPr>
            <w:rStyle w:val="Hyperlink"/>
            <w:noProof/>
          </w:rPr>
          <w:noBreakHyphen/>
          <w:t>8. MEMR latency time at each frequency tested.</w:t>
        </w:r>
        <w:r w:rsidRPr="00216C1B">
          <w:rPr>
            <w:noProof/>
            <w:webHidden/>
          </w:rPr>
          <w:tab/>
        </w:r>
        <w:r w:rsidRPr="00216C1B">
          <w:rPr>
            <w:noProof/>
            <w:webHidden/>
          </w:rPr>
          <w:fldChar w:fldCharType="begin"/>
        </w:r>
        <w:r w:rsidRPr="00216C1B">
          <w:rPr>
            <w:noProof/>
            <w:webHidden/>
          </w:rPr>
          <w:instrText xml:space="preserve"> PAGEREF _Toc185838 \h </w:instrText>
        </w:r>
        <w:r w:rsidRPr="00216C1B">
          <w:rPr>
            <w:noProof/>
            <w:webHidden/>
          </w:rPr>
        </w:r>
        <w:r w:rsidRPr="00216C1B">
          <w:rPr>
            <w:noProof/>
            <w:webHidden/>
          </w:rPr>
          <w:fldChar w:fldCharType="separate"/>
        </w:r>
        <w:r w:rsidR="00FC3CCD">
          <w:rPr>
            <w:noProof/>
            <w:webHidden/>
          </w:rPr>
          <w:t>32</w:t>
        </w:r>
        <w:r w:rsidRPr="00216C1B">
          <w:rPr>
            <w:noProof/>
            <w:webHidden/>
          </w:rPr>
          <w:fldChar w:fldCharType="end"/>
        </w:r>
      </w:hyperlink>
    </w:p>
    <w:p w14:paraId="5A3C6C6F" w14:textId="7CD14B95" w:rsidR="00216C1B" w:rsidRPr="00216C1B" w:rsidRDefault="00216C1B">
      <w:pPr>
        <w:pStyle w:val="TableofFigures"/>
        <w:tabs>
          <w:tab w:val="right" w:leader="dot" w:pos="9350"/>
        </w:tabs>
        <w:rPr>
          <w:rFonts w:eastAsiaTheme="minorEastAsia" w:cstheme="minorBidi"/>
          <w:noProof/>
          <w:sz w:val="22"/>
          <w:szCs w:val="22"/>
          <w:lang w:eastAsia="ja-JP" w:bidi="ar-SA"/>
        </w:rPr>
      </w:pPr>
      <w:hyperlink w:anchor="_Toc185839" w:history="1">
        <w:r w:rsidRPr="00216C1B">
          <w:rPr>
            <w:rStyle w:val="Hyperlink"/>
            <w:noProof/>
          </w:rPr>
          <w:t>Figure 3</w:t>
        </w:r>
        <w:r w:rsidRPr="00216C1B">
          <w:rPr>
            <w:rStyle w:val="Hyperlink"/>
            <w:noProof/>
          </w:rPr>
          <w:noBreakHyphen/>
          <w:t>1. Blast apparatus schematic.</w:t>
        </w:r>
        <w:r w:rsidRPr="00216C1B">
          <w:rPr>
            <w:noProof/>
            <w:webHidden/>
          </w:rPr>
          <w:tab/>
        </w:r>
        <w:r w:rsidRPr="00216C1B">
          <w:rPr>
            <w:noProof/>
            <w:webHidden/>
          </w:rPr>
          <w:fldChar w:fldCharType="begin"/>
        </w:r>
        <w:r w:rsidRPr="00216C1B">
          <w:rPr>
            <w:noProof/>
            <w:webHidden/>
          </w:rPr>
          <w:instrText xml:space="preserve"> PAGEREF _Toc185839 \h </w:instrText>
        </w:r>
        <w:r w:rsidRPr="00216C1B">
          <w:rPr>
            <w:noProof/>
            <w:webHidden/>
          </w:rPr>
        </w:r>
        <w:r w:rsidRPr="00216C1B">
          <w:rPr>
            <w:noProof/>
            <w:webHidden/>
          </w:rPr>
          <w:fldChar w:fldCharType="separate"/>
        </w:r>
        <w:r w:rsidR="00FC3CCD">
          <w:rPr>
            <w:noProof/>
            <w:webHidden/>
          </w:rPr>
          <w:t>39</w:t>
        </w:r>
        <w:r w:rsidRPr="00216C1B">
          <w:rPr>
            <w:noProof/>
            <w:webHidden/>
          </w:rPr>
          <w:fldChar w:fldCharType="end"/>
        </w:r>
      </w:hyperlink>
    </w:p>
    <w:p w14:paraId="5B18D430" w14:textId="2D736890" w:rsidR="00216C1B" w:rsidRPr="00216C1B" w:rsidRDefault="00216C1B">
      <w:pPr>
        <w:pStyle w:val="TableofFigures"/>
        <w:tabs>
          <w:tab w:val="right" w:leader="dot" w:pos="9350"/>
        </w:tabs>
        <w:rPr>
          <w:rFonts w:eastAsiaTheme="minorEastAsia" w:cstheme="minorBidi"/>
          <w:noProof/>
          <w:sz w:val="22"/>
          <w:szCs w:val="22"/>
          <w:lang w:eastAsia="ja-JP" w:bidi="ar-SA"/>
        </w:rPr>
      </w:pPr>
      <w:hyperlink r:id="rId15" w:anchor="_Toc185840" w:history="1">
        <w:r w:rsidRPr="00216C1B">
          <w:rPr>
            <w:rStyle w:val="Hyperlink"/>
            <w:noProof/>
          </w:rPr>
          <w:t>Figure 3</w:t>
        </w:r>
        <w:r w:rsidRPr="00216C1B">
          <w:rPr>
            <w:rStyle w:val="Hyperlink"/>
            <w:noProof/>
          </w:rPr>
          <w:noBreakHyphen/>
          <w:t>2. Chinchilla blast holder.</w:t>
        </w:r>
        <w:r w:rsidRPr="00216C1B">
          <w:rPr>
            <w:noProof/>
            <w:webHidden/>
          </w:rPr>
          <w:tab/>
        </w:r>
        <w:r w:rsidRPr="00216C1B">
          <w:rPr>
            <w:noProof/>
            <w:webHidden/>
          </w:rPr>
          <w:fldChar w:fldCharType="begin"/>
        </w:r>
        <w:r w:rsidRPr="00216C1B">
          <w:rPr>
            <w:noProof/>
            <w:webHidden/>
          </w:rPr>
          <w:instrText xml:space="preserve"> PAGEREF _Toc185840 \h </w:instrText>
        </w:r>
        <w:r w:rsidRPr="00216C1B">
          <w:rPr>
            <w:noProof/>
            <w:webHidden/>
          </w:rPr>
        </w:r>
        <w:r w:rsidRPr="00216C1B">
          <w:rPr>
            <w:noProof/>
            <w:webHidden/>
          </w:rPr>
          <w:fldChar w:fldCharType="separate"/>
        </w:r>
        <w:r w:rsidR="00FC3CCD">
          <w:rPr>
            <w:noProof/>
            <w:webHidden/>
          </w:rPr>
          <w:t>41</w:t>
        </w:r>
        <w:r w:rsidRPr="00216C1B">
          <w:rPr>
            <w:noProof/>
            <w:webHidden/>
          </w:rPr>
          <w:fldChar w:fldCharType="end"/>
        </w:r>
      </w:hyperlink>
    </w:p>
    <w:p w14:paraId="62911B90" w14:textId="0D087675" w:rsidR="00216C1B" w:rsidRPr="00216C1B" w:rsidRDefault="00216C1B">
      <w:pPr>
        <w:pStyle w:val="TableofFigures"/>
        <w:tabs>
          <w:tab w:val="right" w:leader="dot" w:pos="9350"/>
        </w:tabs>
        <w:rPr>
          <w:rFonts w:eastAsiaTheme="minorEastAsia" w:cstheme="minorBidi"/>
          <w:noProof/>
          <w:sz w:val="22"/>
          <w:szCs w:val="22"/>
          <w:lang w:eastAsia="ja-JP" w:bidi="ar-SA"/>
        </w:rPr>
      </w:pPr>
      <w:hyperlink w:anchor="_Toc185841" w:history="1">
        <w:r w:rsidRPr="00216C1B">
          <w:rPr>
            <w:rStyle w:val="Hyperlink"/>
            <w:noProof/>
          </w:rPr>
          <w:t>Figure 3</w:t>
        </w:r>
        <w:r w:rsidRPr="00216C1B">
          <w:rPr>
            <w:rStyle w:val="Hyperlink"/>
            <w:noProof/>
          </w:rPr>
          <w:noBreakHyphen/>
          <w:t>3. Blast pressure data for two animals at different blast intensity levels corresponding to the &gt;6 psi (left) and &lt;3 psi (right) cases.</w:t>
        </w:r>
        <w:r w:rsidRPr="00216C1B">
          <w:rPr>
            <w:noProof/>
            <w:webHidden/>
          </w:rPr>
          <w:tab/>
        </w:r>
        <w:r w:rsidRPr="00216C1B">
          <w:rPr>
            <w:noProof/>
            <w:webHidden/>
          </w:rPr>
          <w:fldChar w:fldCharType="begin"/>
        </w:r>
        <w:r w:rsidRPr="00216C1B">
          <w:rPr>
            <w:noProof/>
            <w:webHidden/>
          </w:rPr>
          <w:instrText xml:space="preserve"> PAGEREF _Toc185841 \h </w:instrText>
        </w:r>
        <w:r w:rsidRPr="00216C1B">
          <w:rPr>
            <w:noProof/>
            <w:webHidden/>
          </w:rPr>
        </w:r>
        <w:r w:rsidRPr="00216C1B">
          <w:rPr>
            <w:noProof/>
            <w:webHidden/>
          </w:rPr>
          <w:fldChar w:fldCharType="separate"/>
        </w:r>
        <w:r w:rsidR="00FC3CCD">
          <w:rPr>
            <w:noProof/>
            <w:webHidden/>
          </w:rPr>
          <w:t>43</w:t>
        </w:r>
        <w:r w:rsidRPr="00216C1B">
          <w:rPr>
            <w:noProof/>
            <w:webHidden/>
          </w:rPr>
          <w:fldChar w:fldCharType="end"/>
        </w:r>
      </w:hyperlink>
    </w:p>
    <w:p w14:paraId="73DB5341" w14:textId="776D5B72" w:rsidR="00216C1B" w:rsidRPr="00216C1B" w:rsidRDefault="00216C1B">
      <w:pPr>
        <w:pStyle w:val="TableofFigures"/>
        <w:tabs>
          <w:tab w:val="right" w:leader="dot" w:pos="9350"/>
        </w:tabs>
        <w:rPr>
          <w:rFonts w:eastAsiaTheme="minorEastAsia" w:cstheme="minorBidi"/>
          <w:noProof/>
          <w:sz w:val="22"/>
          <w:szCs w:val="22"/>
          <w:lang w:eastAsia="ja-JP" w:bidi="ar-SA"/>
        </w:rPr>
      </w:pPr>
      <w:hyperlink r:id="rId16" w:anchor="_Toc185842" w:history="1">
        <w:r w:rsidRPr="00216C1B">
          <w:rPr>
            <w:rStyle w:val="Hyperlink"/>
            <w:noProof/>
          </w:rPr>
          <w:t>Figure 3</w:t>
        </w:r>
        <w:r w:rsidRPr="00216C1B">
          <w:rPr>
            <w:rStyle w:val="Hyperlink"/>
            <w:noProof/>
          </w:rPr>
          <w:noBreakHyphen/>
          <w:t>4. Raw EMG blast results from four different animals.</w:t>
        </w:r>
        <w:r w:rsidRPr="00216C1B">
          <w:rPr>
            <w:noProof/>
            <w:webHidden/>
          </w:rPr>
          <w:tab/>
        </w:r>
        <w:r w:rsidRPr="00216C1B">
          <w:rPr>
            <w:noProof/>
            <w:webHidden/>
          </w:rPr>
          <w:fldChar w:fldCharType="begin"/>
        </w:r>
        <w:r w:rsidRPr="00216C1B">
          <w:rPr>
            <w:noProof/>
            <w:webHidden/>
          </w:rPr>
          <w:instrText xml:space="preserve"> PAGEREF _Toc185842 \h </w:instrText>
        </w:r>
        <w:r w:rsidRPr="00216C1B">
          <w:rPr>
            <w:noProof/>
            <w:webHidden/>
          </w:rPr>
        </w:r>
        <w:r w:rsidRPr="00216C1B">
          <w:rPr>
            <w:noProof/>
            <w:webHidden/>
          </w:rPr>
          <w:fldChar w:fldCharType="separate"/>
        </w:r>
        <w:r w:rsidR="00FC3CCD">
          <w:rPr>
            <w:noProof/>
            <w:webHidden/>
          </w:rPr>
          <w:t>44</w:t>
        </w:r>
        <w:r w:rsidRPr="00216C1B">
          <w:rPr>
            <w:noProof/>
            <w:webHidden/>
          </w:rPr>
          <w:fldChar w:fldCharType="end"/>
        </w:r>
      </w:hyperlink>
    </w:p>
    <w:p w14:paraId="4015CCB0" w14:textId="524432D5" w:rsidR="00216C1B" w:rsidRPr="00216C1B" w:rsidRDefault="00216C1B">
      <w:pPr>
        <w:pStyle w:val="TableofFigures"/>
        <w:tabs>
          <w:tab w:val="right" w:leader="dot" w:pos="9350"/>
        </w:tabs>
        <w:rPr>
          <w:rFonts w:eastAsiaTheme="minorEastAsia" w:cstheme="minorBidi"/>
          <w:noProof/>
          <w:sz w:val="22"/>
          <w:szCs w:val="22"/>
          <w:lang w:eastAsia="ja-JP" w:bidi="ar-SA"/>
        </w:rPr>
      </w:pPr>
      <w:hyperlink r:id="rId17" w:anchor="_Toc185843" w:history="1">
        <w:r w:rsidRPr="00216C1B">
          <w:rPr>
            <w:rStyle w:val="Hyperlink"/>
            <w:noProof/>
          </w:rPr>
          <w:t>Figure 3</w:t>
        </w:r>
        <w:r w:rsidRPr="00216C1B">
          <w:rPr>
            <w:rStyle w:val="Hyperlink"/>
            <w:noProof/>
          </w:rPr>
          <w:noBreakHyphen/>
          <w:t>5. EMG amplitude (</w:t>
        </w:r>
        <w:r w:rsidRPr="00216C1B">
          <w:rPr>
            <w:rStyle w:val="Hyperlink"/>
            <w:rFonts w:cstheme="minorHAnsi"/>
            <w:noProof/>
          </w:rPr>
          <w:t>μ</w:t>
        </w:r>
        <w:r w:rsidRPr="00216C1B">
          <w:rPr>
            <w:rStyle w:val="Hyperlink"/>
            <w:noProof/>
          </w:rPr>
          <w:t>V) vs blast intensity (psi).</w:t>
        </w:r>
        <w:r w:rsidRPr="00216C1B">
          <w:rPr>
            <w:noProof/>
            <w:webHidden/>
          </w:rPr>
          <w:tab/>
        </w:r>
        <w:r w:rsidRPr="00216C1B">
          <w:rPr>
            <w:noProof/>
            <w:webHidden/>
          </w:rPr>
          <w:fldChar w:fldCharType="begin"/>
        </w:r>
        <w:r w:rsidRPr="00216C1B">
          <w:rPr>
            <w:noProof/>
            <w:webHidden/>
          </w:rPr>
          <w:instrText xml:space="preserve"> PAGEREF _Toc185843 \h </w:instrText>
        </w:r>
        <w:r w:rsidRPr="00216C1B">
          <w:rPr>
            <w:noProof/>
            <w:webHidden/>
          </w:rPr>
        </w:r>
        <w:r w:rsidRPr="00216C1B">
          <w:rPr>
            <w:noProof/>
            <w:webHidden/>
          </w:rPr>
          <w:fldChar w:fldCharType="separate"/>
        </w:r>
        <w:r w:rsidR="00FC3CCD">
          <w:rPr>
            <w:noProof/>
            <w:webHidden/>
          </w:rPr>
          <w:t>45</w:t>
        </w:r>
        <w:r w:rsidRPr="00216C1B">
          <w:rPr>
            <w:noProof/>
            <w:webHidden/>
          </w:rPr>
          <w:fldChar w:fldCharType="end"/>
        </w:r>
      </w:hyperlink>
    </w:p>
    <w:p w14:paraId="1F5A6151" w14:textId="5E372713" w:rsidR="00216C1B" w:rsidRDefault="00216C1B">
      <w:pPr>
        <w:pStyle w:val="TableofFigures"/>
        <w:tabs>
          <w:tab w:val="right" w:leader="dot" w:pos="9350"/>
        </w:tabs>
        <w:rPr>
          <w:rFonts w:eastAsiaTheme="minorEastAsia" w:cstheme="minorBidi"/>
          <w:noProof/>
          <w:sz w:val="22"/>
          <w:szCs w:val="22"/>
          <w:lang w:eastAsia="ja-JP" w:bidi="ar-SA"/>
        </w:rPr>
      </w:pPr>
      <w:hyperlink w:anchor="_Toc185844" w:history="1">
        <w:r w:rsidRPr="00216C1B">
          <w:rPr>
            <w:rStyle w:val="Hyperlink"/>
            <w:noProof/>
          </w:rPr>
          <w:t>Figure 3</w:t>
        </w:r>
        <w:r w:rsidRPr="00216C1B">
          <w:rPr>
            <w:rStyle w:val="Hyperlink"/>
            <w:noProof/>
          </w:rPr>
          <w:noBreakHyphen/>
          <w:t>6. EMG response amplitude in the three blast intensity groups tested.</w:t>
        </w:r>
        <w:r w:rsidRPr="00216C1B">
          <w:rPr>
            <w:noProof/>
            <w:webHidden/>
          </w:rPr>
          <w:tab/>
        </w:r>
        <w:r w:rsidRPr="00216C1B">
          <w:rPr>
            <w:noProof/>
            <w:webHidden/>
          </w:rPr>
          <w:fldChar w:fldCharType="begin"/>
        </w:r>
        <w:r w:rsidRPr="00216C1B">
          <w:rPr>
            <w:noProof/>
            <w:webHidden/>
          </w:rPr>
          <w:instrText xml:space="preserve"> PAGEREF _Toc185844 \h </w:instrText>
        </w:r>
        <w:r w:rsidRPr="00216C1B">
          <w:rPr>
            <w:noProof/>
            <w:webHidden/>
          </w:rPr>
        </w:r>
        <w:r w:rsidRPr="00216C1B">
          <w:rPr>
            <w:noProof/>
            <w:webHidden/>
          </w:rPr>
          <w:fldChar w:fldCharType="separate"/>
        </w:r>
        <w:r w:rsidR="00FC3CCD">
          <w:rPr>
            <w:noProof/>
            <w:webHidden/>
          </w:rPr>
          <w:t>46</w:t>
        </w:r>
        <w:r w:rsidRPr="00216C1B">
          <w:rPr>
            <w:noProof/>
            <w:webHidden/>
          </w:rPr>
          <w:fldChar w:fldCharType="end"/>
        </w:r>
      </w:hyperlink>
    </w:p>
    <w:p w14:paraId="6954310C" w14:textId="108C5ABD" w:rsidR="00216C1B" w:rsidRDefault="00216C1B">
      <w:pPr>
        <w:pStyle w:val="TableofFigures"/>
        <w:tabs>
          <w:tab w:val="right" w:leader="dot" w:pos="9350"/>
        </w:tabs>
        <w:rPr>
          <w:rFonts w:eastAsiaTheme="minorEastAsia" w:cstheme="minorBidi"/>
          <w:noProof/>
          <w:sz w:val="22"/>
          <w:szCs w:val="22"/>
          <w:lang w:eastAsia="ja-JP" w:bidi="ar-SA"/>
        </w:rPr>
      </w:pPr>
      <w:hyperlink w:anchor="_Toc185845" w:history="1">
        <w:r w:rsidRPr="001E4948">
          <w:rPr>
            <w:rStyle w:val="Hyperlink"/>
            <w:noProof/>
          </w:rPr>
          <w:t>Figure 3</w:t>
        </w:r>
        <w:r w:rsidRPr="001E4948">
          <w:rPr>
            <w:rStyle w:val="Hyperlink"/>
            <w:noProof/>
          </w:rPr>
          <w:noBreakHyphen/>
          <w:t>7. Determination of blast MEMR latency as the difference between the overpressure peak (black) and the first EMG peak (red).</w:t>
        </w:r>
        <w:r>
          <w:rPr>
            <w:noProof/>
            <w:webHidden/>
          </w:rPr>
          <w:tab/>
        </w:r>
        <w:r>
          <w:rPr>
            <w:noProof/>
            <w:webHidden/>
          </w:rPr>
          <w:fldChar w:fldCharType="begin"/>
        </w:r>
        <w:r>
          <w:rPr>
            <w:noProof/>
            <w:webHidden/>
          </w:rPr>
          <w:instrText xml:space="preserve"> PAGEREF _Toc185845 \h </w:instrText>
        </w:r>
        <w:r>
          <w:rPr>
            <w:noProof/>
            <w:webHidden/>
          </w:rPr>
        </w:r>
        <w:r>
          <w:rPr>
            <w:noProof/>
            <w:webHidden/>
          </w:rPr>
          <w:fldChar w:fldCharType="separate"/>
        </w:r>
        <w:r w:rsidR="00FC3CCD">
          <w:rPr>
            <w:noProof/>
            <w:webHidden/>
          </w:rPr>
          <w:t>47</w:t>
        </w:r>
        <w:r>
          <w:rPr>
            <w:noProof/>
            <w:webHidden/>
          </w:rPr>
          <w:fldChar w:fldCharType="end"/>
        </w:r>
      </w:hyperlink>
    </w:p>
    <w:p w14:paraId="5DEA8448" w14:textId="53FA7772" w:rsidR="00216C1B" w:rsidRDefault="00216C1B">
      <w:pPr>
        <w:pStyle w:val="TableofFigures"/>
        <w:tabs>
          <w:tab w:val="right" w:leader="dot" w:pos="9350"/>
        </w:tabs>
        <w:rPr>
          <w:rFonts w:eastAsiaTheme="minorEastAsia" w:cstheme="minorBidi"/>
          <w:noProof/>
          <w:sz w:val="22"/>
          <w:szCs w:val="22"/>
          <w:lang w:eastAsia="ja-JP" w:bidi="ar-SA"/>
        </w:rPr>
      </w:pPr>
      <w:hyperlink r:id="rId18" w:anchor="_Toc185846" w:history="1">
        <w:r w:rsidRPr="001E4948">
          <w:rPr>
            <w:rStyle w:val="Hyperlink"/>
            <w:noProof/>
          </w:rPr>
          <w:t>Figure 3</w:t>
        </w:r>
        <w:r w:rsidRPr="001E4948">
          <w:rPr>
            <w:rStyle w:val="Hyperlink"/>
            <w:noProof/>
          </w:rPr>
          <w:noBreakHyphen/>
          <w:t>8. Latency of the MEMR at different blast intensities.</w:t>
        </w:r>
        <w:r>
          <w:rPr>
            <w:noProof/>
            <w:webHidden/>
          </w:rPr>
          <w:tab/>
        </w:r>
        <w:r>
          <w:rPr>
            <w:noProof/>
            <w:webHidden/>
          </w:rPr>
          <w:fldChar w:fldCharType="begin"/>
        </w:r>
        <w:r>
          <w:rPr>
            <w:noProof/>
            <w:webHidden/>
          </w:rPr>
          <w:instrText xml:space="preserve"> PAGEREF _Toc185846 \h </w:instrText>
        </w:r>
        <w:r>
          <w:rPr>
            <w:noProof/>
            <w:webHidden/>
          </w:rPr>
        </w:r>
        <w:r>
          <w:rPr>
            <w:noProof/>
            <w:webHidden/>
          </w:rPr>
          <w:fldChar w:fldCharType="separate"/>
        </w:r>
        <w:r w:rsidR="00FC3CCD">
          <w:rPr>
            <w:noProof/>
            <w:webHidden/>
          </w:rPr>
          <w:t>47</w:t>
        </w:r>
        <w:r>
          <w:rPr>
            <w:noProof/>
            <w:webHidden/>
          </w:rPr>
          <w:fldChar w:fldCharType="end"/>
        </w:r>
      </w:hyperlink>
    </w:p>
    <w:p w14:paraId="08E19FB7" w14:textId="087A16B8" w:rsidR="00216C1B" w:rsidRDefault="00216C1B">
      <w:pPr>
        <w:pStyle w:val="TableofFigures"/>
        <w:tabs>
          <w:tab w:val="right" w:leader="dot" w:pos="9350"/>
        </w:tabs>
        <w:rPr>
          <w:rFonts w:eastAsiaTheme="minorEastAsia" w:cstheme="minorBidi"/>
          <w:noProof/>
          <w:sz w:val="22"/>
          <w:szCs w:val="22"/>
          <w:lang w:eastAsia="ja-JP" w:bidi="ar-SA"/>
        </w:rPr>
      </w:pPr>
      <w:hyperlink r:id="rId19" w:anchor="_Toc185847" w:history="1">
        <w:r w:rsidRPr="001E4948">
          <w:rPr>
            <w:rStyle w:val="Hyperlink"/>
            <w:noProof/>
          </w:rPr>
          <w:t>Figure 4</w:t>
        </w:r>
        <w:r w:rsidRPr="001E4948">
          <w:rPr>
            <w:rStyle w:val="Hyperlink"/>
            <w:noProof/>
          </w:rPr>
          <w:noBreakHyphen/>
          <w:t>1. Noise insulated chamber for sound exposure.</w:t>
        </w:r>
        <w:r>
          <w:rPr>
            <w:noProof/>
            <w:webHidden/>
          </w:rPr>
          <w:tab/>
        </w:r>
        <w:r>
          <w:rPr>
            <w:noProof/>
            <w:webHidden/>
          </w:rPr>
          <w:fldChar w:fldCharType="begin"/>
        </w:r>
        <w:r>
          <w:rPr>
            <w:noProof/>
            <w:webHidden/>
          </w:rPr>
          <w:instrText xml:space="preserve"> PAGEREF _Toc185847 \h </w:instrText>
        </w:r>
        <w:r>
          <w:rPr>
            <w:noProof/>
            <w:webHidden/>
          </w:rPr>
        </w:r>
        <w:r>
          <w:rPr>
            <w:noProof/>
            <w:webHidden/>
          </w:rPr>
          <w:fldChar w:fldCharType="separate"/>
        </w:r>
        <w:r w:rsidR="00FC3CCD">
          <w:rPr>
            <w:noProof/>
            <w:webHidden/>
          </w:rPr>
          <w:t>52</w:t>
        </w:r>
        <w:r>
          <w:rPr>
            <w:noProof/>
            <w:webHidden/>
          </w:rPr>
          <w:fldChar w:fldCharType="end"/>
        </w:r>
      </w:hyperlink>
    </w:p>
    <w:p w14:paraId="52B8F5FD" w14:textId="2A17AE5B" w:rsidR="00216C1B" w:rsidRDefault="00216C1B">
      <w:pPr>
        <w:pStyle w:val="TableofFigures"/>
        <w:tabs>
          <w:tab w:val="right" w:leader="dot" w:pos="9350"/>
        </w:tabs>
        <w:rPr>
          <w:rFonts w:eastAsiaTheme="minorEastAsia" w:cstheme="minorBidi"/>
          <w:noProof/>
          <w:sz w:val="22"/>
          <w:szCs w:val="22"/>
          <w:lang w:eastAsia="ja-JP" w:bidi="ar-SA"/>
        </w:rPr>
      </w:pPr>
      <w:hyperlink r:id="rId20" w:anchor="_Toc185848" w:history="1">
        <w:r w:rsidRPr="001E4948">
          <w:rPr>
            <w:rStyle w:val="Hyperlink"/>
            <w:noProof/>
          </w:rPr>
          <w:t>Figure 4</w:t>
        </w:r>
        <w:r w:rsidRPr="001E4948">
          <w:rPr>
            <w:rStyle w:val="Hyperlink"/>
            <w:noProof/>
          </w:rPr>
          <w:noBreakHyphen/>
          <w:t>2. Comparison between pre- (left) and post- (right) 1 hour noise exposure ABR behavior in response to eliciting stimuli ranging from 60 dB (bottom) to 80 dB (top) in 5 dB increments.</w:t>
        </w:r>
        <w:r>
          <w:rPr>
            <w:noProof/>
            <w:webHidden/>
          </w:rPr>
          <w:tab/>
        </w:r>
        <w:r>
          <w:rPr>
            <w:noProof/>
            <w:webHidden/>
          </w:rPr>
          <w:fldChar w:fldCharType="begin"/>
        </w:r>
        <w:r>
          <w:rPr>
            <w:noProof/>
            <w:webHidden/>
          </w:rPr>
          <w:instrText xml:space="preserve"> PAGEREF _Toc185848 \h </w:instrText>
        </w:r>
        <w:r>
          <w:rPr>
            <w:noProof/>
            <w:webHidden/>
          </w:rPr>
        </w:r>
        <w:r>
          <w:rPr>
            <w:noProof/>
            <w:webHidden/>
          </w:rPr>
          <w:fldChar w:fldCharType="separate"/>
        </w:r>
        <w:r w:rsidR="00FC3CCD">
          <w:rPr>
            <w:noProof/>
            <w:webHidden/>
          </w:rPr>
          <w:t>54</w:t>
        </w:r>
        <w:r>
          <w:rPr>
            <w:noProof/>
            <w:webHidden/>
          </w:rPr>
          <w:fldChar w:fldCharType="end"/>
        </w:r>
      </w:hyperlink>
    </w:p>
    <w:p w14:paraId="1CC1C1D4" w14:textId="3952D51C" w:rsidR="00216C1B" w:rsidRDefault="00216C1B">
      <w:pPr>
        <w:pStyle w:val="TableofFigures"/>
        <w:tabs>
          <w:tab w:val="right" w:leader="dot" w:pos="9350"/>
        </w:tabs>
        <w:rPr>
          <w:rFonts w:eastAsiaTheme="minorEastAsia" w:cstheme="minorBidi"/>
          <w:noProof/>
          <w:sz w:val="22"/>
          <w:szCs w:val="22"/>
          <w:lang w:eastAsia="ja-JP" w:bidi="ar-SA"/>
        </w:rPr>
      </w:pPr>
      <w:hyperlink r:id="rId21" w:anchor="_Toc185849" w:history="1">
        <w:r w:rsidRPr="001E4948">
          <w:rPr>
            <w:rStyle w:val="Hyperlink"/>
            <w:noProof/>
          </w:rPr>
          <w:t>Figure 4</w:t>
        </w:r>
        <w:r w:rsidRPr="001E4948">
          <w:rPr>
            <w:rStyle w:val="Hyperlink"/>
            <w:noProof/>
          </w:rPr>
          <w:noBreakHyphen/>
          <w:t>3. Comparison between pre- (left) and post- (right) 1 hour noise exposure MEMR behavior in response to eliciting stimuli of 90 dB (top), 100 dB (middle), or 110 dB (bottom).</w:t>
        </w:r>
        <w:r>
          <w:rPr>
            <w:noProof/>
            <w:webHidden/>
          </w:rPr>
          <w:tab/>
        </w:r>
        <w:r>
          <w:rPr>
            <w:noProof/>
            <w:webHidden/>
          </w:rPr>
          <w:fldChar w:fldCharType="begin"/>
        </w:r>
        <w:r>
          <w:rPr>
            <w:noProof/>
            <w:webHidden/>
          </w:rPr>
          <w:instrText xml:space="preserve"> PAGEREF _Toc185849 \h </w:instrText>
        </w:r>
        <w:r>
          <w:rPr>
            <w:noProof/>
            <w:webHidden/>
          </w:rPr>
        </w:r>
        <w:r>
          <w:rPr>
            <w:noProof/>
            <w:webHidden/>
          </w:rPr>
          <w:fldChar w:fldCharType="separate"/>
        </w:r>
        <w:r w:rsidR="00FC3CCD">
          <w:rPr>
            <w:noProof/>
            <w:webHidden/>
          </w:rPr>
          <w:t>54</w:t>
        </w:r>
        <w:r>
          <w:rPr>
            <w:noProof/>
            <w:webHidden/>
          </w:rPr>
          <w:fldChar w:fldCharType="end"/>
        </w:r>
      </w:hyperlink>
    </w:p>
    <w:p w14:paraId="5035B077" w14:textId="0D1454F9" w:rsidR="00216C1B" w:rsidRDefault="00216C1B">
      <w:pPr>
        <w:pStyle w:val="TableofFigures"/>
        <w:tabs>
          <w:tab w:val="right" w:leader="dot" w:pos="9350"/>
        </w:tabs>
        <w:rPr>
          <w:rFonts w:eastAsiaTheme="minorEastAsia" w:cstheme="minorBidi"/>
          <w:noProof/>
          <w:sz w:val="22"/>
          <w:szCs w:val="22"/>
          <w:lang w:eastAsia="ja-JP" w:bidi="ar-SA"/>
        </w:rPr>
      </w:pPr>
      <w:hyperlink r:id="rId22" w:anchor="_Toc185850" w:history="1">
        <w:r w:rsidRPr="001E4948">
          <w:rPr>
            <w:rStyle w:val="Hyperlink"/>
            <w:noProof/>
          </w:rPr>
          <w:t>Figure 4</w:t>
        </w:r>
        <w:r w:rsidRPr="001E4948">
          <w:rPr>
            <w:rStyle w:val="Hyperlink"/>
            <w:noProof/>
          </w:rPr>
          <w:noBreakHyphen/>
          <w:t>4. ABR-determined MEMR Threshold Levels Before and After Noise Exposure.</w:t>
        </w:r>
        <w:r>
          <w:rPr>
            <w:noProof/>
            <w:webHidden/>
          </w:rPr>
          <w:tab/>
        </w:r>
        <w:r>
          <w:rPr>
            <w:noProof/>
            <w:webHidden/>
          </w:rPr>
          <w:fldChar w:fldCharType="begin"/>
        </w:r>
        <w:r>
          <w:rPr>
            <w:noProof/>
            <w:webHidden/>
          </w:rPr>
          <w:instrText xml:space="preserve"> PAGEREF _Toc185850 \h </w:instrText>
        </w:r>
        <w:r>
          <w:rPr>
            <w:noProof/>
            <w:webHidden/>
          </w:rPr>
        </w:r>
        <w:r>
          <w:rPr>
            <w:noProof/>
            <w:webHidden/>
          </w:rPr>
          <w:fldChar w:fldCharType="separate"/>
        </w:r>
        <w:r w:rsidR="00FC3CCD">
          <w:rPr>
            <w:noProof/>
            <w:webHidden/>
          </w:rPr>
          <w:t>56</w:t>
        </w:r>
        <w:r>
          <w:rPr>
            <w:noProof/>
            <w:webHidden/>
          </w:rPr>
          <w:fldChar w:fldCharType="end"/>
        </w:r>
      </w:hyperlink>
    </w:p>
    <w:p w14:paraId="36BFA5E4" w14:textId="59F60272" w:rsidR="00216C1B" w:rsidRDefault="00216C1B">
      <w:pPr>
        <w:pStyle w:val="TableofFigures"/>
        <w:tabs>
          <w:tab w:val="right" w:leader="dot" w:pos="9350"/>
        </w:tabs>
        <w:rPr>
          <w:rFonts w:eastAsiaTheme="minorEastAsia" w:cstheme="minorBidi"/>
          <w:noProof/>
          <w:sz w:val="22"/>
          <w:szCs w:val="22"/>
          <w:lang w:eastAsia="ja-JP" w:bidi="ar-SA"/>
        </w:rPr>
      </w:pPr>
      <w:hyperlink r:id="rId23" w:anchor="_Toc185851" w:history="1">
        <w:r w:rsidRPr="001E4948">
          <w:rPr>
            <w:rStyle w:val="Hyperlink"/>
            <w:noProof/>
          </w:rPr>
          <w:t>Figure 4</w:t>
        </w:r>
        <w:r w:rsidRPr="001E4948">
          <w:rPr>
            <w:rStyle w:val="Hyperlink"/>
            <w:noProof/>
          </w:rPr>
          <w:noBreakHyphen/>
          <w:t>5. EMG-determined MEMR Threshold Levels Before and After Noise Exposure.</w:t>
        </w:r>
        <w:r>
          <w:rPr>
            <w:noProof/>
            <w:webHidden/>
          </w:rPr>
          <w:tab/>
        </w:r>
        <w:r>
          <w:rPr>
            <w:noProof/>
            <w:webHidden/>
          </w:rPr>
          <w:fldChar w:fldCharType="begin"/>
        </w:r>
        <w:r>
          <w:rPr>
            <w:noProof/>
            <w:webHidden/>
          </w:rPr>
          <w:instrText xml:space="preserve"> PAGEREF _Toc185851 \h </w:instrText>
        </w:r>
        <w:r>
          <w:rPr>
            <w:noProof/>
            <w:webHidden/>
          </w:rPr>
        </w:r>
        <w:r>
          <w:rPr>
            <w:noProof/>
            <w:webHidden/>
          </w:rPr>
          <w:fldChar w:fldCharType="separate"/>
        </w:r>
        <w:r w:rsidR="00FC3CCD">
          <w:rPr>
            <w:noProof/>
            <w:webHidden/>
          </w:rPr>
          <w:t>56</w:t>
        </w:r>
        <w:r>
          <w:rPr>
            <w:noProof/>
            <w:webHidden/>
          </w:rPr>
          <w:fldChar w:fldCharType="end"/>
        </w:r>
      </w:hyperlink>
    </w:p>
    <w:p w14:paraId="714BDB71" w14:textId="2850DA6C" w:rsidR="00216C1B" w:rsidRDefault="00216C1B">
      <w:pPr>
        <w:pStyle w:val="TableofFigures"/>
        <w:tabs>
          <w:tab w:val="right" w:leader="dot" w:pos="9350"/>
        </w:tabs>
        <w:rPr>
          <w:rFonts w:eastAsiaTheme="minorEastAsia" w:cstheme="minorBidi"/>
          <w:noProof/>
          <w:sz w:val="22"/>
          <w:szCs w:val="22"/>
          <w:lang w:eastAsia="ja-JP" w:bidi="ar-SA"/>
        </w:rPr>
      </w:pPr>
      <w:hyperlink w:anchor="_Toc185852" w:history="1">
        <w:r w:rsidRPr="001E4948">
          <w:rPr>
            <w:rStyle w:val="Hyperlink"/>
            <w:noProof/>
          </w:rPr>
          <w:t>Figure 4</w:t>
        </w:r>
        <w:r w:rsidRPr="001E4948">
          <w:rPr>
            <w:rStyle w:val="Hyperlink"/>
            <w:noProof/>
          </w:rPr>
          <w:noBreakHyphen/>
          <w:t>6. EMG-determined Shift in MEMR Thresholds.</w:t>
        </w:r>
        <w:r>
          <w:rPr>
            <w:noProof/>
            <w:webHidden/>
          </w:rPr>
          <w:tab/>
        </w:r>
        <w:r>
          <w:rPr>
            <w:noProof/>
            <w:webHidden/>
          </w:rPr>
          <w:fldChar w:fldCharType="begin"/>
        </w:r>
        <w:r>
          <w:rPr>
            <w:noProof/>
            <w:webHidden/>
          </w:rPr>
          <w:instrText xml:space="preserve"> PAGEREF _Toc185852 \h </w:instrText>
        </w:r>
        <w:r>
          <w:rPr>
            <w:noProof/>
            <w:webHidden/>
          </w:rPr>
        </w:r>
        <w:r>
          <w:rPr>
            <w:noProof/>
            <w:webHidden/>
          </w:rPr>
          <w:fldChar w:fldCharType="separate"/>
        </w:r>
        <w:r w:rsidR="00FC3CCD">
          <w:rPr>
            <w:noProof/>
            <w:webHidden/>
          </w:rPr>
          <w:t>57</w:t>
        </w:r>
        <w:r>
          <w:rPr>
            <w:noProof/>
            <w:webHidden/>
          </w:rPr>
          <w:fldChar w:fldCharType="end"/>
        </w:r>
      </w:hyperlink>
    </w:p>
    <w:p w14:paraId="062E6010" w14:textId="3F84FA6C" w:rsidR="00216C1B" w:rsidRDefault="00216C1B">
      <w:pPr>
        <w:pStyle w:val="TableofFigures"/>
        <w:tabs>
          <w:tab w:val="right" w:leader="dot" w:pos="9350"/>
        </w:tabs>
        <w:rPr>
          <w:rFonts w:eastAsiaTheme="minorEastAsia" w:cstheme="minorBidi"/>
          <w:noProof/>
          <w:sz w:val="22"/>
          <w:szCs w:val="22"/>
          <w:lang w:eastAsia="ja-JP" w:bidi="ar-SA"/>
        </w:rPr>
      </w:pPr>
      <w:hyperlink w:anchor="_Toc185853" w:history="1">
        <w:r w:rsidRPr="001E4948">
          <w:rPr>
            <w:rStyle w:val="Hyperlink"/>
            <w:noProof/>
          </w:rPr>
          <w:t>Figure 4</w:t>
        </w:r>
        <w:r w:rsidRPr="001E4948">
          <w:rPr>
            <w:rStyle w:val="Hyperlink"/>
            <w:noProof/>
          </w:rPr>
          <w:noBreakHyphen/>
          <w:t>7. ABR-determined Shift in MEMR Thresholds.</w:t>
        </w:r>
        <w:r>
          <w:rPr>
            <w:noProof/>
            <w:webHidden/>
          </w:rPr>
          <w:tab/>
        </w:r>
        <w:r>
          <w:rPr>
            <w:noProof/>
            <w:webHidden/>
          </w:rPr>
          <w:fldChar w:fldCharType="begin"/>
        </w:r>
        <w:r>
          <w:rPr>
            <w:noProof/>
            <w:webHidden/>
          </w:rPr>
          <w:instrText xml:space="preserve"> PAGEREF _Toc185853 \h </w:instrText>
        </w:r>
        <w:r>
          <w:rPr>
            <w:noProof/>
            <w:webHidden/>
          </w:rPr>
        </w:r>
        <w:r>
          <w:rPr>
            <w:noProof/>
            <w:webHidden/>
          </w:rPr>
          <w:fldChar w:fldCharType="separate"/>
        </w:r>
        <w:r w:rsidR="00FC3CCD">
          <w:rPr>
            <w:noProof/>
            <w:webHidden/>
          </w:rPr>
          <w:t>57</w:t>
        </w:r>
        <w:r>
          <w:rPr>
            <w:noProof/>
            <w:webHidden/>
          </w:rPr>
          <w:fldChar w:fldCharType="end"/>
        </w:r>
      </w:hyperlink>
    </w:p>
    <w:p w14:paraId="73000474" w14:textId="693674D3" w:rsidR="00A34B78" w:rsidRDefault="00F7122D" w:rsidP="00AD2463">
      <w:r>
        <w:fldChar w:fldCharType="end"/>
      </w:r>
    </w:p>
    <w:p w14:paraId="62B7DD9C" w14:textId="77777777" w:rsidR="00A34B78" w:rsidRDefault="00A34B78">
      <w:pPr>
        <w:spacing w:line="240" w:lineRule="auto"/>
        <w:ind w:firstLine="0"/>
        <w:rPr>
          <w:rFonts w:asciiTheme="majorHAnsi" w:hAnsiTheme="majorHAnsi"/>
          <w:b/>
          <w:bCs/>
          <w:sz w:val="28"/>
          <w:szCs w:val="32"/>
        </w:rPr>
      </w:pPr>
      <w:r>
        <w:br w:type="page"/>
      </w:r>
    </w:p>
    <w:p w14:paraId="576E8B6F" w14:textId="1BD3F163" w:rsidR="00DA1971" w:rsidRPr="00E01826" w:rsidRDefault="00DA1971" w:rsidP="00A02A61">
      <w:pPr>
        <w:pStyle w:val="Heading1"/>
        <w:numPr>
          <w:ilvl w:val="0"/>
          <w:numId w:val="0"/>
        </w:numPr>
      </w:pPr>
      <w:bookmarkStart w:id="7" w:name="_Toc310579467"/>
      <w:bookmarkStart w:id="8" w:name="_Toc185883"/>
      <w:r w:rsidRPr="00E01826">
        <w:lastRenderedPageBreak/>
        <w:t>Abstract</w:t>
      </w:r>
      <w:bookmarkEnd w:id="7"/>
      <w:bookmarkEnd w:id="8"/>
    </w:p>
    <w:p w14:paraId="5CA4E1A5" w14:textId="77777777" w:rsidR="00284A38" w:rsidRPr="005B65DF" w:rsidRDefault="00AB1D30" w:rsidP="00730CD8">
      <w:pPr>
        <w:jc w:val="both"/>
      </w:pPr>
      <w:r w:rsidRPr="005B65DF">
        <w:t xml:space="preserve">Hearing damage is a widespread problem that can cause social isolation and reductions in quality of life. </w:t>
      </w:r>
      <w:r w:rsidR="00503322" w:rsidRPr="005B65DF">
        <w:t>A</w:t>
      </w:r>
      <w:r w:rsidR="00183A35" w:rsidRPr="005B65DF">
        <w:t xml:space="preserve"> wide range of conditions </w:t>
      </w:r>
      <w:r w:rsidR="00503322" w:rsidRPr="005B65DF">
        <w:t>including extended exposure to noise or near-instantaneous exposure to blast overpressure can result in hearing damage</w:t>
      </w:r>
      <w:r w:rsidR="00183A35" w:rsidRPr="005B65DF">
        <w:t>.</w:t>
      </w:r>
      <w:r w:rsidR="00EB2467" w:rsidRPr="005B65DF">
        <w:t xml:space="preserve"> </w:t>
      </w:r>
      <w:r w:rsidR="00D94A72" w:rsidRPr="005B65DF">
        <w:t xml:space="preserve">When the ear is exposed to </w:t>
      </w:r>
      <w:r w:rsidR="00503322" w:rsidRPr="005B65DF">
        <w:t>potentially dangerous stimuli,</w:t>
      </w:r>
      <w:r w:rsidR="00D94A72" w:rsidRPr="005B65DF">
        <w:t xml:space="preserve"> the contraction of the stapedius muscle serves a protective function known as the middle ear muscle reflex (MEMR). </w:t>
      </w:r>
      <w:r w:rsidR="00EE1901" w:rsidRPr="005B65DF">
        <w:t xml:space="preserve">Clinical measurements of the MEMR through acoustic reflex threshold (ART) testing are indirect and limited to determining the reflex’s presence or </w:t>
      </w:r>
      <w:r w:rsidR="00672BBF" w:rsidRPr="005B65DF">
        <w:t>absence</w:t>
      </w:r>
      <w:r w:rsidR="00EE1901" w:rsidRPr="005B65DF">
        <w:t>. Electromyography (EMG) provides direct measurements of a muscle’s activity</w:t>
      </w:r>
      <w:r w:rsidR="00720002" w:rsidRPr="005B65DF">
        <w:t xml:space="preserve">, </w:t>
      </w:r>
      <w:r w:rsidR="00672BBF" w:rsidRPr="005B65DF">
        <w:t xml:space="preserve">thereby </w:t>
      </w:r>
      <w:r w:rsidR="00720002" w:rsidRPr="005B65DF">
        <w:t xml:space="preserve">expanding the parameters available for study. </w:t>
      </w:r>
      <w:r w:rsidR="00436694" w:rsidRPr="005B65DF">
        <w:t>While</w:t>
      </w:r>
      <w:r w:rsidR="00720002" w:rsidRPr="005B65DF">
        <w:t xml:space="preserve"> chinchilla</w:t>
      </w:r>
      <w:r w:rsidR="00436694" w:rsidRPr="005B65DF">
        <w:t>s</w:t>
      </w:r>
      <w:r w:rsidR="00720002" w:rsidRPr="005B65DF">
        <w:t xml:space="preserve"> </w:t>
      </w:r>
      <w:r w:rsidR="00436694" w:rsidRPr="005B65DF">
        <w:t xml:space="preserve">are an important </w:t>
      </w:r>
      <w:r w:rsidR="00720002" w:rsidRPr="005B65DF">
        <w:t>model</w:t>
      </w:r>
      <w:r w:rsidR="00436694" w:rsidRPr="005B65DF">
        <w:t xml:space="preserve"> for hearing studies, there is not currently published EMG data on the chinchilla MEMR</w:t>
      </w:r>
      <w:r w:rsidR="00720002" w:rsidRPr="005B65DF">
        <w:t xml:space="preserve">. </w:t>
      </w:r>
    </w:p>
    <w:p w14:paraId="0D53B69E" w14:textId="7B526796" w:rsidR="00284A38" w:rsidRPr="005B65DF" w:rsidRDefault="00436694" w:rsidP="00284A38">
      <w:pPr>
        <w:jc w:val="both"/>
      </w:pPr>
      <w:r w:rsidRPr="005B65DF">
        <w:t xml:space="preserve">To improve the utility of chinchilla models in hearing research, a surgical method of EMG electrode insertion was developed. The MEMR response to </w:t>
      </w:r>
      <w:r w:rsidR="00720002" w:rsidRPr="005B65DF">
        <w:t xml:space="preserve">pure tone acoustic stimuli over a range of frequencies (1, 2, 4, and 6 kHz) and amplitudes </w:t>
      </w:r>
      <w:r w:rsidR="00183A35" w:rsidRPr="005B65DF">
        <w:t xml:space="preserve">(50-110 dB) </w:t>
      </w:r>
      <w:r w:rsidRPr="005B65DF">
        <w:t>was characterized</w:t>
      </w:r>
      <w:r w:rsidR="00284A38" w:rsidRPr="005B65DF">
        <w:t xml:space="preserve"> in n=14 animals</w:t>
      </w:r>
      <w:r w:rsidR="00183A35" w:rsidRPr="005B65DF">
        <w:t>.</w:t>
      </w:r>
      <w:r w:rsidR="00D1472A" w:rsidRPr="005B65DF">
        <w:t xml:space="preserve"> </w:t>
      </w:r>
      <w:r w:rsidR="00720002" w:rsidRPr="005B65DF">
        <w:t>EMG results were compared to MEMR activation thresholds determined through ART</w:t>
      </w:r>
      <w:r w:rsidR="00817673" w:rsidRPr="005B65DF">
        <w:t xml:space="preserve"> testing</w:t>
      </w:r>
      <w:r w:rsidRPr="005B65DF">
        <w:t xml:space="preserve">, which found that EMG may be more sensitive than ART testing at </w:t>
      </w:r>
      <w:r w:rsidR="00866C4E" w:rsidRPr="005B65DF">
        <w:t>registering a reflex activation. At 1 kHz the mean EMG-determined threshold was 63.6 ± 16.5 dB; at 2 kHz it was 70.0 ± 12.4 dB; at 4 kHz it was 71.4 ± 13.5 dB; and finally at 6 kHz it was 76.4 ± 13.9 dB.</w:t>
      </w:r>
      <w:r w:rsidR="00503322" w:rsidRPr="005B65DF">
        <w:t xml:space="preserve"> Latency time between stimulus onset and muscle activation at the MEMR threshold was determined to be, on average, 8.20 ± 1.10 at 1 kHz; 6.84 ± 1.41 at 2 kHz; 6.56 ± 1.62 at 4 kHz; and 5.86 ± 1.37 at 6 kHz. The latency </w:t>
      </w:r>
      <w:r w:rsidR="00284A38" w:rsidRPr="005B65DF">
        <w:t xml:space="preserve">decreased as stimulus amplitude increased at </w:t>
      </w:r>
      <w:r w:rsidR="00503322" w:rsidRPr="005B65DF">
        <w:t>1 kHz and 2 kHz</w:t>
      </w:r>
      <w:r w:rsidR="00284A38" w:rsidRPr="005B65DF">
        <w:t>, but did not significantly change at 4 kHz or 6 kHz</w:t>
      </w:r>
      <w:r w:rsidR="00503322" w:rsidRPr="005B65DF">
        <w:t xml:space="preserve">. </w:t>
      </w:r>
    </w:p>
    <w:p w14:paraId="40738581" w14:textId="49600236" w:rsidR="00284A38" w:rsidRPr="005B65DF" w:rsidRDefault="00503322" w:rsidP="00730CD8">
      <w:pPr>
        <w:jc w:val="both"/>
      </w:pPr>
      <w:r w:rsidRPr="005B65DF">
        <w:lastRenderedPageBreak/>
        <w:t xml:space="preserve">After the surgical approach for EMG was well established, it was applied to animals that were subjected to blast conditions, a stimulus for which no EMG stapedius data exists in any animal model. </w:t>
      </w:r>
      <w:r w:rsidR="009D4264" w:rsidRPr="005B65DF">
        <w:t>Chinchillas</w:t>
      </w:r>
      <w:r w:rsidR="00486883" w:rsidRPr="005B65DF">
        <w:t xml:space="preserve"> </w:t>
      </w:r>
      <w:r w:rsidR="00284A38" w:rsidRPr="005B65DF">
        <w:t xml:space="preserve">(n=10) </w:t>
      </w:r>
      <w:r w:rsidR="00486883" w:rsidRPr="005B65DF">
        <w:t xml:space="preserve">were exposed to a series of blasts with increasing intensities. The average latency time between blast overpressure onset and muscle activation was determined to be 4.75 ± 3.19 ms. As this is shorter than the time course of a blast event, this confirmed that the MEMR activates too slowly in chinchillas to provide a mitigative function against blast overpressure waves. </w:t>
      </w:r>
    </w:p>
    <w:p w14:paraId="186E209E" w14:textId="1B377326" w:rsidR="00FE398F" w:rsidRPr="005B65DF" w:rsidRDefault="00486883" w:rsidP="00730CD8">
      <w:pPr>
        <w:jc w:val="both"/>
      </w:pPr>
      <w:r w:rsidRPr="005B65DF">
        <w:t xml:space="preserve">Finally, existing noise-induced hearing loss models in animals typically require days or weeks of stimulus. In order to accommodate the acute nature of invasive EMG studies, a one-hour and a two-hour model of hearing damage was developed based on 130 dB sound exposure. The MEMR thresholds and hearing levels of these </w:t>
      </w:r>
      <w:r w:rsidR="009D4264" w:rsidRPr="005B65DF">
        <w:t>chinchillas</w:t>
      </w:r>
      <w:r w:rsidRPr="005B65DF">
        <w:t xml:space="preserve"> </w:t>
      </w:r>
      <w:r w:rsidR="009D4264" w:rsidRPr="005B65DF">
        <w:t xml:space="preserve">(n=8) </w:t>
      </w:r>
      <w:r w:rsidRPr="005B65DF">
        <w:t>were tested before and after noise exposure to quantify the resultant level of hearing damage. While there was not a statistically significant difference between the damage caused by the two exposure durations, the one-hour case caused an average of 65.1 dB shift in the animals’ hearing levels and 54.7 dB shift in MEMR activation levels. This model can be used to</w:t>
      </w:r>
      <w:r w:rsidR="00047358" w:rsidRPr="005B65DF">
        <w:t xml:space="preserve"> assess protective interventions in a single day of experimentation. </w:t>
      </w:r>
    </w:p>
    <w:p w14:paraId="5A94E929" w14:textId="4D18BA60" w:rsidR="00EE1901" w:rsidRPr="005B65DF" w:rsidRDefault="007C7A0E" w:rsidP="00284A38">
      <w:pPr>
        <w:jc w:val="both"/>
      </w:pPr>
      <w:r w:rsidRPr="005B65DF">
        <w:t>T</w:t>
      </w:r>
      <w:r w:rsidR="00260079" w:rsidRPr="005B65DF">
        <w:t xml:space="preserve">hese studies have </w:t>
      </w:r>
      <w:r w:rsidR="00284A38" w:rsidRPr="005B65DF">
        <w:t>successfully used</w:t>
      </w:r>
      <w:r w:rsidR="00260079" w:rsidRPr="005B65DF">
        <w:t xml:space="preserve"> EMG as a technique to study the MEMR in </w:t>
      </w:r>
      <w:r w:rsidR="00E553B0" w:rsidRPr="005B65DF">
        <w:t>chinchillas</w:t>
      </w:r>
      <w:r w:rsidR="00284A38" w:rsidRPr="005B65DF">
        <w:t xml:space="preserve"> for the first time</w:t>
      </w:r>
      <w:r w:rsidR="006F5CC0" w:rsidRPr="005B65DF">
        <w:t>.  There is now baseline data for the MEMR of chinchillas with normal hearing, which can serve as a point of comparison for future studies.  The latency time between stimulus and MEMR activation was confirmed to be too high for protection from blast trauma</w:t>
      </w:r>
      <w:r w:rsidR="00284A38" w:rsidRPr="005B65DF">
        <w:t xml:space="preserve"> to be likely</w:t>
      </w:r>
      <w:r w:rsidR="006F5CC0" w:rsidRPr="005B65DF">
        <w:t xml:space="preserve">. Finally, </w:t>
      </w:r>
      <w:r w:rsidR="00047358" w:rsidRPr="005B65DF">
        <w:t>a</w:t>
      </w:r>
      <w:r w:rsidR="00284A38" w:rsidRPr="005B65DF">
        <w:t xml:space="preserve">n </w:t>
      </w:r>
      <w:r w:rsidR="00047358" w:rsidRPr="005B65DF">
        <w:t>acute hearing damage model</w:t>
      </w:r>
      <w:r w:rsidR="006F5CC0" w:rsidRPr="005B65DF">
        <w:t xml:space="preserve"> was established, facilitating future testing of protective interventions</w:t>
      </w:r>
      <w:r w:rsidR="00260079" w:rsidRPr="005B65DF">
        <w:t>.</w:t>
      </w:r>
      <w:r w:rsidR="001D5B83" w:rsidRPr="005B65DF">
        <w:t xml:space="preserve"> </w:t>
      </w:r>
      <w:r w:rsidR="00364037" w:rsidRPr="005B65DF">
        <w:t xml:space="preserve">By </w:t>
      </w:r>
      <w:r w:rsidR="009B0399" w:rsidRPr="005B65DF">
        <w:t>expanding the understanding of the chinchilla MEMR, this work has strengthened chinchillas as a model for hearing.</w:t>
      </w:r>
    </w:p>
    <w:p w14:paraId="1DC1AD07" w14:textId="77777777" w:rsidR="00EE1901" w:rsidRPr="005B65DF" w:rsidRDefault="00EE1901" w:rsidP="00DA1971">
      <w:pPr>
        <w:sectPr w:rsidR="00EE1901" w:rsidRPr="005B65DF" w:rsidSect="00183731">
          <w:footerReference w:type="default" r:id="rId24"/>
          <w:pgSz w:w="12240" w:h="15840" w:code="1"/>
          <w:pgMar w:top="1440" w:right="1440" w:bottom="1440" w:left="1440" w:header="720" w:footer="720" w:gutter="0"/>
          <w:pgNumType w:fmt="lowerRoman" w:start="4"/>
          <w:cols w:space="720"/>
          <w:docGrid w:linePitch="360"/>
        </w:sectPr>
      </w:pPr>
    </w:p>
    <w:p w14:paraId="2A17A4EF" w14:textId="77777777" w:rsidR="00DA1971" w:rsidRPr="005B65DF" w:rsidRDefault="00DA1971" w:rsidP="00A02A61">
      <w:pPr>
        <w:pStyle w:val="Heading1"/>
      </w:pPr>
      <w:bookmarkStart w:id="9" w:name="_Toc310579468"/>
      <w:bookmarkStart w:id="10" w:name="_Toc185884"/>
      <w:r w:rsidRPr="005B65DF">
        <w:lastRenderedPageBreak/>
        <w:t>Introduction</w:t>
      </w:r>
      <w:bookmarkEnd w:id="9"/>
      <w:bookmarkEnd w:id="10"/>
    </w:p>
    <w:p w14:paraId="681F31EC" w14:textId="77777777" w:rsidR="006728B8" w:rsidRPr="005B65DF" w:rsidRDefault="006728B8" w:rsidP="004C7308">
      <w:pPr>
        <w:pStyle w:val="Heading2"/>
      </w:pPr>
      <w:bookmarkStart w:id="11" w:name="_Toc185885"/>
      <w:r w:rsidRPr="005B65DF">
        <w:t>1.1 Mammalian Ear Anatomy</w:t>
      </w:r>
      <w:bookmarkEnd w:id="11"/>
    </w:p>
    <w:p w14:paraId="0FCB276B" w14:textId="77777777" w:rsidR="00C31E2A" w:rsidRPr="005B65DF" w:rsidRDefault="00C31E2A" w:rsidP="0026427F">
      <w:pPr>
        <w:pStyle w:val="Heading3"/>
      </w:pPr>
      <w:bookmarkStart w:id="12" w:name="_Toc185886"/>
      <w:r w:rsidRPr="005B65DF">
        <w:t>1.1.1 Structures of the Ear</w:t>
      </w:r>
      <w:bookmarkEnd w:id="12"/>
    </w:p>
    <w:p w14:paraId="7FB3F0EF" w14:textId="14EE62DF" w:rsidR="006728B8" w:rsidRPr="005B65DF" w:rsidRDefault="0056341D" w:rsidP="006728B8">
      <w:pPr>
        <w:rPr>
          <w:noProof/>
        </w:rPr>
      </w:pPr>
      <w:r w:rsidRPr="005B65DF">
        <w:t xml:space="preserve">The mammalian ear is classically divided into three segments: outer, middle, and inner. The outer ear includes the ear canal and the pinna, </w:t>
      </w:r>
      <w:r w:rsidR="00031B96" w:rsidRPr="005B65DF">
        <w:t xml:space="preserve">the external structure </w:t>
      </w:r>
      <w:r w:rsidRPr="005B65DF">
        <w:t xml:space="preserve">which funnels sound waves </w:t>
      </w:r>
      <w:r w:rsidR="00031B96" w:rsidRPr="005B65DF">
        <w:t xml:space="preserve">into the canal. The tympanic membrane is </w:t>
      </w:r>
      <w:r w:rsidR="00B42792" w:rsidRPr="005B65DF">
        <w:t xml:space="preserve">located at the end of the ear canal and is </w:t>
      </w:r>
      <w:r w:rsidR="00031B96" w:rsidRPr="005B65DF">
        <w:t>the interface between the outer and middle ear</w:t>
      </w:r>
      <w:r w:rsidR="00957707" w:rsidRPr="005B65DF">
        <w:t xml:space="preserve">, vibrating in response to sound and causing the bones of the middle ear to vibrate.  </w:t>
      </w:r>
      <w:r w:rsidR="00D87012">
        <w:t>T</w:t>
      </w:r>
      <w:r w:rsidR="000F49EB" w:rsidRPr="005B65DF">
        <w:t>he human</w:t>
      </w:r>
      <w:r w:rsidR="007B67B3" w:rsidRPr="005B65DF">
        <w:t xml:space="preserve"> ossicular chain</w:t>
      </w:r>
      <w:r w:rsidR="000F49EB" w:rsidRPr="005B65DF">
        <w:t xml:space="preserve"> is</w:t>
      </w:r>
      <w:r w:rsidR="007B67B3" w:rsidRPr="005B65DF">
        <w:t xml:space="preserve"> composed of three bones: the malleus, incus, and stapes.  </w:t>
      </w:r>
      <w:r w:rsidR="002935F2" w:rsidRPr="005B65DF">
        <w:t xml:space="preserve">These bones are connected by the incudomalleolar and incudostapedial joints, allowing them to </w:t>
      </w:r>
      <w:r w:rsidR="00F201E8" w:rsidRPr="005B65DF">
        <w:t>transmit the vibrations between the tympanic membrane and the cochlea</w:t>
      </w:r>
      <w:r w:rsidR="005874C5" w:rsidRPr="005B65DF">
        <w:t xml:space="preserve"> </w:t>
      </w:r>
      <w:r w:rsidR="005874C5" w:rsidRPr="005B65DF">
        <w:fldChar w:fldCharType="begin" w:fldLock="1"/>
      </w:r>
      <w:r w:rsidR="006F5529" w:rsidRPr="005B65DF">
        <w:instrText>ADDIN CSL_CITATION {"citationItems":[{"id":"ITEM-1","itemData":{"DOI":"10.1016/j.heares.2012.10.004","ISSN":"03785955","author":[{"dropping-particle":"","family":"Mason","given":"Matthew J.","non-dropping-particle":"","parse-names":false,"suffix":""}],"container-title":"Hearing Research","id":"ITEM-1","issued":{"date-parts":[["2013"]]},"page":"4-18","publisher":"Elsevier B.V.","title":"Of mice, moles and guinea pigs: Functional morphology of the middle ear in living mammals","type":"article-journal","volume":"301"},"uris":["http://www.mendeley.com/documents/?uuid=d8735148-a549-48e5-bbd5-43bf19f3fa9e"]}],"mendeley":{"formattedCitation":"(Mason, 2013)","plainTextFormattedCitation":"(Mason, 2013)","previouslyFormattedCitation":"(Mason, 2013)"},"properties":{"noteIndex":0},"schema":"https://github.com/citation-style-language/schema/raw/master/csl-citation.json"}</w:instrText>
      </w:r>
      <w:r w:rsidR="005874C5" w:rsidRPr="005B65DF">
        <w:fldChar w:fldCharType="separate"/>
      </w:r>
      <w:r w:rsidR="005874C5" w:rsidRPr="005B65DF">
        <w:rPr>
          <w:noProof/>
        </w:rPr>
        <w:t>(Mason, 2013)</w:t>
      </w:r>
      <w:r w:rsidR="005874C5" w:rsidRPr="005B65DF">
        <w:fldChar w:fldCharType="end"/>
      </w:r>
      <w:r w:rsidR="002935F2" w:rsidRPr="005B65DF">
        <w:t xml:space="preserve">.  </w:t>
      </w:r>
      <w:r w:rsidR="007B67B3" w:rsidRPr="005B65DF">
        <w:t xml:space="preserve">The incus and malleus are sometimes fused together into one bone in other animals, such as chinchillas </w:t>
      </w:r>
      <w:r w:rsidR="007B67B3" w:rsidRPr="005B65DF">
        <w:fldChar w:fldCharType="begin" w:fldLock="1"/>
      </w:r>
      <w:r w:rsidR="00E01826" w:rsidRPr="005B65DF">
        <w:instrText>ADDIN CSL_CITATION {"citationItems":[{"id":"ITEM-1","itemData":{"DOI":"10.1016/j.heares.2009.10.013","ISBN":"1878-5891 (Electronic)\\r0378-5955 (Linking)","ISSN":"1878-5891","PMID":"19878714","abstract":"The development of the unique capacity for high-frequency hearing in many mammals was due in part to changes in the middle ear, such as the evolution of three distinct middle-ear bones and distinct radial and circumferential collagen fiber layers in the eardrum. Ossicular moment(s) of inertia (MOI) and principal rotational axes, as well as eardrum surface areas, were calculated from micro-CT-based 3-D reconstructions of human, cat, chinchilla, and guinea pig temporal bones. For guinea pig and chinchilla, the fused malleus-incus complex rotates about an anterior-posterior axis, due to the relatively lightweight ossicles and bilateral symmetry of the eardrum. For human and cat, however, the MOI calculated for the unfused malleus are 5-6 times smaller for rotations about an inferior-superior axis than for rotations about the other two orthogonal axes. It is argued that these preferred motions, along with the presence of a mobile malleus-incus joint and asymmetric eardrum, enable efficient high-frequency sound transmission in spite of the relatively large ossicular masses of these species. This work argues that the upper-frequency hearing limit of a given mammalian species can in part be understood in terms of morphological co-adaptations of the eardrum and ossicular chain.","author":[{"dropping-particle":"","family":"Puria","given":"Sunil","non-dropping-particle":"","parse-names":false,"suffix":""},{"dropping-particle":"","family":"Steele","given":"Charles","non-dropping-particle":"","parse-names":false,"suffix":""}],"container-title":"Hearing research","id":"ITEM-1","issue":"1-2","issued":{"date-parts":[["2010"]]},"page":"183-90","title":"Tympanic-membrane and malleus-incus-complex co-adaptations for high-frequency hearing in mammals.","type":"article-journal","volume":"263"},"uris":["http://www.mendeley.com/documents/?uuid=a06b6894-f658-4cf3-811d-986a6f3dae1f"]}],"mendeley":{"formattedCitation":"(Puria et al., 2010)","plainTextFormattedCitation":"(Puria et al., 2010)","previouslyFormattedCitation":"(Puria et al., 2010)"},"properties":{"noteIndex":0},"schema":"https://github.com/citation-style-language/schema/raw/master/csl-citation.json"}</w:instrText>
      </w:r>
      <w:r w:rsidR="007B67B3" w:rsidRPr="005B65DF">
        <w:fldChar w:fldCharType="separate"/>
      </w:r>
      <w:r w:rsidR="009D66ED" w:rsidRPr="005B65DF">
        <w:rPr>
          <w:noProof/>
        </w:rPr>
        <w:t>(Puria et al., 2010)</w:t>
      </w:r>
      <w:r w:rsidR="007B67B3" w:rsidRPr="005B65DF">
        <w:fldChar w:fldCharType="end"/>
      </w:r>
      <w:r w:rsidR="007B67B3" w:rsidRPr="005B65DF">
        <w:t xml:space="preserve">.  </w:t>
      </w:r>
      <w:r w:rsidR="00F201E8" w:rsidRPr="005B65DF">
        <w:t xml:space="preserve">Finally, the inner ear includes the cochlea </w:t>
      </w:r>
      <w:r w:rsidR="001928C3" w:rsidRPr="005B65DF">
        <w:t>and the vestibular system.  The cochlea is connected to the middle ear via the oval window and the round window, a pair of membrane-covered openings.  The oval window specifically admits the vibrations of the stapes into the cochlea,</w:t>
      </w:r>
      <w:r w:rsidR="007B67B3" w:rsidRPr="005B65DF">
        <w:t xml:space="preserve"> wherein they are converted to nerve impulses and sent to the brain to be interpreted as sounds</w:t>
      </w:r>
      <w:r w:rsidR="009C71C3" w:rsidRPr="005B65DF">
        <w:t xml:space="preserve"> </w:t>
      </w:r>
      <w:r w:rsidR="009C71C3" w:rsidRPr="005B65DF">
        <w:fldChar w:fldCharType="begin" w:fldLock="1"/>
      </w:r>
      <w:r w:rsidR="00E01826" w:rsidRPr="005B65DF">
        <w:instrText>ADDIN CSL_CITATION {"citationItems":[{"id":"ITEM-1","itemData":{"DOI":"10.1016/bs.ctdb.2015.07.007","ISSN":"0070-2153","author":[{"dropping-particle":"","family":"Fuchs","given":"Jennifer C.","non-dropping-particle":"","parse-names":false,"suffix":""},{"dropping-particle":"","family":"Tucker","given":"Abigail S.","non-dropping-particle":"","parse-names":false,"suffix":""}],"container-title":"Craniofacial Development","edition":"1","id":"ITEM-1","issued":{"date-parts":[["2015"]]},"number-of-pages":"213-232","publisher":"Elsevier Inc.","title":"Development and Integration of the Ear","type":"book","volume":"115"},"uris":["http://www.mendeley.com/documents/?uuid=0725a58d-0c4f-4007-839a-d83ad06b712f"]}],"mendeley":{"formattedCitation":"(Fuchs et al., 2015)","plainTextFormattedCitation":"(Fuchs et al., 2015)","previouslyFormattedCitation":"(Fuchs et al., 2015)"},"properties":{"noteIndex":0},"schema":"https://github.com/citation-style-language/schema/raw/master/csl-citation.json"}</w:instrText>
      </w:r>
      <w:r w:rsidR="009C71C3" w:rsidRPr="005B65DF">
        <w:fldChar w:fldCharType="separate"/>
      </w:r>
      <w:r w:rsidR="009D66ED" w:rsidRPr="005B65DF">
        <w:rPr>
          <w:noProof/>
        </w:rPr>
        <w:t>(Fuchs et al., 2015)</w:t>
      </w:r>
      <w:r w:rsidR="009C71C3" w:rsidRPr="005B65DF">
        <w:fldChar w:fldCharType="end"/>
      </w:r>
      <w:r w:rsidR="007B67B3" w:rsidRPr="005B65DF">
        <w:t>.</w:t>
      </w:r>
      <w:r w:rsidR="00C31E2A" w:rsidRPr="005B65DF">
        <w:rPr>
          <w:noProof/>
        </w:rPr>
        <w:t xml:space="preserve"> </w:t>
      </w:r>
      <w:r w:rsidR="00A77361" w:rsidRPr="005B65DF">
        <w:rPr>
          <w:noProof/>
        </w:rPr>
        <w:t xml:space="preserve"> </w:t>
      </w:r>
      <w:r w:rsidR="007912B4" w:rsidRPr="005B65DF">
        <w:rPr>
          <w:noProof/>
        </w:rPr>
        <w:t xml:space="preserve">The vestibular system is involved in balance rather than hearing. </w:t>
      </w:r>
      <w:r w:rsidR="00A77361" w:rsidRPr="005B65DF">
        <w:rPr>
          <w:noProof/>
        </w:rPr>
        <w:t xml:space="preserve">Finally, there are two muscles in the </w:t>
      </w:r>
      <w:r w:rsidR="009635C4" w:rsidRPr="005B65DF">
        <w:rPr>
          <w:noProof/>
        </w:rPr>
        <w:t xml:space="preserve">middle </w:t>
      </w:r>
      <w:r w:rsidR="00A77361" w:rsidRPr="005B65DF">
        <w:rPr>
          <w:noProof/>
        </w:rPr>
        <w:t>ear, the tensor tympani and the stapedius. These are attached to the malleus and the stapes, respectively</w:t>
      </w:r>
      <w:r w:rsidR="009C71C3" w:rsidRPr="005B65DF">
        <w:rPr>
          <w:noProof/>
        </w:rPr>
        <w:t>, and serve different roles in moderating sound input to the ear</w:t>
      </w:r>
      <w:r w:rsidR="00A77361" w:rsidRPr="005B65DF">
        <w:rPr>
          <w:noProof/>
        </w:rPr>
        <w:t>.</w:t>
      </w:r>
    </w:p>
    <w:p w14:paraId="352F0273" w14:textId="3E112058" w:rsidR="006728B8" w:rsidRPr="005B65DF" w:rsidRDefault="006728B8" w:rsidP="0026427F">
      <w:pPr>
        <w:pStyle w:val="Heading3"/>
      </w:pPr>
      <w:bookmarkStart w:id="13" w:name="_Toc185887"/>
      <w:r w:rsidRPr="005B65DF">
        <w:t>1.</w:t>
      </w:r>
      <w:r w:rsidR="00C31E2A" w:rsidRPr="005B65DF">
        <w:t>1.</w:t>
      </w:r>
      <w:r w:rsidR="008A4C91" w:rsidRPr="005B65DF">
        <w:t>2</w:t>
      </w:r>
      <w:r w:rsidRPr="005B65DF">
        <w:t xml:space="preserve"> Middle Ear Muscle Reflex</w:t>
      </w:r>
      <w:bookmarkEnd w:id="13"/>
    </w:p>
    <w:p w14:paraId="677DD8E8" w14:textId="67B60C79" w:rsidR="00470795" w:rsidRPr="005B65DF" w:rsidRDefault="006728B8" w:rsidP="006728B8">
      <w:r w:rsidRPr="005B65DF">
        <w:t>The stapedius muscle is activated in the middle ear muscle reflex (MEMR) as a protective function in response to high intensity sound exposure. When a sound is of sufficient amplitude to elicit the MEMR, the reflex damps the stapes’</w:t>
      </w:r>
      <w:r w:rsidR="00B36B66" w:rsidRPr="005B65DF">
        <w:t>s</w:t>
      </w:r>
      <w:r w:rsidRPr="005B65DF">
        <w:t xml:space="preserve"> motion and mitigates the high </w:t>
      </w:r>
      <w:r w:rsidRPr="005B65DF">
        <w:lastRenderedPageBreak/>
        <w:t xml:space="preserve">ossicular motion transmitted from the stapes to the cochlea </w:t>
      </w:r>
      <w:r w:rsidRPr="005B65DF">
        <w:fldChar w:fldCharType="begin" w:fldLock="1"/>
      </w:r>
      <w:r w:rsidR="00E01826" w:rsidRPr="005B65DF">
        <w:instrText>ADDIN CSL_CITATION {"citationItems":[{"id":"ITEM-1","itemData":{"DOI":"10.1177/1084713810381771","ISBN":"1084713810","ISSN":"10847138","PMID":"20870664","abstract":"The middle ear muscle (MEM) reflex is one of two major descending systems to the auditory periphery. There are two middle ear muscles (MEMs): the stapedius and the tensor tympani. In man, the stapedius contracts in response to intense low frequency acoustic stimuli, exerting forces perpendicular to the stapes superstructure, increasing middle ear impedance and attenuating the intensity of sound energy reaching the inner ear (cochlea). The tensor tympani is believed to contract in response to self-generated noise (chewing, swallowing) and non-auditory stimuli. The MEM reflex pathways begin with sound presented to the ear. Transduction of sound occurs in the cochlea, resulting in an action potential that is transmitted along the auditory nerve to the cochlear nucleus in the brainstem (the first relay station for all ascending sound information originating in the ear). Unknown interneurons in the ventral cochlear nucleus project either directly or indirectly to MEM motoneurons located elsewhere in the brainstem. Motoneurons provide efferent innervation to the MEMs. Although the ascending and descending limbs of these reflex pathways have been well characterized, the identity of the reflex interneurons is not known, as are the source of modulatory inputs to these pathways. The aim of this article is to (a) provide an overview of MEM reflex anatomy and physiology, (b) present new data on MEM reflex anatomy and physiology from our laboratory and others, and (c) describe the clinical implications of our research.","author":[{"dropping-particle":"","family":"Mukerji","given":"Sudeep","non-dropping-particle":"","parse-names":false,"suffix":""},{"dropping-particle":"","family":"Windsor","given":"Alanna Marie","non-dropping-particle":"","parse-names":false,"suffix":""},{"dropping-particle":"","family":"Lee","given":"Daniel J","non-dropping-particle":"","parse-names":false,"suffix":""}],"container-title":"Trends in Amplification","id":"ITEM-1","issue":"3","issued":{"date-parts":[["2010","9","1"]]},"page":"170-191","title":"Auditory Brainstem Circuits That Mediate the Middle Ear Muscle Reflex","type":"article-journal","volume":"14"},"uris":["http://www.mendeley.com/documents/?uuid=0ac2f277-1bd9-43e8-85db-9ec9f04defcd"]},{"id":"ITEM-2","itemData":{"DOI":"10.1097/AUD.0b013e31827ad9d3","ISBN":"1538-4667 (Electronic)\\r0196-0202 (Linking)","ISSN":"1538-4667","PMID":"23403808","abstract":"OBJECTIVE: The objective of this study was to examine the role of the acoustic stapedius reflex in the protection of speech recognition from the upward spread of masking arising from low-frequency background noise.\\n\\nDESIGN: Speech recognition scores were measured for nine control participants (19-34 years) and six patients with transected stapedius tendons poststapedotomy (39-57 years) as a function of the amplitude of a low-frequency masker, presented at nominal signal to noise ratios of +5 dB, -5 dB, and -15 dB. All participants had pure-tone hearing thresholds in the normal range. Continuous high-pass noise was present in all conditions to avoid ceiling effects; this reduced performance in quiet to approximately 85% for all participants. Scores were measured for soft and loud nonsense syllables (average third octave band levels of 35 and 65 dB SPL), so that a comparison of the low-frequency noise masking functions at the two levels would provide information about the effects of the reflex on speech intelligibility in noise. A third group of nine control participants (19-22 years) listened in the presence of a low-frequency masker gated to come on 1 sec before stimulus onset, to reduce the likelihood of reflex adaptation. The Speech-Intelligibility Index was used to quantify the amount of speech information available in each condition.\\n\\nRESULTS: Patients with transected tendons performed more poorly than control participants as a function of Speech-Intelligibility Index in all conditions, even at levels that were too soft for reflex activation. This could be because of postsurgical differences in sensitivity, the more advanced age of poststapedotomy group, or differences in medial olivocochlear inhibition. For loud speech, patient performance fell nearly linearly with increases in the low-frequency masker, but control participants' performance declined little as the signal to noise ratio declined from +5 to -5 dB, and then fell rapidly as the ratio declined to -15 dB. This plateau in the masking function did not occur for the patients. Masking functions obtained with the gated low-frequency masker were either highly similar or poorer to those obtained with a continuous masker, suggesting that the use of a continuous low frequency masker did not result in significant reflex adaptation.\\n\\nCONCLUSIONS: The stapedius reflex appears to offer some protection from the upward spread of masking of speech by background low-frequency noise at moderate level…","author":[{"dropping-particle":"","family":"Aiken","given":"Steven J","non-dropping-particle":"","parse-names":false,"suffix":""},{"dropping-particle":"","family":"Andrus","given":"Jessica N","non-dropping-particle":"","parse-names":false,"suffix":""},{"dropping-particle":"","family":"Bance","given":"Manohar","non-dropping-particle":"","parse-names":false,"suffix":""},{"dropping-particle":"","family":"Phillips","given":"Dennis P","non-dropping-particle":"","parse-names":false,"suffix":""}],"container-title":"Ear and hearing","id":"ITEM-2","issue":"4","issued":{"date-parts":[["2013"]]},"page":"e38-51","title":"Acoustic stapedius reflex function in man revisited.","type":"article-journal","volume":"34"},"uris":["http://www.mendeley.com/documents/?uuid=ff5a1b8f-739d-4c0d-92d2-5118e2ab7e25"]}],"mendeley":{"formattedCitation":"(Aiken et al., 2013; Mukerji et al., 2010)","plainTextFormattedCitation":"(Aiken et al., 2013; Mukerji et al., 2010)","previouslyFormattedCitation":"(Aiken et al., 2013; Mukerji et al., 2010)"},"properties":{"noteIndex":0},"schema":"https://github.com/citation-style-language/schema/raw/master/csl-citation.json"}</w:instrText>
      </w:r>
      <w:r w:rsidRPr="005B65DF">
        <w:fldChar w:fldCharType="separate"/>
      </w:r>
      <w:r w:rsidR="009D66ED" w:rsidRPr="005B65DF">
        <w:rPr>
          <w:noProof/>
        </w:rPr>
        <w:t>(Aiken et al., 2013; Mukerji et al., 2010)</w:t>
      </w:r>
      <w:r w:rsidRPr="005B65DF">
        <w:fldChar w:fldCharType="end"/>
      </w:r>
      <w:r w:rsidRPr="005B65DF">
        <w:t xml:space="preserve">.  </w:t>
      </w:r>
      <w:r w:rsidR="00C479C8" w:rsidRPr="005B65DF">
        <w:t xml:space="preserve">While the MEMR is present in most people, some </w:t>
      </w:r>
      <w:r w:rsidR="00B36B66" w:rsidRPr="005B65DF">
        <w:t xml:space="preserve">people </w:t>
      </w:r>
      <w:r w:rsidR="00C479C8" w:rsidRPr="005B65DF">
        <w:t xml:space="preserve">do not have it and others lose it as they age or experience hearing damage </w:t>
      </w:r>
      <w:r w:rsidR="00C479C8" w:rsidRPr="005B65DF">
        <w:fldChar w:fldCharType="begin" w:fldLock="1"/>
      </w:r>
      <w:r w:rsidR="00813A34" w:rsidRPr="005B65DF">
        <w:instrText>ADDIN CSL_CITATION {"citationItems":[{"id":"ITEM-1","itemData":{"DOI":"10.1080/14992027.2017.1416189","ISSN":"17088186","abstract":"Objective: The objective of this study is to determine whether acoustic reflexes are pervasive (i.e. known with 95% confidence to be observed in at least 95% of people) by examining the frequency of occurrence using a friction-fit diagnostic middle ear analyser. Design: Adult participants with very good hearing sensitivity underwent audiometric and middle ear testing. Acoustic reflexes were tested ipsilaterally and contralaterally in both ears across a range of elicitor frequencies. Reflex elicitors were 700ms tones presented at maximum level of 100dB HL. Two automated methods were used to detect the presence of an acoustic reflex. Study sample: A group of 285 adult volunteers with normal hearing. Results: There were no conditions in which the proportion of participants exhibiting acoustic reflexes was high enough to be deemed pervasive. Ipsilateral reflexes were more likely to be observed than contralateral reflexes and reflexes were more common at 0.5 and 1 kHz elicitor frequencies as compared with 2 and 4 kHz elicitor frequencies. Conclusions: Acoustic reflexes are common among individuals with good hearing. However, acoustic reflexes are not pervasive and should not be included in damage risk criteria and health hazard assessments for impulsive noise.","author":[{"dropping-particle":"","family":"McGregor","given":"Kara D.","non-dropping-particle":"","parse-names":false,"suffix":""},{"dropping-particle":"","family":"Flamme","given":"Gregory A.","non-dropping-particle":"","parse-names":false,"suffix":""},{"dropping-particle":"","family":"Tasko","given":"Stephen M.","non-dropping-particle":"","parse-names":false,"suffix":""},{"dropping-particle":"","family":"Deiters","given":"Kristy K.","non-dropping-particle":"","parse-names":false,"suffix":""},{"dropping-particle":"","family":"Ahroon","given":"William A.","non-dropping-particle":"","parse-names":false,"suffix":""},{"dropping-particle":"","family":"Themann","given":"Christa L.","non-dropping-particle":"","parse-names":false,"suffix":""},{"dropping-particle":"","family":"Murphy","given":"William J.","non-dropping-particle":"","parse-names":false,"suffix":""}],"container-title":"International Journal of Audiology","id":"ITEM-1","issue":"February","issued":{"date-parts":[["2018"]]},"page":"S42-S50","title":"Acoustic reflexes are common but not pervasive: evidence using a diagnostic middle ear analyser","type":"article-journal","volume":"57"},"uris":["http://www.mendeley.com/documents/?uuid=5178b48c-f4a8-423b-9f00-912c4478ae4a"]}],"mendeley":{"formattedCitation":"(McGregor et al., 2018)","plainTextFormattedCitation":"(McGregor et al., 2018)","previouslyFormattedCitation":"(McGregor et al., 2018)"},"properties":{"noteIndex":0},"schema":"https://github.com/citation-style-language/schema/raw/master/csl-citation.json"}</w:instrText>
      </w:r>
      <w:r w:rsidR="00C479C8" w:rsidRPr="005B65DF">
        <w:fldChar w:fldCharType="separate"/>
      </w:r>
      <w:r w:rsidR="00C479C8" w:rsidRPr="005B65DF">
        <w:rPr>
          <w:noProof/>
        </w:rPr>
        <w:t>(McGregor et al., 2018)</w:t>
      </w:r>
      <w:r w:rsidR="00C479C8" w:rsidRPr="005B65DF">
        <w:fldChar w:fldCharType="end"/>
      </w:r>
      <w:r w:rsidR="00C479C8" w:rsidRPr="005B65DF">
        <w:t xml:space="preserve">. </w:t>
      </w:r>
    </w:p>
    <w:p w14:paraId="61F72208" w14:textId="6A1E5F62" w:rsidR="006728B8" w:rsidRPr="005B65DF" w:rsidRDefault="006728B8" w:rsidP="006728B8">
      <w:r w:rsidRPr="005B65DF">
        <w:t xml:space="preserve">The MEMR is an imperfect source of protection from high amplitude, low duration sound, including blast overpressure waves, because of the latency between stimulus onset and muscle activation, which averages about 129.1 ms in healthy humans </w:t>
      </w:r>
      <w:r w:rsidRPr="005B65DF">
        <w:fldChar w:fldCharType="begin" w:fldLock="1"/>
      </w:r>
      <w:r w:rsidR="00E01826" w:rsidRPr="005B65DF">
        <w:instrText>ADDIN CSL_CITATION {"citationItems":[{"id":"ITEM-1","itemData":{"DOI":"10.3109/00206097409071709","ISSN":"1499-2027","author":[{"dropping-particle":"","family":"Norris","given":"T. W.","non-dropping-particle":"","parse-names":false,"suffix":""},{"dropping-particle":"","family":"Stelmachowicz","given":"P.","non-dropping-particle":"","parse-names":false,"suffix":""},{"dropping-particle":"","family":"Bowling","given":"C.","non-dropping-particle":"","parse-names":false,"suffix":""},{"dropping-particle":"","family":"Taylor","given":"D.","non-dropping-particle":"","parse-names":false,"suffix":""}],"container-title":"International Journal of Audiology","id":"ITEM-1","issue":"6","issued":{"date-parts":[["1974","1"]]},"page":"464-469","title":"Latency Measures of the Acoustic Reflex: Normal Versus Sensorineural","type":"article-journal","volume":"13"},"uris":["http://www.mendeley.com/documents/?uuid=1f7ba5f4-3f77-480f-b5eb-f6c3067014a6"]}],"mendeley":{"formattedCitation":"(Norris et al., 1974)","plainTextFormattedCitation":"(Norris et al., 1974)","previouslyFormattedCitation":"(Norris et al., 1974)"},"properties":{"noteIndex":0},"schema":"https://github.com/citation-style-language/schema/raw/master/csl-citation.json"}</w:instrText>
      </w:r>
      <w:r w:rsidRPr="005B65DF">
        <w:fldChar w:fldCharType="separate"/>
      </w:r>
      <w:r w:rsidR="009D66ED" w:rsidRPr="005B65DF">
        <w:rPr>
          <w:noProof/>
        </w:rPr>
        <w:t>(Norris et al., 1974)</w:t>
      </w:r>
      <w:r w:rsidRPr="005B65DF">
        <w:fldChar w:fldCharType="end"/>
      </w:r>
      <w:r w:rsidRPr="005B65DF">
        <w:t xml:space="preserve">. If a stimulus is of high enough intensity to damage the ear instantaneously, the reflex may not act in time to cause any significant mitigation of damage. This is particularly relevant in the case of blast exposure wherein an extremely high change in pressure occurs in a timespan of only a few milliseconds. Typical blast durations range from under 1 ms to up to 15 ms, all significantly below the MEMR latency for humans </w:t>
      </w:r>
      <w:r w:rsidRPr="005B65DF">
        <w:fldChar w:fldCharType="begin" w:fldLock="1"/>
      </w:r>
      <w:r w:rsidR="00E01826" w:rsidRPr="005B65DF">
        <w:instrText>ADDIN CSL_CITATION {"citationItems":[{"id":"ITEM-1","itemData":{"DOI":"10.3389/fneur.2015.00221","ISSN":"1664-2295","author":[{"dropping-particle":"","family":"Courtney","given":"Amy","non-dropping-particle":"","parse-names":false,"suffix":""},{"dropping-particle":"","family":"Courtney","given":"Michael","non-dropping-particle":"","parse-names":false,"suffix":""}],"container-title":"Frontiers in Neurology","id":"ITEM-1","issue":"October","issued":{"date-parts":[["2015"]]},"page":"1-12","title":"The Complexity of Biomechanics Causing Primary Blast-Induced Traumatic Brain Injury: A Review of Potential Mechanisms","type":"article-journal","volume":"6"},"uris":["http://www.mendeley.com/documents/?uuid=38d95dee-e8aa-400b-8e25-f1988f59de76"]}],"mendeley":{"formattedCitation":"(Courtney et al., 2015)","plainTextFormattedCitation":"(Courtney et al., 2015)","previouslyFormattedCitation":"(Courtney et al., 2015)"},"properties":{"noteIndex":0},"schema":"https://github.com/citation-style-language/schema/raw/master/csl-citation.json"}</w:instrText>
      </w:r>
      <w:r w:rsidRPr="005B65DF">
        <w:fldChar w:fldCharType="separate"/>
      </w:r>
      <w:r w:rsidR="009D66ED" w:rsidRPr="005B65DF">
        <w:rPr>
          <w:noProof/>
        </w:rPr>
        <w:t>(Courtney et al., 2015)</w:t>
      </w:r>
      <w:r w:rsidRPr="005B65DF">
        <w:fldChar w:fldCharType="end"/>
      </w:r>
      <w:r w:rsidRPr="005B65DF">
        <w:t>.  An understanding of the MEMR is valuable both in understanding the mechanisms behind hearing damage and diagnosing hearing dysfunction.</w:t>
      </w:r>
    </w:p>
    <w:p w14:paraId="60E1805E" w14:textId="095A9B67" w:rsidR="00121BE5" w:rsidRPr="005B65DF" w:rsidRDefault="00A02A61" w:rsidP="00121BE5">
      <w:r w:rsidRPr="005B65DF">
        <w:t>Additionally, t</w:t>
      </w:r>
      <w:r w:rsidR="006728B8" w:rsidRPr="005B65DF">
        <w:t xml:space="preserve">he MEMR has more medical significance than the protective function it serves. </w:t>
      </w:r>
      <w:r w:rsidR="00145A07" w:rsidRPr="005B65DF">
        <w:t>The MEMR also serves as an effective marker for healthy hearing in clinical testing thanks to its predictable</w:t>
      </w:r>
      <w:r w:rsidR="006728B8" w:rsidRPr="005B65DF">
        <w:t xml:space="preserve"> </w:t>
      </w:r>
      <w:r w:rsidR="00813A34" w:rsidRPr="005B65DF">
        <w:t>and bilateral</w:t>
      </w:r>
      <w:r w:rsidR="00145A07" w:rsidRPr="005B65DF">
        <w:t xml:space="preserve"> response to loud noises</w:t>
      </w:r>
      <w:r w:rsidR="006728B8" w:rsidRPr="005B65DF">
        <w:t xml:space="preserve">. </w:t>
      </w:r>
      <w:r w:rsidR="00145A07" w:rsidRPr="005B65DF">
        <w:t xml:space="preserve">As a healthy person will exhibit a MEMR response in both ears even if only one is stimulated, certain nerve pathway conditions may be diagnosed by looking at whether or not the contralateral response </w:t>
      </w:r>
      <w:r w:rsidR="009E396E" w:rsidRPr="005B65DF">
        <w:t xml:space="preserve">opposite the stimulated ear </w:t>
      </w:r>
      <w:r w:rsidR="00145A07" w:rsidRPr="005B65DF">
        <w:t>does happen</w:t>
      </w:r>
      <w:r w:rsidR="009E396E" w:rsidRPr="005B65DF">
        <w:t>, or if only the ipsilateral response of the same side as was stimulated occurs</w:t>
      </w:r>
      <w:r w:rsidR="00145A07" w:rsidRPr="005B65DF">
        <w:t xml:space="preserve">. </w:t>
      </w:r>
      <w:r w:rsidR="006728B8" w:rsidRPr="005B65DF">
        <w:t xml:space="preserve">The </w:t>
      </w:r>
      <w:r w:rsidR="00956FD0" w:rsidRPr="005B65DF">
        <w:t>MEMR</w:t>
      </w:r>
      <w:r w:rsidR="006728B8" w:rsidRPr="005B65DF">
        <w:t xml:space="preserve"> threshold is the minimum amplitude of sound that triggers the </w:t>
      </w:r>
      <w:r w:rsidR="00956FD0" w:rsidRPr="005B65DF">
        <w:t xml:space="preserve">reflex action of the </w:t>
      </w:r>
      <w:r w:rsidR="006728B8" w:rsidRPr="005B65DF">
        <w:t xml:space="preserve">stapedius and is one of the primary ways the MEMR is quantified </w:t>
      </w:r>
      <w:r w:rsidR="006728B8" w:rsidRPr="005B65DF">
        <w:fldChar w:fldCharType="begin" w:fldLock="1"/>
      </w:r>
      <w:r w:rsidR="00E01826" w:rsidRPr="005B65DF">
        <w:instrText>ADDIN CSL_CITATION {"citationItems":[{"id":"ITEM-1","itemData":{"DOI":"10.1121/1.4883361","ISSN":"1520-8524","PMID":"24993213","abstract":"The measurement of efferent-induced suppression of otoacoustic emissions (OAEs) using contralateral acoustic stimulation (CAS) is complicated by potential contamination by the middle ear muscle reflex (MEMR), particularly at moderate to high CAS levels. When logarithmically sweeping primaries are used to measure distortion product otoacoustic emissions, the level and phase of the primaries at the entrance of the ear canal may be monitored simultaneously along with the OAEs elicited by the swept-tones. A method of detecting MEMR activation using swept-tones is presented in which the differences in the primaries in the ear canal with and without CAS are examined, permitting evaluation of MEMR effects over a broad frequency range. A range of CAS levels above and below expected contralateral acoustic reflex thresholds permitted evaluation of conditions with and without MEMR activation.","author":[{"dropping-particle":"","family":"Henin","given":"Simon","non-dropping-particle":"","parse-names":false,"suffix":""},{"dropping-particle":"","family":"Long","given":"Glenis R","non-dropping-particle":"","parse-names":false,"suffix":""},{"dropping-particle":"","family":"Thompson","given":"Suzanne","non-dropping-particle":"","parse-names":false,"suffix":""}],"container-title":"The Journal of the Acoustical Society of America","id":"ITEM-1","issue":"1","issued":{"date-parts":[["2014"]]},"page":"272-83","title":"Wideband detection of middle ear muscle activation using swept-tone distortion product otoacoustic emissions.","type":"article-journal","volume":"136"},"uris":["http://www.mendeley.com/documents/?uuid=12e5d9e2-f487-4489-9658-fa13717cf5ac"]}],"mendeley":{"formattedCitation":"(Henin et al., 2014)","plainTextFormattedCitation":"(Henin et al., 2014)","previouslyFormattedCitation":"(Henin et al., 2014)"},"properties":{"noteIndex":0},"schema":"https://github.com/citation-style-language/schema/raw/master/csl-citation.json"}</w:instrText>
      </w:r>
      <w:r w:rsidR="006728B8" w:rsidRPr="005B65DF">
        <w:fldChar w:fldCharType="separate"/>
      </w:r>
      <w:r w:rsidR="009D66ED" w:rsidRPr="005B65DF">
        <w:rPr>
          <w:noProof/>
        </w:rPr>
        <w:t>(Henin et al., 2014)</w:t>
      </w:r>
      <w:r w:rsidR="006728B8" w:rsidRPr="005B65DF">
        <w:fldChar w:fldCharType="end"/>
      </w:r>
      <w:r w:rsidR="006728B8" w:rsidRPr="005B65DF">
        <w:t xml:space="preserve">.  It may be </w:t>
      </w:r>
      <w:r w:rsidR="00121BE5" w:rsidRPr="005B65DF">
        <w:t>clinically examined</w:t>
      </w:r>
      <w:r w:rsidR="006728B8" w:rsidRPr="005B65DF">
        <w:t xml:space="preserve"> using a tympanometer in acoustic reflex threshold (ART) testing. </w:t>
      </w:r>
      <w:r w:rsidR="00121BE5" w:rsidRPr="005B65DF">
        <w:t xml:space="preserve">This method, described in more detail in section 1.3.1, noninvasively determines the MEMR </w:t>
      </w:r>
      <w:r w:rsidR="00121BE5" w:rsidRPr="005B65DF">
        <w:lastRenderedPageBreak/>
        <w:t xml:space="preserve">activation threshold by finding the stimulus </w:t>
      </w:r>
      <w:r w:rsidR="00956FD0" w:rsidRPr="005B65DF">
        <w:t xml:space="preserve">volume </w:t>
      </w:r>
      <w:r w:rsidR="00121BE5" w:rsidRPr="005B65DF">
        <w:t xml:space="preserve">necessary to provoke a sufficient reflex to change the </w:t>
      </w:r>
      <w:r w:rsidR="00DE5013" w:rsidRPr="005B65DF">
        <w:t>tympanic membrane’s compliance.</w:t>
      </w:r>
      <w:r w:rsidR="009E396E" w:rsidRPr="005B65DF">
        <w:t xml:space="preserve"> </w:t>
      </w:r>
    </w:p>
    <w:p w14:paraId="151FE44E" w14:textId="5170BD34" w:rsidR="008A4C91" w:rsidRPr="005B65DF" w:rsidRDefault="008A4C91" w:rsidP="00F20222">
      <w:pPr>
        <w:pStyle w:val="Heading3"/>
      </w:pPr>
      <w:bookmarkStart w:id="14" w:name="_Toc185888"/>
      <w:r w:rsidRPr="005B65DF">
        <w:t>1.1.3 Muscle Biomechanics</w:t>
      </w:r>
      <w:bookmarkEnd w:id="14"/>
    </w:p>
    <w:p w14:paraId="0386477A" w14:textId="6969ED5D" w:rsidR="008A4C91" w:rsidRPr="005B65DF" w:rsidRDefault="008A4C91" w:rsidP="00121BE5">
      <w:r w:rsidRPr="005B65DF">
        <w:t xml:space="preserve">An understanding of </w:t>
      </w:r>
      <w:r w:rsidR="00917021" w:rsidRPr="005B65DF">
        <w:t xml:space="preserve">what </w:t>
      </w:r>
      <w:r w:rsidRPr="005B65DF">
        <w:t xml:space="preserve">muscles </w:t>
      </w:r>
      <w:r w:rsidR="00917021" w:rsidRPr="005B65DF">
        <w:t xml:space="preserve">are </w:t>
      </w:r>
      <w:r w:rsidRPr="005B65DF">
        <w:t xml:space="preserve">and how they function is integral to fully understanding the behavior of a muscular reflex. </w:t>
      </w:r>
      <w:r w:rsidR="00917021" w:rsidRPr="005B65DF">
        <w:t>Muscles are active soft tissues capable of contraction in order to cause motion</w:t>
      </w:r>
      <w:r w:rsidR="0025769F" w:rsidRPr="005B65DF">
        <w:t xml:space="preserve"> of some sort. Three types exist: skeletal muscles, which can be voluntarily controlled and are primarily involved in the motion of bones; smooth muscles, which are involuntarily controlled and deal with blood vessels, the intestines, and other organs that need a way to enact motion; and cardiac muscle, which makes up the heart and acts involuntarily, despite being similar in some ways to the structure of skeletal muscle</w:t>
      </w:r>
      <w:r w:rsidR="009D4264" w:rsidRPr="005B65DF">
        <w:t xml:space="preserve"> </w:t>
      </w:r>
      <w:r w:rsidR="009D4264" w:rsidRPr="005B65DF">
        <w:fldChar w:fldCharType="begin" w:fldLock="1"/>
      </w:r>
      <w:r w:rsidR="009D4264" w:rsidRPr="005B65DF">
        <w:instrText>ADDIN CSL_CITATION {"citationItems":[{"id":"ITEM-1","itemData":{"author":[{"dropping-particle":"","family":"Fung","given":"Y.C.","non-dropping-particle":"","parse-names":false,"suffix":""}],"container-title":"Biomechanics: Mechanical Properties of Living Tissues","edition":"Second","id":"ITEM-1","issued":{"date-parts":[["1993"]]},"page":"392-426","publisher":"Springer-Verlag","publisher-place":"New York","title":"Chapter 9: Skeletal Muscle","type":"chapter"},"uris":["http://www.mendeley.com/documents/?uuid=96719e1b-a870-4d03-9ce3-e0636bf79b03"]}],"mendeley":{"formattedCitation":"(Fung, 1993)","plainTextFormattedCitation":"(Fung, 1993)"},"properties":{"noteIndex":0},"schema":"https://github.com/citation-style-language/schema/raw/master/csl-citation.json"}</w:instrText>
      </w:r>
      <w:r w:rsidR="009D4264" w:rsidRPr="005B65DF">
        <w:fldChar w:fldCharType="separate"/>
      </w:r>
      <w:r w:rsidR="009D4264" w:rsidRPr="005B65DF">
        <w:rPr>
          <w:noProof/>
        </w:rPr>
        <w:t>(Fung, 1993)</w:t>
      </w:r>
      <w:r w:rsidR="009D4264" w:rsidRPr="005B65DF">
        <w:fldChar w:fldCharType="end"/>
      </w:r>
      <w:r w:rsidR="0025769F" w:rsidRPr="005B65DF">
        <w:t>. The muscles of the middle ear are both skeletal muscles, and the stapedius is the smallest of the human body’s skeletal muscles.</w:t>
      </w:r>
    </w:p>
    <w:p w14:paraId="5D346673" w14:textId="3AFA0349" w:rsidR="00DC0EF7" w:rsidRPr="005B65DF" w:rsidRDefault="00DC0EF7" w:rsidP="00121BE5">
      <w:r w:rsidRPr="005B65DF">
        <w:t xml:space="preserve">To briefly summarize the mechanism of contraction for skeletal muscles, at a microscopic level muscles are composed of actin and myosin molecules, protein filaments that are arranged in parallel. </w:t>
      </w:r>
      <w:r w:rsidR="006965BB" w:rsidRPr="005B65DF">
        <w:t>When a nerve</w:t>
      </w:r>
      <w:r w:rsidR="000B201D" w:rsidRPr="005B65DF">
        <w:t>, chemical,</w:t>
      </w:r>
      <w:r w:rsidR="006965BB" w:rsidRPr="005B65DF">
        <w:t xml:space="preserve"> or electric signal commands the muscle to act, these fi</w:t>
      </w:r>
      <w:r w:rsidR="000B201D" w:rsidRPr="005B65DF">
        <w:t>bers twitch towards each other, microscopic heads on the myosin filaments binding to sites on the actin filament and pulling it inwards. In the aggregate, this contracts the entire muscle</w:t>
      </w:r>
      <w:r w:rsidRPr="005B65DF">
        <w:t xml:space="preserve"> </w:t>
      </w:r>
      <w:r w:rsidR="000B201D" w:rsidRPr="005B65DF">
        <w:t xml:space="preserve">until it relaxes and expands again. When the rate of stimulation is high enough, these individual twitches build on each other before there is a chance to fully relax in what is known as tetanization, </w:t>
      </w:r>
      <w:r w:rsidR="00A05C8F" w:rsidRPr="005B65DF">
        <w:t>where the contractile force reaches an asymptote as additional twitches contribute less and less</w:t>
      </w:r>
      <w:r w:rsidR="000B201D" w:rsidRPr="005B65DF">
        <w:t>.</w:t>
      </w:r>
      <w:r w:rsidR="00A05C8F" w:rsidRPr="005B65DF">
        <w:t xml:space="preserve"> The tension </w:t>
      </w:r>
      <w:r w:rsidR="00A05C8F" w:rsidRPr="005B65DF">
        <w:rPr>
          <w:i/>
        </w:rPr>
        <w:t xml:space="preserve">P </w:t>
      </w:r>
      <w:r w:rsidR="00A05C8F" w:rsidRPr="005B65DF">
        <w:t xml:space="preserve">in a </w:t>
      </w:r>
      <w:r w:rsidR="00B17F14" w:rsidRPr="005B65DF">
        <w:t xml:space="preserve">tetanized </w:t>
      </w:r>
      <w:r w:rsidR="00A05C8F" w:rsidRPr="005B65DF">
        <w:t xml:space="preserve">muscle can be related to the velocity of contraction </w:t>
      </w:r>
      <w:r w:rsidR="00A05C8F" w:rsidRPr="005B65DF">
        <w:rPr>
          <w:i/>
        </w:rPr>
        <w:t>v</w:t>
      </w:r>
      <w:r w:rsidR="00A05C8F" w:rsidRPr="005B65DF">
        <w:t xml:space="preserve"> in Hill’s equation</w:t>
      </w:r>
      <w:r w:rsidR="009D4264" w:rsidRPr="005B65DF">
        <w:t xml:space="preserve"> (Eq. 1)</w:t>
      </w:r>
      <w:r w:rsidR="00A05C8F" w:rsidRPr="005B65DF">
        <w:t xml:space="preserve">, where </w:t>
      </w:r>
      <w:r w:rsidR="00A05C8F" w:rsidRPr="005B65DF">
        <w:rPr>
          <w:i/>
        </w:rPr>
        <w:t>a</w:t>
      </w:r>
      <w:r w:rsidR="00A05C8F" w:rsidRPr="005B65DF">
        <w:t xml:space="preserve"> and </w:t>
      </w:r>
      <w:r w:rsidR="00A05C8F" w:rsidRPr="005B65DF">
        <w:rPr>
          <w:i/>
        </w:rPr>
        <w:t>b</w:t>
      </w:r>
      <w:r w:rsidR="00A05C8F" w:rsidRPr="005B65DF">
        <w:t xml:space="preserve"> are constants </w:t>
      </w:r>
      <w:r w:rsidR="00A05C8F" w:rsidRPr="005B65DF">
        <w:fldChar w:fldCharType="begin" w:fldLock="1"/>
      </w:r>
      <w:r w:rsidR="00A05C8F" w:rsidRPr="005B65DF">
        <w:instrText>ADDIN CSL_CITATION {"citationItems":[{"id":"ITEM-1","itemData":{"author":[{"dropping-particle":"","family":"Fung","given":"Y.C.","non-dropping-particle":"","parse-names":false,"suffix":""}],"container-title":"Biomechanics: Mechanical Properties of Living Tissues","edition":"Second","id":"ITEM-1","issued":{"date-parts":[["1993"]]},"page":"392-426","publisher":"Springer-Verlag","publisher-place":"New York","title":"Chapter 9: Skeletal Muscle","type":"chapter"},"uris":["http://www.mendeley.com/documents/?uuid=96719e1b-a870-4d03-9ce3-e0636bf79b03"]}],"mendeley":{"formattedCitation":"(Fung, 1993)","plainTextFormattedCitation":"(Fung, 1993)","previouslyFormattedCitation":"(Fung, 1993)"},"properties":{"noteIndex":0},"schema":"https://github.com/citation-style-language/schema/raw/master/csl-citation.json"}</w:instrText>
      </w:r>
      <w:r w:rsidR="00A05C8F" w:rsidRPr="005B65DF">
        <w:fldChar w:fldCharType="separate"/>
      </w:r>
      <w:r w:rsidR="00A05C8F" w:rsidRPr="005B65DF">
        <w:rPr>
          <w:noProof/>
        </w:rPr>
        <w:t>(Fung, 1993)</w:t>
      </w:r>
      <w:r w:rsidR="00A05C8F" w:rsidRPr="005B65DF">
        <w:fldChar w:fldCharType="end"/>
      </w:r>
      <w:r w:rsidR="00A05C8F" w:rsidRPr="005B65DF">
        <w:t>:</w:t>
      </w:r>
    </w:p>
    <w:p w14:paraId="239D16DE" w14:textId="75CB0489" w:rsidR="00A05C8F" w:rsidRPr="005B65DF" w:rsidRDefault="00D87012" w:rsidP="009D4264">
      <w:pPr>
        <w:tabs>
          <w:tab w:val="left" w:pos="8640"/>
        </w:tabs>
        <w:ind w:firstLine="0"/>
      </w:pPr>
      <m:oMath>
        <m:d>
          <m:dPr>
            <m:ctrlPr>
              <w:rPr>
                <w:rFonts w:ascii="Cambria Math" w:hAnsi="Cambria Math"/>
                <w:i/>
              </w:rPr>
            </m:ctrlPr>
          </m:dPr>
          <m:e>
            <m:r>
              <w:rPr>
                <w:rFonts w:ascii="Cambria Math" w:hAnsi="Cambria Math"/>
              </w:rPr>
              <m:t>v+b</m:t>
            </m:r>
          </m:e>
        </m:d>
        <m:d>
          <m:dPr>
            <m:ctrlPr>
              <w:rPr>
                <w:rFonts w:ascii="Cambria Math" w:hAnsi="Cambria Math"/>
                <w:i/>
              </w:rPr>
            </m:ctrlPr>
          </m:dPr>
          <m:e>
            <m:r>
              <w:rPr>
                <w:rFonts w:ascii="Cambria Math" w:hAnsi="Cambria Math"/>
              </w:rPr>
              <m:t>P+a</m:t>
            </m:r>
          </m:e>
        </m:d>
        <m:r>
          <w:rPr>
            <w:rFonts w:ascii="Cambria Math" w:hAnsi="Cambria Math"/>
          </w:rPr>
          <m:t>=b(</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+a)</m:t>
        </m:r>
      </m:oMath>
      <w:r w:rsidR="009D4264" w:rsidRPr="005B65DF">
        <w:t xml:space="preserve">    </w:t>
      </w:r>
      <w:r w:rsidR="009D4264" w:rsidRPr="005B65DF">
        <w:tab/>
        <w:t>(1)</w:t>
      </w:r>
    </w:p>
    <w:p w14:paraId="709F2551" w14:textId="32BA257D" w:rsidR="00A05C8F" w:rsidRPr="005B65DF" w:rsidRDefault="00B17F14" w:rsidP="009D4264">
      <w:pPr>
        <w:ind w:firstLine="0"/>
      </w:pPr>
      <w:r w:rsidRPr="005B65DF">
        <w:lastRenderedPageBreak/>
        <w:t>Due to the size, location, and fragility of the stapedius muscle and ossicular chain, direct measurements of the stapedius’ contraction velocity or tension were not attempted in the course of these studies, deferring instead to measurements of the electrical activity stimulating the muscle’s action.</w:t>
      </w:r>
      <w:r w:rsidR="000E1AD8" w:rsidRPr="005B65DF">
        <w:t xml:space="preserve"> For a muscle that has not been tetanized, a separate model by Zahalak was published in 1976 describing the behavior of the forearm and wrist </w:t>
      </w:r>
      <w:r w:rsidR="000E1AD8" w:rsidRPr="005B65DF">
        <w:fldChar w:fldCharType="begin" w:fldLock="1"/>
      </w:r>
      <w:r w:rsidR="004B42CA" w:rsidRPr="005B65DF">
        <w:instrText>ADDIN CSL_CITATION {"citationItems":[{"id":"ITEM-1","itemData":{"author":[{"dropping-particle":"","family":"Fung","given":"Y.C.","non-dropping-particle":"","parse-names":false,"suffix":""}],"container-title":"Biomechanics: Mechanical Properties of Living Tissues","edition":"Second","id":"ITEM-1","issued":{"date-parts":[["1993"]]},"page":"392-426","publisher":"Springer-Verlag","publisher-place":"New York","title":"Chapter 9: Skeletal Muscle","type":"chapter"},"uris":["http://www.mendeley.com/documents/?uuid=96719e1b-a870-4d03-9ce3-e0636bf79b03"]}],"mendeley":{"formattedCitation":"(Fung, 1993)","plainTextFormattedCitation":"(Fung, 1993)","previouslyFormattedCitation":"(Fung, 1993)"},"properties":{"noteIndex":0},"schema":"https://github.com/citation-style-language/schema/raw/master/csl-citation.json"}</w:instrText>
      </w:r>
      <w:r w:rsidR="000E1AD8" w:rsidRPr="005B65DF">
        <w:fldChar w:fldCharType="separate"/>
      </w:r>
      <w:r w:rsidR="000E1AD8" w:rsidRPr="005B65DF">
        <w:rPr>
          <w:noProof/>
        </w:rPr>
        <w:t>(Fung, 1993)</w:t>
      </w:r>
      <w:r w:rsidR="000E1AD8" w:rsidRPr="005B65DF">
        <w:fldChar w:fldCharType="end"/>
      </w:r>
      <w:r w:rsidR="009D4264" w:rsidRPr="005B65DF">
        <w:t xml:space="preserve">, where </w:t>
      </w:r>
      <m:oMath>
        <m:r>
          <w:rPr>
            <w:rFonts w:ascii="Cambria Math" w:hAnsi="Cambria Math"/>
          </w:rPr>
          <m:t>p</m:t>
        </m:r>
      </m:oMath>
      <w:r w:rsidR="009D4264" w:rsidRPr="005B65DF">
        <w:t xml:space="preserve"> is the load applied at the wrist, </w:t>
      </w:r>
      <m:oMath>
        <m:r>
          <w:rPr>
            <w:rFonts w:ascii="Cambria Math" w:hAnsi="Cambria Math"/>
          </w:rPr>
          <m:t>v</m:t>
        </m:r>
      </m:oMath>
      <w:r w:rsidR="009D4264" w:rsidRPr="005B65DF">
        <w:t xml:space="preserve"> is the angular velocity of the forearm, </w:t>
      </w:r>
      <m:oMath>
        <m:r>
          <w:rPr>
            <w:rFonts w:ascii="Cambria Math" w:hAnsi="Cambria Math"/>
          </w:rPr>
          <m:t>e</m:t>
        </m:r>
      </m:oMath>
      <w:r w:rsidR="009D4264" w:rsidRPr="005B65DF">
        <w:t xml:space="preserve"> is the smoothed, rectified electromyogram, and </w:t>
      </w:r>
      <m:oMath>
        <m:sSubSup>
          <m:sSubSupPr>
            <m:ctrlPr>
              <w:rPr>
                <w:rFonts w:ascii="Cambria Math" w:hAnsi="Cambria Math"/>
                <w:i/>
              </w:rPr>
            </m:ctrlPr>
          </m:sSubSupPr>
          <m:e>
            <m:r>
              <w:rPr>
                <w:rFonts w:ascii="Cambria Math" w:hAnsi="Cambria Math"/>
              </w:rPr>
              <m:t>p</m:t>
            </m:r>
          </m:e>
          <m:sub>
            <m:r>
              <w:rPr>
                <w:rFonts w:ascii="Cambria Math" w:hAnsi="Cambria Math"/>
              </w:rPr>
              <m:t>0</m:t>
            </m:r>
          </m:sub>
          <m:sup>
            <m:r>
              <w:rPr>
                <w:rFonts w:ascii="Cambria Math" w:hAnsi="Cambria Math"/>
              </w:rPr>
              <m:t>+</m:t>
            </m:r>
          </m:sup>
        </m:sSubSup>
        <m:d>
          <m:dPr>
            <m:ctrlPr>
              <w:rPr>
                <w:rFonts w:ascii="Cambria Math" w:hAnsi="Cambria Math"/>
                <w:i/>
              </w:rPr>
            </m:ctrlPr>
          </m:dPr>
          <m:e>
            <m:r>
              <w:rPr>
                <w:rFonts w:ascii="Cambria Math" w:hAnsi="Cambria Math"/>
              </w:rPr>
              <m:t>e</m:t>
            </m:r>
          </m:e>
        </m:d>
      </m:oMath>
      <w:r w:rsidR="009D4264" w:rsidRPr="005B65DF">
        <w:t xml:space="preserve"> is an isometric load as a function of the electromyogram and five empirical constants that vary by subject.</w:t>
      </w:r>
    </w:p>
    <w:p w14:paraId="37B58CF6" w14:textId="333D3DD0" w:rsidR="000E1AD8" w:rsidRPr="005B65DF" w:rsidRDefault="00D87012" w:rsidP="009D4264">
      <w:pPr>
        <w:tabs>
          <w:tab w:val="left" w:pos="8640"/>
        </w:tabs>
        <w:ind w:firstLine="0"/>
      </w:pPr>
      <m:oMath>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0</m:t>
                </m:r>
              </m:sub>
              <m:sup>
                <m:r>
                  <w:rPr>
                    <w:rFonts w:ascii="Cambria Math" w:hAnsi="Cambria Math"/>
                  </w:rPr>
                  <m:t>+</m:t>
                </m:r>
              </m:sup>
            </m:sSubSup>
            <m:d>
              <m:dPr>
                <m:ctrlPr>
                  <w:rPr>
                    <w:rFonts w:ascii="Cambria Math" w:hAnsi="Cambria Math"/>
                    <w:i/>
                  </w:rPr>
                </m:ctrlPr>
              </m:dPr>
              <m:e>
                <m:r>
                  <w:rPr>
                    <w:rFonts w:ascii="Cambria Math" w:hAnsi="Cambria Math"/>
                  </w:rPr>
                  <m:t>e</m:t>
                </m:r>
              </m:e>
            </m:d>
            <m:r>
              <w:rPr>
                <w:rFonts w:ascii="Cambria Math" w:hAnsi="Cambria Math"/>
              </w:rPr>
              <m:t>-p</m:t>
            </m:r>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p</m:t>
            </m:r>
          </m:e>
        </m:d>
        <m:r>
          <w:rPr>
            <w:rFonts w:ascii="Cambria Math" w:hAnsi="Cambria Math"/>
          </w:rPr>
          <m:t xml:space="preserve">v                (0&lt;v&lt;0.5 </m:t>
        </m:r>
        <m:sSub>
          <m:sSubPr>
            <m:ctrlPr>
              <w:rPr>
                <w:rFonts w:ascii="Cambria Math" w:hAnsi="Cambria Math"/>
                <w:i/>
              </w:rPr>
            </m:ctrlPr>
          </m:sSubPr>
          <m:e>
            <m:r>
              <w:rPr>
                <w:rFonts w:ascii="Cambria Math" w:hAnsi="Cambria Math"/>
              </w:rPr>
              <m:t>v</m:t>
            </m:r>
          </m:e>
          <m:sub>
            <m:d>
              <m:dPr>
                <m:begChr m:val="{"/>
                <m:endChr m:val="}"/>
                <m:ctrlPr>
                  <w:rPr>
                    <w:rFonts w:ascii="Cambria Math" w:hAnsi="Cambria Math"/>
                    <w:i/>
                  </w:rPr>
                </m:ctrlPr>
              </m:dPr>
              <m:e>
                <m:r>
                  <w:rPr>
                    <w:rFonts w:ascii="Cambria Math" w:hAnsi="Cambria Math"/>
                  </w:rPr>
                  <m:t>max</m:t>
                </m:r>
              </m:e>
            </m:d>
          </m:sub>
        </m:sSub>
        <m:d>
          <m:dPr>
            <m:ctrlPr>
              <w:rPr>
                <w:rFonts w:ascii="Cambria Math" w:hAnsi="Cambria Math"/>
                <w:i/>
              </w:rPr>
            </m:ctrlPr>
          </m:dPr>
          <m:e>
            <m:r>
              <w:rPr>
                <w:rFonts w:ascii="Cambria Math" w:hAnsi="Cambria Math"/>
              </w:rPr>
              <m:t>p</m:t>
            </m:r>
          </m:e>
        </m:d>
        <m:r>
          <w:rPr>
            <w:rFonts w:ascii="Cambria Math" w:hAnsi="Cambria Math"/>
          </w:rPr>
          <m:t>)</m:t>
        </m:r>
      </m:oMath>
      <w:r w:rsidR="009D4264" w:rsidRPr="005B65DF">
        <w:tab/>
        <w:t>(2)</w:t>
      </w:r>
    </w:p>
    <w:p w14:paraId="0C93F3B4" w14:textId="1159CA59" w:rsidR="000E1AD8" w:rsidRPr="005B65DF" w:rsidRDefault="004B42CA" w:rsidP="00F20222">
      <w:pPr>
        <w:ind w:firstLine="0"/>
      </w:pPr>
      <w:r w:rsidRPr="005B65DF">
        <w:t xml:space="preserve">The equation does not lend itself to easy adaptation to other muscles, however, and exhibits the same difficulties with measuring loads and velocities of a small, isolated muscle without damaging it. This contributes to the difficulty of analyzing the activity of the stapedius muscle. </w:t>
      </w:r>
    </w:p>
    <w:p w14:paraId="39F5B143" w14:textId="3A04437D" w:rsidR="00917021" w:rsidRPr="005B65DF" w:rsidRDefault="00917021" w:rsidP="00121BE5">
      <w:r w:rsidRPr="005B65DF">
        <w:t>Tetanization</w:t>
      </w:r>
      <w:r w:rsidR="004B42CA" w:rsidRPr="005B65DF">
        <w:t xml:space="preserve"> of the stapedius has been judged unlikely in rabbit and cat studies where measurements of the stapedius acting in response to normal stimuli were contrasted with the activity of the stapedius when electrically stimulated to maximal force </w:t>
      </w:r>
      <w:r w:rsidR="004B42CA" w:rsidRPr="005B65DF">
        <w:fldChar w:fldCharType="begin" w:fldLock="1"/>
      </w:r>
      <w:r w:rsidR="00E01826" w:rsidRPr="005B65DF">
        <w:instrText>ADDIN CSL_CITATION {"citationItems":[{"id":"ITEM-1","itemData":{"DOI":"10.1016/0378-5955(87)90031-1","ISBN":"0378-5955 (Print)","ISSN":"03785955","PMID":"3558137","abstract":"Electromyographic activity (EMG) was used to monitor contractions of the stapedius muscle evoked by both ipsilateral and contralateral sound in ketamine-anesthetized or decerebrate cats. After the onset of a continuing tone, stapedius EMG often had bursts of activity at regular intervals; similar bursts were also observed in the EMG from the tensor tympani muscle. Plots of the r.m.s. amplitude of stapedius-EMG versus sound level usually had a steep rising phase (small dynamic range) and a plateau at high sound levels. For sound stimulation at 1 kHz, the crossed stapedius reflex had a lower maximum amplitude (ave. amplitude ratio: 0.37) and a higher threshold (ave. 8 dB) than the uncrossed reflex. Since the uncrossed reflex evokes considerably more stapedius EMG than does the crossed reflex, it probably produces correspondingly greater changes in middle-ear sound transmission.","author":[{"dropping-particle":"","family":"Guinan","given":"J J","non-dropping-particle":"","parse-names":false,"suffix":""},{"dropping-particle":"","family":"McCue","given":"M P","non-dropping-particle":"","parse-names":false,"suffix":""}],"container-title":"Hearing research","id":"ITEM-1","issue":"1","issued":{"date-parts":[["1987"]]},"page":"1-10","title":"Asymmetries in the acoustic reflexes of the cat stapedius muscle.","type":"article-journal","volume":"26"},"uris":["http://www.mendeley.com/documents/?uuid=8f1106c9-e210-466d-a80c-e6e0aa3ece25"]}],"mendeley":{"formattedCitation":"(Guinan et al., 1987)","plainTextFormattedCitation":"(Guinan et al., 1987)","previouslyFormattedCitation":"(Guinan et al., 1987)"},"properties":{"noteIndex":0},"schema":"https://github.com/citation-style-language/schema/raw/master/csl-citation.json"}</w:instrText>
      </w:r>
      <w:r w:rsidR="004B42CA" w:rsidRPr="005B65DF">
        <w:fldChar w:fldCharType="separate"/>
      </w:r>
      <w:r w:rsidR="009D66ED" w:rsidRPr="005B65DF">
        <w:rPr>
          <w:noProof/>
        </w:rPr>
        <w:t>(Guinan et al., 1987)</w:t>
      </w:r>
      <w:r w:rsidR="004B42CA" w:rsidRPr="005B65DF">
        <w:fldChar w:fldCharType="end"/>
      </w:r>
      <w:r w:rsidR="004B42CA" w:rsidRPr="005B65DF">
        <w:t xml:space="preserve">. Neither animal reached as high of force </w:t>
      </w:r>
      <w:r w:rsidR="00B630EA" w:rsidRPr="005B65DF">
        <w:t>when acting in normal conditions as it did when electrically stimulated. One final useful concept is muscle fatigue. Eventually, a tensed muscle will reach a fatigued state and its ability to output force will decrease. To avoid this, some recovery time is built into the studies in Chapters 2 and 3; in the noise exposure study of Chapter 4, however, the high exposure duration is likely to cause fatigue in the stapedius, which may be a contributor in the level of damage caused.</w:t>
      </w:r>
    </w:p>
    <w:p w14:paraId="460692D4" w14:textId="77777777" w:rsidR="00B26394" w:rsidRPr="005B65DF" w:rsidRDefault="006728B8" w:rsidP="00121BE5">
      <w:pPr>
        <w:pStyle w:val="Heading2"/>
      </w:pPr>
      <w:bookmarkStart w:id="15" w:name="_Toc185889"/>
      <w:r w:rsidRPr="005B65DF">
        <w:lastRenderedPageBreak/>
        <w:t>1.</w:t>
      </w:r>
      <w:r w:rsidR="00FE1B47" w:rsidRPr="005B65DF">
        <w:t>2</w:t>
      </w:r>
      <w:r w:rsidR="004C7308" w:rsidRPr="005B65DF">
        <w:t xml:space="preserve"> The Significance of Hearing Damage</w:t>
      </w:r>
      <w:bookmarkEnd w:id="15"/>
    </w:p>
    <w:p w14:paraId="053BB273" w14:textId="77777777" w:rsidR="0003074C" w:rsidRPr="005B65DF" w:rsidRDefault="0003074C" w:rsidP="00B02DDC">
      <w:r w:rsidRPr="005B65DF">
        <w:t xml:space="preserve">Due to the complexity and fragility of the mammalian auditory system, </w:t>
      </w:r>
      <w:r w:rsidR="00956FD0" w:rsidRPr="005B65DF">
        <w:t xml:space="preserve">intensely loud </w:t>
      </w:r>
      <w:r w:rsidRPr="005B65DF">
        <w:t>sounds or abnormally high pressure waves applied to the ear may cause significant damage</w:t>
      </w:r>
      <w:r w:rsidR="009C71C3" w:rsidRPr="005B65DF">
        <w:t xml:space="preserve">.  </w:t>
      </w:r>
      <w:r w:rsidR="00B02DDC" w:rsidRPr="005B65DF">
        <w:t>As a result of high intensity input, t</w:t>
      </w:r>
      <w:r w:rsidR="009C71C3" w:rsidRPr="005B65DF">
        <w:t xml:space="preserve">he mechanical properties of the soft tissues of the ear may change, the ossicles may be dislocated, and the hair cells of the cochlea may die.  </w:t>
      </w:r>
      <w:r w:rsidR="00B02DDC" w:rsidRPr="005B65DF">
        <w:t>S</w:t>
      </w:r>
      <w:r w:rsidR="009C71C3" w:rsidRPr="005B65DF">
        <w:t>urgery may be needed to repair the ear</w:t>
      </w:r>
      <w:r w:rsidR="00B02DDC" w:rsidRPr="005B65DF">
        <w:t xml:space="preserve"> in some cases, but</w:t>
      </w:r>
      <w:r w:rsidR="009C71C3" w:rsidRPr="005B65DF">
        <w:t xml:space="preserve"> in the case of the death of hair cells there is currently no medical intervention that can bring a patient’s </w:t>
      </w:r>
      <w:r w:rsidR="00B02DDC" w:rsidRPr="005B65DF">
        <w:t>h</w:t>
      </w:r>
      <w:r w:rsidR="009C71C3" w:rsidRPr="005B65DF">
        <w:t>ear</w:t>
      </w:r>
      <w:r w:rsidR="00B02DDC" w:rsidRPr="005B65DF">
        <w:t>ing</w:t>
      </w:r>
      <w:r w:rsidR="009C71C3" w:rsidRPr="005B65DF">
        <w:t xml:space="preserve"> back to normal function.  </w:t>
      </w:r>
      <w:r w:rsidR="00B02DDC" w:rsidRPr="005B65DF">
        <w:t xml:space="preserve">The </w:t>
      </w:r>
      <w:r w:rsidR="00316832" w:rsidRPr="005B65DF">
        <w:t>p</w:t>
      </w:r>
      <w:r w:rsidR="00B02DDC" w:rsidRPr="005B65DF">
        <w:t>revention of hearing damage is particularly important</w:t>
      </w:r>
      <w:r w:rsidR="00FA59BB" w:rsidRPr="005B65DF">
        <w:t xml:space="preserve"> in light of its potentially expensive or permanent nature</w:t>
      </w:r>
      <w:r w:rsidR="00B02DDC" w:rsidRPr="005B65DF">
        <w:t xml:space="preserve">. </w:t>
      </w:r>
      <w:r w:rsidR="00FA59BB" w:rsidRPr="005B65DF">
        <w:t xml:space="preserve">Patients exhibiting hearing damage may experience a variety of impairments including </w:t>
      </w:r>
      <w:r w:rsidRPr="005B65DF">
        <w:t>decreased</w:t>
      </w:r>
      <w:r w:rsidR="00B02DDC" w:rsidRPr="005B65DF">
        <w:t xml:space="preserve"> </w:t>
      </w:r>
      <w:r w:rsidRPr="005B65DF">
        <w:t xml:space="preserve">sensitivity to sounds, </w:t>
      </w:r>
      <w:r w:rsidR="009C71C3" w:rsidRPr="005B65DF">
        <w:t xml:space="preserve">tinnitus, </w:t>
      </w:r>
      <w:r w:rsidRPr="005B65DF">
        <w:t xml:space="preserve">or total deafness. </w:t>
      </w:r>
    </w:p>
    <w:p w14:paraId="789C5FA2" w14:textId="27BE11B0" w:rsidR="008A4C91" w:rsidRPr="005B65DF" w:rsidRDefault="0003074C" w:rsidP="00183731">
      <w:r w:rsidRPr="005B65DF">
        <w:t>Hearing impairment is often linked to occupational exposure to dangerous sound levels; a variety of occupations from industrial sector jobs to work in the military may expose employees to risks of hearing loss. It is present in approximatel</w:t>
      </w:r>
      <w:r w:rsidR="00FA59BB" w:rsidRPr="005B65DF">
        <w:t>y 28 million Americans, and noise induced hearing loss</w:t>
      </w:r>
      <w:r w:rsidRPr="005B65DF">
        <w:t xml:space="preserve"> is the cause of an estimated half of those cases </w:t>
      </w:r>
      <w:r w:rsidRPr="005B65DF">
        <w:fldChar w:fldCharType="begin" w:fldLock="1"/>
      </w:r>
      <w:r w:rsidR="006F5529" w:rsidRPr="005B65DF">
        <w:instrText>ADDIN CSL_CITATION {"citationItems":[{"id":"ITEM-1","itemData":{"DOI":"10.1111/j.1746-1561.2007.00197.x","ISBN":"0022-4391; 0022-4391","ISSN":"00224391","PMID":"17430434","abstract":"BACKGROUND: Noise-induced hearing loss is a major cause of deafness and hearing impairment in the United States. Though genetics and advanced age are major risk factors, temporary and permanent hearing impairments are becoming more common among young adults and children especially with the increased exposure to portable music players. Though treatment options are limited for most people with noise-related hearing loss, several modifiable health behaviors that should begin in childhood might prevent or delay the onset of hearing impairment. The purpose of this article is to review modifiable and non-modifiable risk factors, comorbidity, and the role of health education in the prevention of noise-induced hearing loss. METHODS: Review of current literature in the etiology, prevention, and treatment of noise-induced hearing loss as well as the role of health education. RESULTS: Non-modifiable risk factors related to noise-related hearing loss include increasing age, genetics, male gender, and race. Modifiable risk factors are voluntary exposure to loud noise, nonuse of hearing protection, smoking, lack of exercise, poor diet, tooth loss, and the presence of diabetes and cardiovascular disease. CONCLUSIONS: As hearing impairment among children and teenagers rises due to mostly voluntary exposure to loud noise, there are many implications for health education. Health educators need to address barriers to the use of hearing protection, deliberate exposure to loud music, and other modifiable risk factors, which cause and exacerbate hearing loss among those exposed to loud noise.","author":[{"dropping-particle":"","family":"Daniel","given":"Eileen","non-dropping-particle":"","parse-names":false,"suffix":""}],"container-title":"Journal of School Health","id":"ITEM-1","issue":"5","issued":{"date-parts":[["2007"]]},"page":"225-231","title":"Noise and hearing loss: A review","type":"article-journal","volume":"77"},"uris":["http://www.mendeley.com/documents/?uuid=9f5869c5-815e-4b8c-9965-27a9ba2e9e44"]}],"mendeley":{"formattedCitation":"(Daniel, 2007)","plainTextFormattedCitation":"(Daniel, 2007)","previouslyFormattedCitation":"(Daniel, 2007)"},"properties":{"noteIndex":0},"schema":"https://github.com/citation-style-language/schema/raw/master/csl-citation.json"}</w:instrText>
      </w:r>
      <w:r w:rsidRPr="005B65DF">
        <w:fldChar w:fldCharType="separate"/>
      </w:r>
      <w:r w:rsidRPr="005B65DF">
        <w:rPr>
          <w:noProof/>
        </w:rPr>
        <w:t>(Daniel, 2007)</w:t>
      </w:r>
      <w:r w:rsidRPr="005B65DF">
        <w:fldChar w:fldCharType="end"/>
      </w:r>
      <w:r w:rsidRPr="005B65DF">
        <w:t>. An estimated 16.9% of Americans in production sector jobs are regularly exposed to potentially dangerous levels of sound</w:t>
      </w:r>
      <w:r w:rsidR="00957373" w:rsidRPr="005B65DF">
        <w:t xml:space="preserve">, and occupational exposure may be responsible for as many as 24% of cases of hearing impairment in America </w:t>
      </w:r>
      <w:r w:rsidR="00957373" w:rsidRPr="005B65DF">
        <w:fldChar w:fldCharType="begin" w:fldLock="1"/>
      </w:r>
      <w:r w:rsidR="00E01826" w:rsidRPr="005B65DF">
        <w:instrText>ADDIN CSL_CITATION {"citationItems":[{"id":"ITEM-1","itemData":{"DOI":"No. 98-126","ISBN":"9783540276852","ISSN":"00961736","PMID":"243","abstract":"This criteria document reevaluates and reaffirms the recommended exposure limit (REL) for occupational noise exposure established by the National Institute for Occupational Safety and Health (NIOSH) in 1972. The REL is 85 decibels, A-weighted, as an 8-hr time-weighted average (85 dBA as an 8- hr TWA). Exposures at or above this level are hazardous. The recommendations in this document go beyond attempts to conserve hearing by focusing on prevention of occupational NIHL. For workers whose noise exposures equal or exceed 85 dBA, NIOSH recommends a hearing loss prevention program (HLPP) that includes exposure assessment, engineering and administrative controls, proper use of hearing protectors, audiometric evaluation, education and motivation, recordkeeping, and program audits and evaluations.","author":[{"dropping-particle":"","family":"Rosenstock","given":"L","non-dropping-particle":"","parse-names":false,"suffix":""}],"container-title":"National Institute for Occupational Safety and Health.","id":"ITEM-1","issue":"June","issued":{"date-parts":[["1998"]]},"page":"1-132","title":"Criteria for a recommended standard: occupational noise exposure","type":"article","volume":"1998"},"uris":["http://www.mendeley.com/documents/?uuid=b0904a5f-6918-4edc-a1b6-c5b15564b299"]},{"id":"ITEM-2","itemData":{"DOI":"10.1097/JOM.0b013e3181579316","ISBN":"1076-2752","ISSN":"10762752","PMID":"18188081","abstract":"OBJECTIVE: To estimate the national burden of hearing difficulty among workers in US industries and occupations. METHODS: Data on 130,102 employed National Health Interview Survey respondents between the ages of 18 to 65 years who were interviewed between 1997 and 2003 were analyzed to estimate the population prevalence, adjusted prevalence ratios, and fractions of hearing difficulty attributable to employment. RESULTS: The estimated population prevalence of hearing difficulty was 11.4% (24% attributable to employment). The adjusted prevalence ratios of hearing difficulty were highest for railroads, mining, and primary metal manufacturing industry. Occupations with increased risk of hearing difficulty were mechanics/repairers, machine operators, and transportation equipment operators. CONCLUSIONS: Hearing difficulty was differentially distributed across various industries. In industries with high rates, employers and workers should take preventive action to reduce the risk of occupational hearing loss.","author":[{"dropping-particle":"","family":"Tak","given":"Sang Woo","non-dropping-particle":"","parse-names":false,"suffix":""},{"dropping-particle":"","family":"Calvert","given":"Geoffrey M.","non-dropping-particle":"","parse-names":false,"suffix":""}],"container-title":"Journal of Occupational and Environmental Medicine","id":"ITEM-2","issue":"1","issued":{"date-parts":[["2008"]]},"page":"46-56","title":"Hearing difficulty attributable to employment by industry and occupation: An analysis of the National Health Interview Survey - United States, 1997 to 2003","type":"article-journal","volume":"50"},"uris":["http://www.mendeley.com/documents/?uuid=cd92a80c-39c1-466d-ae2a-5266c12bfc5b"]}],"mendeley":{"formattedCitation":"(Rosenstock, 1998; Tak et al., 2008)","plainTextFormattedCitation":"(Rosenstock, 1998; Tak et al., 2008)","previouslyFormattedCitation":"(Rosenstock, 1998; Tak et al., 2008)"},"properties":{"noteIndex":0},"schema":"https://github.com/citation-style-language/schema/raw/master/csl-citation.json"}</w:instrText>
      </w:r>
      <w:r w:rsidR="00957373" w:rsidRPr="005B65DF">
        <w:fldChar w:fldCharType="separate"/>
      </w:r>
      <w:r w:rsidR="009D66ED" w:rsidRPr="005B65DF">
        <w:rPr>
          <w:noProof/>
        </w:rPr>
        <w:t>(Rosenstock, 1998; Tak et al., 2008)</w:t>
      </w:r>
      <w:r w:rsidR="00957373" w:rsidRPr="005B65DF">
        <w:fldChar w:fldCharType="end"/>
      </w:r>
      <w:r w:rsidRPr="005B65DF">
        <w:t xml:space="preserve">. Many </w:t>
      </w:r>
      <w:r w:rsidR="00FA59BB" w:rsidRPr="005B65DF">
        <w:t xml:space="preserve">popular </w:t>
      </w:r>
      <w:r w:rsidRPr="005B65DF">
        <w:t>leisure activities including listening to media players, attending concerts, or visiting nightclubs, result in unsafe levels of noise exposure</w:t>
      </w:r>
      <w:r w:rsidR="00957373" w:rsidRPr="005B65DF">
        <w:t xml:space="preserve"> </w:t>
      </w:r>
      <w:r w:rsidR="00957373" w:rsidRPr="005B65DF">
        <w:fldChar w:fldCharType="begin" w:fldLock="1"/>
      </w:r>
      <w:r w:rsidR="00E01826" w:rsidRPr="005B65DF">
        <w:instrText>ADDIN CSL_CITATION {"citationItems":[{"id":"ITEM-1","itemData":{"DOI":"10.4103/1463-","author":[{"dropping-particle":"","family":"Keppler","given":"Hannah","non-dropping-particle":"","parse-names":false,"suffix":""},{"dropping-particle":"","family":"Dhooge","given":"Ingeborg","non-dropping-particle":"","parse-names":false,"suffix":""},{"dropping-particle":"","family":"Vinck","given":"Bart","non-dropping-particle":"","parse-names":false,"suffix":""}],"id":"ITEM-1","issue":"78","issued":{"date-parts":[["2014"]]},"title":"Hearing in young adults . Part II : The effects of recreational noise exposure","type":"article-journal","volume":"17"},"uris":["http://www.mendeley.com/documents/?uuid=e6b9374a-ecd8-4fa2-a032-4f1353aa2c52"]}],"mendeley":{"formattedCitation":"(Keppler et al., 2014)","plainTextFormattedCitation":"(Keppler et al., 2014)","previouslyFormattedCitation":"(Keppler et al., 2014)"},"properties":{"noteIndex":0},"schema":"https://github.com/citation-style-language/schema/raw/master/csl-citation.json"}</w:instrText>
      </w:r>
      <w:r w:rsidR="00957373" w:rsidRPr="005B65DF">
        <w:fldChar w:fldCharType="separate"/>
      </w:r>
      <w:r w:rsidR="009D66ED" w:rsidRPr="005B65DF">
        <w:rPr>
          <w:noProof/>
        </w:rPr>
        <w:t>(Keppler et al., 2014)</w:t>
      </w:r>
      <w:r w:rsidR="00957373" w:rsidRPr="005B65DF">
        <w:fldChar w:fldCharType="end"/>
      </w:r>
      <w:r w:rsidRPr="005B65DF">
        <w:t xml:space="preserve">. Veterans are disproportionally affected by hearing loss </w:t>
      </w:r>
      <w:r w:rsidR="00B36B66" w:rsidRPr="005B65DF">
        <w:t>because of</w:t>
      </w:r>
      <w:r w:rsidRPr="005B65DF">
        <w:t xml:space="preserve"> their proximity to firearms, explosives, aircraft, and other occupational hazards t</w:t>
      </w:r>
      <w:r w:rsidR="00B36B66" w:rsidRPr="005B65DF">
        <w:t>o which</w:t>
      </w:r>
      <w:r w:rsidRPr="005B65DF">
        <w:t xml:space="preserve"> civilians are not regularly exposed. These exposures result in veterans having four times more risk of hearing damage versus non-veterans and pose a substantial cost to the taxpayer with medical claims relating to hearing loss for veterans </w:t>
      </w:r>
      <w:r w:rsidR="00FA59BB" w:rsidRPr="005B65DF">
        <w:t>totaling</w:t>
      </w:r>
      <w:r w:rsidRPr="005B65DF">
        <w:t xml:space="preserve"> $1.2 billion in 2009</w:t>
      </w:r>
      <w:r w:rsidR="00957373" w:rsidRPr="005B65DF">
        <w:t xml:space="preserve"> </w:t>
      </w:r>
      <w:r w:rsidR="00957373" w:rsidRPr="005B65DF">
        <w:lastRenderedPageBreak/>
        <w:fldChar w:fldCharType="begin" w:fldLock="1"/>
      </w:r>
      <w:r w:rsidR="00E01826" w:rsidRPr="005B65DF">
        <w:instrText>ADDIN CSL_CITATION {"citationItems":[{"id":"ITEM-1","itemData":{"author":[{"dropping-particle":"","family":"CDC","given":"","non-dropping-particle":"","parse-names":false,"suffix":""}],"container-title":"Morb. Mortal. Wkly. Rep.","id":"ITEM-1","issue":"28","issued":{"date-parts":[["2011"]]},"page":"955-958","title":"Severe Hearing Impairment Among Military Veterans - United States, 2010","type":"article-journal","volume":"60"},"uris":["http://www.mendeley.com/documents/?uuid=1873289d-e7cd-4780-ab55-a2301edd8557"]},{"id":"ITEM-2","itemData":{"DOI":"10.4103/1463-1741.45308","ISSN":"1463-1741","author":[{"dropping-particle":"","family":"Saunders","given":"GabrielleH","non-dropping-particle":"","parse-names":false,"suffix":""},{"dropping-particle":"","family":"Griest","given":"SusanE","non-dropping-particle":"","parse-names":false,"suffix":""}],"container-title":"Noise and Health","id":"ITEM-2","issue":"42","issued":{"date-parts":[["2009"]]},"page":"14","title":"Hearing loss in veterans and the need for hearing loss prevention programs","type":"article-journal","volume":"11"},"uris":["http://www.mendeley.com/documents/?uuid=3c032e85-7d8f-46da-b029-2bf5ac41011a"]}],"mendeley":{"formattedCitation":"(CDC, 2011; Saunders et al., 2009)","plainTextFormattedCitation":"(CDC, 2011; Saunders et al., 2009)","previouslyFormattedCitation":"(CDC, 2011; Saunders et al., 2009)"},"properties":{"noteIndex":0},"schema":"https://github.com/citation-style-language/schema/raw/master/csl-citation.json"}</w:instrText>
      </w:r>
      <w:r w:rsidR="00957373" w:rsidRPr="005B65DF">
        <w:fldChar w:fldCharType="separate"/>
      </w:r>
      <w:r w:rsidR="009D66ED" w:rsidRPr="005B65DF">
        <w:rPr>
          <w:noProof/>
        </w:rPr>
        <w:t>(CDC, 2011; Saunders et al., 2009)</w:t>
      </w:r>
      <w:r w:rsidR="00957373" w:rsidRPr="005B65DF">
        <w:fldChar w:fldCharType="end"/>
      </w:r>
      <w:r w:rsidRPr="005B65DF">
        <w:t>. Hearing loss has been li</w:t>
      </w:r>
      <w:r w:rsidR="00957373" w:rsidRPr="005B65DF">
        <w:t>n</w:t>
      </w:r>
      <w:r w:rsidRPr="005B65DF">
        <w:t xml:space="preserve">ked to psychological and social problems as well as an overall decrease in quality of life </w:t>
      </w:r>
      <w:r w:rsidR="00957373" w:rsidRPr="005B65DF">
        <w:fldChar w:fldCharType="begin" w:fldLock="1"/>
      </w:r>
      <w:r w:rsidR="00E01826" w:rsidRPr="005B65DF">
        <w:instrText>ADDIN CSL_CITATION {"citationItems":[{"id":"ITEM-1","itemData":{"DOI":"10.1097/AUD.0000000000000179","ISBN":"0000000000000","ISSN":"1538-4667 (Electronic)","PMID":"25973692","abstract":"OBJECTIVE: A postlingually deaf patient who receives a cochlear implant (CI) acquires multiple benefits, not just audiological but also nonaudiological: improvement in quality of life, psychological well-being, and social interaction. The aim of the study was to ascertain the relationship between the CI satisfaction experienced by adult, postlingually deaf individuals and their level of psychological distress, stress coping strategies, and global self-esteem. We also considered sociodemographic variables (such as sex, age, education, marital/partner status, and employment/study status), variables related to their deafness, and their length of experience with a CI. DESIGN: The study had a cross-sectional design in which participants were asked to fill in a mailed personal inquiry form seeking sociodemographic data and one question related to CI satisfaction, and the following questionnaires: General Health Questionnaire-28, the Brief Coping Orientation to Problems Experienced, and the Rosenberg Self-Esteem Scale. This study included 98 patients with postlingual deafness between 19 and 85 years old who had unilateral CIs. For some analyses, the patients were also divided into two groups: younger (&lt;/=60 years) and older (&gt;60 years). Two other subgroups were those with shorter CI experience (1 to 2 years) and those with longer CI experience (5 to 6 years). As an objective reference, speech perception scores in quiet and in noise were also used. RESULTS: The majority of postlingually deaf subjects rated their CI satisfaction as high or very high, and this was at similar levels in younger and older subjects, as well as in those who had used CIs for either a short or a long time. CI satisfaction was not related to speech perception scores, duration of deafness, length of CI use, or other sociodemographic factors. Positive self-esteem, having less severe symptoms of depression, and the use of humor or self-distraction were conducive to CI satisfaction. Using a coping strategy of denial had a negative association with CI satisfaction. Coping strategies and symptoms of mental distress varied between younger and older subjects. For younger subjects, higher CI satisfaction was associated with lower severity of depressive symptoms, whereas for the elderly, higher CI satisfaction was associated with less severe social dysfunction symptoms. Over the years of using a CI, the same strategy may have a different psychological function in providing satisfaction: for exampl…","author":[{"dropping-particle":"","family":"Kobosko","given":"Joanna","non-dropping-particle":"","parse-names":false,"suffix":""},{"dropping-particle":"","family":"Jedrzejczak","given":"W Wiktor","non-dropping-particle":"","parse-names":false,"suffix":""},{"dropping-particle":"","family":"Pilka","given":"Edyta","non-dropping-particle":"","parse-names":false,"suffix":""},{"dropping-particle":"","family":"Pankowska","given":"Agnieszka","non-dropping-particle":"","parse-names":false,"suffix":""},{"dropping-particle":"","family":"Skarzynski","given":"Henryk","non-dropping-particle":"","parse-names":false,"suffix":""}],"container-title":"Ear and hearing","id":"ITEM-1","issued":{"date-parts":[["2015"]]},"title":"Satisfaction With Cochlear Implants in Postlingually Deaf Adults and Its Nonaudiological Predictors: Psychological Distress, Coping Strategies, and Self-Esteem.","type":"article-journal"},"uris":["http://www.mendeley.com/documents/?uuid=71b30db1-5027-460c-867c-6135e9071471"]},{"id":"ITEM-2","itemData":{"DOI":"10.3109/14992027.2015.1077400","ISSN":"1499-2027","author":[{"dropping-particle":"","family":"Niemensivu","given":"Riina","non-dropping-particle":"","parse-names":false,"suffix":""},{"dropping-particle":"","family":"Manchaiah","given":"Vinaya","non-dropping-particle":"","parse-names":false,"suffix":""},{"dropping-particle":"","family":"Roine","given":"Risto P.","non-dropping-particle":"","parse-names":false,"suffix":""},{"dropping-particle":"","family":"Kentala","given":"Erna","non-dropping-particle":"","parse-names":false,"suffix":""},{"dropping-particle":"","family":"Sintonen","given":"Harri","non-dropping-particle":"","parse-names":false,"suffix":""}],"container-title":"International Journal of Audiology","id":"ITEM-2","issue":"November","issued":{"date-parts":[["2015"]]},"page":"1-9","title":"Health-related quality of life in adults with hearing impairment before and after hearing-aid rehabilitation in Finland","type":"article-journal","volume":"2027"},"uris":["http://www.mendeley.com/documents/?uuid=e2f40486-b623-4609-bd49-f391fb8bde90"]},{"id":"ITEM-3","itemData":{"DOI":"10.1016/j.siny.2014.12.009","ISSN":"1744165X","PMID":"25573775","abstract":"Infants with bilirubin-induced neurologic dysfunction (BIND) are characterized by several developmental disabilities including auditory impairments. This paper explores the societal impact of bilirubin-induced auditory impairments, inclusive of hearing impairments and auditory neuropathy spectrum disorders, on these infants, their families, and on the community in resource-limited countries (per capita income of US$6,000 or less). Auditory impairments have substantial emotional, social, and economic impact on the affected infants, their families and communities. The burden is exacerbated by widespread poverty, unfavorable community attitudes towards disabilities, and lack of requisite health, educational, and social services. Curtailing the incidence of avoidable severe hyperbilirubinemia through proactive and effective management of infants at risk or with severe hyperbilirubinemia is necessary at all levels of healthcare delivery. Early detection and intervention for unavoidable auditory impairments should be widely promoted to provide improved developmental trajectories for the affected infants.","author":[{"dropping-particle":"","family":"Olusanya","given":"Bolajoko O.","non-dropping-particle":"","parse-names":false,"suffix":""}],"container-title":"Seminars in Fetal and Neonatal Medicine","id":"ITEM-3","issue":"1","issued":{"date-parts":[["2015"]]},"page":"58-63","publisher":"Elsevier Ltd","title":"Societal impact of bilirubin-induced hearing impairment in resource-limited nations","type":"article-journal","volume":"20"},"uris":["http://www.mendeley.com/documents/?uuid=0f19ef39-8a36-41e8-9a3d-b7c6008d9fc1"]}],"mendeley":{"formattedCitation":"(Kobosko et al., 2015; Niemensivu et al., 2015; Olusanya, 2015)","plainTextFormattedCitation":"(Kobosko et al., 2015; Niemensivu et al., 2015; Olusanya, 2015)","previouslyFormattedCitation":"(Kobosko et al., 2015; Niemensivu et al., 2015; Olusanya, 2015)"},"properties":{"noteIndex":0},"schema":"https://github.com/citation-style-language/schema/raw/master/csl-citation.json"}</w:instrText>
      </w:r>
      <w:r w:rsidR="00957373" w:rsidRPr="005B65DF">
        <w:fldChar w:fldCharType="separate"/>
      </w:r>
      <w:r w:rsidR="009D66ED" w:rsidRPr="005B65DF">
        <w:rPr>
          <w:noProof/>
        </w:rPr>
        <w:t>(Kobosko et al., 2015; Niemensivu et al., 2015; Olusanya, 2015)</w:t>
      </w:r>
      <w:r w:rsidR="00957373" w:rsidRPr="005B65DF">
        <w:fldChar w:fldCharType="end"/>
      </w:r>
      <w:r w:rsidRPr="005B65DF">
        <w:t>. As things currently stand, hearing damage is a major modern medical issue.</w:t>
      </w:r>
    </w:p>
    <w:p w14:paraId="62EFC1D3" w14:textId="6A15646A" w:rsidR="007225BE" w:rsidRPr="005B65DF" w:rsidRDefault="007225BE" w:rsidP="007225BE">
      <w:r w:rsidRPr="005B65DF">
        <w:t xml:space="preserve">There are multiple possible mechanisms behind hearing damage depending partly on the source of the damage. The sensory hair cells in the cochlea may be  damaged or killed by noise exposure; without them, certain sound frequency ranges may become difficult or impossible for a person to detect </w:t>
      </w:r>
      <w:r w:rsidRPr="005B65DF">
        <w:fldChar w:fldCharType="begin" w:fldLock="1"/>
      </w:r>
      <w:r w:rsidRPr="005B65DF">
        <w:instrText>ADDIN CSL_CITATION {"citationItems":[{"id":"ITEM-1","itemData":{"DOI":"10.1111/j.1746-1561.2007.00197.x","ISBN":"0022-4391; 0022-4391","ISSN":"00224391","PMID":"17430434","abstract":"BACKGROUND: Noise-induced hearing loss is a major cause of deafness and hearing impairment in the United States. Though genetics and advanced age are major risk factors, temporary and permanent hearing impairments are becoming more common among young adults and children especially with the increased exposure to portable music players. Though treatment options are limited for most people with noise-related hearing loss, several modifiable health behaviors that should begin in childhood might prevent or delay the onset of hearing impairment. The purpose of this article is to review modifiable and non-modifiable risk factors, comorbidity, and the role of health education in the prevention of noise-induced hearing loss. METHODS: Review of current literature in the etiology, prevention, and treatment of noise-induced hearing loss as well as the role of health education. RESULTS: Non-modifiable risk factors related to noise-related hearing loss include increasing age, genetics, male gender, and race. Modifiable risk factors are voluntary exposure to loud noise, nonuse of hearing protection, smoking, lack of exercise, poor diet, tooth loss, and the presence of diabetes and cardiovascular disease. CONCLUSIONS: As hearing impairment among children and teenagers rises due to mostly voluntary exposure to loud noise, there are many implications for health education. Health educators need to address barriers to the use of hearing protection, deliberate exposure to loud music, and other modifiable risk factors, which cause and exacerbate hearing loss among those exposed to loud noise.","author":[{"dropping-particle":"","family":"Daniel","given":"Eileen","non-dropping-particle":"","parse-names":false,"suffix":""}],"container-title":"Journal of School Health","id":"ITEM-1","issue":"5","issued":{"date-parts":[["2007"]]},"page":"225-231","title":"Noise and hearing loss: A review","type":"article-journal","volume":"77"},"uris":["http://www.mendeley.com/documents/?uuid=9f5869c5-815e-4b8c-9965-27a9ba2e9e44"]}],"mendeley":{"formattedCitation":"(Daniel, 2007)","plainTextFormattedCitation":"(Daniel, 2007)","previouslyFormattedCitation":"(Daniel, 2007)"},"properties":{"noteIndex":0},"schema":"https://github.com/citation-style-language/schema/raw/master/csl-citation.json"}</w:instrText>
      </w:r>
      <w:r w:rsidRPr="005B65DF">
        <w:fldChar w:fldCharType="separate"/>
      </w:r>
      <w:r w:rsidRPr="005B65DF">
        <w:rPr>
          <w:noProof/>
        </w:rPr>
        <w:t>(Daniel, 2007)</w:t>
      </w:r>
      <w:r w:rsidRPr="005B65DF">
        <w:fldChar w:fldCharType="end"/>
      </w:r>
      <w:r w:rsidRPr="005B65DF">
        <w:t xml:space="preserve">.  When a sound of a particular frequency may only be heard at higher presentation levels than were previously audible, a threshold shift has occurred in the subject’s hearing level. This shift will be the most pronounced immediately after exposure and is defined at that point as a temporary threshold shift (TTS).  Some degree of recovery tends to occur  over time, but in cases of severe exposure a permanent threshold shift (PTS) will remain after multiple weeks of recovery </w:t>
      </w:r>
      <w:r w:rsidRPr="005B65DF">
        <w:fldChar w:fldCharType="begin" w:fldLock="1"/>
      </w:r>
      <w:r w:rsidR="00E01826" w:rsidRPr="005B65DF">
        <w:instrText>ADDIN CSL_CITATION {"citationItems":[{"id":"ITEM-1","itemData":{"DOI":"10.1016/j.heares.2014.08.004","ISSN":"0378-5955","abstract":"Noise-induced hearing loss (NIHL) initially increases with exposure duration, but eventually reaches an asymptotic threshold shift (ATS) once the exposure duration exceeds 18–24 h. Equations for predicting the ATS have been developed for several species, but not for rats, even though this species is extensively used in noise exposure research. To fill this void, we exposed rats to narrowband noise (NBN, 16–20 kHz) for 5 weeks starting at 80 dB SPL in the first week and then increasing the level by 6 dB per week to a final level of 104 dB SPL. Auditory brainstem responses (ABR) were recorded before, during, and following the exposure to determine the amount of hearing loss. The noise induced threshold shift to continuous long-term exposure, defined as compound threshold shift (CTS), within and above 16–20 kHz increased with noise level at the rate of 1.82 dB threshold shift per dB of noise level (NL) above a critical level (C) of 77.2 dB SPL i.e. CTS = 1.82(NL-77.2). The normalized amplitude of the largest ABR peak measured at 100 dB SPL decreased at the rate of 3.1% per dB of NL above the critical level of 76.9 dB SPL, i.e., %ABR Reduction = 3.1%(NL-76.9). ABR thresholds measured &amp;gt;30 days post-exposure only partially recovered resulting in a permanent threshold shift of 30–40 dB along with severe hair cell loss in the basal, high-frequency region of the cochlea. In the rat, CTS increases with noise level with a slope similar to humans and chinchillas. The critical level (C) in the rat is similar to that of humans, but higher than that of chinchillas.","author":[{"dropping-particle":"","family":"Chen","given":"Guang-Di","non-dropping-particle":"","parse-names":false,"suffix":""},{"dropping-particle":"","family":"Decker","given":"Brandon","non-dropping-particle":"","parse-names":false,"suffix":""},{"dropping-particle":"","family":"Krishnan Muthaiah","given":"Vijaya Prakash","non-dropping-particle":"","parse-names":false,"suffix":""},{"dropping-particle":"","family":"Sheppard","given":"Adam","non-dropping-particle":"","parse-names":false,"suffix":""},{"dropping-particle":"","family":"Salvi","given":"Richard","non-dropping-particle":"","parse-names":false,"suffix":""}],"container-title":"Hearing Research","id":"ITEM-1","issued":{"date-parts":[["2014"]]},"page":"1-8","publisher":"Elsevier B.V","title":"Prolonged noise exposure-induced auditory threshold shifts in rats","type":"article-journal","volume":"317"},"uris":["http://www.mendeley.com/documents/?uuid=a0b329f9-c88b-4119-9941-70248d2020e3"]}],"mendeley":{"formattedCitation":"(Chen et al., 2014)","plainTextFormattedCitation":"(Chen et al., 2014)","previouslyFormattedCitation":"(Chen et al., 2014)"},"properties":{"noteIndex":0},"schema":"https://github.com/citation-style-language/schema/raw/master/csl-citation.json"}</w:instrText>
      </w:r>
      <w:r w:rsidRPr="005B65DF">
        <w:fldChar w:fldCharType="separate"/>
      </w:r>
      <w:r w:rsidR="009D66ED" w:rsidRPr="005B65DF">
        <w:rPr>
          <w:noProof/>
        </w:rPr>
        <w:t>(Chen et al., 2014)</w:t>
      </w:r>
      <w:r w:rsidRPr="005B65DF">
        <w:fldChar w:fldCharType="end"/>
      </w:r>
      <w:r w:rsidRPr="005B65DF">
        <w:t xml:space="preserve">. Threshold shifts often impact the hair cells responsible for 3000-6000 Hz noises </w:t>
      </w:r>
      <w:r w:rsidRPr="005B65DF">
        <w:fldChar w:fldCharType="begin" w:fldLock="1"/>
      </w:r>
      <w:r w:rsidRPr="005B65DF">
        <w:instrText>ADDIN CSL_CITATION {"citationItems":[{"id":"ITEM-1","itemData":{"DOI":"10.1016/j.bjorl.2014.07.017","ISSN":"1808-8694","author":[{"dropping-particle":"","family":"Duarte","given":"Alexandre Scalli Mathias","non-dropping-particle":"","parse-names":false,"suffix":""},{"dropping-particle":"","family":"Tah","given":"Ronny","non-dropping-particle":"","parse-names":false,"suffix":""},{"dropping-particle":"","family":"Ng","given":"Yen","non-dropping-particle":"","parse-names":false,"suffix":""},{"dropping-particle":"De","family":"Carvalho","given":"Guilherme Machado","non-dropping-particle":"","parse-names":false,"suffix":""},{"dropping-particle":"","family":"Guimarães","given":"Alexandre Caixeta","non-dropping-particle":"","parse-names":false,"suffix":""},{"dropping-particle":"","family":"Araujo","given":"Laiza","non-dropping-particle":"","parse-names":false,"suffix":""},{"dropping-particle":"","family":"Pinheiro","given":"Mohana","non-dropping-particle":"","parse-names":false,"suffix":""},{"dropping-particle":"","family":"Andrade","given":"Everardo","non-dropping-particle":"","parse-names":false,"suffix":""},{"dropping-particle":"","family":"Gusmão","given":"Reinaldo Jordão","non-dropping-particle":"","parse-names":false,"suffix":""}],"container-title":"Brazilian Journal of Otorhinolaryngology","id":"ITEM-1","issue":"4","issued":{"date-parts":[["2015"]]},"page":"374-383","publisher":"Associação Brasileira de Otorrinolaringologia e Cirurgia Cérvico-Facial","title":"High levels of sound pressure: acoustic reflex thresholds and auditory complaints of workers with noise exposure","type":"article-journal","volume":"81"},"uris":["http://www.mendeley.com/documents/?uuid=644477d8-9288-4b66-9d97-b61823d3b371"]}],"mendeley":{"formattedCitation":"(Duarte et al., 2015)","plainTextFormattedCitation":"(Duarte et al., 2015)","previouslyFormattedCitation":"(Duarte et al., 2015)"},"properties":{"noteIndex":0},"schema":"https://github.com/citation-style-language/schema/raw/master/csl-citation.json"}</w:instrText>
      </w:r>
      <w:r w:rsidRPr="005B65DF">
        <w:fldChar w:fldCharType="separate"/>
      </w:r>
      <w:r w:rsidRPr="005B65DF">
        <w:rPr>
          <w:noProof/>
        </w:rPr>
        <w:t>(Duarte et al., 2015)</w:t>
      </w:r>
      <w:r w:rsidRPr="005B65DF">
        <w:fldChar w:fldCharType="end"/>
      </w:r>
      <w:r w:rsidRPr="005B65DF">
        <w:t xml:space="preserve">. A PTS resulting from the death of cochlear hair cells is a significant problem as human hair cells are not capable of growing back over time </w:t>
      </w:r>
      <w:r w:rsidRPr="005B65DF">
        <w:fldChar w:fldCharType="begin" w:fldLock="1"/>
      </w:r>
      <w:r w:rsidR="00E01826" w:rsidRPr="005B65DF">
        <w:instrText>ADDIN CSL_CITATION {"citationItems":[{"id":"ITEM-1","itemData":{"DOI":"10.1007/978-3-319-21059-9_17","author":[{"dropping-particle":"","family":"Smith","given":"Michael E.","non-dropping-particle":"","parse-names":false,"suffix":""},{"dropping-particle":"","family":"Monroe","given":"J. David","non-dropping-particle":"","parse-names":false,"suffix":""}],"id":"ITEM-1","issued":{"date-parts":[["2016"]]},"page":"393-417","title":"Causes and Consequences of Sensory Hair Cell Damage and Recovery in Fishes","type":"chapter"},"uris":["http://www.mendeley.com/documents/?uuid=9080c82f-c476-4dd4-a00a-b7433fe24325"]}],"mendeley":{"formattedCitation":"(M. E. Smith et al., 2016)","plainTextFormattedCitation":"(M. E. Smith et al., 2016)","previouslyFormattedCitation":"(M. E. Smith et al., 2016)"},"properties":{"noteIndex":0},"schema":"https://github.com/citation-style-language/schema/raw/master/csl-citation.json"}</w:instrText>
      </w:r>
      <w:r w:rsidRPr="005B65DF">
        <w:fldChar w:fldCharType="separate"/>
      </w:r>
      <w:r w:rsidR="009D66ED" w:rsidRPr="005B65DF">
        <w:rPr>
          <w:noProof/>
        </w:rPr>
        <w:t>(M. E. Smith et al., 2016)</w:t>
      </w:r>
      <w:r w:rsidRPr="005B65DF">
        <w:fldChar w:fldCharType="end"/>
      </w:r>
      <w:r w:rsidRPr="005B65DF">
        <w:t xml:space="preserve">. Mechanical damage to the structures of the ear can occur as a result of exposure to more extreme auditory trauma, such as blasts. This may include rupture of the tympanic membrane, which often heals naturally, although medical intervention may speed the process </w:t>
      </w:r>
      <w:r w:rsidRPr="005B65DF">
        <w:fldChar w:fldCharType="begin" w:fldLock="1"/>
      </w:r>
      <w:r w:rsidR="00E01826" w:rsidRPr="005B65DF">
        <w:instrText>ADDIN CSL_CITATION {"citationItems":[{"id":"ITEM-1","itemData":{"DOI":"10.1111/coa.12564","ISSN":"17494478","author":[{"dropping-particle":"","family":"Lou","given":"Zihan","non-dropping-particle":"","parse-names":false,"suffix":""},{"dropping-particle":"","family":"Lou","given":"Zihan","non-dropping-particle":"","parse-names":false,"suffix":""},{"dropping-particle":"","family":"Tang","given":"Yongmei","non-dropping-particle":"","parse-names":false,"suffix":""},{"dropping-particle":"","family":"Xiao","given":"Jian","non-dropping-particle":"","parse-names":false,"suffix":""}],"container-title":"Clinical Otolaryngology","id":"ITEM-1","issue":"5","issued":{"date-parts":[["2016","10"]]},"page":"564-570","title":"The effect of ofloxacin otic drops on the regeneration of human traumatic tympanic membrane perforations","type":"article-journal","volume":"41"},"uris":["http://www.mendeley.com/documents/?uuid=687ab60b-1373-488f-822f-d834fa883a44"]}],"mendeley":{"formattedCitation":"(Lou et al., 2016)","plainTextFormattedCitation":"(Lou et al., 2016)","previouslyFormattedCitation":"(Lou et al., 2016)"},"properties":{"noteIndex":0},"schema":"https://github.com/citation-style-language/schema/raw/master/csl-citation.json"}</w:instrText>
      </w:r>
      <w:r w:rsidRPr="005B65DF">
        <w:fldChar w:fldCharType="separate"/>
      </w:r>
      <w:r w:rsidR="009D66ED" w:rsidRPr="005B65DF">
        <w:rPr>
          <w:noProof/>
        </w:rPr>
        <w:t>(Lou et al., 2016)</w:t>
      </w:r>
      <w:r w:rsidRPr="005B65DF">
        <w:fldChar w:fldCharType="end"/>
      </w:r>
      <w:r w:rsidRPr="005B65DF">
        <w:t xml:space="preserve">. Disarticulation of the ossicular chain is also possible and can cause significant hearing damage that may require surgical treatment </w:t>
      </w:r>
      <w:r w:rsidRPr="005B65DF">
        <w:fldChar w:fldCharType="begin" w:fldLock="1"/>
      </w:r>
      <w:r w:rsidR="00E01826" w:rsidRPr="005B65DF">
        <w:instrText>ADDIN CSL_CITATION {"citationItems":[{"id":"ITEM-1","itemData":{"DOI":"10.1111/coa.12461","ISBN":"0110020502","ISSN":"17494478","author":[{"dropping-particle":"","family":"Ghonim","given":"Mohamed Rashad","non-dropping-particle":"","parse-names":false,"suffix":""},{"dropping-particle":"","family":"Shabana","given":"Yousef Kamel","non-dropping-particle":"","parse-names":false,"suffix":""},{"dropping-particle":"","family":"Ashraf","given":"Bassem","non-dropping-particle":"","parse-names":false,"suffix":""},{"dropping-particle":"","family":"Salem","given":"Mohammed Abdelbadie","non-dropping-particle":"","parse-names":false,"suffix":""}],"container-title":"Clinical Otolaryngology","id":"ITEM-1","issued":{"date-parts":[["2015"]]},"page":"n/a-n/a","title":"Traumatic Ossicular Disruption with Intact Tympanic Membrane: Treatment Modalities in 42 patients","type":"article-journal"},"uris":["http://www.mendeley.com/documents/?uuid=763d22a7-9f4b-4743-aaed-6a9eff0d0362"]}],"mendeley":{"formattedCitation":"(Ghonim et al., 2015)","plainTextFormattedCitation":"(Ghonim et al., 2015)","previouslyFormattedCitation":"(Ghonim et al., 2015)"},"properties":{"noteIndex":0},"schema":"https://github.com/citation-style-language/schema/raw/master/csl-citation.json"}</w:instrText>
      </w:r>
      <w:r w:rsidRPr="005B65DF">
        <w:fldChar w:fldCharType="separate"/>
      </w:r>
      <w:r w:rsidR="009D66ED" w:rsidRPr="005B65DF">
        <w:rPr>
          <w:noProof/>
        </w:rPr>
        <w:t>(Ghonim et al., 2015)</w:t>
      </w:r>
      <w:r w:rsidRPr="005B65DF">
        <w:fldChar w:fldCharType="end"/>
      </w:r>
      <w:r w:rsidRPr="005B65DF">
        <w:t xml:space="preserve">. </w:t>
      </w:r>
      <w:r w:rsidR="00E871DD" w:rsidRPr="005B65DF">
        <w:t>Because</w:t>
      </w:r>
      <w:r w:rsidR="00B36B66" w:rsidRPr="005B65DF">
        <w:t xml:space="preserve"> </w:t>
      </w:r>
      <w:r w:rsidRPr="005B65DF">
        <w:t>many of the mechanisms for hearing loss are difficult or impossible to treat with modern medical technology, prevention of damage is a superior option.</w:t>
      </w:r>
    </w:p>
    <w:p w14:paraId="51140B36" w14:textId="77777777" w:rsidR="00183731" w:rsidRPr="005B65DF" w:rsidRDefault="0003074C" w:rsidP="00F20222">
      <w:r w:rsidRPr="005B65DF">
        <w:lastRenderedPageBreak/>
        <w:t>The presence and severity of hearing damage depends on the duration and intensity of the dangerous exposure. To reduce the risk of occupational hearing loss,</w:t>
      </w:r>
      <w:r w:rsidR="00FA59BB" w:rsidRPr="005B65DF">
        <w:t xml:space="preserve"> the United States Occupational Safety and Health Administration (</w:t>
      </w:r>
      <w:r w:rsidRPr="005B65DF">
        <w:t>OSHA</w:t>
      </w:r>
      <w:r w:rsidR="00FA59BB" w:rsidRPr="005B65DF">
        <w:t>)</w:t>
      </w:r>
      <w:r w:rsidRPr="005B65DF">
        <w:t xml:space="preserve"> has established a set of guidelines for safe levels of workplace noise exposure before some form of protective equipment must be used</w:t>
      </w:r>
      <w:r w:rsidR="002B4D79" w:rsidRPr="005B65DF">
        <w:t xml:space="preserve"> </w:t>
      </w:r>
      <w:r w:rsidR="002B4D79" w:rsidRPr="005B65DF">
        <w:fldChar w:fldCharType="begin" w:fldLock="1"/>
      </w:r>
      <w:r w:rsidR="00311029" w:rsidRPr="005B65DF">
        <w:instrText>ADDIN CSL_CITATION {"citationItems":[{"id":"ITEM-1","itemData":{"author":[{"dropping-particle":"","family":"OSHA","given":"","non-dropping-particle":"","parse-names":false,"suffix":""}],"container-title":"Retrieved from https://www.osha.gov/laws-regs/regulations/standardnumber/1910/1910.95","id":"ITEM-1","issued":{"date-parts":[["2008"]]},"title":"Standards – 29 CFR Part 1910.95—Occupational noise exposure.","type":"article-journal"},"uris":["http://www.mendeley.com/documents/?uuid=7d949b5a-c11e-4140-af7a-b915ad0ae568"]}],"mendeley":{"formattedCitation":"(OSHA, 2008)","plainTextFormattedCitation":"(OSHA, 2008)","previouslyFormattedCitation":"(OSHA, 2008)"},"properties":{"noteIndex":0},"schema":"https://github.com/citation-style-language/schema/raw/master/csl-citation.json"}</w:instrText>
      </w:r>
      <w:r w:rsidR="002B4D79" w:rsidRPr="005B65DF">
        <w:fldChar w:fldCharType="separate"/>
      </w:r>
      <w:r w:rsidR="00C400FC" w:rsidRPr="005B65DF">
        <w:rPr>
          <w:noProof/>
        </w:rPr>
        <w:t>(OSHA, 2008)</w:t>
      </w:r>
      <w:r w:rsidR="002B4D79" w:rsidRPr="005B65DF">
        <w:fldChar w:fldCharType="end"/>
      </w:r>
      <w:r w:rsidRPr="005B65DF">
        <w:t>. The baseline safe exposure level defined by OSHA is that 90 dB is the maximum sound level that an employee may be exposed to over the course of an eight</w:t>
      </w:r>
      <w:r w:rsidR="00FA59BB" w:rsidRPr="005B65DF">
        <w:t>-</w:t>
      </w:r>
      <w:r w:rsidRPr="005B65DF">
        <w:t>hour work day. The acceptable duration is halved for every 5 dB increase in sound intensity as shown in Table 1. An additional limitation given is that even impulse noise is potentially dangerous above 140 dB</w:t>
      </w:r>
      <w:r w:rsidR="00E871DD" w:rsidRPr="005B65DF">
        <w:t>; therefore,</w:t>
      </w:r>
      <w:r w:rsidRPr="005B65DF">
        <w:t xml:space="preserve"> beyond that point there is no safe exposure duration.</w:t>
      </w:r>
      <w:r w:rsidR="00E23EDF" w:rsidRPr="005B65DF">
        <w:t xml:space="preserve"> Sounds of that intensity </w:t>
      </w:r>
      <w:r w:rsidR="007B6B12" w:rsidRPr="005B65DF">
        <w:t>approach the danger level of bl</w:t>
      </w:r>
      <w:r w:rsidR="00FA59BB" w:rsidRPr="005B65DF">
        <w:t>ast exposure</w:t>
      </w:r>
      <w:r w:rsidR="007B6B12" w:rsidRPr="005B65DF">
        <w:t xml:space="preserve"> and should ideally never be experienced without protective equipment.</w:t>
      </w:r>
    </w:p>
    <w:p w14:paraId="5C10265C" w14:textId="77777777" w:rsidR="00183731" w:rsidRPr="005B65DF" w:rsidRDefault="00183731" w:rsidP="00F20222"/>
    <w:p w14:paraId="5565C4AA" w14:textId="0772F0E8" w:rsidR="00183731" w:rsidRPr="005B65DF" w:rsidRDefault="00183731" w:rsidP="00183731">
      <w:pPr>
        <w:pStyle w:val="Caption"/>
        <w:keepNext/>
      </w:pPr>
      <w:bookmarkStart w:id="16" w:name="_Toc185871"/>
      <w:r w:rsidRPr="005B65DF">
        <w:t xml:space="preserve">Table </w:t>
      </w:r>
      <w:r w:rsidRPr="005B65DF">
        <w:rPr>
          <w:noProof/>
        </w:rPr>
        <w:fldChar w:fldCharType="begin"/>
      </w:r>
      <w:r w:rsidRPr="005B65DF">
        <w:rPr>
          <w:noProof/>
        </w:rPr>
        <w:instrText xml:space="preserve"> STYLEREF 1 \s </w:instrText>
      </w:r>
      <w:r w:rsidRPr="005B65DF">
        <w:rPr>
          <w:noProof/>
        </w:rPr>
        <w:fldChar w:fldCharType="separate"/>
      </w:r>
      <w:r w:rsidR="00FC3CCD">
        <w:rPr>
          <w:noProof/>
        </w:rPr>
        <w:t>1</w:t>
      </w:r>
      <w:r w:rsidRPr="005B65DF">
        <w:rPr>
          <w:noProof/>
        </w:rPr>
        <w:fldChar w:fldCharType="end"/>
      </w:r>
      <w:r w:rsidRPr="005B65DF">
        <w:noBreakHyphen/>
      </w:r>
      <w:r w:rsidRPr="005B65DF">
        <w:rPr>
          <w:noProof/>
        </w:rPr>
        <w:fldChar w:fldCharType="begin"/>
      </w:r>
      <w:r w:rsidRPr="005B65DF">
        <w:rPr>
          <w:noProof/>
        </w:rPr>
        <w:instrText xml:space="preserve"> SEQ Table \* ARABIC \s 1 </w:instrText>
      </w:r>
      <w:r w:rsidRPr="005B65DF">
        <w:rPr>
          <w:noProof/>
        </w:rPr>
        <w:fldChar w:fldCharType="separate"/>
      </w:r>
      <w:r w:rsidR="00FC3CCD">
        <w:rPr>
          <w:noProof/>
        </w:rPr>
        <w:t>1</w:t>
      </w:r>
      <w:r w:rsidRPr="005B65DF">
        <w:rPr>
          <w:noProof/>
        </w:rPr>
        <w:fldChar w:fldCharType="end"/>
      </w:r>
      <w:r w:rsidRPr="005B65DF">
        <w:t xml:space="preserve"> </w:t>
      </w:r>
      <w:r w:rsidR="00A006A9" w:rsidRPr="005B65DF">
        <w:rPr>
          <w:b w:val="0"/>
        </w:rPr>
        <w:t>OSHA guidelines for noise e</w:t>
      </w:r>
      <w:r w:rsidRPr="005B65DF">
        <w:rPr>
          <w:b w:val="0"/>
        </w:rPr>
        <w:t>xposure</w:t>
      </w:r>
      <w:bookmarkEnd w:id="16"/>
    </w:p>
    <w:tbl>
      <w:tblPr>
        <w:tblStyle w:val="TableGrid"/>
        <w:tblpPr w:leftFromText="180" w:rightFromText="180" w:vertAnchor="text" w:horzAnchor="margin" w:tblpY="182"/>
        <w:tblW w:w="8298" w:type="dxa"/>
        <w:tblLook w:val="04A0" w:firstRow="1" w:lastRow="0" w:firstColumn="1" w:lastColumn="0" w:noHBand="0" w:noVBand="1"/>
      </w:tblPr>
      <w:tblGrid>
        <w:gridCol w:w="1728"/>
        <w:gridCol w:w="720"/>
        <w:gridCol w:w="720"/>
        <w:gridCol w:w="748"/>
        <w:gridCol w:w="692"/>
        <w:gridCol w:w="720"/>
        <w:gridCol w:w="900"/>
        <w:gridCol w:w="630"/>
        <w:gridCol w:w="720"/>
        <w:gridCol w:w="720"/>
      </w:tblGrid>
      <w:tr w:rsidR="00183731" w:rsidRPr="005B65DF" w14:paraId="5CFCCF05" w14:textId="77777777" w:rsidTr="00573C14">
        <w:tc>
          <w:tcPr>
            <w:tcW w:w="1728" w:type="dxa"/>
            <w:tcBorders>
              <w:bottom w:val="single" w:sz="4" w:space="0" w:color="auto"/>
            </w:tcBorders>
          </w:tcPr>
          <w:p w14:paraId="08FF043E"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 xml:space="preserve">Sound </w:t>
            </w:r>
          </w:p>
          <w:p w14:paraId="3A526809"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level (dB)</w:t>
            </w:r>
          </w:p>
        </w:tc>
        <w:tc>
          <w:tcPr>
            <w:tcW w:w="720" w:type="dxa"/>
          </w:tcPr>
          <w:p w14:paraId="066DECE0"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90</w:t>
            </w:r>
          </w:p>
        </w:tc>
        <w:tc>
          <w:tcPr>
            <w:tcW w:w="720" w:type="dxa"/>
          </w:tcPr>
          <w:p w14:paraId="42250B6A"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92</w:t>
            </w:r>
          </w:p>
        </w:tc>
        <w:tc>
          <w:tcPr>
            <w:tcW w:w="748" w:type="dxa"/>
          </w:tcPr>
          <w:p w14:paraId="2233CAA2"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95</w:t>
            </w:r>
          </w:p>
        </w:tc>
        <w:tc>
          <w:tcPr>
            <w:tcW w:w="692" w:type="dxa"/>
          </w:tcPr>
          <w:p w14:paraId="37F17C9F"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97</w:t>
            </w:r>
          </w:p>
        </w:tc>
        <w:tc>
          <w:tcPr>
            <w:tcW w:w="720" w:type="dxa"/>
          </w:tcPr>
          <w:p w14:paraId="4646BC73"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100</w:t>
            </w:r>
          </w:p>
        </w:tc>
        <w:tc>
          <w:tcPr>
            <w:tcW w:w="900" w:type="dxa"/>
          </w:tcPr>
          <w:p w14:paraId="22B855B4"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102</w:t>
            </w:r>
          </w:p>
        </w:tc>
        <w:tc>
          <w:tcPr>
            <w:tcW w:w="630" w:type="dxa"/>
          </w:tcPr>
          <w:p w14:paraId="14BCB0A3"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105</w:t>
            </w:r>
          </w:p>
        </w:tc>
        <w:tc>
          <w:tcPr>
            <w:tcW w:w="720" w:type="dxa"/>
          </w:tcPr>
          <w:p w14:paraId="25D11351"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110</w:t>
            </w:r>
          </w:p>
        </w:tc>
        <w:tc>
          <w:tcPr>
            <w:tcW w:w="720" w:type="dxa"/>
          </w:tcPr>
          <w:p w14:paraId="60DEC372"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115</w:t>
            </w:r>
          </w:p>
        </w:tc>
      </w:tr>
      <w:tr w:rsidR="00183731" w:rsidRPr="005B65DF" w14:paraId="2EC03FCB" w14:textId="77777777" w:rsidTr="00573C14">
        <w:tc>
          <w:tcPr>
            <w:tcW w:w="1728" w:type="dxa"/>
            <w:tcBorders>
              <w:bottom w:val="single" w:sz="4" w:space="0" w:color="auto"/>
            </w:tcBorders>
          </w:tcPr>
          <w:p w14:paraId="699ECE27"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 xml:space="preserve">Daily exposure </w:t>
            </w:r>
          </w:p>
          <w:p w14:paraId="0C57981F"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duration</w:t>
            </w:r>
            <w:r w:rsidRPr="005B65DF">
              <w:t xml:space="preserve"> </w:t>
            </w:r>
          </w:p>
        </w:tc>
        <w:tc>
          <w:tcPr>
            <w:tcW w:w="720" w:type="dxa"/>
          </w:tcPr>
          <w:p w14:paraId="17738A99"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8 hrs</w:t>
            </w:r>
          </w:p>
        </w:tc>
        <w:tc>
          <w:tcPr>
            <w:tcW w:w="720" w:type="dxa"/>
          </w:tcPr>
          <w:p w14:paraId="4698BEF0"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6 hrs</w:t>
            </w:r>
          </w:p>
        </w:tc>
        <w:tc>
          <w:tcPr>
            <w:tcW w:w="748" w:type="dxa"/>
          </w:tcPr>
          <w:p w14:paraId="6CE1CF3B"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4 hrs</w:t>
            </w:r>
          </w:p>
        </w:tc>
        <w:tc>
          <w:tcPr>
            <w:tcW w:w="692" w:type="dxa"/>
          </w:tcPr>
          <w:p w14:paraId="2DD806AB"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3 hrs</w:t>
            </w:r>
          </w:p>
        </w:tc>
        <w:tc>
          <w:tcPr>
            <w:tcW w:w="720" w:type="dxa"/>
          </w:tcPr>
          <w:p w14:paraId="538487E4"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2 hrs</w:t>
            </w:r>
          </w:p>
        </w:tc>
        <w:tc>
          <w:tcPr>
            <w:tcW w:w="900" w:type="dxa"/>
          </w:tcPr>
          <w:p w14:paraId="1E5E1165"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1.5 hrs</w:t>
            </w:r>
          </w:p>
        </w:tc>
        <w:tc>
          <w:tcPr>
            <w:tcW w:w="630" w:type="dxa"/>
          </w:tcPr>
          <w:p w14:paraId="19CE01D2"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1 hr</w:t>
            </w:r>
          </w:p>
        </w:tc>
        <w:tc>
          <w:tcPr>
            <w:tcW w:w="720" w:type="dxa"/>
          </w:tcPr>
          <w:p w14:paraId="0F289CA0"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30 mins</w:t>
            </w:r>
          </w:p>
        </w:tc>
        <w:tc>
          <w:tcPr>
            <w:tcW w:w="720" w:type="dxa"/>
          </w:tcPr>
          <w:p w14:paraId="240D569B" w14:textId="77777777" w:rsidR="00183731" w:rsidRPr="005B65DF" w:rsidRDefault="00183731" w:rsidP="00573C14">
            <w:pPr>
              <w:spacing w:line="240" w:lineRule="auto"/>
              <w:ind w:firstLine="0"/>
              <w:jc w:val="both"/>
              <w:rPr>
                <w:rFonts w:ascii="Times New Roman" w:eastAsia="MS Mincho" w:hAnsi="Times New Roman"/>
                <w:lang w:val="en" w:bidi="ar-SA"/>
              </w:rPr>
            </w:pPr>
            <w:r w:rsidRPr="005B65DF">
              <w:rPr>
                <w:rFonts w:ascii="Times New Roman" w:eastAsia="MS Mincho" w:hAnsi="Times New Roman"/>
                <w:lang w:val="en" w:bidi="ar-SA"/>
              </w:rPr>
              <w:t>&lt; 15 mins</w:t>
            </w:r>
          </w:p>
        </w:tc>
      </w:tr>
    </w:tbl>
    <w:p w14:paraId="4844F5B9" w14:textId="581C4F1E" w:rsidR="00BF6998" w:rsidRPr="005B65DF" w:rsidRDefault="00BF6998" w:rsidP="00F20222"/>
    <w:p w14:paraId="205C0D2A" w14:textId="77777777" w:rsidR="00183731" w:rsidRPr="005B65DF" w:rsidRDefault="00183731" w:rsidP="00F20222"/>
    <w:p w14:paraId="0671C380" w14:textId="77777777" w:rsidR="00183731" w:rsidRPr="005B65DF" w:rsidRDefault="00183731" w:rsidP="00F20222"/>
    <w:p w14:paraId="7E97E08F" w14:textId="77777777" w:rsidR="00183731" w:rsidRPr="005B65DF" w:rsidRDefault="00183731" w:rsidP="001A5FED">
      <w:pPr>
        <w:rPr>
          <w:noProof/>
          <w:lang w:bidi="ar-SA"/>
        </w:rPr>
      </w:pPr>
    </w:p>
    <w:p w14:paraId="6EC63A51" w14:textId="0D517AF0" w:rsidR="00183731" w:rsidRPr="005B65DF" w:rsidRDefault="00D87012" w:rsidP="001A5FED">
      <w:pPr>
        <w:rPr>
          <w:noProof/>
          <w:lang w:bidi="ar-SA"/>
        </w:rPr>
      </w:pPr>
      <w:r>
        <w:rPr>
          <w:noProof/>
        </w:rPr>
        <w:lastRenderedPageBreak/>
        <w:pict w14:anchorId="259CF7AA">
          <v:shapetype id="_x0000_t202" coordsize="21600,21600" o:spt="202" path="m,l,21600r21600,l21600,xe">
            <v:stroke joinstyle="miter"/>
            <v:path gradientshapeok="t" o:connecttype="rect"/>
          </v:shapetype>
          <v:shape id="_x0000_s1038" type="#_x0000_t202" style="position:absolute;left:0;text-align:left;margin-left:78.8pt;margin-top:246.7pt;width:321.75pt;height:27.6pt;z-index:251665408;mso-position-horizontal-relative:text;mso-position-vertical-relative:text" stroked="f">
            <v:textbox style="mso-next-textbox:#_x0000_s1038;mso-fit-shape-to-text:t" inset="0,0,0,0">
              <w:txbxContent>
                <w:p w14:paraId="43582C68" w14:textId="61B1F965" w:rsidR="00D87012" w:rsidRPr="000F3A32" w:rsidRDefault="00D87012" w:rsidP="00A006A9">
                  <w:pPr>
                    <w:pStyle w:val="Caption"/>
                    <w:ind w:firstLine="0"/>
                    <w:rPr>
                      <w:noProof/>
                      <w:szCs w:val="24"/>
                    </w:rPr>
                  </w:pPr>
                  <w:bookmarkStart w:id="17" w:name="_Toc185829"/>
                  <w:r>
                    <w:t xml:space="preserve">Figure </w:t>
                  </w:r>
                  <w:fldSimple w:instr=" STYLEREF 1 \s ">
                    <w:r w:rsidR="00FC3CCD">
                      <w:rPr>
                        <w:noProof/>
                      </w:rPr>
                      <w:t>1</w:t>
                    </w:r>
                  </w:fldSimple>
                  <w:r w:rsidR="00216C1B">
                    <w:noBreakHyphen/>
                  </w:r>
                  <w:fldSimple w:instr=" SEQ Figure \* ARABIC \s 1 ">
                    <w:r w:rsidR="00FC3CCD">
                      <w:rPr>
                        <w:noProof/>
                      </w:rPr>
                      <w:t>1</w:t>
                    </w:r>
                  </w:fldSimple>
                  <w:r>
                    <w:rPr>
                      <w:noProof/>
                    </w:rPr>
                    <w:t>.</w:t>
                  </w:r>
                  <w:r>
                    <w:t xml:space="preserve"> Friedlander curve indicating overpressure (red) and underpressure (blue).</w:t>
                  </w:r>
                  <w:bookmarkEnd w:id="17"/>
                </w:p>
              </w:txbxContent>
            </v:textbox>
            <w10:wrap type="topAndBottom"/>
          </v:shape>
        </w:pict>
      </w:r>
      <w:r w:rsidR="00183731" w:rsidRPr="005B65DF">
        <w:rPr>
          <w:noProof/>
          <w:lang w:bidi="ar-SA"/>
        </w:rPr>
        <w:drawing>
          <wp:anchor distT="0" distB="0" distL="114300" distR="114300" simplePos="0" relativeHeight="251640320" behindDoc="0" locked="0" layoutInCell="1" allowOverlap="1" wp14:anchorId="6DCCA3D7" wp14:editId="6BBDF26B">
            <wp:simplePos x="0" y="0"/>
            <wp:positionH relativeFrom="column">
              <wp:posOffset>284480</wp:posOffset>
            </wp:positionH>
            <wp:positionV relativeFrom="paragraph">
              <wp:posOffset>1056</wp:posOffset>
            </wp:positionV>
            <wp:extent cx="5367020" cy="3239135"/>
            <wp:effectExtent l="0" t="0" r="0" b="0"/>
            <wp:wrapTopAndBottom/>
            <wp:docPr id="8" name="Picture 8" descr="https://www.researchgate.net/profile/Sebastian_Heimbs/publication/282566506/figure/fig6/AS:324639155867653@1454411414263/Typical-Friedlander-curve-to-display-blast-shock-wave-pressure-versus-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searchgate.net/profile/Sebastian_Heimbs/publication/282566506/figure/fig6/AS:324639155867653@1454411414263/Typical-Friedlander-curve-to-display-blast-shock-wave-pressure-versus-tim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7020" cy="3239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FD54D" w14:textId="5F57DF64" w:rsidR="00A7434A" w:rsidRPr="005B65DF" w:rsidRDefault="007912B4" w:rsidP="001A5FED">
      <w:r w:rsidRPr="005B65DF">
        <w:rPr>
          <w:noProof/>
          <w:lang w:bidi="ar-SA"/>
        </w:rPr>
        <w:t xml:space="preserve"> </w:t>
      </w:r>
      <w:r w:rsidR="00A7434A" w:rsidRPr="005B65DF">
        <w:t xml:space="preserve">In blast overpressure, a shock wave causes the rapid onset of high-amplitude pressure. </w:t>
      </w:r>
      <w:r w:rsidR="003C18A5" w:rsidRPr="005B65DF">
        <w:t>This is most likely encountered in the form o</w:t>
      </w:r>
      <w:r w:rsidR="00FA59BB" w:rsidRPr="005B65DF">
        <w:t>f an explosion, such as the deto</w:t>
      </w:r>
      <w:r w:rsidR="003C18A5" w:rsidRPr="005B65DF">
        <w:t>nation of a bomb or the discharge of a firearm.</w:t>
      </w:r>
      <w:r w:rsidR="00BF6998" w:rsidRPr="005B65DF">
        <w:t xml:space="preserve"> </w:t>
      </w:r>
      <w:r w:rsidR="00447458" w:rsidRPr="005B65DF">
        <w:t>Blasts can reach 180 dB or higher</w:t>
      </w:r>
      <w:r w:rsidR="00C8505D" w:rsidRPr="005B65DF">
        <w:t xml:space="preserve"> and are capable of causing severe damage not only </w:t>
      </w:r>
      <w:r w:rsidR="00E871DD" w:rsidRPr="005B65DF">
        <w:t xml:space="preserve">to </w:t>
      </w:r>
      <w:r w:rsidR="00C8505D" w:rsidRPr="005B65DF">
        <w:t xml:space="preserve">the auditory system but also </w:t>
      </w:r>
      <w:r w:rsidR="00E871DD" w:rsidRPr="005B65DF">
        <w:t xml:space="preserve">to </w:t>
      </w:r>
      <w:r w:rsidR="00C8505D" w:rsidRPr="005B65DF">
        <w:t xml:space="preserve">the lungs </w:t>
      </w:r>
      <w:r w:rsidR="00171371" w:rsidRPr="005B65DF">
        <w:t>and brain. A blast overpressure wave may be describe</w:t>
      </w:r>
      <w:r w:rsidR="00901026" w:rsidRPr="005B65DF">
        <w:t>d</w:t>
      </w:r>
      <w:r w:rsidR="00171371" w:rsidRPr="005B65DF">
        <w:t xml:space="preserve"> in what is called the Friedlander curve, shown in Fig. 1.</w:t>
      </w:r>
      <w:r w:rsidR="00D87012">
        <w:t>1</w:t>
      </w:r>
      <w:r w:rsidR="00171371" w:rsidRPr="005B65DF">
        <w:t xml:space="preserve"> </w:t>
      </w:r>
      <w:r w:rsidR="00171371" w:rsidRPr="005B65DF">
        <w:fldChar w:fldCharType="begin" w:fldLock="1"/>
      </w:r>
      <w:r w:rsidR="00E01826" w:rsidRPr="005B65DF">
        <w:instrText>ADDIN CSL_CITATION {"citationItems":[{"id":"ITEM-1","itemData":{"DOI":"10.1155/2015/897213","ISSN":"1687-5966","abstract":"An efficient empirical approach was developed to accurately represent the blast shock wave loading resulting from the launch of a missile from a military aircraft to be used in numerical analyses. Based on experimental test series of missile launches in laboratory environment and from a helicopter, equations were derived to predict the time- and position-dependent overpressure. The method was finally applied and validated in a structural analysis of a helicopter tail boom under missile launch shock wave loading.","author":[{"dropping-particle":"","family":"Heimbs","given":"Sebastian","non-dropping-particle":"","parse-names":false,"suffix":""},{"dropping-particle":"","family":"Ritzer","given":"Josef","non-dropping-particle":"","parse-names":false,"suffix":""},{"dropping-particle":"","family":"Markmiller","given":"Johannes","non-dropping-particle":"","parse-names":false,"suffix":""}],"container-title":"International Journal of Aerospace Engineering","id":"ITEM-1","issue":"May","issued":{"date-parts":[["2015"]]},"page":"1-8","title":"A Numerical Method for Blast Shock Wave Analysis of Missile Launch from Aircraft","type":"article-journal","volume":"2015"},"uris":["http://www.mendeley.com/documents/?uuid=4b98d46a-3863-4f4e-a9e9-deabc5f66003"]}],"mendeley":{"formattedCitation":"(Heimbs et al., 2015)","plainTextFormattedCitation":"(Heimbs et al., 2015)","previouslyFormattedCitation":"(Heimbs et al., 2015)"},"properties":{"noteIndex":0},"schema":"https://github.com/citation-style-language/schema/raw/master/csl-citation.json"}</w:instrText>
      </w:r>
      <w:r w:rsidR="00171371" w:rsidRPr="005B65DF">
        <w:fldChar w:fldCharType="separate"/>
      </w:r>
      <w:r w:rsidR="009D66ED" w:rsidRPr="005B65DF">
        <w:rPr>
          <w:noProof/>
        </w:rPr>
        <w:t>(Heimbs et al., 2015)</w:t>
      </w:r>
      <w:r w:rsidR="00171371" w:rsidRPr="005B65DF">
        <w:fldChar w:fldCharType="end"/>
      </w:r>
      <w:r w:rsidR="00171371" w:rsidRPr="005B65DF">
        <w:t>.</w:t>
      </w:r>
      <w:r w:rsidR="00901026" w:rsidRPr="005B65DF">
        <w:t xml:space="preserve"> When the wave reaches a location of interest at t=t</w:t>
      </w:r>
      <w:r w:rsidR="00901026" w:rsidRPr="005B65DF">
        <w:rPr>
          <w:vertAlign w:val="subscript"/>
        </w:rPr>
        <w:t>p</w:t>
      </w:r>
      <w:r w:rsidR="00901026" w:rsidRPr="005B65DF">
        <w:t>, it will nearly instantaneously reach peak pressure, p</w:t>
      </w:r>
      <w:r w:rsidR="00901026" w:rsidRPr="005B65DF">
        <w:rPr>
          <w:vertAlign w:val="subscript"/>
        </w:rPr>
        <w:t>p</w:t>
      </w:r>
      <w:r w:rsidR="00901026" w:rsidRPr="005B65DF">
        <w:t>, after which pressure will decrease to slightly below the initial pressure p</w:t>
      </w:r>
      <w:r w:rsidR="00901026" w:rsidRPr="005B65DF">
        <w:rPr>
          <w:vertAlign w:val="subscript"/>
        </w:rPr>
        <w:t>0</w:t>
      </w:r>
      <w:r w:rsidR="00901026" w:rsidRPr="005B65DF">
        <w:t xml:space="preserve"> before finally stabilizing at p</w:t>
      </w:r>
      <w:r w:rsidR="00901026" w:rsidRPr="005B65DF">
        <w:rPr>
          <w:vertAlign w:val="subscript"/>
        </w:rPr>
        <w:t>0</w:t>
      </w:r>
      <w:r w:rsidR="00901026" w:rsidRPr="005B65DF">
        <w:t xml:space="preserve">. This occurs within a period of mere milliseconds. The combination of the abrupt existence of an extremely high initial pressure peak with the swift return to baseline </w:t>
      </w:r>
      <w:r w:rsidR="00D83227" w:rsidRPr="005B65DF">
        <w:t xml:space="preserve">is dangerous to many organs, </w:t>
      </w:r>
      <w:r w:rsidR="00FA59BB" w:rsidRPr="005B65DF">
        <w:t>particularly</w:t>
      </w:r>
      <w:r w:rsidR="00D83227" w:rsidRPr="005B65DF">
        <w:t xml:space="preserve"> the ear. </w:t>
      </w:r>
    </w:p>
    <w:p w14:paraId="66E6E7E0" w14:textId="3B90E005" w:rsidR="00FE1B47" w:rsidRPr="005B65DF" w:rsidRDefault="00FE1B47" w:rsidP="00FE1B47">
      <w:pPr>
        <w:pStyle w:val="Heading2"/>
      </w:pPr>
      <w:bookmarkStart w:id="18" w:name="_Toc185890"/>
      <w:r w:rsidRPr="005B65DF">
        <w:lastRenderedPageBreak/>
        <w:t xml:space="preserve">1.3 </w:t>
      </w:r>
      <w:r w:rsidR="00E871DD" w:rsidRPr="005B65DF">
        <w:t xml:space="preserve">Audiological and Muscle </w:t>
      </w:r>
      <w:r w:rsidR="00121BE5" w:rsidRPr="005B65DF">
        <w:t>Testing</w:t>
      </w:r>
      <w:bookmarkEnd w:id="18"/>
    </w:p>
    <w:p w14:paraId="435A74C9" w14:textId="1BFB3AF5" w:rsidR="00121BE5" w:rsidRPr="005B65DF" w:rsidRDefault="00121BE5" w:rsidP="0026427F">
      <w:pPr>
        <w:pStyle w:val="Heading3"/>
      </w:pPr>
      <w:bookmarkStart w:id="19" w:name="_Toc185891"/>
      <w:r w:rsidRPr="005B65DF">
        <w:t xml:space="preserve">1.3.1 Acoustic Reflex </w:t>
      </w:r>
      <w:r w:rsidR="00E871DD" w:rsidRPr="005B65DF">
        <w:t xml:space="preserve">Threshold </w:t>
      </w:r>
      <w:r w:rsidRPr="005B65DF">
        <w:t>Testing</w:t>
      </w:r>
      <w:bookmarkEnd w:id="19"/>
    </w:p>
    <w:p w14:paraId="003F18E4" w14:textId="4F509611" w:rsidR="00121BE5" w:rsidRPr="005B65DF" w:rsidRDefault="007225BE" w:rsidP="00121BE5">
      <w:r w:rsidRPr="005B65DF">
        <w:t>A fairly common measurement</w:t>
      </w:r>
      <w:r w:rsidR="00E871DD" w:rsidRPr="005B65DF">
        <w:t xml:space="preserve"> in clinical audiology</w:t>
      </w:r>
      <w:r w:rsidRPr="005B65DF">
        <w:t xml:space="preserve">, </w:t>
      </w:r>
      <w:r w:rsidR="00E132A1" w:rsidRPr="005B65DF">
        <w:t xml:space="preserve">ART </w:t>
      </w:r>
      <w:r w:rsidR="00817673" w:rsidRPr="005B65DF">
        <w:t xml:space="preserve">testing </w:t>
      </w:r>
      <w:r w:rsidR="00E132A1" w:rsidRPr="005B65DF">
        <w:t xml:space="preserve">is a noninvasive, indirect way to study the threshold for activation of the MEMR. </w:t>
      </w:r>
      <w:r w:rsidR="00FA37B5" w:rsidRPr="005B65DF">
        <w:t>It is based on tympanometry, which measures the mobility of the tympanic membrane by sealing the ear canal, presenting a stimulus, and measuring the reflection of that stimulus off of the eardrum. The amount of sound that was reflected back to the microphone is compared to how much was admitted through the membrane into the ear in order to quantify the tympanic membrane’s mobility</w:t>
      </w:r>
      <w:r w:rsidR="00813A34" w:rsidRPr="005B65DF">
        <w:t xml:space="preserve"> </w:t>
      </w:r>
      <w:r w:rsidR="00813A34" w:rsidRPr="005B65DF">
        <w:fldChar w:fldCharType="begin" w:fldLock="1"/>
      </w:r>
      <w:r w:rsidR="00311029" w:rsidRPr="005B65DF">
        <w:instrText>ADDIN CSL_CITATION {"citationItems":[{"id":"ITEM-1","itemData":{"DOI":"10.1016/B978-0-444-63437-5.00011-X","ISBN":"9780444634375","ISSN":"22124152","PMID":"27638069","abstract":"Hearing tests of the peripheral auditory system are well established and the pure-tone audiogram is generally regarded as the screening test of choice in adults. It allows the distinction to be made between conductive, i.e., outer- and middle-ear, and sensorineural, i.e., cochlear, hearing loss, and also to describe the configuration of the hearing thresholds in terms of severity and the frequency affected. Electrophysiologic testing with auditory potentials, e.g., the auditory brainstem response, can identify sites of lesion in the eighth nerve, brainstem, and more centrally. However, it is only in the last two decades that a battery of central auditory tests has been established that can probe the central pathways in more details, i.e., when the pure-tone audiogram may be normal, and yet the patient still has symptoms of hearing dysfunction.","author":[{"dropping-particle":"","family":"Davies","given":"R.A.","non-dropping-particle":"","parse-names":false,"suffix":""}],"container-title":"Handbook of Clinical Neurology","edition":"1","id":"ITEM-1","issued":{"date-parts":[["2016"]]},"page":"157-176","publisher":"Elsevier B.V.","title":"Audiometry and other hearing tests","type":"chapter","volume":"137"},"uris":["http://www.mendeley.com/documents/?uuid=7de92b0b-a1fd-48bb-a6ec-fd5e30854319"]}],"mendeley":{"formattedCitation":"(Davies, 2016)","plainTextFormattedCitation":"(Davies, 2016)","previouslyFormattedCitation":"(Davies, 2016)"},"properties":{"noteIndex":0},"schema":"https://github.com/citation-style-language/schema/raw/master/csl-citation.json"}</w:instrText>
      </w:r>
      <w:r w:rsidR="00813A34" w:rsidRPr="005B65DF">
        <w:fldChar w:fldCharType="separate"/>
      </w:r>
      <w:r w:rsidR="00813A34" w:rsidRPr="005B65DF">
        <w:rPr>
          <w:noProof/>
        </w:rPr>
        <w:t>(Davies, 2016)</w:t>
      </w:r>
      <w:r w:rsidR="00813A34" w:rsidRPr="005B65DF">
        <w:fldChar w:fldCharType="end"/>
      </w:r>
      <w:r w:rsidR="00FA37B5" w:rsidRPr="005B65DF">
        <w:t>. In ART</w:t>
      </w:r>
      <w:r w:rsidR="00817673" w:rsidRPr="005B65DF">
        <w:t xml:space="preserve"> testing</w:t>
      </w:r>
      <w:r w:rsidR="00FA37B5" w:rsidRPr="005B65DF">
        <w:t>, t</w:t>
      </w:r>
      <w:r w:rsidR="00121BE5" w:rsidRPr="005B65DF">
        <w:t xml:space="preserve">ympanometry is performed multiple times in sequence </w:t>
      </w:r>
      <w:r w:rsidR="00E132A1" w:rsidRPr="005B65DF">
        <w:t>while</w:t>
      </w:r>
      <w:r w:rsidR="00121BE5" w:rsidRPr="005B65DF">
        <w:t xml:space="preserve"> a reflex-eliciting tone</w:t>
      </w:r>
      <w:r w:rsidR="00E132A1" w:rsidRPr="005B65DF">
        <w:t xml:space="preserve"> is presented</w:t>
      </w:r>
      <w:r w:rsidR="00121BE5" w:rsidRPr="005B65DF">
        <w:t>. The ear’s admittance will change if the MEMR activates</w:t>
      </w:r>
      <w:r w:rsidR="00E871DD" w:rsidRPr="005B65DF">
        <w:t>; therefore,</w:t>
      </w:r>
      <w:r w:rsidR="00121BE5" w:rsidRPr="005B65DF">
        <w:t xml:space="preserve"> comparing </w:t>
      </w:r>
      <w:r w:rsidR="00A7434A" w:rsidRPr="005B65DF">
        <w:t xml:space="preserve">a series of </w:t>
      </w:r>
      <w:r w:rsidR="00121BE5" w:rsidRPr="005B65DF">
        <w:t xml:space="preserve">trials </w:t>
      </w:r>
      <w:r w:rsidR="00A7434A" w:rsidRPr="005B65DF">
        <w:t xml:space="preserve">while increasing the amplitude of the eliciting tone </w:t>
      </w:r>
      <w:r w:rsidR="00121BE5" w:rsidRPr="005B65DF">
        <w:t xml:space="preserve">to a normal tympanogram allows for a determination of what amplitude of </w:t>
      </w:r>
      <w:r w:rsidR="00A7434A" w:rsidRPr="005B65DF">
        <w:t xml:space="preserve">stimulus </w:t>
      </w:r>
      <w:r w:rsidRPr="005B65DF">
        <w:t>i</w:t>
      </w:r>
      <w:r w:rsidR="00121BE5" w:rsidRPr="005B65DF">
        <w:t xml:space="preserve">s sufficient to elicit the reflex </w:t>
      </w:r>
      <w:r w:rsidR="00121BE5" w:rsidRPr="005B65DF">
        <w:fldChar w:fldCharType="begin" w:fldLock="1"/>
      </w:r>
      <w:r w:rsidR="00E01826" w:rsidRPr="005B65DF">
        <w:instrText>ADDIN CSL_CITATION {"citationItems":[{"id":"ITEM-1","itemData":{"DOI":"10613388","ISSN":"01960202","author":[{"dropping-particle":"","family":"Hunter","given":"Lisa L.","non-dropping-particle":"","parse-names":false,"suffix":""},{"dropping-particle":"","family":"Ries","given":"Dennis T.","non-dropping-particle":"","parse-names":false,"suffix":""},{"dropping-particle":"","family":"Schlauch","given":"Robert S.","non-dropping-particle":"","parse-names":false,"suffix":""},{"dropping-particle":"","family":"Levine","given":"Samuel C.","non-dropping-particle":"","parse-names":false,"suffix":""},{"dropping-particle":"","family":"Ward","given":"W. Dixon","non-dropping-particle":"","parse-names":false,"suffix":""}],"container-title":"Ear and hearing","id":"ITEM-1","issue":"6","issued":{"date-parts":[["1999"]]},"page":"506-514","title":"Safety and Clinical Performance of Acoustic Reflex Tests","type":"article-journal","volume":"20"},"uris":["http://www.mendeley.com/documents/?uuid=fabd4bef-0f97-4363-8e47-7be265d793ad"]}],"mendeley":{"formattedCitation":"(Hunter et al., 1999)","plainTextFormattedCitation":"(Hunter et al., 1999)","previouslyFormattedCitation":"(Hunter et al., 1999)"},"properties":{"noteIndex":0},"schema":"https://github.com/citation-style-language/schema/raw/master/csl-citation.json"}</w:instrText>
      </w:r>
      <w:r w:rsidR="00121BE5" w:rsidRPr="005B65DF">
        <w:fldChar w:fldCharType="separate"/>
      </w:r>
      <w:r w:rsidR="009D66ED" w:rsidRPr="005B65DF">
        <w:rPr>
          <w:noProof/>
        </w:rPr>
        <w:t>(Hunter et al., 1999)</w:t>
      </w:r>
      <w:r w:rsidR="00121BE5" w:rsidRPr="005B65DF">
        <w:fldChar w:fldCharType="end"/>
      </w:r>
      <w:r w:rsidR="00121BE5" w:rsidRPr="005B65DF">
        <w:t>. This method is suitable for clinical us</w:t>
      </w:r>
      <w:r w:rsidR="00A7434A" w:rsidRPr="005B65DF">
        <w:t xml:space="preserve">e due to its noninvasive nature, </w:t>
      </w:r>
      <w:r w:rsidR="00121BE5" w:rsidRPr="005B65DF">
        <w:t xml:space="preserve">ease </w:t>
      </w:r>
      <w:r w:rsidR="00A7434A" w:rsidRPr="005B65DF">
        <w:t xml:space="preserve">of use, </w:t>
      </w:r>
      <w:r w:rsidR="00121BE5" w:rsidRPr="005B65DF">
        <w:t xml:space="preserve">and rapidity of its administration.  </w:t>
      </w:r>
    </w:p>
    <w:p w14:paraId="0FAA9C74" w14:textId="02A18703" w:rsidR="00121BE5" w:rsidRPr="005B65DF" w:rsidRDefault="00121BE5" w:rsidP="00DE5013">
      <w:r w:rsidRPr="005B65DF">
        <w:t xml:space="preserve">The various clinical applications of MEMR measurements are relevant from birth on to adulthood. By testing for the presence of the reflex in one ear while stimulating the opposite ear, physicians can determine if some neurological dysfunction is impairing hearing and preventing the reflex from being activated </w:t>
      </w:r>
      <w:r w:rsidRPr="005B65DF">
        <w:fldChar w:fldCharType="begin" w:fldLock="1"/>
      </w:r>
      <w:r w:rsidR="00E01826" w:rsidRPr="005B65DF">
        <w:instrText>ADDIN CSL_CITATION {"citationItems":[{"id":"ITEM-1","itemData":{"DOI":"10.1034/j.1600-0404.2003.00104.x","ISSN":"0001-6314","author":[{"dropping-particle":"","family":"Shivashankar","given":"N","non-dropping-particle":"","parse-names":false,"suffix":""},{"dropping-particle":"","family":"Satishchandra","given":"P","non-dropping-particle":"","parse-names":false,"suffix":""},{"dropping-particle":"","family":"Shashikala","given":"H. R.","non-dropping-particle":"","parse-names":false,"suffix":""},{"dropping-particle":"","family":"Gore","given":"M.","non-dropping-particle":"","parse-names":false,"suffix":""}],"container-title":"Acta Neurologica Scandinavica","id":"ITEM-1","issue":"2","issued":{"date-parts":[["2003","8"]]},"page":"130-135","title":"Primary auditory neuropathy - an enigma","type":"article-journal","volume":"108"},"uris":["http://www.mendeley.com/documents/?uuid=06b4a44f-03cd-4e89-ba24-523807875f69"]}],"mendeley":{"formattedCitation":"(Shivashankar et al., 2003)","plainTextFormattedCitation":"(Shivashankar et al., 2003)","previouslyFormattedCitation":"(Shivashankar et al., 2003)"},"properties":{"noteIndex":0},"schema":"https://github.com/citation-style-language/schema/raw/master/csl-citation.json"}</w:instrText>
      </w:r>
      <w:r w:rsidRPr="005B65DF">
        <w:fldChar w:fldCharType="separate"/>
      </w:r>
      <w:r w:rsidR="009D66ED" w:rsidRPr="005B65DF">
        <w:rPr>
          <w:noProof/>
        </w:rPr>
        <w:t>(Shivashankar et al., 2003)</w:t>
      </w:r>
      <w:r w:rsidRPr="005B65DF">
        <w:fldChar w:fldCharType="end"/>
      </w:r>
      <w:r w:rsidRPr="005B65DF">
        <w:t xml:space="preserve">. Measurements of the MEMR are also relevant in newborn health screenings and the prediction of certain auditory complaints </w:t>
      </w:r>
      <w:r w:rsidRPr="005B65DF">
        <w:fldChar w:fldCharType="begin" w:fldLock="1"/>
      </w:r>
      <w:r w:rsidRPr="005B65DF">
        <w:instrText>ADDIN CSL_CITATION {"citationItems":[{"id":"ITEM-1","itemData":{"DOI":"10.1590/2317-1782/20152014117","ISSN":"2317-1782","author":[{"dropping-particle":"","family":"Jacob-Corteletti","given":"Lilian Cássia Bórnia","non-dropping-particle":"","parse-names":false,"suffix":""},{"dropping-particle":"","family":"Duarte","given":"Josilene Luciene","non-dropping-particle":"","parse-names":false,"suffix":""},{"dropping-particle":"","family":"Zucki","given":"Fernanda","non-dropping-particle":"","parse-names":false,"suffix":""},{"dropping-particle":"","family":"Mariotto","given":"Luciane Domingues Figueiredo","non-dropping-particle":"","parse-names":false,"suffix":""},{"dropping-particle":"","family":"Lauris","given":"José Roberto Pereira","non-dropping-particle":"","parse-names":false,"suffix":""},{"dropping-particle":"","family":"Alvarenga","given":"Kátia de Freitas","non-dropping-particle":"","parse-names":false,"suffix":""}],"container-title":"CoDAS","id":"ITEM-1","issue":"3","issued":{"date-parts":[["2015","6"]]},"page":"223-229","title":"Acoustic reflex on newborns: the influence of the 226 and 1,000 Hz probes","type":"article-journal","volume":"27"},"uris":["http://www.mendeley.com/documents/?uuid=bef0f719-b47f-4848-bffc-4303d842d5dc"]},{"id":"ITEM-2","itemData":{"DOI":"10.1016/j.bjorl.2014.07.017","ISSN":"1808-8694","author":[{"dropping-particle":"","family":"Duarte","given":"Alexandre Scalli Mathias","non-dropping-particle":"","parse-names":false,"suffix":""},{"dropping-particle":"","family":"Tah","given":"Ronny","non-dropping-particle":"","parse-names":false,"suffix":""},{"dropping-particle":"","family":"Ng","given":"Yen","non-dropping-particle":"","parse-names":false,"suffix":""},{"dropping-particle":"De","family":"Carvalho","given":"Guilherme Machado","non-dropping-particle":"","parse-names":false,"suffix":""},{"dropping-particle":"","family":"Guimarães","given":"Alexandre Caixeta","non-dropping-particle":"","parse-names":false,"suffix":""},{"dropping-particle":"","family":"Araujo","given":"Laiza","non-dropping-particle":"","parse-names":false,"suffix":""},{"dropping-particle":"","family":"Pinheiro","given":"Mohana","non-dropping-particle":"","parse-names":false,"suffix":""},{"dropping-particle":"","family":"Andrade","given":"Everardo","non-dropping-particle":"","parse-names":false,"suffix":""},{"dropping-particle":"","family":"Gusmão","given":"Reinaldo Jordão","non-dropping-particle":"","parse-names":false,"suffix":""}],"container-title":"Brazilian Journal of Otorhinolaryngology","id":"ITEM-2","issue":"4","issued":{"date-parts":[["2015"]]},"page":"374-383","publisher":"Associação Brasileira de Otorrinolaringologia e Cirurgia Cérvico-Facial","title":"High levels of sound pressure: acoustic reflex thresholds and auditory complaints of workers with noise exposure","type":"article-journal","volume":"81"},"uris":["http://www.mendeley.com/documents/?uuid=644477d8-9288-4b66-9d97-b61823d3b371"]}],"mendeley":{"formattedCitation":"(Duarte et al., 2015; Jacob-Corteletti et al., 2015)","plainTextFormattedCitation":"(Duarte et al., 2015; Jacob-Corteletti et al., 2015)","previouslyFormattedCitation":"(Duarte et al., 2015; Jacob-Corteletti et al., 2015)"},"properties":{"noteIndex":0},"schema":"https://github.com/citation-style-language/schema/raw/master/csl-citation.json"}</w:instrText>
      </w:r>
      <w:r w:rsidRPr="005B65DF">
        <w:fldChar w:fldCharType="separate"/>
      </w:r>
      <w:r w:rsidRPr="005B65DF">
        <w:rPr>
          <w:noProof/>
        </w:rPr>
        <w:t>(Duarte et al., 2015; Jacob-Corteletti et al., 2015)</w:t>
      </w:r>
      <w:r w:rsidRPr="005B65DF">
        <w:fldChar w:fldCharType="end"/>
      </w:r>
      <w:r w:rsidRPr="005B65DF">
        <w:t xml:space="preserve">. It is a clinically valuable measurement in predicting normal hearing in neonates, separating cochlear and retrocochlear pathologies, and predicting hearing loss in the elderly </w:t>
      </w:r>
      <w:r w:rsidRPr="005B65DF">
        <w:fldChar w:fldCharType="begin" w:fldLock="1"/>
      </w:r>
      <w:r w:rsidR="00E01826" w:rsidRPr="005B65DF">
        <w:instrText>ADDIN CSL_CITATION {"citationItems":[{"id":"ITEM-1","itemData":{"DOI":"10.1016/j.otorri.2014.02.010","ISSN":"00016519","author":[{"dropping-particle":"","family":"Pérez-Villa","given":"Yolanda E.","non-dropping-particle":"","parse-names":false,"suffix":""},{"dropping-particle":"","family":"Mena-Ramírez","given":"María E.","non-dropping-particle":"","parse-names":false,"suffix":""},{"dropping-particle":"","family":"Chamlati Aguirre","given":"Laura E.","non-dropping-particle":"","parse-names":false,"suffix":""},{"dropping-particle":"","family":"Mora-Magaña","given":"Ignacio","non-dropping-particle":"","parse-names":false,"suffix":""},{"dropping-particle":"","family":"Gutiérrez-Farfán","given":"Ileana S.","non-dropping-particle":"","parse-names":false,"suffix":""}],"container-title":"Acta Otorrinolaringológica Española","id":"ITEM-1","issue":"6","issued":{"date-parts":[["2014","11"]]},"page":"332-338","title":"Diagnostic Utility of the Acoustic Reflex in Predicting Hearing in Paediatric Populations","type":"article-journal","volume":"65"},"uris":["http://www.mendeley.com/documents/?uuid=dabcb1f8-5167-4b60-8b34-5b3647c79c0f"]},{"id":"ITEM-2","itemData":{"DOI":"10.1097/AUD.0b013e31829c70d9","ISSN":"0196-0202","author":[{"dropping-particle":"","family":"Schairer","given":"Kim S","non-dropping-particle":"","parse-names":false,"suffix":""},{"dropping-particle":"","family":"Feeney","given":"M Patrick","non-dropping-particle":"","parse-names":false,"suffix":""},{"dropping-particle":"","family":"Sanford","given":"Chris A","non-dropping-particle":"","parse-names":false,"suffix":""}],"container-title":"Ear and Hearing","id":"ITEM-2","issued":{"date-parts":[["2013","7"]]},"page":"43s-47s","title":"Acoustic Reflex Measurement","type":"article-journal","volume":"34"},"uris":["http://www.mendeley.com/documents/?uuid=51783fdf-29e1-4c73-857b-6c0703f915db"]},{"id":"ITEM-3","itemData":{"DOI":"10.1016/j.bjorl.2014.09.007","ISSN":"1808-8694","author":[{"dropping-particle":"","family":"Sogebi","given":"Olusola Ayodele","non-dropping-particle":"","parse-names":false,"suffix":""}],"container-title":"Brazilian Journal of Otorhinolaryngology","id":"ITEM-3","issue":"2","issued":{"date-parts":[["2015"]]},"page":"133-140","publisher":"Associação Brasileira de Otorrinolaringologia e Cirurgia Cérvico-Facial","title":"Middle ear impedance studies in elderly patients implications on age-related hearing loss","type":"article-journal","volume":"81"},"uris":["http://www.mendeley.com/documents/?uuid=c0d7677e-e443-4437-8f29-418e5be50d41"]}],"mendeley":{"formattedCitation":"(Pérez-Villa et al., 2014; Schairer et al., 2013; Sogebi, 2015)","plainTextFormattedCitation":"(Pérez-Villa et al., 2014; Schairer et al., 2013; Sogebi, 2015)","previouslyFormattedCitation":"(Pérez-Villa et al., 2014; Schairer et al., 2013; Sogebi, 2015)"},"properties":{"noteIndex":0},"schema":"https://github.com/citation-style-language/schema/raw/master/csl-citation.json"}</w:instrText>
      </w:r>
      <w:r w:rsidRPr="005B65DF">
        <w:fldChar w:fldCharType="separate"/>
      </w:r>
      <w:r w:rsidR="009D66ED" w:rsidRPr="005B65DF">
        <w:rPr>
          <w:noProof/>
        </w:rPr>
        <w:t>(Pérez-Villa et al., 2014; Schairer et al., 2013; Sogebi, 2015)</w:t>
      </w:r>
      <w:r w:rsidRPr="005B65DF">
        <w:fldChar w:fldCharType="end"/>
      </w:r>
      <w:r w:rsidRPr="005B65DF">
        <w:t>.  By measuring the activi</w:t>
      </w:r>
      <w:r w:rsidR="00813A34" w:rsidRPr="005B65DF">
        <w:t xml:space="preserve">ty of the stapedius muscle, one can screen for hearing damage as well as </w:t>
      </w:r>
      <w:r w:rsidR="00813A34" w:rsidRPr="005B65DF">
        <w:lastRenderedPageBreak/>
        <w:t>determine if the muscle is contributing its protective mechanism in response to a certain stimulus</w:t>
      </w:r>
      <w:r w:rsidRPr="005B65DF">
        <w:t>.  Unfortunately, s</w:t>
      </w:r>
      <w:r w:rsidR="00E871DD" w:rsidRPr="005B65DF">
        <w:t>ince</w:t>
      </w:r>
      <w:r w:rsidRPr="005B65DF">
        <w:t xml:space="preserve"> ART testing only measures muscle activity indirectly</w:t>
      </w:r>
      <w:r w:rsidR="00E871DD" w:rsidRPr="005B65DF">
        <w:t>,</w:t>
      </w:r>
      <w:r w:rsidRPr="005B65DF">
        <w:t xml:space="preserve"> it gives little useful physiological information beyond a determination of the presence or absence of the reflex.</w:t>
      </w:r>
    </w:p>
    <w:p w14:paraId="1F40B568" w14:textId="77777777" w:rsidR="00121BE5" w:rsidRPr="005B65DF" w:rsidRDefault="00121BE5" w:rsidP="0026427F">
      <w:pPr>
        <w:pStyle w:val="Heading3"/>
      </w:pPr>
      <w:bookmarkStart w:id="20" w:name="_Toc185892"/>
      <w:r w:rsidRPr="005B65DF">
        <w:t>1.3.2 Electromyography</w:t>
      </w:r>
      <w:bookmarkEnd w:id="20"/>
    </w:p>
    <w:p w14:paraId="107C1F85" w14:textId="61B715C5" w:rsidR="00FE1B47" w:rsidRPr="005B65DF" w:rsidRDefault="00FE1B47" w:rsidP="00FE1B47">
      <w:r w:rsidRPr="005B65DF">
        <w:t xml:space="preserve">In contrast </w:t>
      </w:r>
      <w:r w:rsidR="00E871DD" w:rsidRPr="005B65DF">
        <w:t xml:space="preserve">to </w:t>
      </w:r>
      <w:r w:rsidRPr="005B65DF">
        <w:t>ART</w:t>
      </w:r>
      <w:r w:rsidR="00817673" w:rsidRPr="005B65DF">
        <w:t xml:space="preserve"> testing</w:t>
      </w:r>
      <w:r w:rsidRPr="005B65DF">
        <w:t xml:space="preserve">, electromyography (EMG) directly records the action potentials of muscles through an electrode. This time domain data includes the response amplitude, latency between stimulation and reflex activation, and duration of muscle contraction, which cannot be determined through ART testing. EMG data can be obtained through either a surface or needle electrode, each of which has advantages and disadvantages </w:t>
      </w:r>
      <w:r w:rsidRPr="005B65DF">
        <w:fldChar w:fldCharType="begin" w:fldLock="1"/>
      </w:r>
      <w:r w:rsidR="002968AA" w:rsidRPr="005B65DF">
        <w:instrText>ADDIN CSL_CITATION {"citationItems":[{"id":"ITEM-1","itemData":{"DOI":"10.4172/2329-9096.1000206","ISSN":"23299096","abstract":"Electromyography quantifies the action of muscles and the data provides an understanding of how coordination occurs during an action. This concurrent comparison research study evaluated electromyography signals from surface and fine-wire electrodes placed simultaneously on selected shoulder muscles. A stand-alone data logger collected electromyography signals from both types of electrodes placed on and within the teres major, supraspinatus, infraspinatus and posterior deltoid muscles as 30 healthy adult subjects performed overhead shoulder abduction. There were poor correlation in the timing of onset and peak magnitudes between fine-wire and surface electrodes reading of teres major, infraspinatus and supraspinatus (onset r=-0.01-0.07; p&gt;0.05, peak r=0.05-0.10; p&gt;0.05). Readings from surface electrodes placed on the posterior deltoid was strongly correlated with its fine-wire temporal values (onset r=0.94, peak r=0.90; p&lt;0.00). Fine-wire electrodes are able to record time sensitive information of how the rotator cuff muscles controls glenohumeral motion during overhead shoulder abduction. The findings are important when deciding to use electromyography to study muscle co-ordination at the shoulder for orthopaedic and neurological rehabilitation.","author":[{"dropping-particle":"","family":"S Rajaratnam","given":"Bala","non-dropping-particle":"","parse-names":false,"suffix":""}],"container-title":"International Journal of Physical Medicine &amp; Rehabilitation","id":"ITEM-1","issue":"04","issued":{"date-parts":[["2014","6","20"]]},"publisher":"OMICS International","title":"A Comparison of EMG Signals from Surface and Fine-Wire Electrodes During Shoulder Abduction","type":"article-journal","volume":"02"},"uris":["http://www.mendeley.com/documents/?uuid=8e43dce7-d177-3743-9a87-d3d1876ba505"]}],"mendeley":{"formattedCitation":"(S Rajaratnam, 2014)","plainTextFormattedCitation":"(S Rajaratnam, 2014)","previouslyFormattedCitation":"(S Rajaratnam, 2014)"},"properties":{"noteIndex":0},"schema":"https://github.com/citation-style-language/schema/raw/master/csl-citation.json"}</w:instrText>
      </w:r>
      <w:r w:rsidRPr="005B65DF">
        <w:fldChar w:fldCharType="separate"/>
      </w:r>
      <w:r w:rsidR="00311029" w:rsidRPr="005B65DF">
        <w:rPr>
          <w:noProof/>
        </w:rPr>
        <w:t>(S Rajaratnam, 2014)</w:t>
      </w:r>
      <w:r w:rsidRPr="005B65DF">
        <w:fldChar w:fldCharType="end"/>
      </w:r>
      <w:r w:rsidRPr="005B65DF">
        <w:t>.  A surface electrode consists of an adhesive pad that can measure electrical activity at the surface of the skin, generally enhanced by the application of conductive gel at the electrode site.  Multiple electrodes are applied to a subject and the difference in behavior between the two sites yield</w:t>
      </w:r>
      <w:r w:rsidR="00813A34" w:rsidRPr="005B65DF">
        <w:t>s</w:t>
      </w:r>
      <w:r w:rsidRPr="005B65DF">
        <w:t xml:space="preserve"> data about muscle function.  This is generally used to measure the behavior of large muscles </w:t>
      </w:r>
      <w:r w:rsidR="00E871DD" w:rsidRPr="005B65DF">
        <w:t>bec</w:t>
      </w:r>
      <w:r w:rsidRPr="005B65DF">
        <w:t>a</w:t>
      </w:r>
      <w:r w:rsidR="00E871DD" w:rsidRPr="005B65DF">
        <w:t>u</w:t>
      </w:r>
      <w:r w:rsidRPr="005B65DF">
        <w:t>s</w:t>
      </w:r>
      <w:r w:rsidR="00E871DD" w:rsidRPr="005B65DF">
        <w:t>e</w:t>
      </w:r>
      <w:r w:rsidRPr="005B65DF">
        <w:t xml:space="preserve"> surface electrodes are more open to electr</w:t>
      </w:r>
      <w:r w:rsidR="00813A34" w:rsidRPr="005B65DF">
        <w:t>ical noise from other muscles than</w:t>
      </w:r>
      <w:r w:rsidRPr="005B65DF">
        <w:t xml:space="preserve"> needle electrodes.  </w:t>
      </w:r>
      <w:r w:rsidR="00813A34" w:rsidRPr="005B65DF">
        <w:t>Despite this limitation, s</w:t>
      </w:r>
      <w:r w:rsidRPr="005B65DF">
        <w:t xml:space="preserve">urface electrodes are sufficient for many applications, particularly in human subjects where the ease of application and noninvasive nature of the measurement are valuable.  Unfortunately, the stapedius muscle is located within the temporal bone, and its activity as measurable from the surface is dwarfed by the activity of the facial muscles.  Needle electrodes offer an alternative known as intramuscular EMG.  A needle inserted directly into a muscle can directly measure its activity, with reduced cross-talk from other muscles compared to the use of surface electrodes.  This can be done with a single monopolar </w:t>
      </w:r>
      <w:r w:rsidRPr="005B65DF">
        <w:lastRenderedPageBreak/>
        <w:t>electrode or a bipolar electrode in conjunction with a reference electrode in either case.  Because of the small size and isolated location of the stapedius, the latter option was used.</w:t>
      </w:r>
    </w:p>
    <w:p w14:paraId="04D1FAFA" w14:textId="50965E44" w:rsidR="00FE1B47" w:rsidRPr="005B65DF" w:rsidRDefault="00FE1B47" w:rsidP="00FE1B47">
      <w:r w:rsidRPr="005B65DF">
        <w:t>The necessity of inserting an electrode directly into the stapedius to</w:t>
      </w:r>
      <w:r w:rsidR="00813A34" w:rsidRPr="005B65DF">
        <w:t xml:space="preserve"> get a signal poses a difficult challenge</w:t>
      </w:r>
      <w:r w:rsidRPr="005B65DF">
        <w:t xml:space="preserve">.  Human studies with needle electrodes are generally only possible when another procedure has already necessitated the opening of the middle ear to allow access to the stapedius.  In one of the first published instances of human stapedius </w:t>
      </w:r>
      <w:r w:rsidR="00813A34" w:rsidRPr="005B65DF">
        <w:t>EMG</w:t>
      </w:r>
      <w:r w:rsidRPr="005B65DF">
        <w:t xml:space="preserve">, </w:t>
      </w:r>
      <w:r w:rsidR="001F3D5D" w:rsidRPr="005B65DF">
        <w:t>the study</w:t>
      </w:r>
      <w:r w:rsidRPr="005B65DF">
        <w:t xml:space="preserve"> was </w:t>
      </w:r>
      <w:r w:rsidR="001F3D5D" w:rsidRPr="005B65DF">
        <w:t>performed o</w:t>
      </w:r>
      <w:r w:rsidRPr="005B65DF">
        <w:t xml:space="preserve">n otosclerosis patients undergoing a stapedectomy, in which the bones of the ossicular chain have started to fuse and must be removed and replaced by an ossicular implant.  EMG was performed with a monopolar electrode inserted into the tensor of the stapedius muscle during the course of the stapedectomy </w:t>
      </w:r>
      <w:r w:rsidRPr="005B65DF">
        <w:fldChar w:fldCharType="begin" w:fldLock="1"/>
      </w:r>
      <w:r w:rsidRPr="005B65DF">
        <w:instrText>ADDIN CSL_CITATION {"citationItems":[{"id":"ITEM-1","itemData":{"DOI":"10.3109/05384916509070162","ISSN":"1499-2027","author":[{"dropping-particle":"","family":"Djupesland","given":"Gisle","non-dropping-particle":"","parse-names":false,"suffix":""}],"container-title":"International Journal of Audiology","id":"ITEM-1","issue":"1","issued":{"date-parts":[["1965","1"]]},"page":"34-41","title":"Electromyography of the Tympanic Muscles in Man","type":"article-journal","volume":"4"},"uris":["http://www.mendeley.com/documents/?uuid=a60b5e05-c372-4eaf-b560-cebc232860cf"]}],"mendeley":{"formattedCitation":"(Djupesland, 1965)","plainTextFormattedCitation":"(Djupesland, 1965)","previouslyFormattedCitation":"(Djupesland, 1965)"},"properties":{"noteIndex":0},"schema":"https://github.com/citation-style-language/schema/raw/master/csl-citation.json"}</w:instrText>
      </w:r>
      <w:r w:rsidRPr="005B65DF">
        <w:fldChar w:fldCharType="separate"/>
      </w:r>
      <w:r w:rsidRPr="005B65DF">
        <w:rPr>
          <w:noProof/>
        </w:rPr>
        <w:t>(Djupesland, 1965)</w:t>
      </w:r>
      <w:r w:rsidRPr="005B65DF">
        <w:fldChar w:fldCharType="end"/>
      </w:r>
      <w:r w:rsidRPr="005B65DF">
        <w:t>.  In a more recent study, a group of patients undergoing surgery for chronic otitis media were tested with an electrode in the diseased ear</w:t>
      </w:r>
      <w:r w:rsidR="00813A34" w:rsidRPr="005B65DF">
        <w:t xml:space="preserve">. Taking advantage of the bilateral nature of the MEMR, the </w:t>
      </w:r>
      <w:r w:rsidRPr="005B65DF">
        <w:t>opposite ear, which in all cases had healthy hearing, was stimulated</w:t>
      </w:r>
      <w:r w:rsidR="00813A34" w:rsidRPr="005B65DF">
        <w:t xml:space="preserve"> and the contralateral response in the diseased ear was measured</w:t>
      </w:r>
      <w:r w:rsidRPr="005B65DF">
        <w:t xml:space="preserve"> </w:t>
      </w:r>
      <w:r w:rsidRPr="005B65DF">
        <w:fldChar w:fldCharType="begin" w:fldLock="1"/>
      </w:r>
      <w:r w:rsidRPr="005B65DF">
        <w:instrText>ADDIN CSL_CITATION {"citationItems":[{"id":"ITEM-1","itemData":{"DOI":"10.4236/eng.2014.64020","ISSN":"1947-3931","abstract":"This paper provides a first preliminary description of the dependencies between the stapedius muscle’s behavior and its neuronal activation with the adjustment of cochlear implants in mind. For that, stapedial electromyography (EMG) data are compared with EMG data which were derived from the quadriceps femoris muscle. The rationale behind is, that the stapedius muscle is classified as a striated skeletal muscle as the quadriceps femoris muscle is. Thus, the stapedius should expose a behavior which is similar to that of peripheral skeletal muscles. The stapedial reactions were provoked with contralateral acoustic stimulation and ipsilateral electrical stimulation, respectively. The data from the quadriceps femoris muscle were evoked voluntarily. The correlation of the derived data and their stimuli have shown the following main key points: 1) The stapedius muscle behaves like a regular skeletal muscle; 2) The stapedius muscle exhibits an extended range in which the muscle’s force is linear to the stimulation; 3) On both sides of the linear regime, the stapedius muscle exhibits a sigmoidal behavior.","author":[{"dropping-particle":"","family":"Warmuth","given":"Ralf","non-dropping-particle":"","parse-names":false,"suffix":""},{"dropping-particle":"","family":"Behrens","given":"Martin","non-dropping-particle":"","parse-names":false,"suffix":""},{"dropping-particle":"","family":"Behrens","given":"Martin","non-dropping-particle":"","parse-names":false,"suffix":""},{"dropping-particle":"","family":"Dahl","given":"Rüdiger","non-dropping-particle":"","parse-names":false,"suffix":""},{"dropping-particle":"","family":"Ehrt","given":"Karsten","non-dropping-particle":"","parse-names":false,"suffix":""},{"dropping-particle":"","family":"Pau","given":"Hans Wilhelm","non-dropping-particle":"","parse-names":false,"suffix":""},{"dropping-particle":"","family":"Salomon","given":"Ralf","non-dropping-particle":"","parse-names":false,"suffix":""}],"container-title":"Engineering","id":"ITEM-1","issue":"04","issued":{"date-parts":[["2014"]]},"page":"169-176","title":"Automatic Detection of the Electrical Elicited Stapedius Reflex by Evaluation of Its Electromyographic Signals","type":"article-journal","volume":"06"},"uris":["http://www.mendeley.com/documents/?uuid=a18617cf-b150-4adf-af19-dd5505dab660"]}],"mendeley":{"formattedCitation":"(Warmuth et al., 2014)","plainTextFormattedCitation":"(Warmuth et al., 2014)","previouslyFormattedCitation":"(Warmuth et al., 2014)"},"properties":{"noteIndex":0},"schema":"https://github.com/citation-style-language/schema/raw/master/csl-citation.json"}</w:instrText>
      </w:r>
      <w:r w:rsidRPr="005B65DF">
        <w:fldChar w:fldCharType="separate"/>
      </w:r>
      <w:r w:rsidRPr="005B65DF">
        <w:rPr>
          <w:noProof/>
        </w:rPr>
        <w:t>(Warmuth et al., 2014)</w:t>
      </w:r>
      <w:r w:rsidRPr="005B65DF">
        <w:fldChar w:fldCharType="end"/>
      </w:r>
      <w:r w:rsidRPr="005B65DF">
        <w:t>.  This was done to test the viability of using</w:t>
      </w:r>
      <w:r w:rsidR="00813A34" w:rsidRPr="005B65DF">
        <w:t xml:space="preserve"> EMG</w:t>
      </w:r>
      <w:r w:rsidRPr="005B65DF">
        <w:t xml:space="preserve"> to assist in the tuning of cochlear implants, and in the second stage of the study a series of deaf patients undergoing cochlear implant surgery were also tested.  In those patients, the muscle was stimulated electrically via 0.5 second current bursts of varying intensity.  Because of the limited availability of willing surgical patients, these human studies have been </w:t>
      </w:r>
      <w:r w:rsidR="00145A07" w:rsidRPr="005B65DF">
        <w:t>narrow</w:t>
      </w:r>
      <w:r w:rsidRPr="005B65DF">
        <w:t xml:space="preserve"> in scope.  </w:t>
      </w:r>
    </w:p>
    <w:p w14:paraId="0695EB24" w14:textId="69DA0D3B" w:rsidR="00FE1B47" w:rsidRPr="005B65DF" w:rsidRDefault="001F3D5D" w:rsidP="00FE1B47">
      <w:r w:rsidRPr="005B65DF">
        <w:t xml:space="preserve">Consequently, </w:t>
      </w:r>
      <w:r w:rsidR="00FE1B47" w:rsidRPr="005B65DF">
        <w:t xml:space="preserve">EMG study of the behavior of the stapedius in the MEMR has generally been </w:t>
      </w:r>
      <w:r w:rsidR="00145A07" w:rsidRPr="005B65DF">
        <w:t xml:space="preserve">confined </w:t>
      </w:r>
      <w:r w:rsidR="00FE1B47" w:rsidRPr="005B65DF">
        <w:t xml:space="preserve">to animal models.  Studies have been performed in cats to characterize the duration and latency of the reflex </w:t>
      </w:r>
      <w:r w:rsidR="00145A07" w:rsidRPr="005B65DF">
        <w:t>as well as</w:t>
      </w:r>
      <w:r w:rsidR="00FE1B47" w:rsidRPr="005B65DF">
        <w:t xml:space="preserve"> </w:t>
      </w:r>
      <w:r w:rsidR="00145A07" w:rsidRPr="005B65DF">
        <w:t>to quantify</w:t>
      </w:r>
      <w:r w:rsidR="00FE1B47" w:rsidRPr="005B65DF">
        <w:t xml:space="preserve"> the difference in the strength of the contralateral response compared to that of the ipsilateral side </w:t>
      </w:r>
      <w:r w:rsidR="00FE1B47" w:rsidRPr="005B65DF">
        <w:fldChar w:fldCharType="begin" w:fldLock="1"/>
      </w:r>
      <w:r w:rsidR="00E01826" w:rsidRPr="005B65DF">
        <w:instrText>ADDIN CSL_CITATION {"citationItems":[{"id":"ITEM-1","itemData":{"DOI":"10.1016/0013-4694(55)90013-4","ISSN":"00134694","PMID":"13251182","author":[{"dropping-particle":"","family":"Eliasson","given":"S","non-dropping-particle":"","parse-names":false,"suffix":""},{"dropping-particle":"","family":"Gisselsson","given":"L","non-dropping-particle":"","parse-names":false,"suffix":""}],"container-title":"Electroencephalography and clinical neurophysiology","id":"ITEM-1","issue":"3","issued":{"date-parts":[["1955"]]},"page":"399-406","title":"Electromyographic studies of the middle ear muscles of the cat.","type":"article-journal","volume":"7"},"uris":["http://www.mendeley.com/documents/?uuid=51a82568-1cad-4b50-a065-4bc0d644d0c6"]},{"id":"ITEM-2","itemData":{"DOI":"10.1016/0378-5955(87)90031-1","ISBN":"0378-5955 (Print)","ISSN":"03785955","PMID":"3558137","abstract":"Electromyographic activity (EMG) was used to monitor contractions of the stapedius muscle evoked by both ipsilateral and contralateral sound in ketamine-anesthetized or decerebrate cats. After the onset of a continuing tone, stapedius EMG often had bursts of activity at regular intervals; similar bursts were also observed in the EMG from the tensor tympani muscle. Plots of the r.m.s. amplitude of stapedius-EMG versus sound level usually had a steep rising phase (small dynamic range) and a plateau at high sound levels. For sound stimulation at 1 kHz, the crossed stapedius reflex had a lower maximum amplitude (ave. amplitude ratio: 0.37) and a higher threshold (ave. 8 dB) than the uncrossed reflex. Since the uncrossed reflex evokes considerably more stapedius EMG than does the crossed reflex, it probably produces correspondingly greater changes in middle-ear sound transmission.","author":[{"dropping-particle":"","family":"Guinan","given":"J J","non-dropping-particle":"","parse-names":false,"suffix":""},{"dropping-particle":"","family":"McCue","given":"M P","non-dropping-particle":"","parse-names":false,"suffix":""}],"container-title":"Hearing research","id":"ITEM-2","issue":"1","issued":{"date-parts":[["1987"]]},"page":"1-10","title":"Asymmetries in the acoustic reflexes of the cat stapedius muscle.","type":"article-journal","volume":"26"},"uris":["http://www.mendeley.com/documents/?uuid=8f1106c9-e210-466d-a80c-e6e0aa3ece25"]}],"mendeley":{"formattedCitation":"(Eliasson et al., 1955; Guinan et al., 1987)","plainTextFormattedCitation":"(Eliasson et al., 1955; Guinan et al., 1987)","previouslyFormattedCitation":"(Eliasson et al., 1955; Guinan et al., 1987)"},"properties":{"noteIndex":0},"schema":"https://github.com/citation-style-language/schema/raw/master/csl-citation.json"}</w:instrText>
      </w:r>
      <w:r w:rsidR="00FE1B47" w:rsidRPr="005B65DF">
        <w:fldChar w:fldCharType="separate"/>
      </w:r>
      <w:r w:rsidR="009D66ED" w:rsidRPr="005B65DF">
        <w:rPr>
          <w:noProof/>
        </w:rPr>
        <w:t>(Eliasson et al., 1955; Guinan et al., 1987)</w:t>
      </w:r>
      <w:r w:rsidR="00FE1B47" w:rsidRPr="005B65DF">
        <w:fldChar w:fldCharType="end"/>
      </w:r>
      <w:r w:rsidR="00FE1B47" w:rsidRPr="005B65DF">
        <w:t xml:space="preserve">. Rat tests have been performed, </w:t>
      </w:r>
      <w:r w:rsidR="00145A07" w:rsidRPr="005B65DF">
        <w:t>measuring</w:t>
      </w:r>
      <w:r w:rsidR="00FE1B47" w:rsidRPr="005B65DF">
        <w:t xml:space="preserve"> the reflex’s characteristics over a range of </w:t>
      </w:r>
      <w:r w:rsidR="00FE1B47" w:rsidRPr="005B65DF">
        <w:lastRenderedPageBreak/>
        <w:t>frequencies, characterizing reflex sensitivity</w:t>
      </w:r>
      <w:r w:rsidR="00145A07" w:rsidRPr="005B65DF">
        <w:t>,</w:t>
      </w:r>
      <w:r w:rsidR="00FE1B47" w:rsidRPr="005B65DF">
        <w:t xml:space="preserve"> and determining effectiveness at reducing ossicular vibration </w:t>
      </w:r>
      <w:r w:rsidR="00FE1B47" w:rsidRPr="005B65DF">
        <w:fldChar w:fldCharType="begin" w:fldLock="1"/>
      </w:r>
      <w:r w:rsidR="00E01826" w:rsidRPr="005B65DF">
        <w:instrText>ADDIN CSL_CITATION {"citationItems":[{"id":"ITEM-1","itemData":{"DOI":"10.1016/0378-5955(86)90014-6","ISSN":"03785955","PMID":"3745019","abstract":"The acoustic middle ear muscle reflex was studied in albino rats anesthetized with chloralose. The best frequency of the reflex and the threshold at this frequency were on average about 3 kHz and 57 dB SPL, respectively. The threshold increased as frequency increased above, and decreased below, the best frequency at a rate of about 20 dB/octave. Above about 12 kHz, the muscular response showed instability and habituation. Thresholds were similar between stapedius and tensor tympani reflexes and between ipsilateral and contralateral reflexes. The middle ear transmission loss due to the reflex was the greatest and nearly constant below about 1 kHz, where the loss was about 18 dB at the maximal stimulation. Above this frequency the loss decreased as frequency increased up to 20 kHz. Thus the reflex, unlike that in other animals, suppressed transmission over the whole range of reflex-eliciting frequencies. The transfer function of the reflex had a well damped low-pass characteristic with a cut-off frequency of about 20 Hz. From the above characteristics of the reflex, the role of the rat's tympanic muscles in improving ultrasonic hearing under ambient noises was suggested.","author":[{"dropping-particle":"","family":"Murata","given":"K","non-dropping-particle":"","parse-names":false,"suffix":""},{"dropping-particle":"","family":"Ito","given":"S","non-dropping-particle":"","parse-names":false,"suffix":""},{"dropping-particle":"","family":"Horikawa","given":"J","non-dropping-particle":"","parse-names":false,"suffix":""},{"dropping-particle":"","family":"Minami","given":"S","non-dropping-particle":"","parse-names":false,"suffix":""}],"container-title":"Hearing research","id":"ITEM-1","issue":"2","issued":{"date-parts":[["1986"]]},"page":"169-183","title":"The acoustic middle ear muscle reflex in albino rats.","type":"article-journal","volume":"23"},"uris":["http://www.mendeley.com/documents/?uuid=30734226-d382-45ef-b2bc-27b017cb5a3a"]},{"id":"ITEM-2","itemData":{"DOI":"10.1016/S0378-5955(96)00206-7","ISSN":"03785955","PMID":"9083814","abstract":"The effect of the acoustic middle ear reflex (MER) was quantified using electrodes chronically implanted in the middle ears of rats. Cochlear microphonics (CM) and middle ear muscle EMG were measured under light Ketamin anesthesia after stimulation with tone pulses of 5-20 kHz ranging between 75 and 120 dB SPL. With increasing intensity, the CM measured before the onset of the MER increased to a maximum amplitude and then decreased with higher SPLs. At 10 kHz this maximum was reached at 95 dB SPL, for other stimulus frequencies at higher SPLs. After a latency of 10-20 ms, CM to 10 kHz stimuli of 80-95 dB SPL were decreased by the attenuating action of the MER. The lowest threshold of the MER was also measured at 10 kHz (77 dB SPL in the mean). To stimuli greater than 100 dB SPL after a latency of 6-10 ms, the CM amplitude was increased. That this CM increase to intense stimuli is caused by the action of the MER was confirmed by control experiments such as cutting the tendons of the middle ear muscles. The CM decrease to stimuli below 100 dB SPL, as well as the increase to very intense stimuli, can be explained by sound attenuation caused by the MER, together with the nonlinear dependence of CM amplitude on stimulus level. The observed shift of the maxima of the CM input-output function by the MER to higher stimulus levels probably indicates an increase of the dynamic range of the ear.","author":[{"dropping-particle":"","family":"Pilz","given":"P. K D","non-dropping-particle":"","parse-names":false,"suffix":""},{"dropping-particle":"","family":"Ostwald","given":"J.","non-dropping-particle":"","parse-names":false,"suffix":""},{"dropping-particle":"","family":"Kreiter","given":"a.","non-dropping-particle":"","parse-names":false,"suffix":""},{"dropping-particle":"","family":"Schnitzler","given":"H. U.","non-dropping-particle":"","parse-names":false,"suffix":""}],"container-title":"Hearing Research","id":"ITEM-2","issue":"1-2","issued":{"date-parts":[["1997"]]},"page":"171-182","title":"Effect of the middle ear reflex on sound transmission to the inner ear of rat","type":"article-journal","volume":"105"},"uris":["http://www.mendeley.com/documents/?uuid=a6667b08-5adc-475f-bf1b-225c5db8aac0"]},{"id":"ITEM-3","itemData":{"DOI":"10.1109/IEMBS.2004.1404177","ISBN":"0-7803-8439-3","ISSN":"1557-170X","PMID":"17271235","abstract":"The electrical stapedius reflex (ESR) threshold, detected by eardrum acoustic impedance change, is strongly correlated with cochlear implant recipients' behavioral comfort levels. However reports suggest acoustic impedance changes are not detectable in 30-40% of patients. The goals of this study were to develop an animal model and investigate the characteristics of the stapedius muscle electromyogram (SEMG) elicited by a cochlear implant, as an alternative measure of ESR activation. Bipolar tungsten micro wire electrodes recorded the SEMG signal from the stapedius muscle of 6 rats. The cochlea was implanted with a multichannel intracochlear electrode that delivered biphasic electrical pulses. Maximum SEMG potentials were 20-500 microV (mean: 174 microV) or 8-42 dB SNR (mean: 24 dB). The dynamic range of the responses that reached saturation were approximately 10 dB, with threshold inversely dependent on pulse-width and electrode separation. The electrical brainstem response (EABR) threshold was 5.6 dB lower than the ESR threshold on average, but the standard deviation was relatively high (2.4 dB), suggesting that these two signals could provide independent information for objective cochlear implant fitting. Post-operative SEMGs were recorded in several animals; including one animal for up to 63 days. The results suggest the overall feasibility of the approach for objective cochlear implant fitting.","author":[{"dropping-particle":"","family":"Clement","given":"R S","non-dropping-particle":"","parse-names":false,"suffix":""},{"dropping-particle":"","family":"Kipke","given":"D R","non-dropping-particle":"","parse-names":false,"suffix":""}],"container-title":"Conference proceedings : ... Annual International Conference of the IEEE Engineering in Medicine and Biology Society. IEEE Engineering in Medicine and Biology Society. Conference","id":"ITEM-3","issued":{"date-parts":[["2004"]]},"page":"4221-4224","title":"Characteristics of stapedius muscle electromyograms elicited by cochlear implant stimulation in the rat.","type":"article-journal","volume":"6"},"uris":["http://www.mendeley.com/documents/?uuid=f3d26917-1822-455d-a84e-29e915d74a4d"]}],"mendeley":{"formattedCitation":"(R S Clement et al., 2004; Murata et al., 1986; Pilz et al., 1997)","plainTextFormattedCitation":"(R S Clement et al., 2004; Murata et al., 1986; Pilz et al., 1997)","previouslyFormattedCitation":"(R S Clement et al., 2004; Murata et al., 1986; Pilz et al., 1997)"},"properties":{"noteIndex":0},"schema":"https://github.com/citation-style-language/schema/raw/master/csl-citation.json"}</w:instrText>
      </w:r>
      <w:r w:rsidR="00FE1B47" w:rsidRPr="005B65DF">
        <w:fldChar w:fldCharType="separate"/>
      </w:r>
      <w:r w:rsidR="009D66ED" w:rsidRPr="005B65DF">
        <w:rPr>
          <w:noProof/>
        </w:rPr>
        <w:t>(R S Clement et al., 2004; Murata et al., 1986; Pilz et al., 1997)</w:t>
      </w:r>
      <w:r w:rsidR="00FE1B47" w:rsidRPr="005B65DF">
        <w:fldChar w:fldCharType="end"/>
      </w:r>
      <w:r w:rsidR="00FE1B47" w:rsidRPr="005B65DF">
        <w:t xml:space="preserve">. Guinea pigs have also undergone stapedius EMG tests in an attempt </w:t>
      </w:r>
      <w:r w:rsidR="00145A07" w:rsidRPr="005B65DF">
        <w:t>to correlate EMG measurements of</w:t>
      </w:r>
      <w:r w:rsidR="00FE1B47" w:rsidRPr="005B65DF">
        <w:t xml:space="preserve"> the strength of the reflex response to electrical stimulation to enhance cochlear implant comfort </w:t>
      </w:r>
      <w:r w:rsidR="00FE1B47" w:rsidRPr="005B65DF">
        <w:fldChar w:fldCharType="begin" w:fldLock="1"/>
      </w:r>
      <w:r w:rsidR="00E01826" w:rsidRPr="005B65DF">
        <w:instrText>ADDIN CSL_CITATION {"citationItems":[{"id":"ITEM-1","itemData":{"DOI":"10.1114/1.1454132","ISBN":"0090-6964","ISSN":"00906964","PMID":"11962769","abstract":"Previous studies have demonstrated a correlation between cochlear implant recipients' comfort levels (C level, upper limit of dynamic range of stimulation) and the contralateral electrical stapedius reflex (ESR) threshold, detected by acoustic impedance change. However, the utility of the approach is limited because many recipients have no detectable impedance change. The goals of this study were to investigate the utility of the stapedial electromyogram (EMG) for estimating onset and strength of the ESR. Ketamine-anesthetized guinea pigs were implanted with Nucleus electrode arrays and stimulated with biphasic current pulse trains (250 pps) via a Cochlear Corporation CI24M stimulator. Typical EMG recordings (obtained with bipolar microwire electrodes) contained easily detectable unit potentials up to 300 microV in amplitude. Growth response curves (obtained from threshold-crossing counts or rms of the EMG signal) were typically monotonic with dynamic ranges spanning 700 microA or 8 dB. Based on adaptation and temporal properties, the stimulus protocol (500 ms duration with 4-5 s interstimulus intervals) was adequate for producing independent responses. The data presented are consistent with ESR characteristics (acoustic impedance technique) of cochlear implant recipients and with EMG properties of acoustically stimulated guinea pigs. Use of the EMG for characterizing the ESR may eventually be applied to human cochlear implant recipients as a guide in setting the upper limit of the dynamic range.","author":[{"dropping-particle":"","family":"Clement","given":"Ryan S.","non-dropping-particle":"","parse-names":false,"suffix":""},{"dropping-particle":"","family":"Carter","given":"Paul M.","non-dropping-particle":"","parse-names":false,"suffix":""},{"dropping-particle":"","family":"Kipke","given":"Daryl R.","non-dropping-particle":"","parse-names":false,"suffix":""}],"container-title":"Annals of Biomedical Engineering","id":"ITEM-1","issue":"2","issued":{"date-parts":[["2002"]]},"page":"169-179","title":"Measuring the electrical stapedius reflex with stapedius muscle electromyogram recordings","type":"article-journal","volume":"30"},"uris":["http://www.mendeley.com/documents/?uuid=6be99d9f-2742-45a4-a98d-09e840895d9a"]}],"mendeley":{"formattedCitation":"(Ryan S. Clement et al., 2002)","plainTextFormattedCitation":"(Ryan S. Clement et al., 2002)","previouslyFormattedCitation":"(Ryan S. Clement et al., 2002)"},"properties":{"noteIndex":0},"schema":"https://github.com/citation-style-language/schema/raw/master/csl-citation.json"}</w:instrText>
      </w:r>
      <w:r w:rsidR="00FE1B47" w:rsidRPr="005B65DF">
        <w:fldChar w:fldCharType="separate"/>
      </w:r>
      <w:r w:rsidR="009D66ED" w:rsidRPr="005B65DF">
        <w:rPr>
          <w:noProof/>
        </w:rPr>
        <w:t>(Ryan S. Clement et al., 2002)</w:t>
      </w:r>
      <w:r w:rsidR="00FE1B47" w:rsidRPr="005B65DF">
        <w:fldChar w:fldCharType="end"/>
      </w:r>
      <w:r w:rsidR="00FE1B47" w:rsidRPr="005B65DF">
        <w:t xml:space="preserve">. </w:t>
      </w:r>
      <w:r w:rsidR="00E132A1" w:rsidRPr="005B65DF">
        <w:t xml:space="preserve">EMG has not </w:t>
      </w:r>
      <w:r w:rsidR="00A771B1" w:rsidRPr="005B65DF">
        <w:t xml:space="preserve">previously </w:t>
      </w:r>
      <w:r w:rsidR="00E132A1" w:rsidRPr="005B65DF">
        <w:t>been used to study the MEMR of chinchillas.</w:t>
      </w:r>
    </w:p>
    <w:p w14:paraId="406A7EE6" w14:textId="77777777" w:rsidR="00DE5013" w:rsidRPr="005B65DF" w:rsidRDefault="00DE5013" w:rsidP="0026427F">
      <w:pPr>
        <w:pStyle w:val="Heading3"/>
      </w:pPr>
      <w:bookmarkStart w:id="21" w:name="_Toc185893"/>
      <w:r w:rsidRPr="005B65DF">
        <w:t>1.3.3 Auditory Brainstem Response</w:t>
      </w:r>
      <w:bookmarkEnd w:id="21"/>
    </w:p>
    <w:p w14:paraId="50930795" w14:textId="42164BE4" w:rsidR="00FE1B47" w:rsidRPr="005B65DF" w:rsidRDefault="00E132A1" w:rsidP="001A5FED">
      <w:r w:rsidRPr="005B65DF">
        <w:t xml:space="preserve">Auditory brainstem response (ABR) testing is an objective measure of the electrical reaction of the brainstem to a sound. It is </w:t>
      </w:r>
      <w:r w:rsidR="008A4C91" w:rsidRPr="005B65DF">
        <w:t xml:space="preserve">a </w:t>
      </w:r>
      <w:r w:rsidRPr="005B65DF">
        <w:t xml:space="preserve">commonly used </w:t>
      </w:r>
      <w:r w:rsidR="008A4C91" w:rsidRPr="005B65DF">
        <w:t xml:space="preserve">audiological test </w:t>
      </w:r>
      <w:r w:rsidRPr="005B65DF">
        <w:t xml:space="preserve">in newborn health screenings to ascertain normal hearing levels </w:t>
      </w:r>
      <w:r w:rsidR="001F3D5D" w:rsidRPr="005B65DF">
        <w:t>because</w:t>
      </w:r>
      <w:r w:rsidRPr="005B65DF">
        <w:t xml:space="preserve"> it does not require input from the subject </w:t>
      </w:r>
      <w:r w:rsidRPr="005B65DF">
        <w:fldChar w:fldCharType="begin" w:fldLock="1"/>
      </w:r>
      <w:r w:rsidR="00E01826" w:rsidRPr="005B65DF">
        <w:instrText>ADDIN CSL_CITATION {"citationItems":[{"id":"ITEM-1","itemData":{"DOI":"10.1016/j.ijporl.2018.06.006","ISSN":"01655876","abstract":"BACKGROUND Auditory brainstem response across preterm infants help in understanding difference if any in auditory maturation. Objective: To analyze and compare absolute and interpeak latencies of ABR in very preterm, moderate preterm and late preterm infants at term age. METHOD ABR traces were obtained from 148 ears of preterm infants (52 of very preterm, 44 of moderately preterm &amp; 52 of late preterm) at term age. ABR was recorded with 11.1/s clicks at different intensity levels. RESULTS Absolute latencies of peak I, III, V and interpeak latencies of peak I-V, I-III and III-V were analyzed and compared between three preterm groups. One way ANOVA was used to compare ABR parameters between three groups of preterm infants and also to compare ABR parameters across various gestation ages. There were no overall differences in absolute latencies, interpeak latencies and amplitude of ABR between preterm groups and across various gestation ages (P&gt;0.05). Pearson correlation was used to find the correlation between gestation age and ABR parameters. However, no correlation was found. ABRs were similar among preterm groups at term age which reflects that the brainstem maturation is similar among preterm groups. CONCLUSION Gestational age at birth does not seem to influence absolute and interpeak latencies of ABR at term age. In preterm neonates, the findings lead to suggest that maturation of auditory pathway occurs in a similar manner in preterm infants regardless of gestational age at birth. We conclude that preterm birth alone as a risk factor does not appear to have any marked effect on the development of ABR at term age.","author":[{"dropping-particle":"","family":"Seethapathy","given":"Jayashree","non-dropping-particle":"","parse-names":false,"suffix":""},{"dropping-particle":"","family":"Boominathan","given":"Prakash","non-dropping-particle":"","parse-names":false,"suffix":""},{"dropping-particle":"","family":"Uppunda","given":"Ajith Kumar","non-dropping-particle":"","parse-names":false,"suffix":""},{"dropping-particle":"","family":"Ninan","given":"Binu","non-dropping-particle":"","parse-names":false,"suffix":""}],"container-title":"International Journal of Pediatric Otorhinolaryngology","id":"ITEM-1","issue":"June","issued":{"date-parts":[["2018"]]},"page":"119-127","publisher":"Elsevier","title":"Auditory brainstem response in very preterm, moderately preterm and late preterm infants","type":"article-journal","volume":"111"},"uris":["http://www.mendeley.com/documents/?uuid=069a49ad-9b83-4f43-9eee-3bedec17294a"]}],"mendeley":{"formattedCitation":"(Seethapathy et al., 2018)","plainTextFormattedCitation":"(Seethapathy et al., 2018)","previouslyFormattedCitation":"(Seethapathy et al., 2018)"},"properties":{"noteIndex":0},"schema":"https://github.com/citation-style-language/schema/raw/master/csl-citation.json"}</w:instrText>
      </w:r>
      <w:r w:rsidRPr="005B65DF">
        <w:fldChar w:fldCharType="separate"/>
      </w:r>
      <w:r w:rsidR="009D66ED" w:rsidRPr="005B65DF">
        <w:rPr>
          <w:noProof/>
        </w:rPr>
        <w:t>(Seethapathy et al., 2018)</w:t>
      </w:r>
      <w:r w:rsidRPr="005B65DF">
        <w:fldChar w:fldCharType="end"/>
      </w:r>
      <w:r w:rsidRPr="005B65DF">
        <w:t xml:space="preserve">. For this same reason, it is popular in animal studies as animal subjects require extensive training for behavioral hearing tests to work. It </w:t>
      </w:r>
      <w:r w:rsidR="00DE5013" w:rsidRPr="005B65DF">
        <w:t xml:space="preserve">has been used before in chinchillas to quantify hearing loss </w:t>
      </w:r>
      <w:r w:rsidR="00DE5013" w:rsidRPr="005B65DF">
        <w:fldChar w:fldCharType="begin" w:fldLock="1"/>
      </w:r>
      <w:r w:rsidRPr="005B65DF">
        <w:instrText>ADDIN CSL_CITATION {"citationItems":[{"id":"ITEM-1","itemData":{"ISBN":"978 92 4 159949 6","author":[{"dropping-particle":"","family":"World Health Organization (WHO)","given":"","non-dropping-particle":"","parse-names":false,"suffix":""}],"container-title":"WHO Library Cataloguing-in-Publication Data","id":"ITEM-1","issue":"November","issued":{"date-parts":[["2009"]]},"number-of-pages":"9-10","title":"Newborn and infant hearing screening","type":"book"},"uris":["http://www.mendeley.com/documents/?uuid=3ec93211-ffde-439b-ae88-90dacdea0265"]},{"id":"ITEM-2","itemData":{"DOI":"10.3109/14992027.2013.840933","ISSN":"1499-2027","author":[{"dropping-particle":"","family":"Claussen","given":"Alexander D.","non-dropping-particle":"","parse-names":false,"suffix":""},{"dropping-particle":"","family":"Fox","given":"Daniel J.","non-dropping-particle":"","parse-names":false,"suffix":""},{"dropping-particle":"","family":"Yu","given":"Xin C.","non-dropping-particle":"","parse-names":false,"suffix":""},{"dropping-particle":"","family":"Meech","given":"Robert P.","non-dropping-particle":"","parse-names":false,"suffix":""},{"dropping-particle":"","family":"Verhulst","given":"Steven J.","non-dropping-particle":"","parse-names":false,"suffix":""},{"dropping-particle":"","family":"Hargrove","given":"Tim L.","non-dropping-particle":"","parse-names":false,"suffix":""},{"dropping-particle":"","family":"Campbell","given":"Kathleen C. M.","non-dropping-particle":"","parse-names":false,"suffix":""}],"container-title":"International Journal of Audiology","id":"ITEM-2","issue":"12","issued":{"date-parts":[["2013","12"]]},"page":"801-807","title":"D-methionine pre-loading reduces both noise-induced permanent threshold shift and outer hair cell loss in the chinchilla","type":"article-journal","volume":"52"},"uris":["http://www.mendeley.com/documents/?uuid=c6a7b324-8238-4144-80fe-abeec16e2bb4"]}],"mendeley":{"formattedCitation":"(Claussen et al., 2013; World Health Organization (WHO), 2009)","plainTextFormattedCitation":"(Claussen et al., 2013; World Health Organization (WHO), 2009)","previouslyFormattedCitation":"(Claussen et al., 2013; World Health Organization (WHO), 2009)"},"properties":{"noteIndex":0},"schema":"https://github.com/citation-style-language/schema/raw/master/csl-citation.json"}</w:instrText>
      </w:r>
      <w:r w:rsidR="00DE5013" w:rsidRPr="005B65DF">
        <w:fldChar w:fldCharType="separate"/>
      </w:r>
      <w:r w:rsidR="00DE5013" w:rsidRPr="005B65DF">
        <w:rPr>
          <w:noProof/>
        </w:rPr>
        <w:t>(Claussen et al., 2013; World Health Organization (WHO), 2009)</w:t>
      </w:r>
      <w:r w:rsidR="00DE5013" w:rsidRPr="005B65DF">
        <w:fldChar w:fldCharType="end"/>
      </w:r>
      <w:r w:rsidR="00DE5013" w:rsidRPr="005B65DF">
        <w:t>.</w:t>
      </w:r>
      <w:r w:rsidRPr="005B65DF">
        <w:t xml:space="preserve"> In ABR, electrodes are inserted at the cranial vertex, mastoid process, and on one leg for use as a ground. Acoustic stimuli are presented over a range of frequencies and amplitudes. </w:t>
      </w:r>
      <w:r w:rsidR="00D83227" w:rsidRPr="005B65DF">
        <w:t xml:space="preserve">In the tests here described, amplitude was stepped from 30-80 dB with intervals of 5 dB, and frequency was 0.5, 1, 2, 4, 6, or 8 kHz. </w:t>
      </w:r>
      <w:r w:rsidRPr="005B65DF">
        <w:t xml:space="preserve">If a sound is loud enough to be processed by the subject’s brain, a repeatable wave pattern featuring five peaks will be visible. Determining the lowest amplitude to produce that pattern at a given frequency gives a reasonable estimation of its hearing capability. </w:t>
      </w:r>
    </w:p>
    <w:p w14:paraId="7C2C3CE9" w14:textId="77777777" w:rsidR="00183731" w:rsidRPr="005B65DF" w:rsidRDefault="00183731" w:rsidP="001A5FED"/>
    <w:p w14:paraId="4829B6C6" w14:textId="77777777" w:rsidR="00183731" w:rsidRPr="005B65DF" w:rsidRDefault="00183731" w:rsidP="001A5FED"/>
    <w:p w14:paraId="0539A81B" w14:textId="77777777" w:rsidR="00183731" w:rsidRPr="005B65DF" w:rsidRDefault="00183731" w:rsidP="001A5FED"/>
    <w:p w14:paraId="3396CAA7" w14:textId="77777777" w:rsidR="004C7308" w:rsidRPr="005B65DF" w:rsidRDefault="004C7308" w:rsidP="004C7308">
      <w:pPr>
        <w:pStyle w:val="Heading2"/>
      </w:pPr>
      <w:bookmarkStart w:id="22" w:name="_Toc185894"/>
      <w:r w:rsidRPr="005B65DF">
        <w:lastRenderedPageBreak/>
        <w:t>1.4 Chinchilla</w:t>
      </w:r>
      <w:r w:rsidR="00E63E44" w:rsidRPr="005B65DF">
        <w:t>s</w:t>
      </w:r>
      <w:r w:rsidRPr="005B65DF">
        <w:t xml:space="preserve"> as a Hearing Model</w:t>
      </w:r>
      <w:bookmarkEnd w:id="22"/>
    </w:p>
    <w:p w14:paraId="5AB65D89" w14:textId="010B8457" w:rsidR="00A36FDE" w:rsidRPr="005B65DF" w:rsidRDefault="00A36FDE" w:rsidP="00F20222">
      <w:pPr>
        <w:pStyle w:val="Heading3"/>
      </w:pPr>
      <w:bookmarkStart w:id="23" w:name="_Toc185895"/>
      <w:r w:rsidRPr="005B65DF">
        <w:t>1.4.1 Strengths of Chinchillas as a Hearing Model</w:t>
      </w:r>
      <w:bookmarkEnd w:id="23"/>
    </w:p>
    <w:p w14:paraId="3AE9353F" w14:textId="58EE9B5A" w:rsidR="001A5FED" w:rsidRPr="005B65DF" w:rsidRDefault="00D7659C" w:rsidP="001A5FED">
      <w:r w:rsidRPr="005B65DF">
        <w:t xml:space="preserve">The risk of damaging a subject’s hearing in the course of experimentation related to hearing loss is a strong argument for the use of animal models. </w:t>
      </w:r>
      <w:r w:rsidR="001F3D5D" w:rsidRPr="005B65DF">
        <w:t>C</w:t>
      </w:r>
      <w:r w:rsidRPr="005B65DF">
        <w:t xml:space="preserve">hinchillas are </w:t>
      </w:r>
      <w:r w:rsidR="001F3D5D" w:rsidRPr="005B65DF">
        <w:t xml:space="preserve">particularly </w:t>
      </w:r>
      <w:r w:rsidRPr="005B65DF">
        <w:t xml:space="preserve">popular </w:t>
      </w:r>
      <w:r w:rsidR="00A771B1" w:rsidRPr="005B65DF">
        <w:t xml:space="preserve">in </w:t>
      </w:r>
      <w:r w:rsidR="001F3D5D" w:rsidRPr="005B65DF">
        <w:t>h</w:t>
      </w:r>
      <w:r w:rsidR="00A771B1" w:rsidRPr="005B65DF">
        <w:t>ear</w:t>
      </w:r>
      <w:r w:rsidR="001F3D5D" w:rsidRPr="005B65DF">
        <w:t>ing</w:t>
      </w:r>
      <w:r w:rsidR="00A771B1" w:rsidRPr="005B65DF">
        <w:t xml:space="preserve"> research </w:t>
      </w:r>
      <w:r w:rsidR="001F3D5D" w:rsidRPr="005B65DF">
        <w:t xml:space="preserve">because </w:t>
      </w:r>
      <w:r w:rsidRPr="005B65DF">
        <w:t>they have a similar hearing range to that of humans. Humans have an audible range of approximately 31-19,000 Hz, wh</w:t>
      </w:r>
      <w:r w:rsidR="001F3D5D" w:rsidRPr="005B65DF">
        <w:t>ereas</w:t>
      </w:r>
      <w:r w:rsidRPr="005B65DF">
        <w:t xml:space="preserve"> the chinchilla range is about 52-33,000 Hz </w:t>
      </w:r>
      <w:r w:rsidRPr="005B65DF">
        <w:fldChar w:fldCharType="begin" w:fldLock="1"/>
      </w:r>
      <w:r w:rsidR="006F5529" w:rsidRPr="005B65DF">
        <w:instrText>ADDIN CSL_CITATION {"citationItems":[{"id":"ITEM-1","itemData":{"DOI":"10.1121/1.398550","ISSN":"00014966","author":[{"dropping-particle":"","family":"Fay","given":"Richard R.","non-dropping-particle":"","parse-names":false,"suffix":""}],"container-title":"The Journal of the Acoustical Society of America","id":"ITEM-1","issue":"5","issued":{"date-parts":[["1989","12"]]},"page":"2044","title":"Hearing in Vertebrates: A Psychophysics Databook","type":"article-journal","volume":"86"},"uris":["http://www.mendeley.com/documents/?uuid=1989219c-e0c7-4e26-b156-4809b71e5f58"]}],"mendeley":{"formattedCitation":"(Fay, 1989)","plainTextFormattedCitation":"(Fay, 1989)","previouslyFormattedCitation":"(Fay, 1989)"},"properties":{"noteIndex":0},"schema":"https://github.com/citation-style-language/schema/raw/master/csl-citation.json"}</w:instrText>
      </w:r>
      <w:r w:rsidRPr="005B65DF">
        <w:fldChar w:fldCharType="separate"/>
      </w:r>
      <w:r w:rsidRPr="005B65DF">
        <w:rPr>
          <w:noProof/>
        </w:rPr>
        <w:t>(Fay, 1989)</w:t>
      </w:r>
      <w:r w:rsidRPr="005B65DF">
        <w:fldChar w:fldCharType="end"/>
      </w:r>
      <w:r w:rsidRPr="005B65DF">
        <w:t xml:space="preserve">. The size of the chinchilla tympanic membrane is similar to that of a human. The auditory bullae of chinchillas are encased in thin bone, allowing for relatively easy access. </w:t>
      </w:r>
      <w:r w:rsidR="00DC7AA7" w:rsidRPr="005B65DF">
        <w:t>U</w:t>
      </w:r>
      <w:r w:rsidRPr="005B65DF">
        <w:t xml:space="preserve">nlike in primates where a joint separates the </w:t>
      </w:r>
      <w:r w:rsidR="00DC7AA7" w:rsidRPr="005B65DF">
        <w:t>incus and the malleus, chinchilla ears combine them into a single fused bone.</w:t>
      </w:r>
      <w:r w:rsidRPr="005B65DF">
        <w:t xml:space="preserve"> </w:t>
      </w:r>
      <w:r w:rsidR="00DC7AA7" w:rsidRPr="005B65DF">
        <w:t>T</w:t>
      </w:r>
      <w:r w:rsidRPr="005B65DF">
        <w:t xml:space="preserve">he fused ossicles </w:t>
      </w:r>
      <w:r w:rsidR="00DC7AA7" w:rsidRPr="005B65DF">
        <w:t>contribut</w:t>
      </w:r>
      <w:r w:rsidR="001F3D5D" w:rsidRPr="005B65DF">
        <w:t>e to</w:t>
      </w:r>
      <w:r w:rsidR="00DC7AA7" w:rsidRPr="005B65DF">
        <w:t xml:space="preserve"> the similarity between the </w:t>
      </w:r>
      <w:r w:rsidRPr="005B65DF">
        <w:t xml:space="preserve">hearing ranges </w:t>
      </w:r>
      <w:r w:rsidR="00DC7AA7" w:rsidRPr="005B65DF">
        <w:t xml:space="preserve">of chinchillas and </w:t>
      </w:r>
      <w:r w:rsidRPr="005B65DF">
        <w:t>humans despite the difference in the size of the ossicles between the two species, enhancing the</w:t>
      </w:r>
      <w:r w:rsidR="001F3D5D" w:rsidRPr="005B65DF">
        <w:t xml:space="preserve"> chinchilla’s</w:t>
      </w:r>
      <w:r w:rsidRPr="005B65DF">
        <w:t xml:space="preserve"> viability as an animal model for hearing</w:t>
      </w:r>
      <w:r w:rsidR="007B67B3" w:rsidRPr="005B65DF">
        <w:t xml:space="preserve"> </w:t>
      </w:r>
      <w:r w:rsidRPr="005B65DF">
        <w:fldChar w:fldCharType="begin" w:fldLock="1"/>
      </w:r>
      <w:r w:rsidR="00E01826" w:rsidRPr="005B65DF">
        <w:instrText>ADDIN CSL_CITATION {"citationItems":[{"id":"ITEM-1","itemData":{"DOI":"10.1016/j.heares.2009.10.013","ISBN":"1878-5891 (Electronic)\\r0378-5955 (Linking)","ISSN":"1878-5891","PMID":"19878714","abstract":"The development of the unique capacity for high-frequency hearing in many mammals was due in part to changes in the middle ear, such as the evolution of three distinct middle-ear bones and distinct radial and circumferential collagen fiber layers in the eardrum. Ossicular moment(s) of inertia (MOI) and principal rotational axes, as well as eardrum surface areas, were calculated from micro-CT-based 3-D reconstructions of human, cat, chinchilla, and guinea pig temporal bones. For guinea pig and chinchilla, the fused malleus-incus complex rotates about an anterior-posterior axis, due to the relatively lightweight ossicles and bilateral symmetry of the eardrum. For human and cat, however, the MOI calculated for the unfused malleus are 5-6 times smaller for rotations about an inferior-superior axis than for rotations about the other two orthogonal axes. It is argued that these preferred motions, along with the presence of a mobile malleus-incus joint and asymmetric eardrum, enable efficient high-frequency sound transmission in spite of the relatively large ossicular masses of these species. This work argues that the upper-frequency hearing limit of a given mammalian species can in part be understood in terms of morphological co-adaptations of the eardrum and ossicular chain.","author":[{"dropping-particle":"","family":"Puria","given":"Sunil","non-dropping-particle":"","parse-names":false,"suffix":""},{"dropping-particle":"","family":"Steele","given":"Charles","non-dropping-particle":"","parse-names":false,"suffix":""}],"container-title":"Hearing research","id":"ITEM-1","issue":"1-2","issued":{"date-parts":[["2010"]]},"page":"183-90","title":"Tympanic-membrane and malleus-incus-complex co-adaptations for high-frequency hearing in mammals.","type":"article-journal","volume":"263"},"uris":["http://www.mendeley.com/documents/?uuid=a06b6894-f658-4cf3-811d-986a6f3dae1f"]}],"mendeley":{"formattedCitation":"(Puria et al., 2010)","plainTextFormattedCitation":"(Puria et al., 2010)","previouslyFormattedCitation":"(Puria et al., 2010)"},"properties":{"noteIndex":0},"schema":"https://github.com/citation-style-language/schema/raw/master/csl-citation.json"}</w:instrText>
      </w:r>
      <w:r w:rsidRPr="005B65DF">
        <w:fldChar w:fldCharType="separate"/>
      </w:r>
      <w:r w:rsidR="009D66ED" w:rsidRPr="005B65DF">
        <w:rPr>
          <w:noProof/>
        </w:rPr>
        <w:t>(Puria et al., 2010)</w:t>
      </w:r>
      <w:r w:rsidRPr="005B65DF">
        <w:fldChar w:fldCharType="end"/>
      </w:r>
      <w:r w:rsidRPr="005B65DF">
        <w:t xml:space="preserve">. </w:t>
      </w:r>
      <w:r w:rsidR="00114119" w:rsidRPr="005B65DF">
        <w:t>The ossicular chain and stapedius muscle of a chinchilla are shown in Fig. 1.</w:t>
      </w:r>
      <w:r w:rsidR="00D87012">
        <w:t>2</w:t>
      </w:r>
      <w:r w:rsidR="00114119" w:rsidRPr="005B65DF">
        <w:t xml:space="preserve">. </w:t>
      </w:r>
      <w:r w:rsidRPr="005B65DF">
        <w:t>Wh</w:t>
      </w:r>
      <w:r w:rsidR="001F3D5D" w:rsidRPr="005B65DF">
        <w:t>ereas</w:t>
      </w:r>
      <w:r w:rsidRPr="005B65DF">
        <w:t xml:space="preserve"> some rodents have vestigial stapedius muscles or completely lack them, chinchillas do have a functional stapedius </w:t>
      </w:r>
      <w:r w:rsidRPr="005B65DF">
        <w:fldChar w:fldCharType="begin" w:fldLock="1"/>
      </w:r>
      <w:r w:rsidR="006F5529" w:rsidRPr="005B65DF">
        <w:instrText>ADDIN CSL_CITATION {"citationItems":[{"id":"ITEM-1","itemData":{"DOI":"10.1016/j.heares.2012.10.004","ISSN":"03785955","author":[{"dropping-particle":"","family":"Mason","given":"Matthew J.","non-dropping-particle":"","parse-names":false,"suffix":""}],"container-title":"Hearing Research","id":"ITEM-1","issued":{"date-parts":[["2013"]]},"page":"4-18","publisher":"Elsevier B.V.","title":"Of mice, moles and guinea pigs: Functional morphology of the middle ear in living mammals","type":"article-journal","volume":"301"},"uris":["http://www.mendeley.com/documents/?uuid=d8735148-a549-48e5-bbd5-43bf19f3fa9e"]}],"mendeley":{"formattedCitation":"(Mason, 2013)","plainTextFormattedCitation":"(Mason, 2013)","previouslyFormattedCitation":"(Mason, 2013)"},"properties":{"noteIndex":0},"schema":"https://github.com/citation-style-language/schema/raw/master/csl-citation.json"}</w:instrText>
      </w:r>
      <w:r w:rsidRPr="005B65DF">
        <w:fldChar w:fldCharType="separate"/>
      </w:r>
      <w:r w:rsidRPr="005B65DF">
        <w:rPr>
          <w:noProof/>
        </w:rPr>
        <w:t>(Mason, 2013)</w:t>
      </w:r>
      <w:r w:rsidRPr="005B65DF">
        <w:fldChar w:fldCharType="end"/>
      </w:r>
      <w:r w:rsidRPr="005B65DF">
        <w:t xml:space="preserve">. Finally, as rodents, chinchillas are more readily available than the other animals with similar auditory properties to those of humans, such as other primates. </w:t>
      </w:r>
      <w:r w:rsidR="00855EA1" w:rsidRPr="005B65DF">
        <w:t>Because of these factors</w:t>
      </w:r>
      <w:r w:rsidRPr="005B65DF">
        <w:t xml:space="preserve">, chinchillas </w:t>
      </w:r>
      <w:r w:rsidR="001A5FED" w:rsidRPr="005B65DF">
        <w:t>were chosen as a reasonable animal model for hearing</w:t>
      </w:r>
      <w:r w:rsidRPr="005B65DF">
        <w:t>.</w:t>
      </w:r>
      <w:r w:rsidR="001A5FED" w:rsidRPr="005B65DF">
        <w:t xml:space="preserve"> In addition,</w:t>
      </w:r>
      <w:r w:rsidR="001F3D5D" w:rsidRPr="005B65DF">
        <w:t xml:space="preserve"> the absence of</w:t>
      </w:r>
      <w:r w:rsidR="00855EA1" w:rsidRPr="005B65DF">
        <w:t xml:space="preserve"> EMG </w:t>
      </w:r>
      <w:r w:rsidR="001F3D5D" w:rsidRPr="005B65DF">
        <w:t xml:space="preserve">studies of the </w:t>
      </w:r>
      <w:r w:rsidR="00855EA1" w:rsidRPr="005B65DF">
        <w:t xml:space="preserve">chinchilla MEMR </w:t>
      </w:r>
      <w:r w:rsidR="003D47D5" w:rsidRPr="005B65DF">
        <w:t xml:space="preserve">represents a significant </w:t>
      </w:r>
      <w:r w:rsidR="00855EA1" w:rsidRPr="005B65DF">
        <w:t xml:space="preserve">gap in </w:t>
      </w:r>
      <w:r w:rsidR="003D47D5" w:rsidRPr="005B65DF">
        <w:t>audiological</w:t>
      </w:r>
      <w:r w:rsidR="001A5FED" w:rsidRPr="005B65DF">
        <w:t xml:space="preserve"> </w:t>
      </w:r>
      <w:r w:rsidR="00855EA1" w:rsidRPr="005B65DF">
        <w:t>literature</w:t>
      </w:r>
      <w:r w:rsidR="001F3D5D" w:rsidRPr="005B65DF">
        <w:t xml:space="preserve">; </w:t>
      </w:r>
      <w:r w:rsidR="003D47D5" w:rsidRPr="005B65DF">
        <w:t xml:space="preserve">a more thorough understanding of </w:t>
      </w:r>
      <w:r w:rsidR="001F3D5D" w:rsidRPr="005B65DF">
        <w:t xml:space="preserve">the behavior of the chinchilla MEMR </w:t>
      </w:r>
      <w:r w:rsidR="003D47D5" w:rsidRPr="005B65DF">
        <w:t>through EMG study would further strengthen chinchillas as the optimal non-primate animal model for hearing studies.</w:t>
      </w:r>
      <w:r w:rsidR="00855EA1" w:rsidRPr="005B65DF">
        <w:t xml:space="preserve"> </w:t>
      </w:r>
    </w:p>
    <w:p w14:paraId="3885605F" w14:textId="77777777" w:rsidR="00183731" w:rsidRPr="005B65DF" w:rsidRDefault="00183731" w:rsidP="00183731"/>
    <w:p w14:paraId="0C6A498D" w14:textId="4E1DAB16" w:rsidR="00A36FDE" w:rsidRPr="005B65DF" w:rsidRDefault="00A36FDE" w:rsidP="00F20222">
      <w:pPr>
        <w:pStyle w:val="Heading3"/>
      </w:pPr>
      <w:bookmarkStart w:id="24" w:name="_Toc185896"/>
      <w:r w:rsidRPr="005B65DF">
        <w:lastRenderedPageBreak/>
        <w:t>1.4.2 Animal Model MEMR Literature</w:t>
      </w:r>
      <w:bookmarkEnd w:id="24"/>
    </w:p>
    <w:p w14:paraId="1FAC7DCB" w14:textId="761C33EB" w:rsidR="00855EA1" w:rsidRPr="005B65DF" w:rsidRDefault="00D87012" w:rsidP="001A5FED">
      <w:r>
        <w:rPr>
          <w:noProof/>
        </w:rPr>
        <w:pict w14:anchorId="6501D2DC">
          <v:shape id="_x0000_s1028" type="#_x0000_t202" style="position:absolute;left:0;text-align:left;margin-left:32.95pt;margin-top:609.35pt;width:424.8pt;height:13.8pt;z-index:251661312;mso-position-horizontal-relative:text;mso-position-vertical-relative:text" wrapcoords="-38 0 -38 21016 21600 21016 21600 0 -38 0" stroked="f">
            <v:textbox style="mso-next-textbox:#_x0000_s1028;mso-fit-shape-to-text:t" inset="0,0,0,0">
              <w:txbxContent>
                <w:p w14:paraId="78C38EC7" w14:textId="42EE380C" w:rsidR="00D87012" w:rsidRPr="00F50C8F" w:rsidRDefault="00D87012" w:rsidP="00375B4D">
                  <w:pPr>
                    <w:pStyle w:val="Caption"/>
                    <w:rPr>
                      <w:noProof/>
                      <w:szCs w:val="24"/>
                    </w:rPr>
                  </w:pPr>
                  <w:bookmarkStart w:id="25" w:name="_Toc185830"/>
                  <w:r>
                    <w:t xml:space="preserve">Figure </w:t>
                  </w:r>
                  <w:fldSimple w:instr=" STYLEREF 1 \s ">
                    <w:r w:rsidR="00FC3CCD">
                      <w:rPr>
                        <w:noProof/>
                      </w:rPr>
                      <w:t>1</w:t>
                    </w:r>
                  </w:fldSimple>
                  <w:r w:rsidR="00216C1B">
                    <w:noBreakHyphen/>
                  </w:r>
                  <w:fldSimple w:instr=" SEQ Figure \* ARABIC \s 1 ">
                    <w:r w:rsidR="00FC3CCD">
                      <w:rPr>
                        <w:noProof/>
                      </w:rPr>
                      <w:t>2</w:t>
                    </w:r>
                  </w:fldSimple>
                  <w:r>
                    <w:t xml:space="preserve">. </w:t>
                  </w:r>
                  <w:r w:rsidRPr="00BA7EEB">
                    <w:t>Chinchilla ossicles and middle ear muscles</w:t>
                  </w:r>
                  <w:r>
                    <w:t>.</w:t>
                  </w:r>
                  <w:bookmarkEnd w:id="25"/>
                </w:p>
              </w:txbxContent>
            </v:textbox>
            <w10:wrap type="topAndBottom"/>
          </v:shape>
        </w:pict>
      </w:r>
      <w:r w:rsidR="00183731" w:rsidRPr="005B65DF">
        <w:rPr>
          <w:noProof/>
          <w:lang w:bidi="ar-SA"/>
        </w:rPr>
        <w:drawing>
          <wp:anchor distT="0" distB="0" distL="114300" distR="114300" simplePos="0" relativeHeight="251706880" behindDoc="0" locked="0" layoutInCell="1" allowOverlap="1" wp14:anchorId="01D3242F" wp14:editId="2785127D">
            <wp:simplePos x="0" y="0"/>
            <wp:positionH relativeFrom="column">
              <wp:posOffset>379540</wp:posOffset>
            </wp:positionH>
            <wp:positionV relativeFrom="paragraph">
              <wp:posOffset>4161509</wp:posOffset>
            </wp:positionV>
            <wp:extent cx="4699000" cy="348932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699000" cy="3489325"/>
                    </a:xfrm>
                    <a:prstGeom prst="rect">
                      <a:avLst/>
                    </a:prstGeom>
                  </pic:spPr>
                </pic:pic>
              </a:graphicData>
            </a:graphic>
            <wp14:sizeRelH relativeFrom="margin">
              <wp14:pctWidth>0</wp14:pctWidth>
            </wp14:sizeRelH>
            <wp14:sizeRelV relativeFrom="margin">
              <wp14:pctHeight>0</wp14:pctHeight>
            </wp14:sizeRelV>
          </wp:anchor>
        </w:drawing>
      </w:r>
      <w:r w:rsidR="001A5FED" w:rsidRPr="005B65DF">
        <w:t>T</w:t>
      </w:r>
      <w:r w:rsidR="0035104F" w:rsidRPr="005B65DF">
        <w:t xml:space="preserve">he chinchilla MEMR </w:t>
      </w:r>
      <w:r w:rsidR="001A5FED" w:rsidRPr="005B65DF">
        <w:t xml:space="preserve">has been studied </w:t>
      </w:r>
      <w:r w:rsidR="0035104F" w:rsidRPr="005B65DF">
        <w:t xml:space="preserve">using the round window recorded cochlear microphonic, </w:t>
      </w:r>
      <w:r w:rsidR="00DC7AA7" w:rsidRPr="005B65DF">
        <w:t>a response to sound generated by hair cells that can be measured via microphone at the round window</w:t>
      </w:r>
      <w:r w:rsidR="00247B6B" w:rsidRPr="005B65DF">
        <w:t xml:space="preserve"> </w:t>
      </w:r>
      <w:r w:rsidR="00247B6B" w:rsidRPr="005B65DF">
        <w:fldChar w:fldCharType="begin" w:fldLock="1"/>
      </w:r>
      <w:r w:rsidR="00E01826" w:rsidRPr="005B65DF">
        <w:instrText>ADDIN CSL_CITATION {"citationItems":[{"id":"ITEM-1","itemData":{"DOI":"10.1016/S0196-0709(81)80003-8","ISSN":"01960709","PMID":"7246916","abstract":"Using the round window-recorded cochlear microphonic as the index of acoustic reflex activity, we noted a decay in the strength of middle ear muscle contraction in the chinchilla following an eight hour exposure to octave band noise (500 Hz. center frequency, 95 dB. sound pressure level). On the basis of this observation it was concluded that the prolonged exposure reduced the effectiveness of the acoustic reflex in protecting the cochlea. This reduction, however, may have been underestimated if the exposure was also sufficient to reduce cochlear output. The present investigation examined this possibility by comparing the effects of a similar exposure in chinchillas with intact (normal) and severed middle ear muscles. Following exposure, the cochlear microphonic magnitude increased slightly in the normal group. Decreases in the cochlear microphonic were observed in the animals with severed muscles even when the overall exposure level was reduced to simulate the effects of middle ear muscle contraction. These findings indicate that although the muscles did afford some degree of protection to the cochlea during the exposure, the protective effects of the acoustic reflex may have been reduced even beyond our original observations.","author":[{"dropping-particle":"","family":"Ferraro","given":"J a","non-dropping-particle":"","parse-names":false,"suffix":""},{"dropping-particle":"","family":"Melnick","given":"W","non-dropping-particle":"","parse-names":false,"suffix":""},{"dropping-particle":"","family":"Gerhardt","given":"K R","non-dropping-particle":"","parse-names":false,"suffix":""}],"container-title":"American journal of otolaryngology","id":"ITEM-1","issue":"1","issued":{"date-parts":[["1981"]]},"page":"13-18","title":"Effects of prolonged noise exposure in chinchillas with severed middle ear muscles.","type":"article-journal","volume":"2"},"uris":["http://www.mendeley.com/documents/?uuid=0aea8aba-b9ae-48a5-bb45-ed15000ff4ca"]}],"mendeley":{"formattedCitation":"(Ferraro et al., 1981)","plainTextFormattedCitation":"(Ferraro et al., 1981)","previouslyFormattedCitation":"(Ferraro et al., 1981)"},"properties":{"noteIndex":0},"schema":"https://github.com/citation-style-language/schema/raw/master/csl-citation.json"}</w:instrText>
      </w:r>
      <w:r w:rsidR="00247B6B" w:rsidRPr="005B65DF">
        <w:fldChar w:fldCharType="separate"/>
      </w:r>
      <w:r w:rsidR="009D66ED" w:rsidRPr="005B65DF">
        <w:rPr>
          <w:noProof/>
        </w:rPr>
        <w:t>(Ferraro et al., 1981)</w:t>
      </w:r>
      <w:r w:rsidR="00247B6B" w:rsidRPr="005B65DF">
        <w:fldChar w:fldCharType="end"/>
      </w:r>
      <w:r w:rsidR="0035104F" w:rsidRPr="005B65DF">
        <w:t>.</w:t>
      </w:r>
      <w:r w:rsidR="00855EA1" w:rsidRPr="005B65DF">
        <w:t xml:space="preserve"> Dissection of chinchilla ears after chronic no</w:t>
      </w:r>
      <w:r w:rsidR="00A771B1" w:rsidRPr="005B65DF">
        <w:t>ise exposure has been performed</w:t>
      </w:r>
      <w:r w:rsidR="00855EA1" w:rsidRPr="005B65DF">
        <w:t xml:space="preserve"> but no hearing tests were administered before euthanasia</w:t>
      </w:r>
      <w:r w:rsidR="001A5FED" w:rsidRPr="005B65DF">
        <w:t xml:space="preserve"> so the damage seen could not be directly related to the level of hearing damage</w:t>
      </w:r>
      <w:r w:rsidR="00855EA1" w:rsidRPr="005B65DF">
        <w:t xml:space="preserve"> </w:t>
      </w:r>
      <w:r w:rsidR="002B4D79" w:rsidRPr="005B65DF">
        <w:fldChar w:fldCharType="begin" w:fldLock="1"/>
      </w:r>
      <w:r w:rsidR="00E01826" w:rsidRPr="005B65DF">
        <w:instrText>ADDIN CSL_CITATION {"citationItems":[{"id":"ITEM-1","itemData":{"DOI":"10.1007/BF00455230","ISSN":"0302-9530","PMID":"485955","abstract":"Chinchillas were exposed to pink noise at levels ranging from 110 dB (for 8 h) to 125 dB (for 1/4 h). After a 3-week survival period, the animals were terminated without anesthesia and tissues were prepared using a soft-surface preparation technique [Axelsson et al., Acta Otolaryngol. 80, 362 (1975)]. Cochlear hair cell damage as well as vascular pathology was slight. On occasion, a vessel or vessel segment was obviously atypical, thus allowing noise-exposed animals to be differentiated from their non-noise-exposed controls. More often, however, differences between animals were more discrete and only evident through a computer analysis of the data. The specific effects of these particular noise-exposure parameters on the cochlear blood supply of the chinchilla will be discussed.","author":[{"dropping-particle":"","family":"Vertes","given":"D","non-dropping-particle":"","parse-names":false,"suffix":""},{"dropping-particle":"","family":"Axelsson","given":"a","non-dropping-particle":"","parse-names":false,"suffix":""},{"dropping-particle":"","family":"Lipscomb","given":"D M","non-dropping-particle":"","parse-names":false,"suffix":""}],"container-title":"Archives of oto-rhino-laryngology","id":"ITEM-1","issue":"1-2","issued":{"date-parts":[["1979"]]},"page":"97-101","title":"Some vascular effects of noise exposure in the chinchilla cochlea.","type":"article-journal","volume":"224"},"uris":["http://www.mendeley.com/documents/?uuid=b6f3ceaf-8a55-4485-a994-63f2a4cd7856"]}],"mendeley":{"formattedCitation":"(Vertes et al., 1979)","plainTextFormattedCitation":"(Vertes et al., 1979)","previouslyFormattedCitation":"(Vertes et al., 1979)"},"properties":{"noteIndex":0},"schema":"https://github.com/citation-style-language/schema/raw/master/csl-citation.json"}</w:instrText>
      </w:r>
      <w:r w:rsidR="002B4D79" w:rsidRPr="005B65DF">
        <w:fldChar w:fldCharType="separate"/>
      </w:r>
      <w:r w:rsidR="009D66ED" w:rsidRPr="005B65DF">
        <w:rPr>
          <w:noProof/>
        </w:rPr>
        <w:t>(Vertes et al., 1979)</w:t>
      </w:r>
      <w:r w:rsidR="002B4D79" w:rsidRPr="005B65DF">
        <w:fldChar w:fldCharType="end"/>
      </w:r>
      <w:r w:rsidR="00855EA1" w:rsidRPr="005B65DF">
        <w:t xml:space="preserve">. Other studies in both guinea pigs and chinchillas relied on trained animal behaviors to determine hearing thresholds rather than directly measuring auditory function </w:t>
      </w:r>
      <w:r w:rsidR="005276AF" w:rsidRPr="005B65DF">
        <w:fldChar w:fldCharType="begin" w:fldLock="1"/>
      </w:r>
      <w:r w:rsidR="00E01826" w:rsidRPr="005B65DF">
        <w:instrText>ADDIN CSL_CITATION {"citationItems":[{"id":"ITEM-1","itemData":{"DOI":"10.1121/1.2017870","author":[{"dropping-particle":"","family":"Burdick","given":"Charles K.","non-dropping-particle":"","parse-names":false,"suffix":""}],"container-title":"The Journal of the Acoustical Society of America","id":"ITEM-1","issue":"S1","issued":{"date-parts":[["1979"]]},"page":"S62","title":"Threshold shifts in chinchillas exposed to octave-band noise centered at 125 Hz for three days","type":"article-journal","volume":"66"},"uris":["http://www.mendeley.com/documents/?uuid=f882ae38-6509-4129-97fc-d235cd38b7df"]},{"id":"ITEM-2","itemData":{"DOI":"10.1016/0378-5955(80)90047-7","ISSN":"03785955","author":[{"dropping-particle":"","family":"Syka","given":"J","non-dropping-particle":"","parse-names":false,"suffix":""},{"dropping-particle":"","family":"Popelář","given":"J.","non-dropping-particle":"","parse-names":false,"suffix":""}],"container-title":"Hearing Research","id":"ITEM-2","issue":"3","issued":{"date-parts":[["1980","10"]]},"page":"205-213","title":"Hearing threshold shifts from prolonged exposure to noise in guinea pigs","type":"article-journal","volume":"3"},"uris":["http://www.mendeley.com/documents/?uuid=828b67a6-6149-4613-83a3-d6f37bbe062b"]}],"mendeley":{"formattedCitation":"(Burdick, 1979; Syka et al., 1980)","plainTextFormattedCitation":"(Burdick, 1979; Syka et al., 1980)","previouslyFormattedCitation":"(Burdick, 1979; Syka et al., 1980)"},"properties":{"noteIndex":0},"schema":"https://github.com/citation-style-language/schema/raw/master/csl-citation.json"}</w:instrText>
      </w:r>
      <w:r w:rsidR="005276AF" w:rsidRPr="005B65DF">
        <w:fldChar w:fldCharType="separate"/>
      </w:r>
      <w:r w:rsidR="009D66ED" w:rsidRPr="005B65DF">
        <w:rPr>
          <w:noProof/>
        </w:rPr>
        <w:t>(Burdick, 1979; Syka et al., 1980)</w:t>
      </w:r>
      <w:r w:rsidR="005276AF" w:rsidRPr="005B65DF">
        <w:fldChar w:fldCharType="end"/>
      </w:r>
      <w:r w:rsidR="00855EA1" w:rsidRPr="005B65DF">
        <w:t xml:space="preserve">. </w:t>
      </w:r>
      <w:r w:rsidR="001A5FED" w:rsidRPr="005B65DF">
        <w:t xml:space="preserve">While this does allow for </w:t>
      </w:r>
      <w:r w:rsidR="00C96A6C" w:rsidRPr="005B65DF">
        <w:t>hearing function to be determined, such results</w:t>
      </w:r>
      <w:r w:rsidR="001A5FED" w:rsidRPr="005B65DF">
        <w:t xml:space="preserve"> </w:t>
      </w:r>
      <w:r w:rsidR="00C96A6C" w:rsidRPr="005B65DF">
        <w:t xml:space="preserve">have a degree of subjectivity as they depend on the </w:t>
      </w:r>
      <w:r w:rsidR="006D390C" w:rsidRPr="005B65DF">
        <w:t xml:space="preserve">quality of the training and the researcher’s </w:t>
      </w:r>
      <w:r w:rsidR="00C96A6C" w:rsidRPr="005B65DF">
        <w:t xml:space="preserve">interpretation of </w:t>
      </w:r>
      <w:r w:rsidR="006D390C" w:rsidRPr="005B65DF">
        <w:t>the</w:t>
      </w:r>
      <w:r w:rsidR="00C96A6C" w:rsidRPr="005B65DF">
        <w:t xml:space="preserve"> animal’s behavior</w:t>
      </w:r>
      <w:r w:rsidR="006D390C" w:rsidRPr="005B65DF">
        <w:t>.</w:t>
      </w:r>
      <w:r w:rsidR="00C96A6C" w:rsidRPr="005B65DF">
        <w:t xml:space="preserve"> </w:t>
      </w:r>
      <w:r w:rsidR="00855EA1" w:rsidRPr="005B65DF">
        <w:t xml:space="preserve">Most studies also keep their stimulus levels below 125 dB, so it is unknown to what degree hearing damage worsens at levels above that point compared to below it </w:t>
      </w:r>
      <w:r w:rsidR="005276AF" w:rsidRPr="005B65DF">
        <w:fldChar w:fldCharType="begin" w:fldLock="1"/>
      </w:r>
      <w:r w:rsidR="00E01826" w:rsidRPr="005B65DF">
        <w:instrText>ADDIN CSL_CITATION {"citationItems":[{"id":"ITEM-1","itemData":{"DOI":"10.1080/00028896709342663","ISSN":"0002-8894","PMID":"6055840","author":[{"dropping-particle":"","family":"Smith","given":"P E","non-dropping-particle":"","parse-names":false,"suffix":""}],"container-title":"American Industrial Hygiene Association journal","id":"ITEM-1","issue":"5","issued":{"date-parts":[["2015"]]},"page":"447-451","title":"Temporary threshold shift produced by exposure to high-frequency noise.","type":"article-journal","volume":"28"},"uris":["http://www.mendeley.com/documents/?uuid=984fbb70-be16-4e32-9a8f-13a5d733301b"]},{"id":"ITEM-2","itemData":{"DOI":"10.1016/j.bbr.2015.02.046","ISSN":"01664328","author":[{"dropping-particle":"","family":"Rybalko","given":"Natalia","non-dropping-particle":"","parse-names":false,"suffix":""},{"dropping-particle":"","family":"Chumak","given":"Tetyana","non-dropping-particle":"","parse-names":false,"suffix":""},{"dropping-particle":"","family":"Bureš","given":"Zbyněk","non-dropping-particle":"","parse-names":false,"suffix":""},{"dropping-particle":"","family":"Popelář","given":"Jiří","non-dropping-particle":"","parse-names":false,"suffix":""},{"dropping-particle":"","family":"Šuta","given":"Daniel","non-dropping-particle":"","parse-names":false,"suffix":""},{"dropping-particle":"","family":"Syka","given":"Josef","non-dropping-particle":"","parse-names":false,"suffix":""}],"container-title":"Behavioural Brain Research","id":"ITEM-2","issued":{"date-parts":[["2015","6"]]},"page":"212-221","title":"Development of the acoustic startle response in rats and its change after early acoustic trauma","type":"article-journal","volume":"286"},"uris":["http://www.mendeley.com/documents/?uuid=77cb6497-3f0d-4e51-a055-b9d1e3f16e3d"]},{"id":"ITEM-3","itemData":{"DOI":"10.1016/S0196-0709(81)80003-8","ISSN":"01960709","PMID":"7246916","abstract":"Using the round window-recorded cochlear microphonic as the index of acoustic reflex activity, we noted a decay in the strength of middle ear muscle contraction in the chinchilla following an eight hour exposure to octave band noise (500 Hz. center frequency, 95 dB. sound pressure level). On the basis of this observation it was concluded that the prolonged exposure reduced the effectiveness of the acoustic reflex in protecting the cochlea. This reduction, however, may have been underestimated if the exposure was also sufficient to reduce cochlear output. The present investigation examined this possibility by comparing the effects of a similar exposure in chinchillas with intact (normal) and severed middle ear muscles. Following exposure, the cochlear microphonic magnitude increased slightly in the normal group. Decreases in the cochlear microphonic were observed in the animals with severed muscles even when the overall exposure level was reduced to simulate the effects of middle ear muscle contraction. These findings indicate that although the muscles did afford some degree of protection to the cochlea during the exposure, the protective effects of the acoustic reflex may have been reduced even beyond our original observations.","author":[{"dropping-particle":"","family":"Ferraro","given":"J a","non-dropping-particle":"","parse-names":false,"suffix":""},{"dropping-particle":"","family":"Melnick","given":"W","non-dropping-particle":"","parse-names":false,"suffix":""},{"dropping-particle":"","family":"Gerhardt","given":"K R","non-dropping-particle":"","parse-names":false,"suffix":""}],"container-title":"American journal of otolaryngology","id":"ITEM-3","issue":"1","issued":{"date-parts":[["1981"]]},"page":"13-18","title":"Effects of prolonged noise exposure in chinchillas with severed middle ear muscles.","type":"article-journal","volume":"2"},"uris":["http://www.mendeley.com/documents/?uuid=0aea8aba-b9ae-48a5-bb45-ed15000ff4ca"]},{"id":"ITEM-4","itemData":{"DOI":"10.1121/1.401677","ISSN":"00014966","PMID":"1669963","abstract":"The relative hazard posed to the peripheral auditory system by impact/impulse and continuous noise of the same power spectrum was determined. Impact noise was generated by striking a nail with a hammer and was digitally recorded. The acoustical power spectrum of the impact was determined and pink noise was filtered to produce a continuous noise stimulus with the same acoustic power spectrum. Pre-exposure auditory evoked response (AER) thresholds were obtained at 1, 2, 4, and 8 kHz on 16 adult chinchillas. The pool of animals was divided into two equal groups based upon pre-exposure AER thresholds. One group was exposed to impact noise and the other group to the filtered pink noise. Exposures were 4 h/day for 5 days. Thirty days following the exposure, auditory evoked response thresholds were remeasured. Changes in auditory sensitivity were determined by subtracting the pre-exposure thresholds from the post-exposure thresholds. Hearing threshold shifts of the impact noise group were significantly greater (p less than 0.0001) than the hearing threshold shifts of the continuous noise group. These data indicate a need to more closely examine the parameters and effects of impact noise. There may be a need to develop expanded damage-risk criteria for occupational exposure to impulse/impact noise.","author":[{"dropping-particle":"","family":"Dunn","given":"D E","non-dropping-particle":"","parse-names":false,"suffix":""},{"dropping-particle":"","family":"Davis","given":"R R","non-dropping-particle":"","parse-names":false,"suffix":""},{"dropping-particle":"","family":"Merry","given":"C J","non-dropping-particle":"","parse-names":false,"suffix":""},{"dropping-particle":"","family":"Franks","given":"J R","non-dropping-particle":"","parse-names":false,"suffix":""}],"container-title":"The Journal of the Acoustical Society of America","id":"ITEM-4","issue":"4 Pt 1","issued":{"date-parts":[["1991"]]},"page":"1979-1985","title":"Hearing loss in the chinchilla from impact and continuous noise exposure.","type":"article-journal","volume":"90"},"uris":["http://www.mendeley.com/documents/?uuid=77c8be7c-63a6-40e9-869d-3ab458a2b286"]}],"mendeley":{"formattedCitation":"(Dunn et al., 1991; Ferraro et al., 1981; Rybalko et al., 2015; P. E. Smith, 2015)","plainTextFormattedCitation":"(Dunn et al., 1991; Ferraro et al., 1981; Rybalko et al., 2015; P. E. Smith, 2015)","previouslyFormattedCitation":"(Dunn et al., 1991; Ferraro et al., 1981; Rybalko et al., 2015; P. E. Smith, 2015)"},"properties":{"noteIndex":0},"schema":"https://github.com/citation-style-language/schema/raw/master/csl-citation.json"}</w:instrText>
      </w:r>
      <w:r w:rsidR="005276AF" w:rsidRPr="005B65DF">
        <w:fldChar w:fldCharType="separate"/>
      </w:r>
      <w:r w:rsidR="009D66ED" w:rsidRPr="005B65DF">
        <w:rPr>
          <w:noProof/>
        </w:rPr>
        <w:t xml:space="preserve">(Dunn et </w:t>
      </w:r>
      <w:r w:rsidR="009D66ED" w:rsidRPr="005B65DF">
        <w:rPr>
          <w:noProof/>
        </w:rPr>
        <w:lastRenderedPageBreak/>
        <w:t>al., 1991; Ferraro et al., 1981; Rybalko et al., 2015; P. E. Smith, 2015)</w:t>
      </w:r>
      <w:r w:rsidR="005276AF" w:rsidRPr="005B65DF">
        <w:fldChar w:fldCharType="end"/>
      </w:r>
      <w:r w:rsidR="00855EA1" w:rsidRPr="005B65DF">
        <w:t>.</w:t>
      </w:r>
      <w:r w:rsidR="00375B4D" w:rsidRPr="005B65DF">
        <w:rPr>
          <w:noProof/>
          <w:lang w:bidi="ar-SA"/>
        </w:rPr>
        <w:t xml:space="preserve"> </w:t>
      </w:r>
      <w:r w:rsidR="00775AAB" w:rsidRPr="005B65DF">
        <w:t>Since</w:t>
      </w:r>
      <w:r w:rsidR="00DC7AA7" w:rsidRPr="005B65DF">
        <w:t xml:space="preserve"> EMG allows for quantifications of changes in hearing ability, such as shifts in MEMR thresholds and changes in the strength of muscle activation as measured by the strength of the measured electrical signal, it may yield a more valuable assessment of hearing damage than currently exists for the case of high intensity noise exposure.</w:t>
      </w:r>
    </w:p>
    <w:p w14:paraId="3762884C" w14:textId="375F4B49" w:rsidR="004C7308" w:rsidRPr="005B65DF" w:rsidRDefault="00855EA1" w:rsidP="00855EA1">
      <w:r w:rsidRPr="005B65DF">
        <w:t xml:space="preserve">The activity and utility of the MEMR in response to noise has been extensively studied, but no data is available for blast stimulation of the ear. </w:t>
      </w:r>
      <w:r w:rsidR="00121911" w:rsidRPr="005B65DF">
        <w:t>M</w:t>
      </w:r>
      <w:r w:rsidRPr="005B65DF">
        <w:t xml:space="preserve">ethods </w:t>
      </w:r>
      <w:r w:rsidR="00121911" w:rsidRPr="005B65DF">
        <w:t xml:space="preserve">of measuring the activation of the MEMR in response to intense sounds have been used </w:t>
      </w:r>
      <w:r w:rsidRPr="005B65DF">
        <w:t xml:space="preserve">in a variety of animal models including guinea pigs, cats, rabbits, and chinchillas </w:t>
      </w:r>
      <w:r w:rsidR="00172971" w:rsidRPr="005B65DF">
        <w:fldChar w:fldCharType="begin" w:fldLock="1"/>
      </w:r>
      <w:r w:rsidR="00E01826" w:rsidRPr="005B65DF">
        <w:instrText>ADDIN CSL_CITATION {"citationItems":[{"id":"ITEM-1","itemData":{"DOI":"10.1016/0378-5955(92)90102-S","ISSN":"03785955","PMID":"1629047","abstract":"The attenuation of incoming sounds induced by acoustic reflex triggering was evaluated from the cochlear microphonic response to test tones in 45 awake guinea-pigs. Although control electromyographic measurements proved that the stapedius muscle was contracting, neither impedance changes nor attenuation induced by contralateral reflex-eliciting sounds were detectable in 30 cases out of 45. For ipsi- and bilateral stimulations, an attenuation was detectable for 7 guinea-pigs out of 10. In the guinea-pigs for which a reflex-induced change was found on CM, the mean attenuation was weak i.e. of the order of 2 dB at 20 dB above reflex threshold. These results were quite different from those obtained during control experiments in the rabbit for which CM attenuation was much larger. However, large attenuations associated with middle ear muscle contractions were found in the guinea-pig in other circumstances, i.e. during self-vocalization or when spontaneous muscle contractions occurred during anaesthesia. It is concluded that middle ear muscles can have several different functions, and that even when it exists, attenuation of loud sounds might not be their primary role.","author":[{"dropping-particle":"","family":"Avan","given":"P.","non-dropping-particle":"","parse-names":false,"suffix":""},{"dropping-particle":"","family":"Loth","given":"D.","non-dropping-particle":"","parse-names":false,"suffix":""},{"dropping-particle":"","family":"Menguy","given":"C.","non-dropping-particle":"","parse-names":false,"suffix":""},{"dropping-particle":"","family":"Teyssou","given":"M.","non-dropping-particle":"","parse-names":false,"suffix":""}],"container-title":"Hearing Research","id":"ITEM-1","issue":"1","issued":{"date-parts":[["1992"]]},"page":"59-69","title":"Hypothetical roles of middle ear muscles in the guinea-pig","type":"article-journal","volume":"59"},"uris":["http://www.mendeley.com/documents/?uuid=42226f30-4af0-4539-b1ff-f1c43b053470"]},{"id":"ITEM-2","itemData":{"DOI":"10.1016/0378-5955(87)90031-1","ISBN":"0378-5955 (Print)","ISSN":"03785955","PMID":"3558137","abstract":"Electromyographic activity (EMG) was used to monitor contractions of the stapedius muscle evoked by both ipsilateral and contralateral sound in ketamine-anesthetized or decerebrate cats. After the onset of a continuing tone, stapedius EMG often had bursts of activity at regular intervals; similar bursts were also observed in the EMG from the tensor tympani muscle. Plots of the r.m.s. amplitude of stapedius-EMG versus sound level usually had a steep rising phase (small dynamic range) and a plateau at high sound levels. For sound stimulation at 1 kHz, the crossed stapedius reflex had a lower maximum amplitude (ave. amplitude ratio: 0.37) and a higher threshold (ave. 8 dB) than the uncrossed reflex. Since the uncrossed reflex evokes considerably more stapedius EMG than does the crossed reflex, it probably produces correspondingly greater changes in middle-ear sound transmission.","author":[{"dropping-particle":"","family":"Guinan","given":"J J","non-dropping-particle":"","parse-names":false,"suffix":""},{"dropping-particle":"","family":"McCue","given":"M P","non-dropping-particle":"","parse-names":false,"suffix":""}],"container-title":"Hearing research","id":"ITEM-2","issue":"1","issued":{"date-parts":[["1987"]]},"page":"1-10","title":"Asymmetries in the acoustic reflexes of the cat stapedius muscle.","type":"article-journal","volume":"26"},"uris":["http://www.mendeley.com/documents/?uuid=8f1106c9-e210-466d-a80c-e6e0aa3ece25"]},{"id":"ITEM-3","itemData":{"ISSN":"00016772","PMID":"5029376","author":[{"dropping-particle":"","family":"Teig","given":"E","non-dropping-particle":"","parse-names":false,"suffix":""}],"container-title":"Acta physiologica Scandinavica","id":"ITEM-3","issue":"1","issued":{"date-parts":[["1972"]]},"page":"11-21","title":"Tension and contraction time of motor units of the middle ear muscles in the cat.","type":"article-journal","volume":"84"},"uris":["http://www.mendeley.com/documents/?uuid=58df89bc-6882-46e7-b9a1-f62546802f21"]},{"id":"ITEM-4","itemData":{"DOI":"10.1044/jshr.2201.63","ISSN":"1092-4388","author":[{"dropping-particle":"","family":"Gerhardt","given":"Kenneth J.","non-dropping-particle":"","parse-names":false,"suffix":""},{"dropping-particle":"","family":"Melnick","given":"William","non-dropping-particle":"","parse-names":false,"suffix":""},{"dropping-particle":"","family":"Ferraro","given":"John A.","non-dropping-particle":"","parse-names":false,"suffix":""}],"container-title":"Journal of Speech Language and Hearing Research","id":"ITEM-4","issue":"1","issued":{"date-parts":[["1979","3","1"]]},"page":"63","title":"Reflex Threshold Shift in Chinchillas Following a Prolonged Exposure to Noise","type":"article-journal","volume":"22"},"uris":["http://www.mendeley.com/documents/?uuid=2e5d1e45-82cd-4269-a165-82d8ae69275a"]}],"mendeley":{"formattedCitation":"(Avan et al., 1992; Gerhardt et al., 1979; Guinan et al., 1987; Teig, 1972)","plainTextFormattedCitation":"(Avan et al., 1992; Gerhardt et al., 1979; Guinan et al., 1987; Teig, 1972)","previouslyFormattedCitation":"(Avan et al., 1992; Gerhardt et al., 1979; Guinan et al., 1987; Teig, 1972)"},"properties":{"noteIndex":0},"schema":"https://github.com/citation-style-language/schema/raw/master/csl-citation.json"}</w:instrText>
      </w:r>
      <w:r w:rsidR="00172971" w:rsidRPr="005B65DF">
        <w:fldChar w:fldCharType="separate"/>
      </w:r>
      <w:r w:rsidR="009D66ED" w:rsidRPr="005B65DF">
        <w:rPr>
          <w:noProof/>
        </w:rPr>
        <w:t>(Avan et al., 1992; Gerhardt et al., 1979; Guinan et al., 1987; Teig, 1972)</w:t>
      </w:r>
      <w:r w:rsidR="00172971" w:rsidRPr="005B65DF">
        <w:fldChar w:fldCharType="end"/>
      </w:r>
      <w:r w:rsidRPr="005B65DF">
        <w:t xml:space="preserve">. Humans undergoing ear surgery have had electrodes inserted to determine the criteria necessary for reflex activation </w:t>
      </w:r>
      <w:r w:rsidR="00172971" w:rsidRPr="005B65DF">
        <w:fldChar w:fldCharType="begin" w:fldLock="1"/>
      </w:r>
      <w:r w:rsidR="006F5529" w:rsidRPr="005B65DF">
        <w:instrText>ADDIN CSL_CITATION {"citationItems":[{"id":"ITEM-1","itemData":{"DOI":"10.3109/05384916509070162","ISSN":"1499-2027","author":[{"dropping-particle":"","family":"Djupesland","given":"Gisle","non-dropping-particle":"","parse-names":false,"suffix":""}],"container-title":"International Journal of Audiology","id":"ITEM-1","issue":"1","issued":{"date-parts":[["1965","1"]]},"page":"34-41","title":"Electromyography of the Tympanic Muscles in Man","type":"article-journal","volume":"4"},"uris":["http://www.mendeley.com/documents/?uuid=a60b5e05-c372-4eaf-b560-cebc232860cf"]}],"mendeley":{"formattedCitation":"(Djupesland, 1965)","plainTextFormattedCitation":"(Djupesland, 1965)","previouslyFormattedCitation":"(Djupesland, 1965)"},"properties":{"noteIndex":0},"schema":"https://github.com/citation-style-language/schema/raw/master/csl-citation.json"}</w:instrText>
      </w:r>
      <w:r w:rsidR="00172971" w:rsidRPr="005B65DF">
        <w:fldChar w:fldCharType="separate"/>
      </w:r>
      <w:r w:rsidR="00172971" w:rsidRPr="005B65DF">
        <w:rPr>
          <w:noProof/>
        </w:rPr>
        <w:t>(Djupesland, 1965)</w:t>
      </w:r>
      <w:r w:rsidR="00172971" w:rsidRPr="005B65DF">
        <w:fldChar w:fldCharType="end"/>
      </w:r>
      <w:r w:rsidRPr="005B65DF">
        <w:t xml:space="preserve">. </w:t>
      </w:r>
      <w:r w:rsidR="00775AAB" w:rsidRPr="005B65DF">
        <w:t>However, n</w:t>
      </w:r>
      <w:r w:rsidRPr="005B65DF">
        <w:t xml:space="preserve">o studies seem to have addressed the case of blast stimulation; most use acoustic stimulation at levels that are insufficient to cause hearing loss. </w:t>
      </w:r>
      <w:r w:rsidR="003B6FE5" w:rsidRPr="005B65DF">
        <w:t xml:space="preserve">This may be partly due to limitations of the ART method, which generally relies on an operator to hold the probe in its proper place, </w:t>
      </w:r>
      <w:r w:rsidR="00DC7AA7" w:rsidRPr="005B65DF">
        <w:t>a procedure that</w:t>
      </w:r>
      <w:r w:rsidR="003B6FE5" w:rsidRPr="005B65DF">
        <w:t xml:space="preserve"> is not feasible in a blast exposure</w:t>
      </w:r>
      <w:r w:rsidR="00DC7AA7" w:rsidRPr="005B65DF">
        <w:t xml:space="preserve"> test without significant risk management</w:t>
      </w:r>
      <w:r w:rsidR="003B6FE5" w:rsidRPr="005B65DF">
        <w:t xml:space="preserve">. </w:t>
      </w:r>
      <w:r w:rsidRPr="005B65DF">
        <w:t>There is no data to show how the stapedius responds to high amplitude impulse sound</w:t>
      </w:r>
      <w:r w:rsidR="000672D4" w:rsidRPr="005B65DF">
        <w:t>, but such data would contribute to an understanding of how effectively, if at all, the MEMR can protect from impulse stimuli</w:t>
      </w:r>
      <w:r w:rsidRPr="005B65DF">
        <w:t>.</w:t>
      </w:r>
    </w:p>
    <w:p w14:paraId="26785300" w14:textId="0E40ECBF" w:rsidR="00A36FDE" w:rsidRPr="005B65DF" w:rsidRDefault="00A36FDE" w:rsidP="00F20222">
      <w:pPr>
        <w:pStyle w:val="Heading3"/>
      </w:pPr>
      <w:bookmarkStart w:id="26" w:name="_Toc185897"/>
      <w:r w:rsidRPr="005B65DF">
        <w:t xml:space="preserve">1.4.3 Sedation and its Implications on </w:t>
      </w:r>
      <w:r w:rsidR="009E396E" w:rsidRPr="005B65DF">
        <w:t xml:space="preserve">Ear </w:t>
      </w:r>
      <w:r w:rsidRPr="005B65DF">
        <w:t>Research</w:t>
      </w:r>
      <w:bookmarkEnd w:id="26"/>
    </w:p>
    <w:p w14:paraId="50B17527" w14:textId="785B3C6A" w:rsidR="00A36FDE" w:rsidRPr="005B65DF" w:rsidRDefault="00A36FDE" w:rsidP="00F20222">
      <w:r w:rsidRPr="005B65DF">
        <w:t xml:space="preserve">The EMG electrode insertion procedure here described </w:t>
      </w:r>
      <w:r w:rsidR="00527497" w:rsidRPr="005B65DF">
        <w:t>requires</w:t>
      </w:r>
      <w:r w:rsidRPr="005B65DF">
        <w:t xml:space="preserve"> </w:t>
      </w:r>
      <w:r w:rsidR="00527497" w:rsidRPr="005B65DF">
        <w:t xml:space="preserve">the </w:t>
      </w:r>
      <w:r w:rsidRPr="005B65DF">
        <w:t xml:space="preserve">administration of sedatives to the subjects to achieve and maintain a state of general anesthesia, </w:t>
      </w:r>
      <w:r w:rsidR="00F40C4E" w:rsidRPr="005B65DF">
        <w:t xml:space="preserve">a chemically induced state of unconsciousness wherein the entire subject is rendered insensitive to stimuli </w:t>
      </w:r>
      <w:r w:rsidR="00F40C4E" w:rsidRPr="005B65DF">
        <w:fldChar w:fldCharType="begin" w:fldLock="1"/>
      </w:r>
      <w:r w:rsidR="00A05C8F" w:rsidRPr="005B65DF">
        <w:instrText>ADDIN CSL_CITATION {"citationItems":[{"id":"ITEM-1","itemData":{"ISBN":"978-0-08-045266-1","author":[{"dropping-particle":"","family":"Millard","given":"Pip","non-dropping-particle":"","parse-names":false,"suffix":""}],"container-title":"Clinical Procedures in Veterinary Nursing","edition":"Second","editor":[{"dropping-particle":"","family":"Aspinall","given":"Victoria","non-dropping-particle":"","parse-names":false,"suffix":""}],"id":"ITEM-1","issued":{"date-parts":[["2008"]]},"page":"105-114","publisher":"Elsevier Ltd","title":"Chapter 6: Anaesthetic Procedures","type":"chapter"},"uris":["http://www.mendeley.com/documents/?uuid=e6c691e2-2c1d-4337-8299-d5134461be15"]}],"mendeley":{"formattedCitation":"(Millard, 2008)","plainTextFormattedCitation":"(Millard, 2008)","previouslyFormattedCitation":"(Millard, 2008)"},"properties":{"noteIndex":0},"schema":"https://github.com/citation-style-language/schema/raw/master/csl-citation.json"}</w:instrText>
      </w:r>
      <w:r w:rsidR="00F40C4E" w:rsidRPr="005B65DF">
        <w:fldChar w:fldCharType="separate"/>
      </w:r>
      <w:r w:rsidR="00F40C4E" w:rsidRPr="005B65DF">
        <w:rPr>
          <w:noProof/>
        </w:rPr>
        <w:t>(Millard, 2008)</w:t>
      </w:r>
      <w:r w:rsidR="00F40C4E" w:rsidRPr="005B65DF">
        <w:fldChar w:fldCharType="end"/>
      </w:r>
      <w:r w:rsidR="00F40C4E" w:rsidRPr="005B65DF">
        <w:t xml:space="preserve">. In a deep enough case to be suitable for invasive surgery, many involuntary reflexes will also be suppressed past their normal function during unconsciousness. To induce </w:t>
      </w:r>
      <w:r w:rsidR="00F40C4E" w:rsidRPr="005B65DF">
        <w:lastRenderedPageBreak/>
        <w:t xml:space="preserve">anesthesia, a 35 mg/kg ketamine and 7 mg/kg xylazine cocktail was injected per modern veterinary formulary </w:t>
      </w:r>
      <w:r w:rsidR="00F40C4E" w:rsidRPr="005B65DF">
        <w:fldChar w:fldCharType="begin" w:fldLock="1"/>
      </w:r>
      <w:r w:rsidR="00F40C4E" w:rsidRPr="005B65DF">
        <w:instrText>ADDIN CSL_CITATION {"citationItems":[{"id":"ITEM-1","itemData":{"DOI":"0080559832","ISBN":"0080559832","edition":"2","editor":[{"dropping-particle":"","family":"Richard Fish, Peggy J. Danneman, Marilyn Brown","given":"Alicia Karas","non-dropping-particle":"","parse-names":false,"suffix":""}],"id":"ITEM-1","issued":{"date-parts":[["2011"]]},"publisher":"Academic Press","title":"Anesthesia and Analgesia in Laboratory Animals","type":"book"},"uris":["http://www.mendeley.com/documents/?uuid=751401b9-4aaf-4e8e-9dc3-bc6266adbc6f"]}],"mendeley":{"formattedCitation":"(Richard Fish, Peggy J. Danneman, Marilyn Brown, 2011)","plainTextFormattedCitation":"(Richard Fish, Peggy J. Danneman, Marilyn Brown, 2011)","previouslyFormattedCitation":"(Richard Fish, Peggy J. Danneman, Marilyn Brown, 2011)"},"properties":{"noteIndex":0},"schema":"https://github.com/citation-style-language/schema/raw/master/csl-citation.json"}</w:instrText>
      </w:r>
      <w:r w:rsidR="00F40C4E" w:rsidRPr="005B65DF">
        <w:fldChar w:fldCharType="separate"/>
      </w:r>
      <w:r w:rsidR="00F40C4E" w:rsidRPr="005B65DF">
        <w:rPr>
          <w:noProof/>
        </w:rPr>
        <w:t>(Richard Fish, Peggy J. Danneman, Marilyn Brown, 2011)</w:t>
      </w:r>
      <w:r w:rsidR="00F40C4E" w:rsidRPr="005B65DF">
        <w:fldChar w:fldCharType="end"/>
      </w:r>
      <w:r w:rsidR="00F40C4E" w:rsidRPr="005B65DF">
        <w:t xml:space="preserve">. Ketamine is a dissociative agent that produces light anesthesia along with analgesia, suppressing the capacity to feel pain </w:t>
      </w:r>
      <w:r w:rsidR="00F40C4E" w:rsidRPr="005B65DF">
        <w:fldChar w:fldCharType="begin" w:fldLock="1"/>
      </w:r>
      <w:r w:rsidR="00A05C8F" w:rsidRPr="005B65DF">
        <w:instrText>ADDIN CSL_CITATION {"citationItems":[{"id":"ITEM-1","itemData":{"ISBN":"978-0-08-045266-1","author":[{"dropping-particle":"","family":"Millard","given":"Pip","non-dropping-particle":"","parse-names":false,"suffix":""}],"container-title":"Clinical Procedures in Veterinary Nursing","edition":"Second","editor":[{"dropping-particle":"","family":"Aspinall","given":"Victoria","non-dropping-particle":"","parse-names":false,"suffix":""}],"id":"ITEM-1","issued":{"date-parts":[["2008"]]},"page":"105-114","publisher":"Elsevier Ltd","title":"Chapter 6: Anaesthetic Procedures","type":"chapter"},"uris":["http://www.mendeley.com/documents/?uuid=e6c691e2-2c1d-4337-8299-d5134461be15"]}],"mendeley":{"formattedCitation":"(Millard, 2008)","plainTextFormattedCitation":"(Millard, 2008)","previouslyFormattedCitation":"(Millard, 2008)"},"properties":{"noteIndex":0},"schema":"https://github.com/citation-style-language/schema/raw/master/csl-citation.json"}</w:instrText>
      </w:r>
      <w:r w:rsidR="00F40C4E" w:rsidRPr="005B65DF">
        <w:fldChar w:fldCharType="separate"/>
      </w:r>
      <w:r w:rsidR="00F40C4E" w:rsidRPr="005B65DF">
        <w:rPr>
          <w:noProof/>
        </w:rPr>
        <w:t>(Millard, 2008)</w:t>
      </w:r>
      <w:r w:rsidR="00F40C4E" w:rsidRPr="005B65DF">
        <w:fldChar w:fldCharType="end"/>
      </w:r>
      <w:r w:rsidR="00F40C4E" w:rsidRPr="005B65DF">
        <w:t>. Xylazine is an alpha-2 agonist which supplements ketamine to produce a full state of anesthesia</w:t>
      </w:r>
      <w:r w:rsidR="00835283" w:rsidRPr="005B65DF">
        <w:t>. Because ketamine is metabolized more quickly than xylazine, subsequent maintenance doses only include ketamine. While this mixture and dosage is capable of fully sedating a chinchilla within a minute, bringing it to a level where surgery can be safely performed, it is important to consider the ramifications of sedation on muscle reflex studies.</w:t>
      </w:r>
    </w:p>
    <w:p w14:paraId="5A28EEE7" w14:textId="3470B375" w:rsidR="009741E0" w:rsidRPr="005B65DF" w:rsidRDefault="00740ECF" w:rsidP="00F20222">
      <w:r w:rsidRPr="005B65DF">
        <w:t>A rat study compared a ketamine/xylazine cocktail, isoflurane, and pentobarbital as sedatives for hearing tests</w:t>
      </w:r>
      <w:r w:rsidR="009E396E" w:rsidRPr="005B65DF">
        <w:t xml:space="preserve"> including the contralateral MEMR</w:t>
      </w:r>
      <w:r w:rsidRPr="005B65DF">
        <w:t xml:space="preserve"> </w:t>
      </w:r>
      <w:r w:rsidRPr="005B65DF">
        <w:fldChar w:fldCharType="begin" w:fldLock="1"/>
      </w:r>
      <w:r w:rsidR="009E396E" w:rsidRPr="005B65DF">
        <w:instrText>ADDIN CSL_CITATION {"citationItems":[{"id":"ITEM-1","itemData":{"DOI":"10.1016/j.ntt.2012.11.002","ISBN":"1872-9738 (Electronic)\\r0892-0362 (Linking)","ISSN":"08920362","PMID":"23183362","abstract":"Toluene (Tol) is an organic solvent widely used in the industry. It is also abused as an inhaled solvent, and can have deleterious effects on hearing. Recently, it was demonstrated that Tol has both anticholinergic and antiglutamatergic effects, and that it also inhibits voltage-dependent Ca2+channels. This paper describes a study of the effects of inhaled Tol on rats anesthetized with isoflurane, pentobarbital, or a mixture of ketamine/xylazine. Hearing was tested using distortion product oto-acoustic emissions (DPOAEs) associated with a contralateral noise to evaluate contraction of the middle-ear muscles. This allowed us to assess the interactions between the effects of Tol and anesthesia on the central nervous system (CNS). Although both anesthetics and Tol are known to inhibit the middle-ear acoustic reflex, our data indicated that inhaled Tol counterbalances the effects of anesthetic in a dose-dependent manner. In other terms, Tol can increase the amplitude of the middle-ear reflex in anesthetized rats, whatever the nature of the anesthetic used. This indicates that inhaling Tol (a Ca2+-channel-blocking drug) modifies the potency of anesthesia, and thereby the amplitude of the middle-ear reflex. © 2012 Elsevier Inc.","author":[{"dropping-particle":"","family":"Campo","given":"Pierre","non-dropping-particle":"","parse-names":false,"suffix":""},{"dropping-particle":"","family":"Venet","given":"Thomas","non-dropping-particle":"","parse-names":false,"suffix":""},{"dropping-particle":"","family":"Thomas","given":"Aurélie","non-dropping-particle":"","parse-names":false,"suffix":""},{"dropping-particle":"","family":"Cour","given":"Chantal","non-dropping-particle":"","parse-names":false,"suffix":""},{"dropping-particle":"","family":"Castel","given":"Blandine","non-dropping-particle":"","parse-names":false,"suffix":""},{"dropping-particle":"","family":"Nunge","given":"Hervé","non-dropping-particle":"","parse-names":false,"suffix":""},{"dropping-particle":"","family":"Cosnier","given":"Frédéric","non-dropping-particle":"","parse-names":false,"suffix":""}],"container-title":"Neurotoxicology and Teratology","id":"ITEM-1","issue":"1","issued":{"date-parts":[["2013"]]},"page":"1-6","publisher":"Elsevier Inc.","title":"Inhaled toluene can modulate the effects of anesthetics on the middle-ear acoustic reflex","type":"article-journal","volume":"35"},"uris":["http://www.mendeley.com/documents/?uuid=c19513eb-f1c0-427f-a7d8-ee1ce0fe136a"]}],"mendeley":{"formattedCitation":"(Campo et al., 2013)","plainTextFormattedCitation":"(Campo et al., 2013)","previouslyFormattedCitation":"(Campo et al., 2013)"},"properties":{"noteIndex":0},"schema":"https://github.com/citation-style-language/schema/raw/master/csl-citation.json"}</w:instrText>
      </w:r>
      <w:r w:rsidRPr="005B65DF">
        <w:fldChar w:fldCharType="separate"/>
      </w:r>
      <w:r w:rsidRPr="005B65DF">
        <w:rPr>
          <w:noProof/>
        </w:rPr>
        <w:t>(Campo et al., 2013)</w:t>
      </w:r>
      <w:r w:rsidRPr="005B65DF">
        <w:fldChar w:fldCharType="end"/>
      </w:r>
      <w:r w:rsidRPr="005B65DF">
        <w:t xml:space="preserve">. </w:t>
      </w:r>
      <w:r w:rsidR="009E396E" w:rsidRPr="005B65DF">
        <w:t xml:space="preserve">In this study, the reflex was measured indirectly via the change in distortion product otoacoustic emission (DPOAE) results with or without a MEMR-eliciting stimulus. </w:t>
      </w:r>
      <w:r w:rsidRPr="005B65DF">
        <w:t>While all three depressed the MEMR, the ketamine/xylazine mixture and pentobarbital did so more slowly than the isofluorane.</w:t>
      </w:r>
      <w:r w:rsidR="009E396E" w:rsidRPr="005B65DF">
        <w:t xml:space="preserve"> In another study that compared the ipsilateral and contralateral MEMR responses to a variety of drugs that did not include ketamine/xylazine, the ipsilateral reflex was less severely impacted than the contralateral reflex</w:t>
      </w:r>
      <w:r w:rsidRPr="005B65DF">
        <w:t xml:space="preserve"> </w:t>
      </w:r>
      <w:r w:rsidR="009E396E" w:rsidRPr="005B65DF">
        <w:fldChar w:fldCharType="begin" w:fldLock="1"/>
      </w:r>
      <w:r w:rsidR="00E01826" w:rsidRPr="005B65DF">
        <w:instrText>ADDIN CSL_CITATION {"citationItems":[{"id":"ITEM-1","itemData":{"DOI":"10.1111/j.1748-1716.1975.tb05893.x","ISSN":"00016772","author":[{"dropping-particle":"","family":"Borg","given":"E.","non-dropping-particle":"","parse-names":false,"suffix":""},{"dropping-particle":"","family":"Møller","given":"A. R.","non-dropping-particle":"","parse-names":false,"suffix":""}],"container-title":"Acta Physiologica Scandinavica","id":"ITEM-1","issue":"3","issued":{"date-parts":[["1975","7"]]},"page":"327-338","title":"Effect of Central Depressants on the Acoustic Middle Ear Reflex in Rabbit: A method for quantitative measurements of drug effect on the CNS","type":"article-journal","volume":"94"},"uris":["http://www.mendeley.com/documents/?uuid=91ed6448-2f51-4860-afc2-444729bc5f06"]}],"mendeley":{"formattedCitation":"(Borg et al., 1975)","plainTextFormattedCitation":"(Borg et al., 1975)","previouslyFormattedCitation":"(Borg et al., 1975)"},"properties":{"noteIndex":0},"schema":"https://github.com/citation-style-language/schema/raw/master/csl-citation.json"}</w:instrText>
      </w:r>
      <w:r w:rsidR="009E396E" w:rsidRPr="005B65DF">
        <w:fldChar w:fldCharType="separate"/>
      </w:r>
      <w:r w:rsidR="009D66ED" w:rsidRPr="005B65DF">
        <w:rPr>
          <w:noProof/>
        </w:rPr>
        <w:t>(Borg et al., 1975)</w:t>
      </w:r>
      <w:r w:rsidR="009E396E" w:rsidRPr="005B65DF">
        <w:fldChar w:fldCharType="end"/>
      </w:r>
      <w:r w:rsidR="009E396E" w:rsidRPr="005B65DF">
        <w:t xml:space="preserve">. In all of the present work, only the ipsilateral reflex was measured in hopes that, while somewhat attenuated, attenuation would be minor compared to other sedative options or to the contralateral reflex. This judgement </w:t>
      </w:r>
      <w:r w:rsidR="006C7BBF" w:rsidRPr="005B65DF">
        <w:t xml:space="preserve">echoes </w:t>
      </w:r>
      <w:r w:rsidR="009E396E" w:rsidRPr="005B65DF">
        <w:t>that of a variety of other researchers whose MEMR studies used ketamine</w:t>
      </w:r>
      <w:r w:rsidR="006C7BBF" w:rsidRPr="005B65DF">
        <w:t xml:space="preserve"> and xylazine together for sedation, considering it to be the least harmful option </w:t>
      </w:r>
      <w:r w:rsidR="006C7BBF" w:rsidRPr="005B65DF">
        <w:fldChar w:fldCharType="begin" w:fldLock="1"/>
      </w:r>
      <w:r w:rsidR="00E01826" w:rsidRPr="005B65DF">
        <w:instrText>ADDIN CSL_CITATION {"citationItems":[{"id":"ITEM-1","itemData":{"DOI":"10.1097/AUD.0000000000000520","ISBN":"0000000000000","ISSN":"0196-0202","author":[{"dropping-particle":"","family":"Chertoff","given":"Mark E.","non-dropping-particle":"","parse-names":false,"suffix":""},{"dropping-particle":"","family":"Martz","given":"Ashley","non-dropping-particle":"","parse-names":false,"suffix":""},{"dropping-particle":"","family":"Sakumura","given":"Joey T.","non-dropping-particle":"","parse-names":false,"suffix":""},{"dropping-particle":"","family":"Kamerer","given":"Aryn M.","non-dropping-particle":"","parse-names":false,"suffix":""},{"dropping-particle":"","family":"Diaz","given":"Francisco","non-dropping-particle":"","parse-names":false,"suffix":""}],"container-title":"Ear and Hearing","id":"ITEM-1","issue":"3","issued":{"date-parts":[["2018"]]},"page":"605-614","title":"The Middle Ear Muscle Reflex in Rat","type":"article-journal","volume":"39"},"uris":["http://www.mendeley.com/documents/?uuid=0c0089bc-d035-4891-8a8c-fee2c8032282"]},{"id":"ITEM-2","itemData":{"DOI":"10.1016/0378-5955(92)90102-S","ISSN":"03785955","PMID":"1629047","abstract":"The attenuation of incoming sounds induced by acoustic reflex triggering was evaluated from the cochlear microphonic response to test tones in 45 awake guinea-pigs. Although control electromyographic measurements proved that the stapedius muscle was contracting, neither impedance changes nor attenuation induced by contralateral reflex-eliciting sounds were detectable in 30 cases out of 45. For ipsi- and bilateral stimulations, an attenuation was detectable for 7 guinea-pigs out of 10. In the guinea-pigs for which a reflex-induced change was found on CM, the mean attenuation was weak i.e. of the order of 2 dB at 20 dB above reflex threshold. These results were quite different from those obtained during control experiments in the rabbit for which CM attenuation was much larger. However, large attenuations associated with middle ear muscle contractions were found in the guinea-pig in other circumstances, i.e. during self-vocalization or when spontaneous muscle contractions occurred during anaesthesia. It is concluded that middle ear muscles can have several different functions, and that even when it exists, attenuation of loud sounds might not be their primary role.","author":[{"dropping-particle":"","family":"Avan","given":"P.","non-dropping-particle":"","parse-names":false,"suffix":""},{"dropping-particle":"","family":"Loth","given":"D.","non-dropping-particle":"","parse-names":false,"suffix":""},{"dropping-particle":"","family":"Menguy","given":"C.","non-dropping-particle":"","parse-names":false,"suffix":""},{"dropping-particle":"","family":"Teyssou","given":"M.","non-dropping-particle":"","parse-names":false,"suffix":""}],"container-title":"Hearing Research","id":"ITEM-2","issue":"1","issued":{"date-parts":[["1992"]]},"page":"59-69","title":"Hypothetical roles of middle ear muscles in the guinea-pig","type":"article-journal","volume":"59"},"uris":["http://www.mendeley.com/documents/?uuid=42226f30-4af0-4539-b1ff-f1c43b053470"]},{"id":"ITEM-3","itemData":{"DOI":"10.1109/IEMBS.2004.1404177","ISBN":"0-7803-8439-3","ISSN":"1557-170X","PMID":"17271235","abstract":"The electrical stapedius reflex (ESR) threshold, detected by eardrum acoustic impedance change, is strongly correlated with cochlear implant recipients' behavioral comfort levels. However reports suggest acoustic impedance changes are not detectable in 30-40% of patients. The goals of this study were to develop an animal model and investigate the characteristics of the stapedius muscle electromyogram (SEMG) elicited by a cochlear implant, as an alternative measure of ESR activation. Bipolar tungsten micro wire electrodes recorded the SEMG signal from the stapedius muscle of 6 rats. The cochlea was implanted with a multichannel intracochlear electrode that delivered biphasic electrical pulses. Maximum SEMG potentials were 20-500 microV (mean: 174 microV) or 8-42 dB SNR (mean: 24 dB). The dynamic range of the responses that reached saturation were approximately 10 dB, with threshold inversely dependent on pulse-width and electrode separation. The electrical brainstem response (EABR) threshold was 5.6 dB lower than the ESR threshold on average, but the standard deviation was relatively high (2.4 dB), suggesting that these two signals could provide independent information for objective cochlear implant fitting. Post-operative SEMGs were recorded in several animals; including one animal for up to 63 days. The results suggest the overall feasibility of the approach for objective cochlear implant fitting.","author":[{"dropping-particle":"","family":"Clement","given":"R S","non-dropping-particle":"","parse-names":false,"suffix":""},{"dropping-particle":"","family":"Kipke","given":"D R","non-dropping-particle":"","parse-names":false,"suffix":""}],"container-title":"Conference proceedings : ... Annual International Conference of the IEEE Engineering in Medicine and Biology Society. IEEE Engineering in Medicine and Biology Society. Conference","id":"ITEM-3","issued":{"date-parts":[["2004"]]},"page":"4221-4224","title":"Characteristics of stapedius muscle electromyograms elicited by cochlear implant stimulation in the rat.","type":"article-journal","volume":"6"},"uris":["http://www.mendeley.com/documents/?uuid=f3d26917-1822-455d-a84e-29e915d74a4d"]},{"id":"ITEM-4","itemData":{"DOI":"10.1159/000356174","ISSN":"14219700","PMID":"24335024","abstract":"Objectives: Mediated by the medial olivocochlear system (MOCS), distortion product otoacoustic emission (DPOAE) levels are reduced by presentation of contralateral acoustic stimuli. Such acoustic signals can also evoke a middle ear muscle reflex (MEMR) that also attenuates recorded DPOAE levels. Our aim is to clearly differentiate these two inhibitory mechanisms and to analyze each separately, perhaps allowing the development of novel tests of hearing function. Methods: DPOAE were recorded in real time from chinchillas with normal auditory brainstem response thresholds and middle ear function. Amplitude reduction and its onset latency caused by contralateral presentation of intermittent narrow-band noise (NBN) were measured. Stapedius and tensor tympani muscle tendons were divided without disturbing the ossicular chain, and DPOAE testing was repeated. Results: Peak reduction of (2f1 - f2) DPOAE levels occurred when the center frequency of contralateral NBN approximated the primary tone f2, indicating an f2-frequency-specific response. For a 4.5-kHz centered NBN, DPOAE (f2 = 4.4 kHz) inhibition was 0.1 dB (p &lt; 0.001). This response remained present after tendon division, consistent with an MOCS origin. Low-frequency NBN (center frequency: 0.5 kHz) reduced otoacoustic emission levels (0.1 dB, p &lt; 0.001) across a wide range of DPOAE frequencies. This low-frequency response was abolished by division of the middle ear muscle tendons, clearly indicating MEMR involvement. Conclusions: Following middle ear muscle tendon division, DPOAE inhibition by contralateral stimuli approximating the primary tone f2 persists, whereas responses evoked by lower contralateral frequencies are abolished. This distinguishes the different roles of the MOCS (f2 frequency specific) and MEMR (low frequency only) in contralateral modulation of DPOAE. This analysis helps clarify the pathways involved in an objective test that might have clinical benefit in the testing of neonates. © 2013 S. Karger AG, Basel.","author":[{"dropping-particle":"","family":"Wolter","given":"Nikolaus E.","non-dropping-particle":"","parse-names":false,"suffix":""},{"dropping-particle":"V.","family":"Harrison","given":"Robert","non-dropping-particle":"","parse-names":false,"suffix":""},{"dropping-particle":"","family":"James","given":"Adrian L.","non-dropping-particle":"","parse-names":false,"suffix":""}],"container-title":"Audiology and Neurotology","id":"ITEM-4","issue":"1","issued":{"date-parts":[["2014"]]},"page":"41-48","title":"Separating the contributions of olivocochlear and middle ear muscle reflexes in modulation of distortion product otoacoustic emission levels","type":"article-journal","volume":"19"},"uris":["http://www.mendeley.com/documents/?uuid=54b5ce87-a803-4b8f-aab8-be3436bd0945"]}],"mendeley":{"formattedCitation":"(Avan et al., 1992; Chertoff et al., 2018; R S Clement et al., 2004; Wolter et al., 2014)","plainTextFormattedCitation":"(Avan et al., 1992; Chertoff et al., 2018; R S Clement et al., 2004; Wolter et al., 2014)","previouslyFormattedCitation":"(Avan et al., 1992; Chertoff et al., 2018; R S Clement et al., 2004; Wolter et al., 2014)"},"properties":{"noteIndex":0},"schema":"https://github.com/citation-style-language/schema/raw/master/csl-citation.json"}</w:instrText>
      </w:r>
      <w:r w:rsidR="006C7BBF" w:rsidRPr="005B65DF">
        <w:fldChar w:fldCharType="separate"/>
      </w:r>
      <w:r w:rsidR="009D66ED" w:rsidRPr="005B65DF">
        <w:rPr>
          <w:noProof/>
        </w:rPr>
        <w:t>(Avan et al., 1992; Chertoff et al., 2018; R S Clement et al., 2004; Wolter et al., 2014)</w:t>
      </w:r>
      <w:r w:rsidR="006C7BBF" w:rsidRPr="005B65DF">
        <w:fldChar w:fldCharType="end"/>
      </w:r>
      <w:r w:rsidR="006C7BBF" w:rsidRPr="005B65DF">
        <w:t>.</w:t>
      </w:r>
    </w:p>
    <w:p w14:paraId="727BACEE" w14:textId="57C0F760" w:rsidR="00835283" w:rsidRPr="005B65DF" w:rsidRDefault="00835283" w:rsidP="00F20222">
      <w:r w:rsidRPr="005B65DF">
        <w:t xml:space="preserve">The impact of ketamine/xylazine sedation on ABR results has also been studied. </w:t>
      </w:r>
      <w:r w:rsidR="009741E0" w:rsidRPr="005B65DF">
        <w:t>A rat stu</w:t>
      </w:r>
      <w:r w:rsidR="00740ECF" w:rsidRPr="005B65DF">
        <w:t>dy comparing ketamine to isoflu</w:t>
      </w:r>
      <w:r w:rsidR="009741E0" w:rsidRPr="005B65DF">
        <w:t xml:space="preserve">rane, an inhaled sedative agent, found a significant elevation </w:t>
      </w:r>
      <w:r w:rsidR="009741E0" w:rsidRPr="005B65DF">
        <w:lastRenderedPageBreak/>
        <w:t xml:space="preserve">in ABR thresholds with the isofluorane compared to ketamine on the order of 10-40 dB, depending on frequency </w:t>
      </w:r>
      <w:r w:rsidR="009741E0" w:rsidRPr="005B65DF">
        <w:fldChar w:fldCharType="begin" w:fldLock="1"/>
      </w:r>
      <w:r w:rsidR="00E01826" w:rsidRPr="005B65DF">
        <w:instrText>ADDIN CSL_CITATION {"citationItems":[{"id":"ITEM-1","itemData":{"DOI":"10.1016/j.heares.2012.04.005","ISBN":"1878-5891 (Electronic)\\r0378-5955 (Linking)","ISSN":"03785955","PMID":"22543090","abstract":"The auditory brainstem response (ABR) is an acoustically evoked potential commonly used to determine hearing sensitivity in laboratory animals. Both isoflurane and ketamine/xylazine anesthesia are commonly used to immobilize animals during ABR procedures. Hearing threshold determination is often the primary interest. Although a number of studies have examined the effect of different anesthetics on evoked potential waveforms and growth functions, none have directly compared their effect on ABR hearing threshold estimates. The present study used a within-subject comparison and typical threshold criteria, to examine the effect of isoflurane and ketamine/xylazine on ABR thresholds for clicks and pure-tone stimuli extending from 8 to 32kHz. At comparable physiological doses, hearing thresholds obtained with isoflurane (1.7% in O2) were on average elevated across a broad frequency range by greater than 27dB compared to ketamine/xylazine (ketamine HCl, 50mg/kg; xylazine, 9mg/kg). This highly significant threshold effect (F1,6=158.3403, p=3.51×10-22) demonstrates a substantial difference between general anesthetics on auditory brainstem sensitivity. Potential mechanisms and implications for ABR threshold determination under anesthesia are discussed. © 2012 Elsevier B.V..","author":[{"dropping-particle":"","family":"Ruebhausen","given":"M. R.","non-dropping-particle":"","parse-names":false,"suffix":""},{"dropping-particle":"","family":"Brozoski","given":"T. J.","non-dropping-particle":"","parse-names":false,"suffix":""},{"dropping-particle":"","family":"Bauer","given":"C. A.","non-dropping-particle":"","parse-names":false,"suffix":""}],"container-title":"Hearing Research","id":"ITEM-1","issue":"1-2","issued":{"date-parts":[["2012"]]},"page":"25-29","publisher":"Elsevier B.V.","title":"A comparison of the effects of isoflurane and ketamine anesthesia on auditory brainstem response (ABR) thresholds in rats","type":"article-journal","volume":"287"},"uris":["http://www.mendeley.com/documents/?uuid=f8e456a0-7220-4b60-aa39-e8fa6bf3ab62"]}],"mendeley":{"formattedCitation":"(Ruebhausen et al., 2012)","plainTextFormattedCitation":"(Ruebhausen et al., 2012)","previouslyFormattedCitation":"(Ruebhausen et al., 2012)"},"properties":{"noteIndex":0},"schema":"https://github.com/citation-style-language/schema/raw/master/csl-citation.json"}</w:instrText>
      </w:r>
      <w:r w:rsidR="009741E0" w:rsidRPr="005B65DF">
        <w:fldChar w:fldCharType="separate"/>
      </w:r>
      <w:r w:rsidR="009D66ED" w:rsidRPr="005B65DF">
        <w:rPr>
          <w:noProof/>
        </w:rPr>
        <w:t>(Ruebhausen et al., 2012)</w:t>
      </w:r>
      <w:r w:rsidR="009741E0" w:rsidRPr="005B65DF">
        <w:fldChar w:fldCharType="end"/>
      </w:r>
      <w:r w:rsidR="009741E0" w:rsidRPr="005B65DF">
        <w:t xml:space="preserve">.  </w:t>
      </w:r>
      <w:r w:rsidRPr="005B65DF">
        <w:t>In gerbils, there are some waveform changes in ABR</w:t>
      </w:r>
      <w:r w:rsidR="009741E0" w:rsidRPr="005B65DF">
        <w:t xml:space="preserve"> under that sedative regimen; specifically, the V wave has increased latency the longer an animal has been sedated </w:t>
      </w:r>
      <w:r w:rsidR="009741E0" w:rsidRPr="005B65DF">
        <w:fldChar w:fldCharType="begin" w:fldLock="1"/>
      </w:r>
      <w:r w:rsidR="00E01826" w:rsidRPr="005B65DF">
        <w:instrText>ADDIN CSL_CITATION {"citationItems":[{"id":"ITEM-1","itemData":{"DOI":"10.1590/S0100-879X2012007500144","ISSN":"0100879X","author":[{"dropping-particle":"","family":"Lima","given":"J. P.","non-dropping-particle":"","parse-names":false,"suffix":""},{"dropping-particle":"","family":"Ariga","given":"S.","non-dropping-particle":"","parse-names":false,"suffix":""},{"dropping-particle":"","family":"Velasco","given":"I.","non-dropping-particle":"","parse-names":false,"suffix":""},{"dropping-particle":"","family":"Schochat","given":"E.","non-dropping-particle":"","parse-names":false,"suffix":""}],"container-title":"Brazilian Journal of Medical and Biological Research","id":"ITEM-1","issue":"12","issued":{"date-parts":[["2012"]]},"page":"1244-1247","title":"Effect of the ketamine/xylazine anesthetic on the auditory brainstem response of adult gerbils","type":"article-journal","volume":"45"},"uris":["http://www.mendeley.com/documents/?uuid=811b7cdc-6fb0-4508-9da2-36a71b5646e9"]}],"mendeley":{"formattedCitation":"(Lima et al., 2012)","plainTextFormattedCitation":"(Lima et al., 2012)","previouslyFormattedCitation":"(Lima et al., 2012)"},"properties":{"noteIndex":0},"schema":"https://github.com/citation-style-language/schema/raw/master/csl-citation.json"}</w:instrText>
      </w:r>
      <w:r w:rsidR="009741E0" w:rsidRPr="005B65DF">
        <w:fldChar w:fldCharType="separate"/>
      </w:r>
      <w:r w:rsidR="009D66ED" w:rsidRPr="005B65DF">
        <w:rPr>
          <w:noProof/>
        </w:rPr>
        <w:t>(Lima et al., 2012)</w:t>
      </w:r>
      <w:r w:rsidR="009741E0" w:rsidRPr="005B65DF">
        <w:fldChar w:fldCharType="end"/>
      </w:r>
      <w:r w:rsidR="009741E0" w:rsidRPr="005B65DF">
        <w:t>. Otherwise, that study deemed it a viable sedative regimen for ABR studies. As ABR analysis performed here is concerned with threshold identification instead of waveform analysis, the changes in V wave latency are inconsequential and the ketamine/xylazine cocktail was considered appropriate.</w:t>
      </w:r>
    </w:p>
    <w:p w14:paraId="5A13A440" w14:textId="77777777" w:rsidR="004C7308" w:rsidRPr="005B65DF" w:rsidRDefault="004C7308" w:rsidP="004C7308">
      <w:pPr>
        <w:pStyle w:val="Heading2"/>
      </w:pPr>
      <w:bookmarkStart w:id="27" w:name="_Toc185898"/>
      <w:r w:rsidRPr="005B65DF">
        <w:t>1.</w:t>
      </w:r>
      <w:r w:rsidR="0035104F" w:rsidRPr="005B65DF">
        <w:t>5</w:t>
      </w:r>
      <w:r w:rsidRPr="005B65DF">
        <w:t xml:space="preserve"> Study Goals</w:t>
      </w:r>
      <w:bookmarkEnd w:id="27"/>
    </w:p>
    <w:p w14:paraId="5BCDBCEA" w14:textId="1B34F498" w:rsidR="00D83227" w:rsidRPr="005B65DF" w:rsidRDefault="0035104F" w:rsidP="00527497">
      <w:pPr>
        <w:rPr>
          <w:rFonts w:asciiTheme="majorHAnsi" w:hAnsiTheme="majorHAnsi"/>
          <w:b/>
          <w:bCs/>
          <w:sz w:val="28"/>
          <w:szCs w:val="32"/>
        </w:rPr>
      </w:pPr>
      <w:r w:rsidRPr="005B65DF">
        <w:t xml:space="preserve">This </w:t>
      </w:r>
      <w:r w:rsidR="00A771B1" w:rsidRPr="005B65DF">
        <w:t>document</w:t>
      </w:r>
      <w:r w:rsidRPr="005B65DF">
        <w:t xml:space="preserve"> reports our study of the stapedius muscle reflex in a chinchilla model using pure tone acoustic stimulation</w:t>
      </w:r>
      <w:r w:rsidR="00247D31" w:rsidRPr="005B65DF">
        <w:t>, blast stimulation,</w:t>
      </w:r>
      <w:r w:rsidRPr="005B65DF">
        <w:t xml:space="preserve"> and EMG measurements. </w:t>
      </w:r>
      <w:r w:rsidR="00083CC3" w:rsidRPr="005B65DF">
        <w:t xml:space="preserve">A surgical approach was developed to implant electrodes in the </w:t>
      </w:r>
      <w:r w:rsidR="00AB5359" w:rsidRPr="005B65DF">
        <w:t xml:space="preserve">stapedius muscle. </w:t>
      </w:r>
      <w:r w:rsidRPr="005B65DF">
        <w:t xml:space="preserve">The muscle reflex threshold was determined and compared </w:t>
      </w:r>
      <w:r w:rsidR="00775AAB" w:rsidRPr="005B65DF">
        <w:t xml:space="preserve">to </w:t>
      </w:r>
      <w:r w:rsidRPr="005B65DF">
        <w:t xml:space="preserve">the results of ART testing with the objective of assessing the validity of EMG measurements of the stapedius in chinchillas. </w:t>
      </w:r>
      <w:r w:rsidR="00247D31" w:rsidRPr="005B65DF">
        <w:t xml:space="preserve">The latency was also characterized across a frequency range relevant to hearing damage. </w:t>
      </w:r>
      <w:r w:rsidRPr="005B65DF">
        <w:t xml:space="preserve">The EMG signal from the stapedius </w:t>
      </w:r>
      <w:r w:rsidR="00F201E8" w:rsidRPr="005B65DF">
        <w:t xml:space="preserve">in response to blast stimulus </w:t>
      </w:r>
      <w:r w:rsidR="00121911" w:rsidRPr="005B65DF">
        <w:t>w</w:t>
      </w:r>
      <w:r w:rsidR="00DC7AA7" w:rsidRPr="005B65DF">
        <w:t>as</w:t>
      </w:r>
      <w:r w:rsidR="00121911" w:rsidRPr="005B65DF">
        <w:t xml:space="preserve"> </w:t>
      </w:r>
      <w:r w:rsidR="00DC7AA7" w:rsidRPr="005B65DF">
        <w:t>measured</w:t>
      </w:r>
      <w:r w:rsidR="00247D31" w:rsidRPr="005B65DF">
        <w:t>, and latency between blast onset and muscle activation was compared to an estimate of how long a blast wave would take to propagate through the ear and cause damage</w:t>
      </w:r>
      <w:r w:rsidR="00121911" w:rsidRPr="005B65DF">
        <w:t>. Finally, EMG was considered as a method for judging the severity of hearing damage</w:t>
      </w:r>
      <w:r w:rsidR="00F201E8" w:rsidRPr="005B65DF">
        <w:t xml:space="preserve"> </w:t>
      </w:r>
      <w:r w:rsidR="00121911" w:rsidRPr="005B65DF">
        <w:t>when induced</w:t>
      </w:r>
      <w:r w:rsidR="00F201E8" w:rsidRPr="005B65DF">
        <w:t xml:space="preserve"> via high intensity noise exposure</w:t>
      </w:r>
      <w:r w:rsidRPr="005B65DF">
        <w:t>.</w:t>
      </w:r>
      <w:r w:rsidR="00AB5359" w:rsidRPr="005B65DF">
        <w:t xml:space="preserve"> </w:t>
      </w:r>
      <w:r w:rsidR="00247D31" w:rsidRPr="005B65DF">
        <w:t>To accomplish this while performing invasive EMG surgery, a single-day model for hearing damage had to be created. B</w:t>
      </w:r>
      <w:r w:rsidR="00AB5359" w:rsidRPr="005B65DF">
        <w:t xml:space="preserve">oth </w:t>
      </w:r>
      <w:r w:rsidR="00DC7AA7" w:rsidRPr="005B65DF">
        <w:t xml:space="preserve">1-hour and 2-hour </w:t>
      </w:r>
      <w:r w:rsidR="00527497" w:rsidRPr="005B65DF">
        <w:t xml:space="preserve">noise </w:t>
      </w:r>
      <w:r w:rsidR="00DC7AA7" w:rsidRPr="005B65DF">
        <w:t xml:space="preserve">exposure </w:t>
      </w:r>
      <w:r w:rsidR="00AB5359" w:rsidRPr="005B65DF">
        <w:t>cases</w:t>
      </w:r>
      <w:r w:rsidR="00247D31" w:rsidRPr="005B65DF">
        <w:t xml:space="preserve"> were tested and compared to determine </w:t>
      </w:r>
      <w:r w:rsidR="00527497" w:rsidRPr="005B65DF">
        <w:t xml:space="preserve">the extent of acute </w:t>
      </w:r>
      <w:r w:rsidR="00247D31" w:rsidRPr="005B65DF">
        <w:t xml:space="preserve">hearing damage </w:t>
      </w:r>
      <w:r w:rsidR="00527497" w:rsidRPr="005B65DF">
        <w:t xml:space="preserve">they caused </w:t>
      </w:r>
      <w:r w:rsidR="00247D31" w:rsidRPr="005B65DF">
        <w:t>chinchillas</w:t>
      </w:r>
      <w:r w:rsidR="00527497" w:rsidRPr="005B65DF">
        <w:t>.</w:t>
      </w:r>
      <w:r w:rsidR="00AB5359" w:rsidRPr="005B65DF">
        <w:t xml:space="preserve"> </w:t>
      </w:r>
      <w:r w:rsidR="00527497" w:rsidRPr="005B65DF">
        <w:t>T</w:t>
      </w:r>
      <w:r w:rsidR="00247D31" w:rsidRPr="005B65DF">
        <w:t>hreshold shifts for both hearing level and MEMR activation threshold were determined, establishing a model with potential future applications in assessing protective devices and interventions against hearing damage.</w:t>
      </w:r>
      <w:r w:rsidR="00D83227" w:rsidRPr="005B65DF">
        <w:br w:type="page"/>
      </w:r>
    </w:p>
    <w:p w14:paraId="7ED54B99" w14:textId="215106C7" w:rsidR="00720002" w:rsidRPr="005B65DF" w:rsidRDefault="00DF02F5" w:rsidP="00A02A61">
      <w:pPr>
        <w:pStyle w:val="Heading1"/>
      </w:pPr>
      <w:bookmarkStart w:id="28" w:name="_Toc185899"/>
      <w:r w:rsidRPr="005B65DF">
        <w:lastRenderedPageBreak/>
        <w:t xml:space="preserve">Electromyographic </w:t>
      </w:r>
      <w:r w:rsidR="00E229D3" w:rsidRPr="005B65DF">
        <w:t>Characterization of Chinchilla MEMR</w:t>
      </w:r>
      <w:bookmarkEnd w:id="28"/>
    </w:p>
    <w:p w14:paraId="57C230AE" w14:textId="77777777" w:rsidR="00720002" w:rsidRPr="005B65DF" w:rsidRDefault="00FF6D43" w:rsidP="00720002">
      <w:pPr>
        <w:pStyle w:val="Heading2"/>
      </w:pPr>
      <w:bookmarkStart w:id="29" w:name="_Toc185900"/>
      <w:r w:rsidRPr="005B65DF">
        <w:t>2.1 Introduction</w:t>
      </w:r>
      <w:bookmarkEnd w:id="29"/>
    </w:p>
    <w:p w14:paraId="4FD2660A" w14:textId="77777777" w:rsidR="00011196" w:rsidRPr="005B65DF" w:rsidRDefault="00ED06E5" w:rsidP="0035104F">
      <w:r w:rsidRPr="005B65DF">
        <w:t>T</w:t>
      </w:r>
      <w:r w:rsidR="00011196" w:rsidRPr="005B65DF">
        <w:t xml:space="preserve">he MEMR is of medical note for a variety of reasons but has not been studied in-depth in chinchillas despite their being an excellent animal model for hearing studies. To rectify this, it was necessary to </w:t>
      </w:r>
      <w:r w:rsidR="00E23EDF" w:rsidRPr="005B65DF">
        <w:t>find a way to determine if EMG yields valuable information about the behavior of the MEMR compared to noninvasive clinical techniques.</w:t>
      </w:r>
    </w:p>
    <w:p w14:paraId="55A17DE0" w14:textId="3D5DBEA0" w:rsidR="00FF6D43" w:rsidRPr="005B65DF" w:rsidRDefault="00BF6998" w:rsidP="0035104F">
      <w:r w:rsidRPr="005B65DF">
        <w:t>The first EMG study performed had two goals: quantification of the standard EMG response wavelength and thresholds, and comparison to ART</w:t>
      </w:r>
      <w:r w:rsidR="00817673" w:rsidRPr="005B65DF">
        <w:t>-testing</w:t>
      </w:r>
      <w:r w:rsidRPr="005B65DF">
        <w:t xml:space="preserve">-derived reflex thresholds. </w:t>
      </w:r>
      <w:r w:rsidR="00883993" w:rsidRPr="005B65DF">
        <w:t xml:space="preserve">The first major challenge involved in this was to find a suitable surgical approach and measurement protocol for EMG measurements, </w:t>
      </w:r>
      <w:r w:rsidR="00591ED8" w:rsidRPr="005B65DF">
        <w:t>bec</w:t>
      </w:r>
      <w:r w:rsidR="00121911" w:rsidRPr="005B65DF">
        <w:t>a</w:t>
      </w:r>
      <w:r w:rsidR="00591ED8" w:rsidRPr="005B65DF">
        <w:t>u</w:t>
      </w:r>
      <w:r w:rsidR="00121911" w:rsidRPr="005B65DF">
        <w:t>s</w:t>
      </w:r>
      <w:r w:rsidR="00591ED8" w:rsidRPr="005B65DF">
        <w:t>e</w:t>
      </w:r>
      <w:r w:rsidR="00121911" w:rsidRPr="005B65DF">
        <w:t xml:space="preserve"> such measurements have not been performed in chinchillas and </w:t>
      </w:r>
      <w:r w:rsidR="00591ED8" w:rsidRPr="005B65DF">
        <w:t xml:space="preserve">therefore </w:t>
      </w:r>
      <w:r w:rsidR="00121911" w:rsidRPr="005B65DF">
        <w:t>there are no guidelines regarding how to best access the muscle. It was important to balance</w:t>
      </w:r>
      <w:r w:rsidR="00883993" w:rsidRPr="005B65DF">
        <w:t xml:space="preserve"> the need for a reliable method for stapedial electrode insertion with a desire to minimize the </w:t>
      </w:r>
      <w:r w:rsidR="00121911" w:rsidRPr="005B65DF">
        <w:t xml:space="preserve">invasiveness and the risk to the subjects. A protocol for analyzing the stapedius EMG data also needed to be devised based on approaches used in other muscles. </w:t>
      </w:r>
    </w:p>
    <w:p w14:paraId="2F66D7F6" w14:textId="77777777" w:rsidR="00FF6D43" w:rsidRPr="005B65DF" w:rsidRDefault="00FF6D43" w:rsidP="00FF6D43">
      <w:pPr>
        <w:pStyle w:val="Heading2"/>
      </w:pPr>
      <w:bookmarkStart w:id="30" w:name="_Toc185901"/>
      <w:r w:rsidRPr="005B65DF">
        <w:t>2.2 Experimental Setup</w:t>
      </w:r>
      <w:bookmarkEnd w:id="30"/>
    </w:p>
    <w:p w14:paraId="1777CD30" w14:textId="77777777" w:rsidR="00BF6998" w:rsidRPr="005B65DF" w:rsidRDefault="00BF6998" w:rsidP="0026427F">
      <w:pPr>
        <w:pStyle w:val="Heading3"/>
      </w:pPr>
      <w:bookmarkStart w:id="31" w:name="_Toc185902"/>
      <w:r w:rsidRPr="005B65DF">
        <w:t>2.2.1 Chinchilla Specimens</w:t>
      </w:r>
      <w:bookmarkEnd w:id="31"/>
    </w:p>
    <w:p w14:paraId="6A077597" w14:textId="77777777" w:rsidR="00BF6998" w:rsidRPr="005B65DF" w:rsidRDefault="00BF6998" w:rsidP="00BF6998">
      <w:r w:rsidRPr="005B65DF">
        <w:t>Healthy adult chinchillas (Chinchilla lanigera, n=14) of mixed sex weighing between 515 and 860 grams</w:t>
      </w:r>
      <w:r w:rsidR="0070778E" w:rsidRPr="005B65DF">
        <w:t xml:space="preserve"> with a mean of 607.9 grams</w:t>
      </w:r>
      <w:r w:rsidRPr="005B65DF">
        <w:t xml:space="preserve"> were included in this study. The study protocol was approved by the Institutional Animal Care and Use Committee of the University of Oklahoma and met the guidelines of the National Institutes of Health. Animals were acquired from Moulton Chinchilla Ranch, Rochester, MN.</w:t>
      </w:r>
      <w:r w:rsidR="00776A2E" w:rsidRPr="005B65DF">
        <w:t xml:space="preserve"> They were housed at OU’s animal facility and given a minimum of three days there to acclimate before being tested.</w:t>
      </w:r>
    </w:p>
    <w:p w14:paraId="3B3702D0" w14:textId="49939114" w:rsidR="00FF6D43" w:rsidRPr="005B65DF" w:rsidRDefault="00D87012" w:rsidP="0026427F">
      <w:pPr>
        <w:pStyle w:val="Heading3"/>
      </w:pPr>
      <w:bookmarkStart w:id="32" w:name="_Toc185903"/>
      <w:r>
        <w:rPr>
          <w:noProof/>
        </w:rPr>
        <w:lastRenderedPageBreak/>
        <w:pict w14:anchorId="12033D1B">
          <v:shape id="_x0000_s1029" type="#_x0000_t202" style="position:absolute;left:0;text-align:left;margin-left:34.25pt;margin-top:205.85pt;width:424.8pt;height:27.6pt;z-index:-251654144" wrapcoords="-38 0 -38 20400 21600 20400 21600 0 -38 0" stroked="f">
            <v:textbox style="mso-next-textbox:#_x0000_s1029;mso-fit-shape-to-text:t" inset="0,0,0,0">
              <w:txbxContent>
                <w:p w14:paraId="75D37D8E" w14:textId="3B2E69C2" w:rsidR="00D87012" w:rsidRPr="00EF2CC0" w:rsidRDefault="00D87012" w:rsidP="00A006A9">
                  <w:pPr>
                    <w:pStyle w:val="Caption"/>
                    <w:ind w:firstLine="0"/>
                    <w:rPr>
                      <w:noProof/>
                      <w:szCs w:val="24"/>
                    </w:rPr>
                  </w:pPr>
                  <w:bookmarkStart w:id="33" w:name="_Toc185831"/>
                  <w:r>
                    <w:t xml:space="preserve">Figure </w:t>
                  </w:r>
                  <w:fldSimple w:instr=" STYLEREF 1 \s ">
                    <w:r w:rsidR="00FC3CCD">
                      <w:rPr>
                        <w:noProof/>
                      </w:rPr>
                      <w:t>2</w:t>
                    </w:r>
                  </w:fldSimple>
                  <w:r w:rsidR="00216C1B">
                    <w:noBreakHyphen/>
                  </w:r>
                  <w:fldSimple w:instr=" SEQ Figure \* ARABIC \s 1 ">
                    <w:r w:rsidR="00FC3CCD">
                      <w:rPr>
                        <w:noProof/>
                      </w:rPr>
                      <w:t>1</w:t>
                    </w:r>
                  </w:fldSimple>
                  <w:r>
                    <w:t>. Bipolar tungsten electrode design with silver data port connections (left end) and exposed tungsten for muscle insertion (right end).</w:t>
                  </w:r>
                  <w:bookmarkEnd w:id="33"/>
                </w:p>
              </w:txbxContent>
            </v:textbox>
            <w10:wrap type="tight"/>
          </v:shape>
        </w:pict>
      </w:r>
      <w:r w:rsidR="00183731" w:rsidRPr="005B65DF">
        <w:rPr>
          <w:noProof/>
          <w:lang w:bidi="ar-SA"/>
        </w:rPr>
        <w:drawing>
          <wp:anchor distT="0" distB="0" distL="114300" distR="114300" simplePos="0" relativeHeight="251656704" behindDoc="1" locked="0" layoutInCell="1" allowOverlap="1" wp14:anchorId="191D6A50" wp14:editId="67859494">
            <wp:simplePos x="0" y="0"/>
            <wp:positionH relativeFrom="column">
              <wp:posOffset>0</wp:posOffset>
            </wp:positionH>
            <wp:positionV relativeFrom="paragraph">
              <wp:posOffset>-12065</wp:posOffset>
            </wp:positionV>
            <wp:extent cx="5454015" cy="2614295"/>
            <wp:effectExtent l="0" t="0" r="0" b="0"/>
            <wp:wrapTopAndBottom/>
            <wp:docPr id="3" name="Picture 3" descr="C:\Users\Zachary\Dropbox\Chillas\Grad\EMG Paper 1\Figures\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chary\Dropbox\Chillas\Grad\EMG Paper 1\Figures\Figure 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4015" cy="2614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6D43" w:rsidRPr="005B65DF">
        <w:t>2.2.</w:t>
      </w:r>
      <w:r w:rsidR="006D390C" w:rsidRPr="005B65DF">
        <w:t>2</w:t>
      </w:r>
      <w:r w:rsidR="00FF6D43" w:rsidRPr="005B65DF">
        <w:t xml:space="preserve"> Bipolar Electrode</w:t>
      </w:r>
      <w:bookmarkEnd w:id="32"/>
    </w:p>
    <w:p w14:paraId="4873C10D" w14:textId="3CEFB591" w:rsidR="00483139" w:rsidRPr="005B65DF" w:rsidRDefault="00FF6D43" w:rsidP="00483139">
      <w:pPr>
        <w:keepNext/>
      </w:pPr>
      <w:r w:rsidRPr="005B65DF">
        <w:t>Electrodes were synthesized in-house out of polyimide insulated tungsten filament</w:t>
      </w:r>
      <w:r w:rsidR="00931893" w:rsidRPr="005B65DF">
        <w:t>, AWG size 44,</w:t>
      </w:r>
      <w:r w:rsidRPr="005B65DF">
        <w:t xml:space="preserve"> before each experiment began. </w:t>
      </w:r>
      <w:r w:rsidR="00776A2E" w:rsidRPr="005B65DF">
        <w:t>In order to prepare the filaments,</w:t>
      </w:r>
      <w:r w:rsidRPr="005B65DF">
        <w:t xml:space="preserve"> </w:t>
      </w:r>
      <w:r w:rsidR="006272E7" w:rsidRPr="005B65DF">
        <w:t xml:space="preserve">the </w:t>
      </w:r>
      <w:r w:rsidRPr="005B65DF">
        <w:t xml:space="preserve">final 0.5 mm of insulation </w:t>
      </w:r>
      <w:r w:rsidR="00776A2E" w:rsidRPr="005B65DF">
        <w:t>was stripped off of a</w:t>
      </w:r>
      <w:r w:rsidR="00DF07C8" w:rsidRPr="005B65DF">
        <w:t xml:space="preserve"> pair of</w:t>
      </w:r>
      <w:r w:rsidR="00776A2E" w:rsidRPr="005B65DF">
        <w:t xml:space="preserve"> approximately 15 cm long segment</w:t>
      </w:r>
      <w:r w:rsidR="00DF07C8" w:rsidRPr="005B65DF">
        <w:t>s</w:t>
      </w:r>
      <w:r w:rsidR="00776A2E" w:rsidRPr="005B65DF">
        <w:t>. The ends with the stripped insulation were the</w:t>
      </w:r>
      <w:r w:rsidRPr="005B65DF">
        <w:t xml:space="preserve"> site for insertion into the muscle. The </w:t>
      </w:r>
      <w:r w:rsidR="00776A2E" w:rsidRPr="005B65DF">
        <w:t xml:space="preserve">opposite </w:t>
      </w:r>
      <w:r w:rsidR="006272E7" w:rsidRPr="005B65DF">
        <w:t xml:space="preserve">ends </w:t>
      </w:r>
      <w:r w:rsidRPr="005B65DF">
        <w:t>were soldered onto silver tubes to allow for attachment</w:t>
      </w:r>
      <w:r w:rsidR="006272E7" w:rsidRPr="005B65DF">
        <w:t xml:space="preserve"> to a TDT RA4PA pre-amplifier through which data could be acquired by a TDT System 3</w:t>
      </w:r>
      <w:r w:rsidRPr="005B65DF">
        <w:t xml:space="preserve">. </w:t>
      </w:r>
      <w:r w:rsidR="00DF07C8" w:rsidRPr="005B65DF">
        <w:t xml:space="preserve">The two prepped </w:t>
      </w:r>
      <w:r w:rsidRPr="005B65DF">
        <w:t>filaments were then bundled together with heat shrinkable PVC insulation tubing to form a single bipolar electrode. A schematic of the</w:t>
      </w:r>
      <w:r w:rsidR="00483139" w:rsidRPr="005B65DF">
        <w:t xml:space="preserve"> design is shown in Fig. 2.1</w:t>
      </w:r>
      <w:r w:rsidRPr="005B65DF">
        <w:t>.</w:t>
      </w:r>
      <w:r w:rsidR="00776A2E" w:rsidRPr="005B65DF">
        <w:t xml:space="preserve"> With careful trimming of about 1 cm from the insertion end </w:t>
      </w:r>
      <w:r w:rsidR="00F73A47" w:rsidRPr="005B65DF">
        <w:t>and stripping of the insulation from the new end, electrodes could be reused for a total of about five animals</w:t>
      </w:r>
      <w:r w:rsidR="00DF07C8" w:rsidRPr="005B65DF">
        <w:t xml:space="preserve"> before it became necessary to fabricate replacements</w:t>
      </w:r>
      <w:r w:rsidR="00F73A47" w:rsidRPr="005B65DF">
        <w:t>.</w:t>
      </w:r>
      <w:r w:rsidR="00483139" w:rsidRPr="005B65DF">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77EAF956" w14:textId="29E66320" w:rsidR="00FF6D43" w:rsidRPr="005B65DF" w:rsidRDefault="00FF6D43" w:rsidP="0026427F">
      <w:pPr>
        <w:pStyle w:val="Heading3"/>
      </w:pPr>
      <w:bookmarkStart w:id="34" w:name="_Toc185904"/>
      <w:r w:rsidRPr="005B65DF">
        <w:t>2.2.</w:t>
      </w:r>
      <w:r w:rsidR="006D390C" w:rsidRPr="005B65DF">
        <w:t>3</w:t>
      </w:r>
      <w:r w:rsidRPr="005B65DF">
        <w:t xml:space="preserve"> Surgical </w:t>
      </w:r>
      <w:r w:rsidR="00745834" w:rsidRPr="005B65DF">
        <w:t>Preparation and Initial Hearing Testing</w:t>
      </w:r>
      <w:bookmarkEnd w:id="34"/>
    </w:p>
    <w:p w14:paraId="3308850E" w14:textId="27C15574" w:rsidR="00D07AF1" w:rsidRPr="005B65DF" w:rsidRDefault="00FF6D43" w:rsidP="009B0399">
      <w:pPr>
        <w:keepNext/>
      </w:pPr>
      <w:r w:rsidRPr="005B65DF">
        <w:t xml:space="preserve">Animals were sedated with a cocktail of </w:t>
      </w:r>
      <w:r w:rsidR="00745834" w:rsidRPr="005B65DF">
        <w:t xml:space="preserve">35 mg/kg </w:t>
      </w:r>
      <w:r w:rsidRPr="005B65DF">
        <w:t xml:space="preserve">ketamine and </w:t>
      </w:r>
      <w:r w:rsidR="00745834" w:rsidRPr="005B65DF">
        <w:t xml:space="preserve">7 mg/kg </w:t>
      </w:r>
      <w:r w:rsidRPr="005B65DF">
        <w:t>xylazine delivered by intramuscular</w:t>
      </w:r>
      <w:r w:rsidR="00021FFC" w:rsidRPr="005B65DF">
        <w:t xml:space="preserve"> (IM)</w:t>
      </w:r>
      <w:r w:rsidRPr="005B65DF">
        <w:t xml:space="preserve"> injection</w:t>
      </w:r>
      <w:r w:rsidR="00745834" w:rsidRPr="005B65DF">
        <w:t xml:space="preserve">, a dosage consistent with modern veterinary formulary for surgical anesthesia </w:t>
      </w:r>
      <w:r w:rsidR="00745834" w:rsidRPr="005B65DF">
        <w:fldChar w:fldCharType="begin" w:fldLock="1"/>
      </w:r>
      <w:r w:rsidR="006F5529" w:rsidRPr="005B65DF">
        <w:instrText>ADDIN CSL_CITATION {"citationItems":[{"id":"ITEM-1","itemData":{"DOI":"0080559832","ISBN":"0080559832","edition":"2","editor":[{"dropping-particle":"","family":"Richard Fish, Peggy J. Danneman, Marilyn Brown","given":"Alicia Karas","non-dropping-particle":"","parse-names":false,"suffix":""}],"id":"ITEM-1","issued":{"date-parts":[["2011"]]},"publisher":"Academic Press","title":"Anesthesia and Analgesia in Laboratory Animals","type":"book"},"uris":["http://www.mendeley.com/documents/?uuid=751401b9-4aaf-4e8e-9dc3-bc6266adbc6f"]}],"mendeley":{"formattedCitation":"(Richard Fish, Peggy J. Danneman, Marilyn Brown, 2011)","plainTextFormattedCitation":"(Richard Fish, Peggy J. Danneman, Marilyn Brown, 2011)","previouslyFormattedCitation":"(Richard Fish, Peggy J. Danneman, Marilyn Brown, 2011)"},"properties":{"noteIndex":0},"schema":"https://github.com/citation-style-language/schema/raw/master/csl-citation.json"}</w:instrText>
      </w:r>
      <w:r w:rsidR="00745834" w:rsidRPr="005B65DF">
        <w:fldChar w:fldCharType="separate"/>
      </w:r>
      <w:r w:rsidR="00745834" w:rsidRPr="005B65DF">
        <w:rPr>
          <w:noProof/>
        </w:rPr>
        <w:t>(Richard Fish, Peggy J. Danneman, Marilyn Brown, 2011)</w:t>
      </w:r>
      <w:r w:rsidR="00745834" w:rsidRPr="005B65DF">
        <w:fldChar w:fldCharType="end"/>
      </w:r>
      <w:r w:rsidRPr="005B65DF">
        <w:t xml:space="preserve">. </w:t>
      </w:r>
      <w:r w:rsidR="00BF5934" w:rsidRPr="005B65DF">
        <w:t xml:space="preserve"> Level of </w:t>
      </w:r>
      <w:r w:rsidR="00BF5934" w:rsidRPr="005B65DF">
        <w:lastRenderedPageBreak/>
        <w:t xml:space="preserve">sedation was evaluated every 10 minutes by </w:t>
      </w:r>
      <w:r w:rsidR="00591ED8" w:rsidRPr="005B65DF">
        <w:t xml:space="preserve">manual </w:t>
      </w:r>
      <w:r w:rsidR="00BF5934" w:rsidRPr="005B65DF">
        <w:t xml:space="preserve">testing </w:t>
      </w:r>
      <w:r w:rsidR="00591ED8" w:rsidRPr="005B65DF">
        <w:t xml:space="preserve">of </w:t>
      </w:r>
      <w:r w:rsidR="00BF5934" w:rsidRPr="005B65DF">
        <w:t xml:space="preserve">the palpebral </w:t>
      </w:r>
      <w:r w:rsidR="00591ED8" w:rsidRPr="005B65DF">
        <w:t xml:space="preserve">and hind leg </w:t>
      </w:r>
      <w:r w:rsidR="00BF5934" w:rsidRPr="005B65DF">
        <w:t>reflex</w:t>
      </w:r>
      <w:r w:rsidR="00591ED8" w:rsidRPr="005B65DF">
        <w:t xml:space="preserve">es. </w:t>
      </w:r>
      <w:r w:rsidR="00BF5934" w:rsidRPr="005B65DF">
        <w:t xml:space="preserve"> </w:t>
      </w:r>
      <w:r w:rsidR="00591ED8" w:rsidRPr="005B65DF">
        <w:t>For the palpebral reflex, the medial canthus of the eye where the upper and lower eyelids meet was gently touched with a surgical-gloved finger with the goal of visual observation of that eye blinking.</w:t>
      </w:r>
      <w:r w:rsidR="00BF5934" w:rsidRPr="005B65DF">
        <w:t xml:space="preserve"> </w:t>
      </w:r>
      <w:r w:rsidR="00591ED8" w:rsidRPr="005B65DF">
        <w:t>For the hind leg reflex, one leg was manually withdrawn back away from its natural resting place close to the animal’s body</w:t>
      </w:r>
      <w:r w:rsidR="00D53E4D" w:rsidRPr="005B65DF">
        <w:t xml:space="preserve"> with the goal of feeling resistance or withdrawal back towards the body</w:t>
      </w:r>
      <w:r w:rsidR="00591ED8" w:rsidRPr="005B65DF">
        <w:t>.</w:t>
      </w:r>
      <w:r w:rsidR="00BF5934" w:rsidRPr="005B65DF">
        <w:t xml:space="preserve"> </w:t>
      </w:r>
      <w:r w:rsidR="00591ED8" w:rsidRPr="005B65DF">
        <w:t>Either of these observations</w:t>
      </w:r>
      <w:r w:rsidR="00D53E4D" w:rsidRPr="005B65DF">
        <w:t xml:space="preserve"> indicated that the level of sedation was approaching inadequate levels. </w:t>
      </w:r>
      <w:r w:rsidR="00745834" w:rsidRPr="005B65DF">
        <w:t xml:space="preserve">Booster doses of ketamine were administered as necessary </w:t>
      </w:r>
      <w:r w:rsidR="00591ED8" w:rsidRPr="005B65DF">
        <w:t xml:space="preserve">in whichever leg had least-recently received an injection </w:t>
      </w:r>
      <w:r w:rsidR="00745834" w:rsidRPr="005B65DF">
        <w:t>to maintain general</w:t>
      </w:r>
      <w:r w:rsidR="00591ED8" w:rsidRPr="005B65DF">
        <w:t xml:space="preserve"> </w:t>
      </w:r>
      <w:r w:rsidR="00745834" w:rsidRPr="005B65DF">
        <w:t xml:space="preserve">anesthesia. </w:t>
      </w:r>
      <w:r w:rsidRPr="005B65DF">
        <w:t xml:space="preserve">Temperature of the animals was measured via rectal thermometer and kept at safe levels through use of a heating blanket on a feedback loop.  </w:t>
      </w:r>
    </w:p>
    <w:p w14:paraId="68E54B0A" w14:textId="2EC9DAAC" w:rsidR="007B6B12" w:rsidRPr="005B65DF" w:rsidRDefault="00D87012" w:rsidP="00D07AF1">
      <w:r>
        <w:rPr>
          <w:noProof/>
        </w:rPr>
        <w:pict w14:anchorId="5F4D88A3">
          <v:shape id="_x0000_s1044" type="#_x0000_t202" style="position:absolute;left:0;text-align:left;margin-left:10.05pt;margin-top:346.25pt;width:424.8pt;height:30.6pt;z-index:251668480;mso-position-horizontal-relative:text;mso-position-vertical-relative:text" wrapcoords="-38 0 -38 20400 21600 20400 21600 0 -38 0" stroked="f">
            <v:textbox style="mso-next-textbox:#_x0000_s1044" inset="0,0,0,0">
              <w:txbxContent>
                <w:p w14:paraId="7767E81D" w14:textId="1FEA7AAA" w:rsidR="00D87012" w:rsidRPr="00452F1A" w:rsidRDefault="00D87012" w:rsidP="00A006A9">
                  <w:pPr>
                    <w:pStyle w:val="Caption"/>
                    <w:ind w:firstLine="0"/>
                    <w:rPr>
                      <w:noProof/>
                      <w:szCs w:val="24"/>
                    </w:rPr>
                  </w:pPr>
                  <w:bookmarkStart w:id="35" w:name="_Toc185832"/>
                  <w:r>
                    <w:t xml:space="preserve">Figure </w:t>
                  </w:r>
                  <w:fldSimple w:instr=" STYLEREF 1 \s ">
                    <w:r w:rsidR="00FC3CCD">
                      <w:rPr>
                        <w:noProof/>
                      </w:rPr>
                      <w:t>2</w:t>
                    </w:r>
                  </w:fldSimple>
                  <w:r w:rsidR="00216C1B">
                    <w:noBreakHyphen/>
                  </w:r>
                  <w:fldSimple w:instr=" SEQ Figure \* ARABIC \s 1 ">
                    <w:r w:rsidR="00FC3CCD">
                      <w:rPr>
                        <w:noProof/>
                      </w:rPr>
                      <w:t>2</w:t>
                    </w:r>
                  </w:fldSimple>
                  <w:r>
                    <w:rPr>
                      <w:noProof/>
                    </w:rPr>
                    <w:t>.</w:t>
                  </w:r>
                  <w:r w:rsidRPr="002D712D">
                    <w:t xml:space="preserve"> Chinchilla skull, marked with the sites for </w:t>
                  </w:r>
                  <w:r>
                    <w:t xml:space="preserve">initial </w:t>
                  </w:r>
                  <w:r w:rsidRPr="002D712D">
                    <w:t>surgical entry</w:t>
                  </w:r>
                  <w:r>
                    <w:t xml:space="preserve"> (red), further exposure (blue), and skull-penetration target (green).</w:t>
                  </w:r>
                  <w:bookmarkEnd w:id="35"/>
                </w:p>
              </w:txbxContent>
            </v:textbox>
            <w10:wrap type="tight"/>
          </v:shape>
        </w:pict>
      </w:r>
      <w:r w:rsidRPr="005B65DF">
        <w:rPr>
          <w:noProof/>
          <w:lang w:bidi="ar-SA"/>
        </w:rPr>
        <w:drawing>
          <wp:anchor distT="0" distB="0" distL="114300" distR="114300" simplePos="0" relativeHeight="251652608" behindDoc="0" locked="0" layoutInCell="1" allowOverlap="1" wp14:anchorId="635D0ECC" wp14:editId="7BA89D4F">
            <wp:simplePos x="0" y="0"/>
            <wp:positionH relativeFrom="column">
              <wp:posOffset>272415</wp:posOffset>
            </wp:positionH>
            <wp:positionV relativeFrom="paragraph">
              <wp:posOffset>1405255</wp:posOffset>
            </wp:positionV>
            <wp:extent cx="5394960" cy="301498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394960" cy="3014980"/>
                    </a:xfrm>
                    <a:prstGeom prst="rect">
                      <a:avLst/>
                    </a:prstGeom>
                  </pic:spPr>
                </pic:pic>
              </a:graphicData>
            </a:graphic>
          </wp:anchor>
        </w:drawing>
      </w:r>
      <w:r w:rsidR="00745834" w:rsidRPr="005B65DF">
        <w:t xml:space="preserve">Once a state of general anesthesia was attained, </w:t>
      </w:r>
      <w:r w:rsidR="00720FA8" w:rsidRPr="005B65DF">
        <w:t>the surgical approach began as shown in Fig. 2.2. A</w:t>
      </w:r>
      <w:r w:rsidR="00745834" w:rsidRPr="005B65DF">
        <w:t xml:space="preserve"> pinnectomy was performed via sharp dissection of the left ear to allow unobstructed access to the ear canal</w:t>
      </w:r>
      <w:r w:rsidR="00720FA8" w:rsidRPr="005B65DF">
        <w:t xml:space="preserve">, revealing the region </w:t>
      </w:r>
      <w:r w:rsidR="00286E47" w:rsidRPr="005B65DF">
        <w:t>highlighted</w:t>
      </w:r>
      <w:r w:rsidR="00720FA8" w:rsidRPr="005B65DF">
        <w:t xml:space="preserve"> in red</w:t>
      </w:r>
      <w:r w:rsidR="00745834" w:rsidRPr="005B65DF">
        <w:t>. The skin posterior to the site of the pinnectomy was opened to expose more of the auditory bulla</w:t>
      </w:r>
      <w:r w:rsidR="00E17608" w:rsidRPr="005B65DF">
        <w:t>,</w:t>
      </w:r>
      <w:r w:rsidR="00720FA8" w:rsidRPr="005B65DF">
        <w:t xml:space="preserve"> per the blue region</w:t>
      </w:r>
      <w:r w:rsidR="00745834" w:rsidRPr="005B65DF">
        <w:t xml:space="preserve">. </w:t>
      </w:r>
      <w:r w:rsidR="00BF5934" w:rsidRPr="005B65DF">
        <w:lastRenderedPageBreak/>
        <w:t>Hemostasis was achieved</w:t>
      </w:r>
      <w:r w:rsidR="00745834" w:rsidRPr="005B65DF">
        <w:t xml:space="preserve"> with the application of gauze</w:t>
      </w:r>
      <w:r w:rsidR="00BF5934" w:rsidRPr="005B65DF">
        <w:t xml:space="preserve"> and, in extreme cases, electrocautery</w:t>
      </w:r>
      <w:r w:rsidR="00745834" w:rsidRPr="005B65DF">
        <w:t xml:space="preserve">. </w:t>
      </w:r>
      <w:r w:rsidR="00FF6D43" w:rsidRPr="005B65DF">
        <w:t xml:space="preserve">ART testing was performed </w:t>
      </w:r>
      <w:r w:rsidR="004916B5" w:rsidRPr="005B65DF">
        <w:t xml:space="preserve">at this stage </w:t>
      </w:r>
      <w:r w:rsidR="00FF6D43" w:rsidRPr="005B65DF">
        <w:t>using a wideband tympanometer (AT235h, Interacoustics, Denmark) to determine MEMR threshold levels</w:t>
      </w:r>
      <w:r w:rsidR="00BF5934" w:rsidRPr="005B65DF">
        <w:t xml:space="preserve">.  The animal’s head was held securely while a tympanometry probe was </w:t>
      </w:r>
      <w:r w:rsidR="00B9733B" w:rsidRPr="005B65DF">
        <w:t>pressed against the ear canal opening.  The device was activated through software and tested for the presence of the reflex</w:t>
      </w:r>
      <w:r w:rsidR="00FF6D43" w:rsidRPr="005B65DF">
        <w:t xml:space="preserve"> a</w:t>
      </w:r>
      <w:r w:rsidR="00B9733B" w:rsidRPr="005B65DF">
        <w:t>t frequencies of 0.5, 1, 2</w:t>
      </w:r>
      <w:r w:rsidR="00FF6D43" w:rsidRPr="005B65DF">
        <w:t xml:space="preserve">, and 4 </w:t>
      </w:r>
      <w:r w:rsidR="00B9733B" w:rsidRPr="005B65DF">
        <w:t>k</w:t>
      </w:r>
      <w:r w:rsidR="00FF6D43" w:rsidRPr="005B65DF">
        <w:t xml:space="preserve">Hz. </w:t>
      </w:r>
      <w:r w:rsidR="00286E47" w:rsidRPr="005B65DF">
        <w:t xml:space="preserve">Animals without apparent MEMR activity were excluded from the study. </w:t>
      </w:r>
      <w:r w:rsidR="00720FA8" w:rsidRPr="005B65DF">
        <w:t xml:space="preserve">After ART testing was completed, further flesh was cleared away via surgical scissors and scalpel to reveal the bone in the green region of Fig. 2.2. Hemostasis was again maintained to </w:t>
      </w:r>
      <w:r w:rsidR="009609A2" w:rsidRPr="005B65DF">
        <w:t>preclude</w:t>
      </w:r>
      <w:r w:rsidR="00720FA8" w:rsidRPr="005B65DF">
        <w:t xml:space="preserve"> the possibility of blood flow into the ear, and the skull was </w:t>
      </w:r>
      <w:r w:rsidR="00BD0423" w:rsidRPr="005B65DF">
        <w:t xml:space="preserve">penetrated </w:t>
      </w:r>
      <w:r w:rsidR="00720FA8" w:rsidRPr="005B65DF">
        <w:t>at that location with a dental drill.</w:t>
      </w:r>
      <w:r w:rsidR="00BD0423" w:rsidRPr="005B65DF">
        <w:t xml:space="preserve"> This perforation was widened to an approximately 1 cm diameter circle via medical </w:t>
      </w:r>
      <w:r>
        <w:rPr>
          <w:noProof/>
        </w:rPr>
        <w:pict w14:anchorId="26569CEA">
          <v:shape id="_x0000_s1079" type="#_x0000_t202" style="position:absolute;left:0;text-align:left;margin-left:-.2pt;margin-top:607.6pt;width:409.1pt;height:13.8pt;z-index:251677696;mso-position-horizontal-relative:text;mso-position-vertical-relative:text" stroked="f">
            <v:textbox style="mso-next-textbox:#_x0000_s1079;mso-fit-shape-to-text:t" inset="0,0,0,0">
              <w:txbxContent>
                <w:p w14:paraId="240A06EF" w14:textId="5CC0DE4E" w:rsidR="00D87012" w:rsidRPr="00055CDA" w:rsidRDefault="00D87012" w:rsidP="00E17608">
                  <w:pPr>
                    <w:pStyle w:val="Caption"/>
                    <w:rPr>
                      <w:szCs w:val="24"/>
                    </w:rPr>
                  </w:pPr>
                  <w:bookmarkStart w:id="36" w:name="_Toc185833"/>
                  <w:r>
                    <w:t xml:space="preserve">Figure </w:t>
                  </w:r>
                  <w:fldSimple w:instr=" STYLEREF 1 \s ">
                    <w:r w:rsidR="00FC3CCD">
                      <w:rPr>
                        <w:noProof/>
                      </w:rPr>
                      <w:t>2</w:t>
                    </w:r>
                  </w:fldSimple>
                  <w:r w:rsidR="00216C1B">
                    <w:noBreakHyphen/>
                  </w:r>
                  <w:fldSimple w:instr=" SEQ Figure \* ARABIC \s 1 ">
                    <w:r w:rsidR="00FC3CCD">
                      <w:rPr>
                        <w:noProof/>
                      </w:rPr>
                      <w:t>3</w:t>
                    </w:r>
                  </w:fldSimple>
                  <w:r>
                    <w:t>. Electrode inserted into the chinchilla stapedius muscle.</w:t>
                  </w:r>
                  <w:bookmarkEnd w:id="36"/>
                </w:p>
              </w:txbxContent>
            </v:textbox>
            <w10:wrap type="topAndBottom"/>
          </v:shape>
        </w:pict>
      </w:r>
      <w:r w:rsidR="00472EF8" w:rsidRPr="005B65DF">
        <w:rPr>
          <w:noProof/>
          <w:lang w:bidi="ar-SA"/>
        </w:rPr>
        <w:drawing>
          <wp:anchor distT="0" distB="0" distL="114300" distR="114300" simplePos="0" relativeHeight="251612672" behindDoc="0" locked="0" layoutInCell="1" allowOverlap="1" wp14:anchorId="0E2D5B47" wp14:editId="173219E5">
            <wp:simplePos x="0" y="0"/>
            <wp:positionH relativeFrom="column">
              <wp:posOffset>652335</wp:posOffset>
            </wp:positionH>
            <wp:positionV relativeFrom="paragraph">
              <wp:posOffset>4215567</wp:posOffset>
            </wp:positionV>
            <wp:extent cx="4564380" cy="3421380"/>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564380" cy="3421380"/>
                    </a:xfrm>
                    <a:prstGeom prst="rect">
                      <a:avLst/>
                    </a:prstGeom>
                  </pic:spPr>
                </pic:pic>
              </a:graphicData>
            </a:graphic>
            <wp14:sizeRelH relativeFrom="margin">
              <wp14:pctWidth>0</wp14:pctWidth>
            </wp14:sizeRelH>
            <wp14:sizeRelV relativeFrom="margin">
              <wp14:pctHeight>0</wp14:pctHeight>
            </wp14:sizeRelV>
          </wp:anchor>
        </w:drawing>
      </w:r>
      <w:r w:rsidR="00BD0423" w:rsidRPr="005B65DF">
        <w:t>scissors, wide enough to allow access within the bulla.</w:t>
      </w:r>
    </w:p>
    <w:p w14:paraId="3F7CC07C" w14:textId="7A482E39" w:rsidR="00745834" w:rsidRPr="005B65DF" w:rsidRDefault="00745834" w:rsidP="0026427F">
      <w:pPr>
        <w:pStyle w:val="Heading3"/>
      </w:pPr>
      <w:bookmarkStart w:id="37" w:name="_Toc185905"/>
      <w:r w:rsidRPr="005B65DF">
        <w:lastRenderedPageBreak/>
        <w:t>2.2.</w:t>
      </w:r>
      <w:r w:rsidR="006D390C" w:rsidRPr="005B65DF">
        <w:t>4</w:t>
      </w:r>
      <w:r w:rsidRPr="005B65DF">
        <w:t xml:space="preserve"> Surgical Electrode Insertion</w:t>
      </w:r>
      <w:bookmarkEnd w:id="37"/>
    </w:p>
    <w:p w14:paraId="2FF12692" w14:textId="173252CB" w:rsidR="00E50519" w:rsidRPr="005B65DF" w:rsidRDefault="00D87012" w:rsidP="00A90527">
      <w:r>
        <w:rPr>
          <w:noProof/>
        </w:rPr>
        <w:pict w14:anchorId="5E385D5A">
          <v:shape id="_x0000_s1031" type="#_x0000_t202" style="position:absolute;left:0;text-align:left;margin-left:59.45pt;margin-top:585.9pt;width:347.35pt;height:27.6pt;z-index:251663360;mso-position-horizontal-relative:text;mso-position-vertical-relative:text" stroked="f">
            <v:textbox style="mso-next-textbox:#_x0000_s1031;mso-fit-shape-to-text:t" inset="0,0,0,0">
              <w:txbxContent>
                <w:p w14:paraId="6B70B242" w14:textId="6423A938" w:rsidR="00D87012" w:rsidRPr="005F32AC" w:rsidRDefault="00D87012" w:rsidP="00A36220">
                  <w:pPr>
                    <w:pStyle w:val="Caption"/>
                    <w:ind w:firstLine="0"/>
                    <w:rPr>
                      <w:noProof/>
                      <w:szCs w:val="24"/>
                    </w:rPr>
                  </w:pPr>
                  <w:bookmarkStart w:id="38" w:name="_Toc185834"/>
                  <w:r>
                    <w:t xml:space="preserve">Figure </w:t>
                  </w:r>
                  <w:fldSimple w:instr=" STYLEREF 1 \s ">
                    <w:r w:rsidR="00FC3CCD">
                      <w:rPr>
                        <w:noProof/>
                      </w:rPr>
                      <w:t>2</w:t>
                    </w:r>
                  </w:fldSimple>
                  <w:r w:rsidR="00216C1B">
                    <w:noBreakHyphen/>
                  </w:r>
                  <w:fldSimple w:instr=" SEQ Figure \* ARABIC \s 1 ">
                    <w:r w:rsidR="00FC3CCD">
                      <w:rPr>
                        <w:noProof/>
                      </w:rPr>
                      <w:t>4</w:t>
                    </w:r>
                  </w:fldSimple>
                  <w:r>
                    <w:rPr>
                      <w:noProof/>
                    </w:rPr>
                    <w:t>.</w:t>
                  </w:r>
                  <w:r>
                    <w:t xml:space="preserve"> EMG electrode recording schematic including electronics for data acquisition and stimulus generation.</w:t>
                  </w:r>
                  <w:bookmarkEnd w:id="38"/>
                </w:p>
              </w:txbxContent>
            </v:textbox>
            <w10:wrap type="topAndBottom"/>
          </v:shape>
        </w:pict>
      </w:r>
      <w:r w:rsidR="00472EF8" w:rsidRPr="005B65DF">
        <w:rPr>
          <w:noProof/>
          <w:lang w:bidi="ar-SA"/>
        </w:rPr>
        <w:drawing>
          <wp:anchor distT="0" distB="0" distL="114300" distR="114300" simplePos="0" relativeHeight="251630080" behindDoc="1" locked="0" layoutInCell="1" allowOverlap="1" wp14:anchorId="13F41C7D" wp14:editId="0849F36C">
            <wp:simplePos x="0" y="0"/>
            <wp:positionH relativeFrom="column">
              <wp:posOffset>842282</wp:posOffset>
            </wp:positionH>
            <wp:positionV relativeFrom="paragraph">
              <wp:posOffset>4213950</wp:posOffset>
            </wp:positionV>
            <wp:extent cx="4248150" cy="330327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248150" cy="3303270"/>
                    </a:xfrm>
                    <a:prstGeom prst="rect">
                      <a:avLst/>
                    </a:prstGeom>
                  </pic:spPr>
                </pic:pic>
              </a:graphicData>
            </a:graphic>
            <wp14:sizeRelH relativeFrom="margin">
              <wp14:pctWidth>0</wp14:pctWidth>
            </wp14:sizeRelH>
            <wp14:sizeRelV relativeFrom="margin">
              <wp14:pctHeight>0</wp14:pctHeight>
            </wp14:sizeRelV>
          </wp:anchor>
        </w:drawing>
      </w:r>
      <w:r w:rsidR="00720FA8" w:rsidRPr="005B65DF">
        <w:t xml:space="preserve">Once the skull was opened, </w:t>
      </w:r>
      <w:r w:rsidR="008B7D68" w:rsidRPr="005B65DF">
        <w:t>a</w:t>
      </w:r>
      <w:r w:rsidR="00FF6D43" w:rsidRPr="005B65DF">
        <w:t xml:space="preserve"> thin bony wall within the middle ear was remove</w:t>
      </w:r>
      <w:r w:rsidR="008B7D68" w:rsidRPr="005B65DF">
        <w:t>d through use of a dental drill</w:t>
      </w:r>
      <w:r w:rsidR="00FF6D43" w:rsidRPr="005B65DF">
        <w:t xml:space="preserve"> </w:t>
      </w:r>
      <w:r w:rsidR="008B7D68" w:rsidRPr="005B65DF">
        <w:t>in order to expose</w:t>
      </w:r>
      <w:r w:rsidR="00FF6D43" w:rsidRPr="005B65DF">
        <w:t xml:space="preserve"> </w:t>
      </w:r>
      <w:r w:rsidR="005F54C4" w:rsidRPr="005B65DF">
        <w:t>the stapedius muscle</w:t>
      </w:r>
      <w:r w:rsidR="00FF6D43" w:rsidRPr="005B65DF">
        <w:t>. Care was taken to ensure that the tympanic membrane and ossicular chain remained intact. Once the muscle was sufficiently exposed, a</w:t>
      </w:r>
      <w:r w:rsidR="00F73A47" w:rsidRPr="005B65DF">
        <w:t xml:space="preserve"> </w:t>
      </w:r>
      <w:r w:rsidR="00A90527" w:rsidRPr="005B65DF">
        <w:t xml:space="preserve">micromanipulator was used to insert a </w:t>
      </w:r>
      <w:r w:rsidR="00F73A47" w:rsidRPr="005B65DF">
        <w:t xml:space="preserve">bipolar electrode </w:t>
      </w:r>
      <w:r w:rsidR="00A90527" w:rsidRPr="005B65DF">
        <w:t>directly into the stapedius muscle</w:t>
      </w:r>
      <w:r w:rsidR="00FF6D43" w:rsidRPr="005B65DF">
        <w:t xml:space="preserve">. </w:t>
      </w:r>
      <w:r w:rsidR="00E17608" w:rsidRPr="005B65DF">
        <w:t xml:space="preserve">Due to the </w:t>
      </w:r>
      <w:r w:rsidR="00A90527" w:rsidRPr="005B65DF">
        <w:t xml:space="preserve">miniscule </w:t>
      </w:r>
      <w:r w:rsidR="00E17608" w:rsidRPr="005B65DF">
        <w:t xml:space="preserve">size and fragility of the muscle, it was necessary </w:t>
      </w:r>
      <w:r w:rsidR="003F7596" w:rsidRPr="005B65DF">
        <w:t>to secure the wire i</w:t>
      </w:r>
      <w:r w:rsidR="00FF6D43" w:rsidRPr="005B65DF">
        <w:t>n order to eliminate the risk of damaging the muscle through some motion in the electrode</w:t>
      </w:r>
      <w:r w:rsidR="003F7596" w:rsidRPr="005B65DF">
        <w:t>. T</w:t>
      </w:r>
      <w:r w:rsidR="00FF6D43" w:rsidRPr="005B65DF">
        <w:t xml:space="preserve">he </w:t>
      </w:r>
      <w:r w:rsidR="00A90527" w:rsidRPr="005B65DF">
        <w:t xml:space="preserve">insulated segment of the electrode </w:t>
      </w:r>
      <w:r w:rsidR="00FF6D43" w:rsidRPr="005B65DF">
        <w:t>wires w</w:t>
      </w:r>
      <w:r w:rsidR="00A90527" w:rsidRPr="005B65DF">
        <w:t>as</w:t>
      </w:r>
      <w:r w:rsidR="00FF6D43" w:rsidRPr="005B65DF">
        <w:t xml:space="preserve"> fixed to the </w:t>
      </w:r>
      <w:r w:rsidR="00F73A47" w:rsidRPr="005B65DF">
        <w:t xml:space="preserve">septa </w:t>
      </w:r>
      <w:r w:rsidR="00A90527" w:rsidRPr="005B65DF">
        <w:t>of</w:t>
      </w:r>
      <w:r w:rsidR="00F73A47" w:rsidRPr="005B65DF">
        <w:t xml:space="preserve"> the middle ear and </w:t>
      </w:r>
      <w:r w:rsidR="00A90527" w:rsidRPr="005B65DF">
        <w:t xml:space="preserve">to </w:t>
      </w:r>
      <w:r w:rsidR="00F73A47" w:rsidRPr="005B65DF">
        <w:t xml:space="preserve">the </w:t>
      </w:r>
      <w:r w:rsidR="00FF6D43" w:rsidRPr="005B65DF">
        <w:t>skull of the animal with cyanoacrylate glue</w:t>
      </w:r>
      <w:r w:rsidR="00E17608" w:rsidRPr="005B65DF">
        <w:t xml:space="preserve"> and small strips of paper</w:t>
      </w:r>
      <w:r w:rsidR="003F7596" w:rsidRPr="005B65DF">
        <w:t>, which became rigid when the glue dried</w:t>
      </w:r>
      <w:r w:rsidR="00FF6D43" w:rsidRPr="005B65DF">
        <w:t xml:space="preserve">. </w:t>
      </w:r>
      <w:r w:rsidR="006249F5" w:rsidRPr="005B65DF">
        <w:t>Figure 2.</w:t>
      </w:r>
      <w:r w:rsidR="00E50519" w:rsidRPr="005B65DF">
        <w:t>3</w:t>
      </w:r>
      <w:r w:rsidR="006249F5" w:rsidRPr="005B65DF">
        <w:t xml:space="preserve"> </w:t>
      </w:r>
      <w:r w:rsidR="00CA768A" w:rsidRPr="005B65DF">
        <w:t>demonstrates</w:t>
      </w:r>
      <w:r w:rsidR="00D53E4D" w:rsidRPr="005B65DF">
        <w:t xml:space="preserve"> </w:t>
      </w:r>
      <w:r w:rsidR="006249F5" w:rsidRPr="005B65DF">
        <w:t xml:space="preserve">the view </w:t>
      </w:r>
      <w:r w:rsidR="00CA768A" w:rsidRPr="005B65DF">
        <w:t xml:space="preserve">seen inside </w:t>
      </w:r>
      <w:r w:rsidR="006249F5" w:rsidRPr="005B65DF">
        <w:t xml:space="preserve">an opened bulla </w:t>
      </w:r>
      <w:r w:rsidR="00CA768A" w:rsidRPr="005B65DF">
        <w:t xml:space="preserve">after the insertion process </w:t>
      </w:r>
      <w:r w:rsidR="006249F5" w:rsidRPr="005B65DF">
        <w:t xml:space="preserve">with an electrode inserted properly into the muscle before </w:t>
      </w:r>
      <w:r w:rsidR="00CA768A" w:rsidRPr="005B65DF">
        <w:t>finalizing the electrode’s fixation with glue</w:t>
      </w:r>
      <w:r w:rsidR="00E17608" w:rsidRPr="005B65DF">
        <w:t xml:space="preserve">. </w:t>
      </w:r>
      <w:r w:rsidR="00CA768A" w:rsidRPr="005B65DF">
        <w:t>After insertion was finished, a</w:t>
      </w:r>
      <w:r w:rsidR="00FF6D43" w:rsidRPr="005B65DF">
        <w:t>nother wire electrode was inserted into the animal’s leg as a ground.</w:t>
      </w:r>
      <w:r w:rsidR="00E17608" w:rsidRPr="005B65DF">
        <w:rPr>
          <w:noProof/>
          <w:lang w:bidi="ar-SA"/>
        </w:rPr>
        <w:t xml:space="preserve"> </w:t>
      </w:r>
    </w:p>
    <w:p w14:paraId="51617A7E" w14:textId="0F436E12" w:rsidR="00FF6D43" w:rsidRPr="005B65DF" w:rsidRDefault="00745834" w:rsidP="0026427F">
      <w:pPr>
        <w:pStyle w:val="Heading3"/>
      </w:pPr>
      <w:bookmarkStart w:id="39" w:name="_Toc185906"/>
      <w:r w:rsidRPr="005B65DF">
        <w:lastRenderedPageBreak/>
        <w:t>2.2.</w:t>
      </w:r>
      <w:r w:rsidR="006D390C" w:rsidRPr="005B65DF">
        <w:t>5</w:t>
      </w:r>
      <w:r w:rsidR="00FF6D43" w:rsidRPr="005B65DF">
        <w:t xml:space="preserve"> MEMR Threshold Determination</w:t>
      </w:r>
      <w:bookmarkEnd w:id="39"/>
    </w:p>
    <w:p w14:paraId="23A50A3E" w14:textId="197DB60B" w:rsidR="00FF6D43" w:rsidRPr="005B65DF" w:rsidRDefault="00FF6D43" w:rsidP="00FF6D43">
      <w:r w:rsidRPr="005B65DF">
        <w:t>A schematic diagram of the experimental setup for acousti</w:t>
      </w:r>
      <w:r w:rsidR="006D390C" w:rsidRPr="005B65DF">
        <w:t xml:space="preserve">c </w:t>
      </w:r>
      <w:r w:rsidR="006071B2" w:rsidRPr="005B65DF">
        <w:t>stimulation is shown in Fig. 2.4</w:t>
      </w:r>
      <w:r w:rsidRPr="005B65DF">
        <w:t>. A sound delivery tube attached to a speaker was placed at the opening of the ear canal for stimulation. The stimulus was controlled using a TDT System 3 and BioSig software, which simultaneously acquired the EMG signal. The electrical activity of the muscle in response to increasing acoustic loads was measured while the animal was lightly anesthetized. A 50 Hz high pass filter and a 500 Hz low pass filter were applied to the signals to filt</w:t>
      </w:r>
      <w:r w:rsidR="00D07AF1" w:rsidRPr="005B65DF">
        <w:t>er out noise</w:t>
      </w:r>
      <w:r w:rsidRPr="005B65DF">
        <w:t xml:space="preserve">. </w:t>
      </w:r>
    </w:p>
    <w:p w14:paraId="0D86B788" w14:textId="7EDA4913" w:rsidR="00FF6D43" w:rsidRPr="005B65DF" w:rsidRDefault="00BF1C12" w:rsidP="00FF6D43">
      <w:r w:rsidRPr="005B65DF">
        <w:t xml:space="preserve">Before testing, the speaker was calibrated with a probe microphone and SigCal software to ensure that the sound amplitude at the tympanic membrane was identical between animals. </w:t>
      </w:r>
      <w:r w:rsidR="00FF6D43" w:rsidRPr="005B65DF">
        <w:t xml:space="preserve">Each test consisted of a series of pure tone stimuli from the speaker controlled by the BioSig software. Repeated stimuli 50 ms in duration were delivered to the ear at a rate of three per second, and </w:t>
      </w:r>
      <w:r w:rsidRPr="005B65DF">
        <w:t>data was recorded in 150 ms windows starting with stimulus onset. 32 trials</w:t>
      </w:r>
      <w:r w:rsidR="00FF6D43" w:rsidRPr="005B65DF">
        <w:t xml:space="preserve"> were averaged together for each combination of frequency and intensity. The frequencies tested were 1, 2, 4, and 6 kHz. Sound intensity for each frequency was varied from 50 to 110 dB SPL in 10 dB increments. The resulting signals were compared to determine the threshold at which an electrical response to stimulation was first visible. Animals were eutha</w:t>
      </w:r>
      <w:r w:rsidR="00251BDB" w:rsidRPr="005B65DF">
        <w:t>nized at the end of EMG testing with 1 mL of Euthasol (Pentobarbital Sodium 390 mg/ml and Phenytoin Sodium 50 mg/ml) administered intraperitoneally.</w:t>
      </w:r>
    </w:p>
    <w:p w14:paraId="043B8911" w14:textId="77777777" w:rsidR="00251BDB" w:rsidRPr="005B65DF" w:rsidRDefault="006D390C" w:rsidP="0026427F">
      <w:pPr>
        <w:pStyle w:val="Heading3"/>
      </w:pPr>
      <w:bookmarkStart w:id="40" w:name="_Toc185907"/>
      <w:r w:rsidRPr="005B65DF">
        <w:t>2.2.6</w:t>
      </w:r>
      <w:r w:rsidR="00251BDB" w:rsidRPr="005B65DF">
        <w:t xml:space="preserve"> Data analysis</w:t>
      </w:r>
      <w:bookmarkEnd w:id="40"/>
    </w:p>
    <w:p w14:paraId="7579A9D7" w14:textId="62F6D749" w:rsidR="009213FA" w:rsidRPr="005B65DF" w:rsidRDefault="00251BDB" w:rsidP="00251BDB">
      <w:r w:rsidRPr="005B65DF">
        <w:t xml:space="preserve">Interpretation of the data from the three clinical audiological tests is straightforward. Tympanograms measure the admittance of the tympanic membrane and output a graph of tympanic membrane compliance over a pressure range. The software automatically overlays the results on top of a curve from a healthy adult human along with grey shaded regions above and </w:t>
      </w:r>
      <w:r w:rsidRPr="005B65DF">
        <w:lastRenderedPageBreak/>
        <w:t xml:space="preserve">below indicating normal results. In the case of an ear infection, a result significantly outside the normal range will be obtained. If the tympanic membrane is perforated, the test will either fail completely or give highly anomalous results (as seen in a curve that is primarily flat, not fitting the sample “healthy range” watermarked behind the results) as tympanometry requires a stable pressurization of the ear canal. The ART testing software used directly outputs the determined reflex threshold in dB for a user-selected stimulus frequency. Because ART </w:t>
      </w:r>
      <w:r w:rsidR="00817673" w:rsidRPr="005B65DF">
        <w:t xml:space="preserve">testing </w:t>
      </w:r>
      <w:r w:rsidRPr="005B65DF">
        <w:t>is an indirect test of the MEMR, it does not give any information about the strength or duration of muscle contraction. ABR testing gives a series of curves that must be visually inspected to determine the point at which a consistent response may be differentiated from the baseline noise. This point is the threshold for hearing as determined by monitoring signals from the brainstem. If ABR thresholds are elevated above what is expected, the animal has likely received some level of hearing damage and cannot detect noises below a certain level. Previous testing in chinchillas in our lab (data unpublished) established a healthy baseline average threshold of 45 ± 8 dB. A 10 dB elevation post-exposure would be considered significant hearing loss.</w:t>
      </w:r>
    </w:p>
    <w:p w14:paraId="3268BB45" w14:textId="464248B4" w:rsidR="00AC133F" w:rsidRPr="005B65DF" w:rsidRDefault="009F0071" w:rsidP="00251BDB">
      <w:r w:rsidRPr="005B65DF">
        <w:t>W</w:t>
      </w:r>
      <w:r w:rsidR="009213FA" w:rsidRPr="005B65DF">
        <w:t>hile</w:t>
      </w:r>
      <w:r w:rsidRPr="005B65DF">
        <w:t xml:space="preserve"> some information can be gleaned from the raw signal, p</w:t>
      </w:r>
      <w:r w:rsidR="00C774DB" w:rsidRPr="005B65DF">
        <w:t>roperly i</w:t>
      </w:r>
      <w:r w:rsidR="00251BDB" w:rsidRPr="005B65DF">
        <w:t xml:space="preserve">nterpreting EMG signals </w:t>
      </w:r>
      <w:r w:rsidR="00C774DB" w:rsidRPr="005B65DF">
        <w:t xml:space="preserve">requires a degree of post-processing. </w:t>
      </w:r>
      <w:r w:rsidR="00501220" w:rsidRPr="005B65DF">
        <w:t xml:space="preserve">During the process of data acquisition, the signal goes through a notch filter of 60 Hz and a bandpass filter between 50-500 Hz. </w:t>
      </w:r>
      <w:r w:rsidR="00251BDB" w:rsidRPr="005B65DF">
        <w:t xml:space="preserve">The amplitude of the signal represents the strength of the signal </w:t>
      </w:r>
      <w:r w:rsidRPr="005B65DF">
        <w:t xml:space="preserve">recruiting motor units and </w:t>
      </w:r>
      <w:r w:rsidR="00251BDB" w:rsidRPr="005B65DF">
        <w:t xml:space="preserve">causing the muscle to contract. </w:t>
      </w:r>
      <w:r w:rsidR="00501220" w:rsidRPr="005B65DF">
        <w:t xml:space="preserve">This signal strength does vary with the precise location of electrode insertion and with differences between subjects, however, so the amplitude is not sufficient to make comparisons between different animals. </w:t>
      </w:r>
      <w:r w:rsidRPr="005B65DF">
        <w:t xml:space="preserve">Increases in the amplitude can be seen in a filtered but otherwise </w:t>
      </w:r>
      <w:r w:rsidR="00AC133F" w:rsidRPr="005B65DF">
        <w:t>unprocessed</w:t>
      </w:r>
      <w:r w:rsidRPr="005B65DF">
        <w:t xml:space="preserve"> signal, shown in Fig. 2.5, corresponding to heightened tensing of the stapedius as the volume of the eliciting stimulus increases. It is possible to reasonably determine the threshold </w:t>
      </w:r>
      <w:r w:rsidR="00D87012">
        <w:rPr>
          <w:noProof/>
        </w:rPr>
        <w:lastRenderedPageBreak/>
        <w:pict w14:anchorId="05CA86F6">
          <v:shape id="_x0000_s1035" type="#_x0000_t202" style="position:absolute;left:0;text-align:left;margin-left:25.05pt;margin-top:350.05pt;width:424.8pt;height:34.8pt;z-index:251664384;mso-position-horizontal-relative:text;mso-position-vertical-relative:text" stroked="f">
            <v:textbox style="mso-next-textbox:#_x0000_s1035;mso-fit-shape-to-text:t" inset="0,0,0,7.2pt">
              <w:txbxContent>
                <w:p w14:paraId="31D25289" w14:textId="7EC00263" w:rsidR="00D87012" w:rsidRPr="002E5F0E" w:rsidRDefault="00D87012" w:rsidP="009F0071">
                  <w:pPr>
                    <w:pStyle w:val="Caption"/>
                    <w:rPr>
                      <w:szCs w:val="24"/>
                    </w:rPr>
                  </w:pPr>
                  <w:bookmarkStart w:id="41" w:name="_Toc185835"/>
                  <w:r>
                    <w:t xml:space="preserve">Figure </w:t>
                  </w:r>
                  <w:fldSimple w:instr=" STYLEREF 1 \s ">
                    <w:r w:rsidR="00FC3CCD">
                      <w:rPr>
                        <w:noProof/>
                      </w:rPr>
                      <w:t>2</w:t>
                    </w:r>
                  </w:fldSimple>
                  <w:r w:rsidR="00216C1B">
                    <w:noBreakHyphen/>
                  </w:r>
                  <w:fldSimple w:instr=" SEQ Figure \* ARABIC \s 1 ">
                    <w:r w:rsidR="00FC3CCD">
                      <w:rPr>
                        <w:noProof/>
                      </w:rPr>
                      <w:t>5</w:t>
                    </w:r>
                  </w:fldSimple>
                  <w:r>
                    <w:t>. Filtered but otherwise unprocessed EMG data over a stimulus intensity range from 50-110 dB.</w:t>
                  </w:r>
                  <w:bookmarkEnd w:id="41"/>
                </w:p>
              </w:txbxContent>
            </v:textbox>
            <w10:wrap type="square"/>
          </v:shape>
        </w:pict>
      </w:r>
      <w:r w:rsidR="00472EF8" w:rsidRPr="005B65DF">
        <w:rPr>
          <w:noProof/>
          <w:lang w:bidi="ar-SA"/>
        </w:rPr>
        <w:drawing>
          <wp:anchor distT="0" distB="0" distL="114300" distR="114300" simplePos="0" relativeHeight="251635200" behindDoc="0" locked="0" layoutInCell="1" allowOverlap="1" wp14:anchorId="5BD3D512" wp14:editId="49DD505B">
            <wp:simplePos x="0" y="0"/>
            <wp:positionH relativeFrom="column">
              <wp:posOffset>450215</wp:posOffset>
            </wp:positionH>
            <wp:positionV relativeFrom="paragraph">
              <wp:posOffset>-1043</wp:posOffset>
            </wp:positionV>
            <wp:extent cx="4931410" cy="446341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931410" cy="4463415"/>
                    </a:xfrm>
                    <a:prstGeom prst="rect">
                      <a:avLst/>
                    </a:prstGeom>
                  </pic:spPr>
                </pic:pic>
              </a:graphicData>
            </a:graphic>
            <wp14:sizeRelH relativeFrom="margin">
              <wp14:pctWidth>0</wp14:pctWidth>
            </wp14:sizeRelH>
            <wp14:sizeRelV relativeFrom="margin">
              <wp14:pctHeight>0</wp14:pctHeight>
            </wp14:sizeRelV>
          </wp:anchor>
        </w:drawing>
      </w:r>
      <w:r w:rsidRPr="005B65DF">
        <w:t>of activation from this</w:t>
      </w:r>
      <w:r w:rsidR="00501220" w:rsidRPr="005B65DF">
        <w:t xml:space="preserve">, but </w:t>
      </w:r>
      <w:r w:rsidR="00AC133F" w:rsidRPr="005B65DF">
        <w:t>not much else</w:t>
      </w:r>
      <w:r w:rsidRPr="005B65DF">
        <w:t>.</w:t>
      </w:r>
      <w:r w:rsidR="00AC133F" w:rsidRPr="005B65DF">
        <w:t xml:space="preserve"> Interpretations at this point are also subject to a degree</w:t>
      </w:r>
      <w:r w:rsidR="00472EF8" w:rsidRPr="005B65DF">
        <w:t xml:space="preserve"> </w:t>
      </w:r>
      <w:r w:rsidR="00AC133F" w:rsidRPr="005B65DF">
        <w:t>of subjectivity depending on the interpreter; for instance, it would not be unthinkable for someone to judge 70 dB or 90 dB to be the true threshold in Fig. 2.5. In order to facilitate the interpretation of the EMG signal and remove some of this subjectivity, MATLAB was used</w:t>
      </w:r>
      <w:r w:rsidR="009835A5" w:rsidRPr="005B65DF">
        <w:t xml:space="preserve"> for postprocessing</w:t>
      </w:r>
      <w:r w:rsidR="00AC133F" w:rsidRPr="005B65DF">
        <w:t xml:space="preserve">. </w:t>
      </w:r>
    </w:p>
    <w:p w14:paraId="1937DF2A" w14:textId="00805B1D" w:rsidR="002C3F2A" w:rsidRPr="005B65DF" w:rsidRDefault="00AC133F" w:rsidP="00CF4361">
      <w:r w:rsidRPr="005B65DF">
        <w:t xml:space="preserve">Once data was imported into the MATLAB software, a script was applied to perform a series of functions on it. First, </w:t>
      </w:r>
      <w:r w:rsidR="009350B6" w:rsidRPr="005B65DF">
        <w:t xml:space="preserve">bias </w:t>
      </w:r>
      <w:r w:rsidR="00492B24" w:rsidRPr="005B65DF">
        <w:t>wa</w:t>
      </w:r>
      <w:r w:rsidR="009350B6" w:rsidRPr="005B65DF">
        <w:t xml:space="preserve">s </w:t>
      </w:r>
      <w:r w:rsidR="00492B24" w:rsidRPr="005B65DF">
        <w:t>removed by subtracting the mean.</w:t>
      </w:r>
      <w:r w:rsidR="009350B6" w:rsidRPr="005B65DF">
        <w:t xml:space="preserve"> </w:t>
      </w:r>
      <w:r w:rsidR="00492B24" w:rsidRPr="005B65DF">
        <w:t>T</w:t>
      </w:r>
      <w:r w:rsidR="009350B6" w:rsidRPr="005B65DF">
        <w:t>he</w:t>
      </w:r>
      <w:r w:rsidR="00492B24" w:rsidRPr="005B65DF">
        <w:t xml:space="preserve"> </w:t>
      </w:r>
      <w:r w:rsidR="009350B6" w:rsidRPr="005B65DF">
        <w:t>signal</w:t>
      </w:r>
      <w:r w:rsidRPr="005B65DF">
        <w:t xml:space="preserve"> </w:t>
      </w:r>
      <w:r w:rsidR="00492B24" w:rsidRPr="005B65DF">
        <w:t xml:space="preserve">then </w:t>
      </w:r>
      <w:r w:rsidRPr="005B65DF">
        <w:t xml:space="preserve">underwent full-wave rectification, taking the absolute value </w:t>
      </w:r>
      <w:r w:rsidR="00836EA2" w:rsidRPr="005B65DF">
        <w:t xml:space="preserve">in order to preserve as much of the signal as possible. Since the typical signal begins with a trough before hitting a peak, half-wave rectification would have </w:t>
      </w:r>
      <w:r w:rsidR="004E44CE" w:rsidRPr="005B65DF">
        <w:t xml:space="preserve">deleted that part of the signal, </w:t>
      </w:r>
      <w:r w:rsidR="004732BB" w:rsidRPr="005B65DF">
        <w:t>shifting</w:t>
      </w:r>
      <w:r w:rsidR="004E44CE" w:rsidRPr="005B65DF">
        <w:t xml:space="preserve"> latency measurements b</w:t>
      </w:r>
      <w:r w:rsidR="004732BB" w:rsidRPr="005B65DF">
        <w:t>y</w:t>
      </w:r>
      <w:r w:rsidR="004E44CE" w:rsidRPr="005B65DF">
        <w:t xml:space="preserve"> a few </w:t>
      </w:r>
      <w:r w:rsidR="004E44CE" w:rsidRPr="005B65DF">
        <w:lastRenderedPageBreak/>
        <w:t xml:space="preserve">miliseconds. </w:t>
      </w:r>
      <w:r w:rsidR="009F0071" w:rsidRPr="005B65DF">
        <w:t xml:space="preserve"> </w:t>
      </w:r>
      <w:bookmarkStart w:id="42" w:name="OLE_LINK1"/>
      <w:r w:rsidR="00492B24" w:rsidRPr="005B65DF">
        <w:t xml:space="preserve">Finally, a Paynter filter was applied to the signal to </w:t>
      </w:r>
      <w:r w:rsidR="004732BB" w:rsidRPr="005B65DF">
        <w:t xml:space="preserve">demodulate the amplitude and </w:t>
      </w:r>
      <w:r w:rsidR="00492B24" w:rsidRPr="005B65DF">
        <w:t>create an envelope</w:t>
      </w:r>
      <w:r w:rsidR="004732BB" w:rsidRPr="005B65DF">
        <w:t>.</w:t>
      </w:r>
      <w:bookmarkEnd w:id="42"/>
      <w:r w:rsidR="004732BB" w:rsidRPr="005B65DF">
        <w:t xml:space="preserve"> The Paynter filter was first proposed in </w:t>
      </w:r>
      <w:r w:rsidR="00234B40" w:rsidRPr="005B65DF">
        <w:t>1970 for this purpose in EMG</w:t>
      </w:r>
      <w:r w:rsidR="004732BB" w:rsidRPr="005B65DF">
        <w:t>,</w:t>
      </w:r>
      <w:r w:rsidR="00234B40" w:rsidRPr="005B65DF">
        <w:t xml:space="preserve"> clarifying the activation and deactivation times along with the average value of the rectified EMG of the target muscle, which corresponds to its average force of contraction</w:t>
      </w:r>
      <w:r w:rsidR="004732BB" w:rsidRPr="005B65DF">
        <w:t xml:space="preserve"> </w:t>
      </w:r>
      <w:r w:rsidR="004732BB" w:rsidRPr="005B65DF">
        <w:fldChar w:fldCharType="begin" w:fldLock="1"/>
      </w:r>
      <w:r w:rsidR="00E01826" w:rsidRPr="005B65DF">
        <w:instrText>ADDIN CSL_CITATION {"citationItems":[{"id":"ITEM-1","itemData":{"ISSN":"00029491","PMID":"5438555","abstract":"Essentially a description of a 3rd order Paynter filter with 'time uncertainty' of T=10 ms. The filter schematic, the transfer function of the filter as well as the equation describing the averaging interval (T) are included.\\nThey suggest that a band width on the order of 500 Hz is required to record properly surface EMG.","author":[{"dropping-particle":"","family":"Gottlieb","given":"G L","non-dropping-particle":"","parse-names":false,"suffix":""},{"dropping-particle":"","family":"Agarwal","given":"G C","non-dropping-particle":"","parse-names":false,"suffix":""}],"container-title":"American Journal of Physical Medicine","id":"ITEM-1","issued":{"date-parts":[["1970"]]},"page":"142-146","title":"Filtering of electromyographic signals","type":"article","volume":"49"},"uris":["http://www.mendeley.com/documents/?uuid=cb7437f5-10be-4826-b24e-4a6910fabaf0"]}],"mendeley":{"formattedCitation":"(Gottlieb et al., 1970)","plainTextFormattedCitation":"(Gottlieb et al., 1970)","previouslyFormattedCitation":"(Gottlieb et al., 1970)"},"properties":{"noteIndex":0},"schema":"https://github.com/citation-style-language/schema/raw/master/csl-citation.json"}</w:instrText>
      </w:r>
      <w:r w:rsidR="004732BB" w:rsidRPr="005B65DF">
        <w:fldChar w:fldCharType="separate"/>
      </w:r>
      <w:r w:rsidR="009D66ED" w:rsidRPr="005B65DF">
        <w:rPr>
          <w:noProof/>
        </w:rPr>
        <w:t>(Gottlieb et al., 1970)</w:t>
      </w:r>
      <w:r w:rsidR="004732BB" w:rsidRPr="005B65DF">
        <w:fldChar w:fldCharType="end"/>
      </w:r>
      <w:r w:rsidR="004732BB" w:rsidRPr="005B65DF">
        <w:t>.</w:t>
      </w:r>
      <w:r w:rsidR="00CF4361" w:rsidRPr="005B65DF">
        <w:t xml:space="preserve"> </w:t>
      </w:r>
      <w:r w:rsidR="00234B40" w:rsidRPr="005B65DF">
        <w:t>The modified Paynter filter used in the MATLAB code paynter(</w:t>
      </w:r>
      <w:r w:rsidR="002C3F2A" w:rsidRPr="005B65DF">
        <w:rPr>
          <w:rFonts w:cstheme="minorHAnsi"/>
        </w:rPr>
        <w:t>τ</w:t>
      </w:r>
      <w:r w:rsidR="002C3F2A" w:rsidRPr="005B65DF">
        <w:t>,fs)</w:t>
      </w:r>
      <w:r w:rsidR="00234B40" w:rsidRPr="005B65DF">
        <w:t xml:space="preserve"> </w:t>
      </w:r>
      <w:r w:rsidR="002C3F2A" w:rsidRPr="005B65DF">
        <w:t>results in the following output-over-input voltage transfer function T(</w:t>
      </w:r>
      <w:r w:rsidR="002C3F2A" w:rsidRPr="005B65DF">
        <w:rPr>
          <w:i/>
        </w:rPr>
        <w:t>s</w:t>
      </w:r>
      <w:r w:rsidR="002C3F2A" w:rsidRPr="005B65DF">
        <w:t xml:space="preserve">) where </w:t>
      </w:r>
    </w:p>
    <w:p w14:paraId="256680EA" w14:textId="04E19F9F" w:rsidR="002C3F2A" w:rsidRPr="005B65DF" w:rsidRDefault="002C3F2A" w:rsidP="00F20222">
      <w:pPr>
        <w:ind w:firstLine="0"/>
      </w:pPr>
      <w:r w:rsidRPr="005B65DF">
        <w:rPr>
          <w:rFonts w:cstheme="minorHAnsi"/>
        </w:rPr>
        <w:t xml:space="preserve">τ = resistance*capacitance and </w:t>
      </w:r>
      <w:r w:rsidRPr="005B65DF">
        <w:rPr>
          <w:rFonts w:cstheme="minorHAnsi"/>
          <w:i/>
        </w:rPr>
        <w:t>s</w:t>
      </w:r>
      <w:r w:rsidRPr="005B65DF">
        <w:rPr>
          <w:rFonts w:cstheme="minorHAnsi"/>
        </w:rPr>
        <w:t xml:space="preserve"> is a complex frequency variable</w:t>
      </w:r>
      <w:r w:rsidRPr="005B65DF">
        <w:t xml:space="preserve"> </w:t>
      </w:r>
      <w:r w:rsidRPr="005B65DF">
        <w:fldChar w:fldCharType="begin" w:fldLock="1"/>
      </w:r>
      <w:r w:rsidR="00E01826" w:rsidRPr="005B65DF">
        <w:instrText>ADDIN CSL_CITATION {"citationItems":[{"id":"ITEM-1","itemData":{"DOI":"10.1152/jappl.1998.84.1.378","ISBN":"0780367251","ISSN":"8750-7587","author":[{"dropping-particle":"","family":"Platt","given":"Ronald S.","non-dropping-particle":"","parse-names":false,"suffix":""},{"dropping-particle":"","family":"Hajduk","given":"Eric A.","non-dropping-particle":"","parse-names":false,"suffix":""},{"dropping-particle":"","family":"Hulliger","given":"Manuel","non-dropping-particle":"","parse-names":false,"suffix":""},{"dropping-particle":"","family":"Easton","given":"Paul A.","non-dropping-particle":"","parse-names":false,"suffix":""}],"container-title":"Journal of Applied Physiology","id":"ITEM-1","issue":"1","issued":{"date-parts":[["1998","1"]]},"page":"378-388","title":"A modified Bessel filter for amplitude demodulation of respiratory electromyograms","type":"article-journal","volume":"84"},"uris":["http://www.mendeley.com/documents/?uuid=5016eb52-a9f8-49d4-82f1-958e68b6709e"]}],"mendeley":{"formattedCitation":"(Platt et al., 1998)","plainTextFormattedCitation":"(Platt et al., 1998)","previouslyFormattedCitation":"(Platt et al., 1998)"},"properties":{"noteIndex":0},"schema":"https://github.com/citation-style-language/schema/raw/master/csl-citation.json"}</w:instrText>
      </w:r>
      <w:r w:rsidRPr="005B65DF">
        <w:fldChar w:fldCharType="separate"/>
      </w:r>
      <w:r w:rsidR="009D66ED" w:rsidRPr="005B65DF">
        <w:rPr>
          <w:noProof/>
        </w:rPr>
        <w:t>(Platt et al., 1998)</w:t>
      </w:r>
      <w:r w:rsidRPr="005B65DF">
        <w:fldChar w:fldCharType="end"/>
      </w:r>
      <w:r w:rsidRPr="005B65DF">
        <w:t>:</w:t>
      </w:r>
    </w:p>
    <w:p w14:paraId="37A0B8EF" w14:textId="2493DF84" w:rsidR="002C3F2A" w:rsidRPr="005B65DF" w:rsidRDefault="002C3F2A" w:rsidP="00F20222">
      <w:pPr>
        <w:ind w:firstLine="0"/>
      </w:pPr>
      <m:oMathPara>
        <m:oMathParaPr>
          <m:jc m:val="left"/>
        </m:oMathParaPr>
        <m:oMath>
          <m:r>
            <m:rPr>
              <m:sty m:val="p"/>
            </m:rPr>
            <w:rPr>
              <w:rFonts w:ascii="Cambria Math" w:hAnsi="Cambria Math"/>
            </w:rPr>
            <m:t>T</m:t>
          </m:r>
          <m:d>
            <m:dPr>
              <m:ctrlPr>
                <w:rPr>
                  <w:rFonts w:ascii="Cambria Math" w:hAnsi="Cambria Math"/>
                </w:rPr>
              </m:ctrlPr>
            </m:dPr>
            <m:e>
              <m:r>
                <w:rPr>
                  <w:rFonts w:ascii="Cambria Math" w:hAnsi="Cambria Math"/>
                </w:rPr>
                <m:t>s</m:t>
              </m:r>
              <m:ctrlPr>
                <w:rPr>
                  <w:rFonts w:ascii="Cambria Math" w:hAnsi="Cambria Math"/>
                  <w:i/>
                </w:rPr>
              </m:ctrlPr>
            </m:e>
          </m:d>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1+τ</m:t>
                  </m:r>
                  <m:sSup>
                    <m:sSupPr>
                      <m:ctrlPr>
                        <w:rPr>
                          <w:rFonts w:ascii="Cambria Math" w:hAnsi="Cambria Math"/>
                          <w:i/>
                        </w:rPr>
                      </m:ctrlPr>
                    </m:sSupPr>
                    <m:e>
                      <m:r>
                        <w:rPr>
                          <w:rFonts w:ascii="Cambria Math" w:hAnsi="Cambria Math"/>
                        </w:rPr>
                        <m:t>s</m:t>
                      </m:r>
                    </m:e>
                    <m:sup>
                      <m:r>
                        <w:rPr>
                          <w:rFonts w:ascii="Cambria Math" w:hAnsi="Cambria Math"/>
                        </w:rPr>
                        <m:t>2</m:t>
                      </m:r>
                    </m:sup>
                  </m:sSup>
                </m:e>
              </m:d>
            </m:num>
            <m:den>
              <m:d>
                <m:dPr>
                  <m:ctrlPr>
                    <w:rPr>
                      <w:rFonts w:ascii="Cambria Math" w:hAnsi="Cambria Math"/>
                      <w:i/>
                    </w:rPr>
                  </m:ctrlPr>
                </m:dPr>
                <m:e>
                  <m:r>
                    <w:rPr>
                      <w:rFonts w:ascii="Cambria Math" w:hAnsi="Cambria Math"/>
                    </w:rPr>
                    <m:t>1+2τs</m:t>
                  </m:r>
                </m:e>
              </m:d>
              <m:d>
                <m:dPr>
                  <m:ctrlPr>
                    <w:rPr>
                      <w:rFonts w:ascii="Cambria Math" w:hAnsi="Cambria Math"/>
                      <w:i/>
                    </w:rPr>
                  </m:ctrlPr>
                </m:dPr>
                <m:e>
                  <m:r>
                    <w:rPr>
                      <w:rFonts w:ascii="Cambria Math" w:hAnsi="Cambria Math"/>
                    </w:rPr>
                    <m:t>1+1.2τs+1.6</m:t>
                  </m:r>
                  <m:sSup>
                    <m:sSupPr>
                      <m:ctrlPr>
                        <w:rPr>
                          <w:rFonts w:ascii="Cambria Math" w:hAnsi="Cambria Math"/>
                          <w:i/>
                        </w:rPr>
                      </m:ctrlPr>
                    </m:sSupPr>
                    <m:e>
                      <m:r>
                        <w:rPr>
                          <w:rFonts w:ascii="Cambria Math" w:hAnsi="Cambria Math"/>
                        </w:rPr>
                        <m:t>τ</m:t>
                      </m:r>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e>
              </m:d>
            </m:den>
          </m:f>
          <m:r>
            <w:rPr>
              <w:rFonts w:ascii="Cambria Math" w:hAnsi="Cambria Math"/>
            </w:rPr>
            <m:t xml:space="preserve">                                                                                   (3)</m:t>
          </m:r>
        </m:oMath>
      </m:oMathPara>
    </w:p>
    <w:p w14:paraId="675D75E0" w14:textId="19A30836" w:rsidR="004732BB" w:rsidRPr="005B65DF" w:rsidRDefault="004732BB" w:rsidP="00F20222">
      <w:pPr>
        <w:ind w:firstLine="0"/>
      </w:pPr>
      <w:r w:rsidRPr="005B65DF">
        <w:t xml:space="preserve">In this </w:t>
      </w:r>
      <w:r w:rsidR="002C3F2A" w:rsidRPr="005B65DF">
        <w:t>study</w:t>
      </w:r>
      <w:r w:rsidRPr="005B65DF">
        <w:t xml:space="preserve">, the parameters used </w:t>
      </w:r>
      <w:r w:rsidR="002C3F2A" w:rsidRPr="005B65DF">
        <w:t xml:space="preserve">in MATLAB </w:t>
      </w:r>
      <w:r w:rsidRPr="005B65DF">
        <w:t xml:space="preserve">were </w:t>
      </w:r>
      <w:r w:rsidRPr="005B65DF">
        <w:rPr>
          <w:rFonts w:cstheme="minorHAnsi"/>
        </w:rPr>
        <w:t xml:space="preserve">τ </w:t>
      </w:r>
      <w:r w:rsidRPr="005B65DF">
        <w:t xml:space="preserve">= 400s and sampling rate </w:t>
      </w:r>
      <w:r w:rsidR="002C3F2A" w:rsidRPr="005B65DF">
        <w:t xml:space="preserve">fs </w:t>
      </w:r>
      <w:r w:rsidRPr="005B65DF">
        <w:t>= 24.39 kHz.</w:t>
      </w:r>
      <w:r w:rsidR="00DB7A64" w:rsidRPr="005B65DF">
        <w:t xml:space="preserve"> The MATLAB code used can be found in Appendix A.</w:t>
      </w:r>
    </w:p>
    <w:p w14:paraId="76E518B6" w14:textId="27E392BF" w:rsidR="00114119" w:rsidRPr="005B65DF" w:rsidRDefault="00CF4361" w:rsidP="00CF4361">
      <w:r w:rsidRPr="005B65DF">
        <w:t>Figure 2.6 shows a set of EMG data going through this process</w:t>
      </w:r>
      <w:r w:rsidR="004732BB" w:rsidRPr="005B65DF">
        <w:t>, starting with the basic high-pass and low-pass filters from BioSig on top, then showing the signal post bias-removal and rectification in the middle, and finally the signal envelope after application of the Paynter filter on the bottom</w:t>
      </w:r>
      <w:r w:rsidRPr="005B65DF">
        <w:t>.</w:t>
      </w:r>
      <w:r w:rsidR="00335F38" w:rsidRPr="005B65DF">
        <w:t xml:space="preserve"> </w:t>
      </w:r>
      <w:r w:rsidR="003444F5" w:rsidRPr="005B65DF">
        <w:t xml:space="preserve">For all cases, t=0 ms was the onset of acoustic stimulation and t=50 ms was the end of the stimulus. </w:t>
      </w:r>
      <w:r w:rsidR="00335F38" w:rsidRPr="005B65DF">
        <w:t>Looking at the point where the amplitude of the envelope exceeds the mean of the part of the signal outside of the region of anticipated muscle activation allows for a more objective determination of where the muscle response begins compared to looking at the raw signal.</w:t>
      </w:r>
      <w:r w:rsidR="003444F5" w:rsidRPr="005B65DF">
        <w:t xml:space="preserve"> As stimulus onset was always t=0 ms, the time where the muscle response began was the same as the latency in milliseconds between stimulus onset and response.</w:t>
      </w:r>
    </w:p>
    <w:p w14:paraId="4DF1E55E" w14:textId="77777777" w:rsidR="00CF4361" w:rsidRPr="005B65DF" w:rsidRDefault="00CF4361" w:rsidP="00CF4361"/>
    <w:p w14:paraId="53F92CAD" w14:textId="77777777" w:rsidR="00CF4361" w:rsidRPr="005B65DF" w:rsidRDefault="00CF4361" w:rsidP="00CF4361"/>
    <w:bookmarkStart w:id="43" w:name="_Hlk533194771"/>
    <w:p w14:paraId="1933C769" w14:textId="77777777" w:rsidR="00CF4361" w:rsidRPr="005B65DF" w:rsidRDefault="00CF4361" w:rsidP="00CF4361">
      <w:pPr>
        <w:keepNext/>
      </w:pPr>
      <w:r w:rsidRPr="005B65DF">
        <w:object w:dxaOrig="6799" w:dyaOrig="14707" w14:anchorId="5CA67B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75pt;height:601.5pt" o:ole="">
            <v:imagedata r:id="rId32" o:title=""/>
          </v:shape>
          <o:OLEObject Type="Embed" ProgID="Prism7.Document" ShapeID="_x0000_i1025" DrawAspect="Content" ObjectID="_1610798721" r:id="rId33"/>
        </w:object>
      </w:r>
      <w:bookmarkEnd w:id="43"/>
    </w:p>
    <w:p w14:paraId="7275C376" w14:textId="1642D3BB" w:rsidR="00CF4361" w:rsidRPr="005B65DF" w:rsidRDefault="00CF4361" w:rsidP="00CF4361">
      <w:pPr>
        <w:pStyle w:val="Caption"/>
      </w:pPr>
      <w:bookmarkStart w:id="44" w:name="_Toc185836"/>
      <w:r w:rsidRPr="005B65DF">
        <w:t xml:space="preserve">Figure </w:t>
      </w:r>
      <w:fldSimple w:instr=" STYLEREF 1 \s ">
        <w:r w:rsidR="00FC3CCD">
          <w:rPr>
            <w:noProof/>
          </w:rPr>
          <w:t>2</w:t>
        </w:r>
      </w:fldSimple>
      <w:r w:rsidR="00216C1B">
        <w:noBreakHyphen/>
      </w:r>
      <w:fldSimple w:instr=" SEQ Figure \* ARABIC \s 1 ">
        <w:r w:rsidR="00FC3CCD">
          <w:rPr>
            <w:noProof/>
          </w:rPr>
          <w:t>6</w:t>
        </w:r>
      </w:fldSimple>
      <w:r w:rsidR="00A006A9" w:rsidRPr="005B65DF">
        <w:t>.</w:t>
      </w:r>
      <w:r w:rsidRPr="005B65DF">
        <w:t xml:space="preserve"> Stages of EMG </w:t>
      </w:r>
      <w:r w:rsidR="00A006A9" w:rsidRPr="005B65DF">
        <w:t>p</w:t>
      </w:r>
      <w:r w:rsidRPr="005B65DF">
        <w:t>rocessing</w:t>
      </w:r>
      <w:r w:rsidR="00A006A9" w:rsidRPr="005B65DF">
        <w:t>.</w:t>
      </w:r>
      <w:bookmarkEnd w:id="44"/>
    </w:p>
    <w:p w14:paraId="2AD8682D" w14:textId="77777777" w:rsidR="00251BDB" w:rsidRPr="005B65DF" w:rsidRDefault="00251BDB" w:rsidP="00251BDB">
      <w:pPr>
        <w:pStyle w:val="Heading2"/>
      </w:pPr>
      <w:bookmarkStart w:id="45" w:name="_Toc185908"/>
      <w:r w:rsidRPr="005B65DF">
        <w:lastRenderedPageBreak/>
        <w:t>2.3 Results</w:t>
      </w:r>
      <w:bookmarkEnd w:id="45"/>
    </w:p>
    <w:p w14:paraId="4B2145D0" w14:textId="77777777" w:rsidR="00D60C05" w:rsidRPr="005B65DF" w:rsidRDefault="005A19FF" w:rsidP="0026427F">
      <w:pPr>
        <w:pStyle w:val="Heading3"/>
      </w:pPr>
      <w:bookmarkStart w:id="46" w:name="_Toc185909"/>
      <w:r w:rsidRPr="005B65DF">
        <w:t>2.3.1 MEMR Threshold in Chinchillas</w:t>
      </w:r>
      <w:bookmarkEnd w:id="46"/>
    </w:p>
    <w:p w14:paraId="568010A2" w14:textId="4B2D79F4" w:rsidR="00D60C05" w:rsidRPr="005B65DF" w:rsidRDefault="003430B1" w:rsidP="00D60C05">
      <w:r w:rsidRPr="005B65DF">
        <w:t>As previously discussed, MEMR thresholds were determined both by direct EMG measurement of muscle activity through tungsten electrodes and through indirect ART</w:t>
      </w:r>
      <w:r w:rsidR="00817673" w:rsidRPr="005B65DF">
        <w:t xml:space="preserve"> testing</w:t>
      </w:r>
      <w:r w:rsidRPr="005B65DF">
        <w:t xml:space="preserve">. </w:t>
      </w:r>
      <w:r w:rsidR="008C4D41" w:rsidRPr="005B65DF">
        <w:t xml:space="preserve">MEMR </w:t>
      </w:r>
      <w:r w:rsidR="002868B3" w:rsidRPr="005B65DF">
        <w:t xml:space="preserve">thresholds </w:t>
      </w:r>
      <w:r w:rsidR="008C4D41" w:rsidRPr="005B65DF">
        <w:t xml:space="preserve">were determined by EMG </w:t>
      </w:r>
      <w:r w:rsidR="002868B3" w:rsidRPr="005B65DF">
        <w:t xml:space="preserve">at 1, 2, 4, and 6 kHz. </w:t>
      </w:r>
      <w:r w:rsidR="00D947E0" w:rsidRPr="005B65DF">
        <w:t xml:space="preserve">Table 2-1 shows the </w:t>
      </w:r>
      <w:r w:rsidR="004E4AD2" w:rsidRPr="005B65DF">
        <w:t xml:space="preserve">EMG-obtained </w:t>
      </w:r>
      <w:r w:rsidR="00D947E0" w:rsidRPr="005B65DF">
        <w:t>MEMR threshold results for the 14 animals tested in t</w:t>
      </w:r>
      <w:r w:rsidR="00900E12" w:rsidRPr="005B65DF">
        <w:t>his part of the study. At 1 kHz</w:t>
      </w:r>
      <w:r w:rsidR="00D947E0" w:rsidRPr="005B65DF">
        <w:t xml:space="preserve"> the mean thresho</w:t>
      </w:r>
      <w:r w:rsidR="00900E12" w:rsidRPr="005B65DF">
        <w:t>ld was 63.6 ± 16.5 dB</w:t>
      </w:r>
      <w:r w:rsidR="008C4D41" w:rsidRPr="005B65DF">
        <w:t>;</w:t>
      </w:r>
      <w:r w:rsidR="00900E12" w:rsidRPr="005B65DF">
        <w:t xml:space="preserve"> at 2 kHz</w:t>
      </w:r>
      <w:r w:rsidR="00D947E0" w:rsidRPr="005B65DF">
        <w:t xml:space="preserve"> it was 70.0 ± 12.4</w:t>
      </w:r>
      <w:r w:rsidR="00C312C1" w:rsidRPr="005B65DF">
        <w:t xml:space="preserve"> dB</w:t>
      </w:r>
      <w:r w:rsidR="008C4D41" w:rsidRPr="005B65DF">
        <w:t>;</w:t>
      </w:r>
      <w:r w:rsidR="00C312C1" w:rsidRPr="005B65DF">
        <w:t xml:space="preserve"> </w:t>
      </w:r>
      <w:r w:rsidR="00D947E0" w:rsidRPr="005B65DF">
        <w:t>at 4 kHz it was 71.4 ± 13.5 dB</w:t>
      </w:r>
      <w:r w:rsidR="008C4D41" w:rsidRPr="005B65DF">
        <w:t>;</w:t>
      </w:r>
      <w:r w:rsidR="00900E12" w:rsidRPr="005B65DF">
        <w:t xml:space="preserve"> and finally at 6 kHz it was 76.4 ± 13.9 dB</w:t>
      </w:r>
      <w:r w:rsidR="00D947E0" w:rsidRPr="005B65DF">
        <w:t>.</w:t>
      </w:r>
    </w:p>
    <w:p w14:paraId="5F9B552A" w14:textId="2D282281" w:rsidR="002868B3" w:rsidRPr="005B65DF" w:rsidRDefault="002868B3" w:rsidP="00472EF8">
      <w:r w:rsidRPr="005B65DF">
        <w:t xml:space="preserve">ART </w:t>
      </w:r>
      <w:r w:rsidR="008C4D41" w:rsidRPr="005B65DF">
        <w:t xml:space="preserve">testing </w:t>
      </w:r>
      <w:r w:rsidRPr="005B65DF">
        <w:t xml:space="preserve">determined thresholds at </w:t>
      </w:r>
      <w:r w:rsidR="008C4D41" w:rsidRPr="005B65DF">
        <w:t xml:space="preserve">frequencies of </w:t>
      </w:r>
      <w:r w:rsidRPr="005B65DF">
        <w:t xml:space="preserve">1, 2, and 4 kHz. </w:t>
      </w:r>
      <w:r w:rsidR="00900E12" w:rsidRPr="005B65DF">
        <w:t xml:space="preserve">Contrary to the EMG results, the tympanometer was not set up to determine a 6 kHz threshold. </w:t>
      </w:r>
      <w:r w:rsidR="00D947E0" w:rsidRPr="005B65DF">
        <w:t xml:space="preserve">Table 2-2 shows these results. </w:t>
      </w:r>
      <w:r w:rsidR="004E4AD2" w:rsidRPr="005B65DF">
        <w:t>The threshold was 85.0 ± 15.4 dB at 1 kHz</w:t>
      </w:r>
      <w:r w:rsidR="008C4D41" w:rsidRPr="005B65DF">
        <w:t>;</w:t>
      </w:r>
      <w:r w:rsidR="004E4AD2" w:rsidRPr="005B65DF">
        <w:t xml:space="preserve"> 81.1 ± 11.5 dB at 2 kHz</w:t>
      </w:r>
      <w:r w:rsidR="008C4D41" w:rsidRPr="005B65DF">
        <w:t>;</w:t>
      </w:r>
      <w:r w:rsidR="004E4AD2" w:rsidRPr="005B65DF">
        <w:t xml:space="preserve"> and 73.9 ± 17.9 dB at 4 kHz.</w:t>
      </w:r>
      <w:r w:rsidRPr="005B65DF">
        <w:t xml:space="preserve"> </w:t>
      </w:r>
      <w:r w:rsidR="008C4D41" w:rsidRPr="005B65DF">
        <w:t>The</w:t>
      </w:r>
      <w:r w:rsidRPr="005B65DF">
        <w:t xml:space="preserve"> threshold</w:t>
      </w:r>
      <w:r w:rsidR="008C4D41" w:rsidRPr="005B65DF">
        <w:t xml:space="preserve"> values for frequency values that were shared between EMG and ART testing </w:t>
      </w:r>
      <w:r w:rsidRPr="005B65DF">
        <w:t>are plotted on Fig. 2.7.</w:t>
      </w:r>
    </w:p>
    <w:bookmarkStart w:id="47" w:name="_Hlk533194727"/>
    <w:p w14:paraId="77C07FEF" w14:textId="77777777" w:rsidR="00472EF8" w:rsidRPr="005B65DF" w:rsidRDefault="00527497" w:rsidP="00F20222">
      <w:pPr>
        <w:keepNext/>
        <w:ind w:firstLine="0"/>
      </w:pPr>
      <w:r w:rsidRPr="005B65DF">
        <w:object w:dxaOrig="8683" w:dyaOrig="4190" w14:anchorId="79ECACE0">
          <v:shape id="_x0000_i1026" type="#_x0000_t75" style="width:432.75pt;height:209.25pt" o:ole="">
            <v:imagedata r:id="rId34" o:title=""/>
          </v:shape>
          <o:OLEObject Type="Embed" ProgID="Prism8.Document" ShapeID="_x0000_i1026" DrawAspect="Content" ObjectID="_1610798722" r:id="rId35"/>
        </w:object>
      </w:r>
      <w:bookmarkEnd w:id="47"/>
    </w:p>
    <w:p w14:paraId="71E9425F" w14:textId="302E6F7B" w:rsidR="00A168F4" w:rsidRPr="005B65DF" w:rsidRDefault="002868B3" w:rsidP="00F20222">
      <w:pPr>
        <w:keepNext/>
        <w:ind w:firstLine="0"/>
        <w:rPr>
          <w:b/>
        </w:rPr>
      </w:pPr>
      <w:bookmarkStart w:id="48" w:name="_Toc185837"/>
      <w:r w:rsidRPr="005B65DF">
        <w:rPr>
          <w:b/>
        </w:rPr>
        <w:t xml:space="preserve">Figure </w:t>
      </w:r>
      <w:r w:rsidR="00216C1B">
        <w:rPr>
          <w:b/>
        </w:rPr>
        <w:fldChar w:fldCharType="begin"/>
      </w:r>
      <w:r w:rsidR="00216C1B">
        <w:rPr>
          <w:b/>
        </w:rPr>
        <w:instrText xml:space="preserve"> STYLEREF 1 \s </w:instrText>
      </w:r>
      <w:r w:rsidR="00216C1B">
        <w:rPr>
          <w:b/>
        </w:rPr>
        <w:fldChar w:fldCharType="separate"/>
      </w:r>
      <w:r w:rsidR="00FC3CCD">
        <w:rPr>
          <w:b/>
          <w:noProof/>
        </w:rPr>
        <w:t>2</w:t>
      </w:r>
      <w:r w:rsidR="00216C1B">
        <w:rPr>
          <w:b/>
        </w:rPr>
        <w:fldChar w:fldCharType="end"/>
      </w:r>
      <w:r w:rsidR="00216C1B">
        <w:rPr>
          <w:b/>
        </w:rPr>
        <w:noBreakHyphen/>
      </w:r>
      <w:r w:rsidR="00216C1B">
        <w:rPr>
          <w:b/>
        </w:rPr>
        <w:fldChar w:fldCharType="begin"/>
      </w:r>
      <w:r w:rsidR="00216C1B">
        <w:rPr>
          <w:b/>
        </w:rPr>
        <w:instrText xml:space="preserve"> SEQ Figure \* ARABIC \s 1 </w:instrText>
      </w:r>
      <w:r w:rsidR="00216C1B">
        <w:rPr>
          <w:b/>
        </w:rPr>
        <w:fldChar w:fldCharType="separate"/>
      </w:r>
      <w:r w:rsidR="00FC3CCD">
        <w:rPr>
          <w:b/>
          <w:noProof/>
        </w:rPr>
        <w:t>7</w:t>
      </w:r>
      <w:r w:rsidR="00216C1B">
        <w:rPr>
          <w:b/>
        </w:rPr>
        <w:fldChar w:fldCharType="end"/>
      </w:r>
      <w:r w:rsidR="00A006A9" w:rsidRPr="005B65DF">
        <w:rPr>
          <w:b/>
        </w:rPr>
        <w:t>. MEMR t</w:t>
      </w:r>
      <w:r w:rsidRPr="005B65DF">
        <w:rPr>
          <w:b/>
        </w:rPr>
        <w:t xml:space="preserve">hresholds </w:t>
      </w:r>
      <w:r w:rsidR="00A006A9" w:rsidRPr="005B65DF">
        <w:rPr>
          <w:b/>
        </w:rPr>
        <w:t>d</w:t>
      </w:r>
      <w:r w:rsidRPr="005B65DF">
        <w:rPr>
          <w:b/>
        </w:rPr>
        <w:t xml:space="preserve">etermined by ART </w:t>
      </w:r>
      <w:r w:rsidR="00817673" w:rsidRPr="005B65DF">
        <w:rPr>
          <w:b/>
        </w:rPr>
        <w:t xml:space="preserve">testing </w:t>
      </w:r>
      <w:r w:rsidRPr="005B65DF">
        <w:rPr>
          <w:b/>
        </w:rPr>
        <w:t>and EMG</w:t>
      </w:r>
      <w:r w:rsidR="00A006A9" w:rsidRPr="005B65DF">
        <w:rPr>
          <w:b/>
        </w:rPr>
        <w:t>.</w:t>
      </w:r>
      <w:bookmarkEnd w:id="48"/>
    </w:p>
    <w:p w14:paraId="1CA43691" w14:textId="77777777" w:rsidR="00D60C05" w:rsidRPr="005B65DF" w:rsidRDefault="00D60C05" w:rsidP="0026427F">
      <w:r w:rsidRPr="005B65DF">
        <w:br w:type="page"/>
      </w:r>
    </w:p>
    <w:p w14:paraId="62CE1C7C" w14:textId="3300EE73" w:rsidR="00D947E0" w:rsidRPr="005B65DF" w:rsidRDefault="00D947E0" w:rsidP="009B430A">
      <w:pPr>
        <w:pStyle w:val="Caption"/>
        <w:keepNext/>
        <w:ind w:firstLine="0"/>
      </w:pPr>
      <w:bookmarkStart w:id="49" w:name="_Toc185872"/>
      <w:r w:rsidRPr="005B65DF">
        <w:lastRenderedPageBreak/>
        <w:t xml:space="preserve">Table </w:t>
      </w:r>
      <w:r w:rsidR="00997AAB" w:rsidRPr="005B65DF">
        <w:rPr>
          <w:noProof/>
        </w:rPr>
        <w:fldChar w:fldCharType="begin"/>
      </w:r>
      <w:r w:rsidR="00997AAB" w:rsidRPr="005B65DF">
        <w:rPr>
          <w:noProof/>
        </w:rPr>
        <w:instrText xml:space="preserve"> STYLEREF 1 \s </w:instrText>
      </w:r>
      <w:r w:rsidR="00997AAB" w:rsidRPr="005B65DF">
        <w:rPr>
          <w:noProof/>
        </w:rPr>
        <w:fldChar w:fldCharType="separate"/>
      </w:r>
      <w:r w:rsidR="00FC3CCD">
        <w:rPr>
          <w:noProof/>
        </w:rPr>
        <w:t>2</w:t>
      </w:r>
      <w:r w:rsidR="00997AAB" w:rsidRPr="005B65DF">
        <w:rPr>
          <w:noProof/>
        </w:rPr>
        <w:fldChar w:fldCharType="end"/>
      </w:r>
      <w:r w:rsidR="00F76A97" w:rsidRPr="005B65DF">
        <w:noBreakHyphen/>
      </w:r>
      <w:r w:rsidR="00997AAB" w:rsidRPr="005B65DF">
        <w:rPr>
          <w:noProof/>
        </w:rPr>
        <w:fldChar w:fldCharType="begin"/>
      </w:r>
      <w:r w:rsidR="00997AAB" w:rsidRPr="005B65DF">
        <w:rPr>
          <w:noProof/>
        </w:rPr>
        <w:instrText xml:space="preserve"> SEQ Table \* ARABIC \s 1 </w:instrText>
      </w:r>
      <w:r w:rsidR="00997AAB" w:rsidRPr="005B65DF">
        <w:rPr>
          <w:noProof/>
        </w:rPr>
        <w:fldChar w:fldCharType="separate"/>
      </w:r>
      <w:r w:rsidR="00FC3CCD">
        <w:rPr>
          <w:noProof/>
        </w:rPr>
        <w:t>1</w:t>
      </w:r>
      <w:r w:rsidR="00997AAB" w:rsidRPr="005B65DF">
        <w:rPr>
          <w:noProof/>
        </w:rPr>
        <w:fldChar w:fldCharType="end"/>
      </w:r>
      <w:r w:rsidRPr="005B65DF">
        <w:rPr>
          <w:b w:val="0"/>
        </w:rPr>
        <w:t xml:space="preserve"> MEMR </w:t>
      </w:r>
      <w:r w:rsidR="00A006A9" w:rsidRPr="005B65DF">
        <w:rPr>
          <w:b w:val="0"/>
        </w:rPr>
        <w:t>t</w:t>
      </w:r>
      <w:r w:rsidRPr="005B65DF">
        <w:rPr>
          <w:b w:val="0"/>
        </w:rPr>
        <w:t xml:space="preserve">hresholds (dB) as </w:t>
      </w:r>
      <w:r w:rsidR="00A006A9" w:rsidRPr="005B65DF">
        <w:rPr>
          <w:b w:val="0"/>
        </w:rPr>
        <w:t>d</w:t>
      </w:r>
      <w:r w:rsidRPr="005B65DF">
        <w:rPr>
          <w:b w:val="0"/>
        </w:rPr>
        <w:t xml:space="preserve">etermined </w:t>
      </w:r>
      <w:r w:rsidR="00A006A9" w:rsidRPr="005B65DF">
        <w:rPr>
          <w:b w:val="0"/>
        </w:rPr>
        <w:t>t</w:t>
      </w:r>
      <w:r w:rsidRPr="005B65DF">
        <w:rPr>
          <w:b w:val="0"/>
        </w:rPr>
        <w:t>hrough EMG</w:t>
      </w:r>
      <w:bookmarkEnd w:id="49"/>
    </w:p>
    <w:tbl>
      <w:tblPr>
        <w:tblW w:w="5528" w:type="dxa"/>
        <w:tblInd w:w="108" w:type="dxa"/>
        <w:tblLook w:val="04A0" w:firstRow="1" w:lastRow="0" w:firstColumn="1" w:lastColumn="0" w:noHBand="0" w:noVBand="1"/>
      </w:tblPr>
      <w:tblGrid>
        <w:gridCol w:w="1080"/>
        <w:gridCol w:w="1106"/>
        <w:gridCol w:w="1106"/>
        <w:gridCol w:w="1118"/>
        <w:gridCol w:w="1118"/>
      </w:tblGrid>
      <w:tr w:rsidR="008C4D41" w:rsidRPr="005B65DF" w14:paraId="77A0D2B6" w14:textId="6DDD2D98" w:rsidTr="00F20222">
        <w:trPr>
          <w:trHeight w:val="330"/>
        </w:trPr>
        <w:tc>
          <w:tcPr>
            <w:tcW w:w="1080" w:type="dxa"/>
            <w:tcBorders>
              <w:bottom w:val="single" w:sz="12" w:space="0" w:color="auto"/>
            </w:tcBorders>
            <w:shd w:val="clear" w:color="auto" w:fill="auto"/>
            <w:noWrap/>
            <w:vAlign w:val="bottom"/>
            <w:hideMark/>
          </w:tcPr>
          <w:p w14:paraId="1827A9A6" w14:textId="77777777" w:rsidR="008C4D41" w:rsidRPr="005B65DF" w:rsidRDefault="008C4D41" w:rsidP="005A19FF">
            <w:pPr>
              <w:spacing w:line="240" w:lineRule="auto"/>
              <w:ind w:firstLine="0"/>
              <w:rPr>
                <w:rFonts w:ascii="Times New Roman" w:hAnsi="Times New Roman"/>
                <w:color w:val="000000"/>
                <w:sz w:val="20"/>
                <w:szCs w:val="20"/>
                <w:lang w:bidi="ar-SA"/>
              </w:rPr>
            </w:pPr>
          </w:p>
        </w:tc>
        <w:tc>
          <w:tcPr>
            <w:tcW w:w="1106" w:type="dxa"/>
            <w:tcBorders>
              <w:bottom w:val="single" w:sz="12" w:space="0" w:color="auto"/>
            </w:tcBorders>
            <w:shd w:val="clear" w:color="auto" w:fill="auto"/>
            <w:noWrap/>
            <w:vAlign w:val="center"/>
            <w:hideMark/>
          </w:tcPr>
          <w:p w14:paraId="44A40EA9" w14:textId="77777777" w:rsidR="008C4D41" w:rsidRPr="005B65DF" w:rsidRDefault="008C4D41" w:rsidP="005A19FF">
            <w:pPr>
              <w:spacing w:line="240" w:lineRule="auto"/>
              <w:ind w:firstLine="0"/>
              <w:jc w:val="center"/>
              <w:rPr>
                <w:rFonts w:ascii="Calibri" w:hAnsi="Calibri"/>
                <w:b/>
                <w:color w:val="000000"/>
                <w:sz w:val="22"/>
                <w:szCs w:val="22"/>
                <w:lang w:bidi="ar-SA"/>
              </w:rPr>
            </w:pPr>
            <w:r w:rsidRPr="005B65DF">
              <w:rPr>
                <w:rFonts w:ascii="Calibri" w:hAnsi="Calibri"/>
                <w:b/>
                <w:color w:val="000000"/>
                <w:sz w:val="22"/>
                <w:szCs w:val="22"/>
                <w:lang w:bidi="ar-SA"/>
              </w:rPr>
              <w:t>1 kHz</w:t>
            </w:r>
          </w:p>
        </w:tc>
        <w:tc>
          <w:tcPr>
            <w:tcW w:w="1106" w:type="dxa"/>
            <w:tcBorders>
              <w:bottom w:val="single" w:sz="12" w:space="0" w:color="auto"/>
            </w:tcBorders>
            <w:shd w:val="clear" w:color="auto" w:fill="auto"/>
            <w:noWrap/>
            <w:vAlign w:val="center"/>
            <w:hideMark/>
          </w:tcPr>
          <w:p w14:paraId="64D33C90" w14:textId="77777777" w:rsidR="008C4D41" w:rsidRPr="005B65DF" w:rsidRDefault="008C4D41" w:rsidP="005A19FF">
            <w:pPr>
              <w:spacing w:line="240" w:lineRule="auto"/>
              <w:ind w:firstLine="0"/>
              <w:jc w:val="center"/>
              <w:rPr>
                <w:rFonts w:ascii="Calibri" w:hAnsi="Calibri"/>
                <w:b/>
                <w:color w:val="000000"/>
                <w:sz w:val="22"/>
                <w:szCs w:val="22"/>
                <w:lang w:bidi="ar-SA"/>
              </w:rPr>
            </w:pPr>
            <w:r w:rsidRPr="005B65DF">
              <w:rPr>
                <w:rFonts w:ascii="Calibri" w:hAnsi="Calibri"/>
                <w:b/>
                <w:color w:val="000000"/>
                <w:sz w:val="22"/>
                <w:szCs w:val="22"/>
                <w:lang w:bidi="ar-SA"/>
              </w:rPr>
              <w:t>2 kHz</w:t>
            </w:r>
          </w:p>
        </w:tc>
        <w:tc>
          <w:tcPr>
            <w:tcW w:w="1118" w:type="dxa"/>
            <w:tcBorders>
              <w:bottom w:val="single" w:sz="12" w:space="0" w:color="auto"/>
            </w:tcBorders>
            <w:shd w:val="clear" w:color="auto" w:fill="auto"/>
            <w:noWrap/>
            <w:vAlign w:val="center"/>
            <w:hideMark/>
          </w:tcPr>
          <w:p w14:paraId="16C751FB" w14:textId="77777777" w:rsidR="008C4D41" w:rsidRPr="005B65DF" w:rsidRDefault="008C4D41" w:rsidP="005A19FF">
            <w:pPr>
              <w:spacing w:line="240" w:lineRule="auto"/>
              <w:ind w:firstLine="0"/>
              <w:jc w:val="center"/>
              <w:rPr>
                <w:rFonts w:ascii="Calibri" w:hAnsi="Calibri"/>
                <w:b/>
                <w:color w:val="000000"/>
                <w:sz w:val="22"/>
                <w:szCs w:val="22"/>
                <w:lang w:bidi="ar-SA"/>
              </w:rPr>
            </w:pPr>
            <w:r w:rsidRPr="005B65DF">
              <w:rPr>
                <w:rFonts w:ascii="Calibri" w:hAnsi="Calibri"/>
                <w:b/>
                <w:color w:val="000000"/>
                <w:sz w:val="22"/>
                <w:szCs w:val="22"/>
                <w:lang w:bidi="ar-SA"/>
              </w:rPr>
              <w:t>4 kHz</w:t>
            </w:r>
          </w:p>
        </w:tc>
        <w:tc>
          <w:tcPr>
            <w:tcW w:w="1118" w:type="dxa"/>
            <w:tcBorders>
              <w:bottom w:val="single" w:sz="12" w:space="0" w:color="auto"/>
            </w:tcBorders>
          </w:tcPr>
          <w:p w14:paraId="592B1A6D" w14:textId="465150C6" w:rsidR="008C4D41" w:rsidRPr="005B65DF" w:rsidRDefault="008C4D41" w:rsidP="005A19FF">
            <w:pPr>
              <w:spacing w:line="240" w:lineRule="auto"/>
              <w:ind w:firstLine="0"/>
              <w:jc w:val="center"/>
              <w:rPr>
                <w:rFonts w:ascii="Calibri" w:hAnsi="Calibri"/>
                <w:b/>
                <w:color w:val="000000"/>
                <w:sz w:val="22"/>
                <w:szCs w:val="22"/>
                <w:lang w:bidi="ar-SA"/>
              </w:rPr>
            </w:pPr>
            <w:r w:rsidRPr="005B65DF">
              <w:rPr>
                <w:rFonts w:ascii="Calibri" w:hAnsi="Calibri"/>
                <w:b/>
                <w:color w:val="000000"/>
                <w:sz w:val="22"/>
                <w:szCs w:val="22"/>
                <w:lang w:bidi="ar-SA"/>
              </w:rPr>
              <w:t>6 kHz</w:t>
            </w:r>
          </w:p>
        </w:tc>
      </w:tr>
      <w:tr w:rsidR="008C4D41" w:rsidRPr="005B65DF" w14:paraId="6423D143" w14:textId="65A1AB53" w:rsidTr="00F20222">
        <w:trPr>
          <w:trHeight w:val="330"/>
        </w:trPr>
        <w:tc>
          <w:tcPr>
            <w:tcW w:w="1080" w:type="dxa"/>
            <w:tcBorders>
              <w:top w:val="single" w:sz="12" w:space="0" w:color="auto"/>
            </w:tcBorders>
            <w:shd w:val="clear" w:color="auto" w:fill="auto"/>
            <w:vAlign w:val="center"/>
            <w:hideMark/>
          </w:tcPr>
          <w:p w14:paraId="6FC089B9"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15-2-4</w:t>
            </w:r>
          </w:p>
        </w:tc>
        <w:tc>
          <w:tcPr>
            <w:tcW w:w="1106" w:type="dxa"/>
            <w:tcBorders>
              <w:top w:val="single" w:sz="12" w:space="0" w:color="auto"/>
            </w:tcBorders>
            <w:shd w:val="clear" w:color="auto" w:fill="auto"/>
            <w:vAlign w:val="center"/>
            <w:hideMark/>
          </w:tcPr>
          <w:p w14:paraId="487076EB"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c>
          <w:tcPr>
            <w:tcW w:w="1106" w:type="dxa"/>
            <w:tcBorders>
              <w:top w:val="single" w:sz="12" w:space="0" w:color="auto"/>
            </w:tcBorders>
            <w:shd w:val="clear" w:color="auto" w:fill="auto"/>
            <w:vAlign w:val="center"/>
            <w:hideMark/>
          </w:tcPr>
          <w:p w14:paraId="1D8EE0D4"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18" w:type="dxa"/>
            <w:tcBorders>
              <w:top w:val="single" w:sz="12" w:space="0" w:color="auto"/>
            </w:tcBorders>
            <w:shd w:val="clear" w:color="auto" w:fill="auto"/>
            <w:vAlign w:val="center"/>
            <w:hideMark/>
          </w:tcPr>
          <w:p w14:paraId="0D53D51F"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18" w:type="dxa"/>
            <w:tcBorders>
              <w:top w:val="single" w:sz="12" w:space="0" w:color="auto"/>
            </w:tcBorders>
            <w:vAlign w:val="bottom"/>
          </w:tcPr>
          <w:p w14:paraId="0636864B" w14:textId="5E0E4E79"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80</w:t>
            </w:r>
          </w:p>
        </w:tc>
      </w:tr>
      <w:tr w:rsidR="008C4D41" w:rsidRPr="005B65DF" w14:paraId="57B9C599" w14:textId="74CA9760" w:rsidTr="00F20222">
        <w:trPr>
          <w:trHeight w:val="330"/>
        </w:trPr>
        <w:tc>
          <w:tcPr>
            <w:tcW w:w="1080" w:type="dxa"/>
            <w:shd w:val="clear" w:color="auto" w:fill="auto"/>
            <w:vAlign w:val="center"/>
            <w:hideMark/>
          </w:tcPr>
          <w:p w14:paraId="4D1FF0B9"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15-2-5</w:t>
            </w:r>
          </w:p>
        </w:tc>
        <w:tc>
          <w:tcPr>
            <w:tcW w:w="1106" w:type="dxa"/>
            <w:shd w:val="clear" w:color="auto" w:fill="auto"/>
            <w:vAlign w:val="center"/>
            <w:hideMark/>
          </w:tcPr>
          <w:p w14:paraId="5D62CCEF"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c>
          <w:tcPr>
            <w:tcW w:w="1106" w:type="dxa"/>
            <w:shd w:val="clear" w:color="auto" w:fill="auto"/>
            <w:vAlign w:val="center"/>
            <w:hideMark/>
          </w:tcPr>
          <w:p w14:paraId="325CE3F6"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c>
          <w:tcPr>
            <w:tcW w:w="1118" w:type="dxa"/>
            <w:shd w:val="clear" w:color="auto" w:fill="auto"/>
            <w:vAlign w:val="center"/>
            <w:hideMark/>
          </w:tcPr>
          <w:p w14:paraId="30A226DD"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18" w:type="dxa"/>
            <w:vAlign w:val="bottom"/>
          </w:tcPr>
          <w:p w14:paraId="1B1E3D8E" w14:textId="65E551DE"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70</w:t>
            </w:r>
          </w:p>
        </w:tc>
      </w:tr>
      <w:tr w:rsidR="008C4D41" w:rsidRPr="005B65DF" w14:paraId="50CC0C49" w14:textId="722C37D7" w:rsidTr="00F20222">
        <w:trPr>
          <w:trHeight w:val="330"/>
        </w:trPr>
        <w:tc>
          <w:tcPr>
            <w:tcW w:w="1080" w:type="dxa"/>
            <w:shd w:val="clear" w:color="auto" w:fill="auto"/>
            <w:vAlign w:val="center"/>
            <w:hideMark/>
          </w:tcPr>
          <w:p w14:paraId="0CDE6C35"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15-2-6</w:t>
            </w:r>
          </w:p>
        </w:tc>
        <w:tc>
          <w:tcPr>
            <w:tcW w:w="1106" w:type="dxa"/>
            <w:shd w:val="clear" w:color="auto" w:fill="auto"/>
            <w:vAlign w:val="center"/>
            <w:hideMark/>
          </w:tcPr>
          <w:p w14:paraId="4BE9D6C4"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06" w:type="dxa"/>
            <w:shd w:val="clear" w:color="auto" w:fill="auto"/>
            <w:vAlign w:val="center"/>
            <w:hideMark/>
          </w:tcPr>
          <w:p w14:paraId="64E0E8CE"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18" w:type="dxa"/>
            <w:shd w:val="clear" w:color="auto" w:fill="auto"/>
            <w:vAlign w:val="center"/>
            <w:hideMark/>
          </w:tcPr>
          <w:p w14:paraId="23500B3E"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18" w:type="dxa"/>
            <w:vAlign w:val="bottom"/>
          </w:tcPr>
          <w:p w14:paraId="25672958" w14:textId="2982B0A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70</w:t>
            </w:r>
          </w:p>
        </w:tc>
      </w:tr>
      <w:tr w:rsidR="008C4D41" w:rsidRPr="005B65DF" w14:paraId="1F7E95ED" w14:textId="01A9E0BA" w:rsidTr="00F20222">
        <w:trPr>
          <w:trHeight w:val="330"/>
        </w:trPr>
        <w:tc>
          <w:tcPr>
            <w:tcW w:w="1080" w:type="dxa"/>
            <w:shd w:val="clear" w:color="auto" w:fill="auto"/>
            <w:vAlign w:val="center"/>
            <w:hideMark/>
          </w:tcPr>
          <w:p w14:paraId="3F00204A"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15-2-7</w:t>
            </w:r>
          </w:p>
        </w:tc>
        <w:tc>
          <w:tcPr>
            <w:tcW w:w="1106" w:type="dxa"/>
            <w:shd w:val="clear" w:color="auto" w:fill="auto"/>
            <w:vAlign w:val="center"/>
            <w:hideMark/>
          </w:tcPr>
          <w:p w14:paraId="02E39393"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c>
          <w:tcPr>
            <w:tcW w:w="1106" w:type="dxa"/>
            <w:shd w:val="clear" w:color="auto" w:fill="auto"/>
            <w:vAlign w:val="center"/>
            <w:hideMark/>
          </w:tcPr>
          <w:p w14:paraId="6FA115F6"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18" w:type="dxa"/>
            <w:shd w:val="clear" w:color="auto" w:fill="auto"/>
            <w:vAlign w:val="center"/>
            <w:hideMark/>
          </w:tcPr>
          <w:p w14:paraId="11D47AFA"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18" w:type="dxa"/>
            <w:vAlign w:val="bottom"/>
          </w:tcPr>
          <w:p w14:paraId="6D1EE52F" w14:textId="15BFCBF0"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60</w:t>
            </w:r>
          </w:p>
        </w:tc>
      </w:tr>
      <w:tr w:rsidR="008C4D41" w:rsidRPr="005B65DF" w14:paraId="6907F91B" w14:textId="554B1CF5" w:rsidTr="00F20222">
        <w:trPr>
          <w:trHeight w:val="330"/>
        </w:trPr>
        <w:tc>
          <w:tcPr>
            <w:tcW w:w="1080" w:type="dxa"/>
            <w:shd w:val="clear" w:color="auto" w:fill="auto"/>
            <w:vAlign w:val="center"/>
            <w:hideMark/>
          </w:tcPr>
          <w:p w14:paraId="564A550D"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15-2-8</w:t>
            </w:r>
          </w:p>
        </w:tc>
        <w:tc>
          <w:tcPr>
            <w:tcW w:w="1106" w:type="dxa"/>
            <w:shd w:val="clear" w:color="auto" w:fill="auto"/>
            <w:vAlign w:val="center"/>
            <w:hideMark/>
          </w:tcPr>
          <w:p w14:paraId="7CADB726"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100</w:t>
            </w:r>
          </w:p>
        </w:tc>
        <w:tc>
          <w:tcPr>
            <w:tcW w:w="1106" w:type="dxa"/>
            <w:shd w:val="clear" w:color="auto" w:fill="auto"/>
            <w:vAlign w:val="center"/>
            <w:hideMark/>
          </w:tcPr>
          <w:p w14:paraId="2F582E6F"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c>
          <w:tcPr>
            <w:tcW w:w="1118" w:type="dxa"/>
            <w:shd w:val="clear" w:color="auto" w:fill="auto"/>
            <w:vAlign w:val="center"/>
            <w:hideMark/>
          </w:tcPr>
          <w:p w14:paraId="64FA1517"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c>
          <w:tcPr>
            <w:tcW w:w="1118" w:type="dxa"/>
            <w:vAlign w:val="bottom"/>
          </w:tcPr>
          <w:p w14:paraId="3DA2C323" w14:textId="79FF84C9"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90</w:t>
            </w:r>
          </w:p>
        </w:tc>
      </w:tr>
      <w:tr w:rsidR="008C4D41" w:rsidRPr="005B65DF" w14:paraId="4D62D291" w14:textId="2824F147" w:rsidTr="00F20222">
        <w:trPr>
          <w:trHeight w:val="330"/>
        </w:trPr>
        <w:tc>
          <w:tcPr>
            <w:tcW w:w="1080" w:type="dxa"/>
            <w:shd w:val="clear" w:color="auto" w:fill="auto"/>
            <w:vAlign w:val="center"/>
            <w:hideMark/>
          </w:tcPr>
          <w:p w14:paraId="71EC7445"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15-2-15</w:t>
            </w:r>
          </w:p>
        </w:tc>
        <w:tc>
          <w:tcPr>
            <w:tcW w:w="1106" w:type="dxa"/>
            <w:shd w:val="clear" w:color="auto" w:fill="auto"/>
            <w:vAlign w:val="center"/>
            <w:hideMark/>
          </w:tcPr>
          <w:p w14:paraId="173577C0"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c>
          <w:tcPr>
            <w:tcW w:w="1106" w:type="dxa"/>
            <w:shd w:val="clear" w:color="auto" w:fill="auto"/>
            <w:vAlign w:val="center"/>
            <w:hideMark/>
          </w:tcPr>
          <w:p w14:paraId="793FBDD0"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18" w:type="dxa"/>
            <w:shd w:val="clear" w:color="auto" w:fill="auto"/>
            <w:vAlign w:val="center"/>
            <w:hideMark/>
          </w:tcPr>
          <w:p w14:paraId="1D61D631"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18" w:type="dxa"/>
            <w:vAlign w:val="bottom"/>
          </w:tcPr>
          <w:p w14:paraId="2C490949" w14:textId="5A96019D"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80</w:t>
            </w:r>
          </w:p>
        </w:tc>
      </w:tr>
      <w:tr w:rsidR="008C4D41" w:rsidRPr="005B65DF" w14:paraId="746AE5C5" w14:textId="08F5FCDB" w:rsidTr="00F20222">
        <w:trPr>
          <w:trHeight w:val="330"/>
        </w:trPr>
        <w:tc>
          <w:tcPr>
            <w:tcW w:w="1080" w:type="dxa"/>
            <w:shd w:val="clear" w:color="auto" w:fill="auto"/>
            <w:vAlign w:val="center"/>
            <w:hideMark/>
          </w:tcPr>
          <w:p w14:paraId="6334EA6D"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15-3-2</w:t>
            </w:r>
          </w:p>
        </w:tc>
        <w:tc>
          <w:tcPr>
            <w:tcW w:w="1106" w:type="dxa"/>
            <w:shd w:val="clear" w:color="auto" w:fill="auto"/>
            <w:vAlign w:val="center"/>
            <w:hideMark/>
          </w:tcPr>
          <w:p w14:paraId="00124B11"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06" w:type="dxa"/>
            <w:shd w:val="clear" w:color="auto" w:fill="auto"/>
            <w:vAlign w:val="center"/>
            <w:hideMark/>
          </w:tcPr>
          <w:p w14:paraId="58D67B21"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18" w:type="dxa"/>
            <w:shd w:val="clear" w:color="auto" w:fill="auto"/>
            <w:vAlign w:val="center"/>
            <w:hideMark/>
          </w:tcPr>
          <w:p w14:paraId="373E846C"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18" w:type="dxa"/>
            <w:vAlign w:val="bottom"/>
          </w:tcPr>
          <w:p w14:paraId="5FF20E09" w14:textId="47C8C1C5"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60</w:t>
            </w:r>
          </w:p>
        </w:tc>
      </w:tr>
      <w:tr w:rsidR="008C4D41" w:rsidRPr="005B65DF" w14:paraId="1B42FBA3" w14:textId="64115D1D" w:rsidTr="00F20222">
        <w:trPr>
          <w:trHeight w:val="330"/>
        </w:trPr>
        <w:tc>
          <w:tcPr>
            <w:tcW w:w="1080" w:type="dxa"/>
            <w:shd w:val="clear" w:color="auto" w:fill="auto"/>
            <w:vAlign w:val="center"/>
            <w:hideMark/>
          </w:tcPr>
          <w:p w14:paraId="43FD9BCB"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15-3-3</w:t>
            </w:r>
          </w:p>
        </w:tc>
        <w:tc>
          <w:tcPr>
            <w:tcW w:w="1106" w:type="dxa"/>
            <w:shd w:val="clear" w:color="auto" w:fill="auto"/>
            <w:vAlign w:val="center"/>
            <w:hideMark/>
          </w:tcPr>
          <w:p w14:paraId="734EA3DE"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c>
          <w:tcPr>
            <w:tcW w:w="1106" w:type="dxa"/>
            <w:shd w:val="clear" w:color="auto" w:fill="auto"/>
            <w:vAlign w:val="center"/>
            <w:hideMark/>
          </w:tcPr>
          <w:p w14:paraId="2AF175C8"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18" w:type="dxa"/>
            <w:shd w:val="clear" w:color="auto" w:fill="auto"/>
            <w:vAlign w:val="center"/>
            <w:hideMark/>
          </w:tcPr>
          <w:p w14:paraId="0C40567F"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18" w:type="dxa"/>
            <w:vAlign w:val="bottom"/>
          </w:tcPr>
          <w:p w14:paraId="092E0651" w14:textId="7BBE8552"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80</w:t>
            </w:r>
          </w:p>
        </w:tc>
      </w:tr>
      <w:tr w:rsidR="008C4D41" w:rsidRPr="005B65DF" w14:paraId="722B65D3" w14:textId="45B510AA" w:rsidTr="00F20222">
        <w:trPr>
          <w:trHeight w:val="330"/>
        </w:trPr>
        <w:tc>
          <w:tcPr>
            <w:tcW w:w="1080" w:type="dxa"/>
            <w:shd w:val="clear" w:color="auto" w:fill="auto"/>
            <w:vAlign w:val="center"/>
            <w:hideMark/>
          </w:tcPr>
          <w:p w14:paraId="73BC6A36"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15-3-4</w:t>
            </w:r>
          </w:p>
        </w:tc>
        <w:tc>
          <w:tcPr>
            <w:tcW w:w="1106" w:type="dxa"/>
            <w:shd w:val="clear" w:color="auto" w:fill="auto"/>
            <w:vAlign w:val="center"/>
            <w:hideMark/>
          </w:tcPr>
          <w:p w14:paraId="1E439D32"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06" w:type="dxa"/>
            <w:shd w:val="clear" w:color="auto" w:fill="auto"/>
            <w:vAlign w:val="center"/>
            <w:hideMark/>
          </w:tcPr>
          <w:p w14:paraId="22F23925"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18" w:type="dxa"/>
            <w:shd w:val="clear" w:color="auto" w:fill="auto"/>
            <w:vAlign w:val="center"/>
            <w:hideMark/>
          </w:tcPr>
          <w:p w14:paraId="4186F9D6"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100</w:t>
            </w:r>
          </w:p>
        </w:tc>
        <w:tc>
          <w:tcPr>
            <w:tcW w:w="1118" w:type="dxa"/>
            <w:vAlign w:val="bottom"/>
          </w:tcPr>
          <w:p w14:paraId="4E4D2F49" w14:textId="570D8410"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100</w:t>
            </w:r>
          </w:p>
        </w:tc>
      </w:tr>
      <w:tr w:rsidR="008C4D41" w:rsidRPr="005B65DF" w14:paraId="30AE1679" w14:textId="021BE215" w:rsidTr="00F20222">
        <w:trPr>
          <w:trHeight w:val="330"/>
        </w:trPr>
        <w:tc>
          <w:tcPr>
            <w:tcW w:w="1080" w:type="dxa"/>
            <w:shd w:val="clear" w:color="auto" w:fill="auto"/>
            <w:vAlign w:val="center"/>
            <w:hideMark/>
          </w:tcPr>
          <w:p w14:paraId="05EE3CC0"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15-3-8</w:t>
            </w:r>
          </w:p>
        </w:tc>
        <w:tc>
          <w:tcPr>
            <w:tcW w:w="1106" w:type="dxa"/>
            <w:shd w:val="clear" w:color="auto" w:fill="auto"/>
            <w:vAlign w:val="center"/>
            <w:hideMark/>
          </w:tcPr>
          <w:p w14:paraId="1F9D5736"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c>
          <w:tcPr>
            <w:tcW w:w="1106" w:type="dxa"/>
            <w:shd w:val="clear" w:color="auto" w:fill="auto"/>
            <w:vAlign w:val="center"/>
            <w:hideMark/>
          </w:tcPr>
          <w:p w14:paraId="722774B4"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c>
          <w:tcPr>
            <w:tcW w:w="1118" w:type="dxa"/>
            <w:shd w:val="clear" w:color="auto" w:fill="auto"/>
            <w:vAlign w:val="center"/>
            <w:hideMark/>
          </w:tcPr>
          <w:p w14:paraId="6EB4FF2B"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18" w:type="dxa"/>
            <w:vAlign w:val="bottom"/>
          </w:tcPr>
          <w:p w14:paraId="02BCFBF3" w14:textId="3C903B98"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80</w:t>
            </w:r>
          </w:p>
        </w:tc>
      </w:tr>
      <w:tr w:rsidR="008C4D41" w:rsidRPr="005B65DF" w14:paraId="3FA4C7A8" w14:textId="271A5539" w:rsidTr="00F20222">
        <w:trPr>
          <w:trHeight w:val="330"/>
        </w:trPr>
        <w:tc>
          <w:tcPr>
            <w:tcW w:w="1080" w:type="dxa"/>
            <w:shd w:val="clear" w:color="auto" w:fill="auto"/>
            <w:vAlign w:val="center"/>
            <w:hideMark/>
          </w:tcPr>
          <w:p w14:paraId="21A0F18E"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15-3-9</w:t>
            </w:r>
          </w:p>
        </w:tc>
        <w:tc>
          <w:tcPr>
            <w:tcW w:w="1106" w:type="dxa"/>
            <w:shd w:val="clear" w:color="auto" w:fill="auto"/>
            <w:vAlign w:val="center"/>
            <w:hideMark/>
          </w:tcPr>
          <w:p w14:paraId="365FA702"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06" w:type="dxa"/>
            <w:shd w:val="clear" w:color="auto" w:fill="auto"/>
            <w:vAlign w:val="center"/>
            <w:hideMark/>
          </w:tcPr>
          <w:p w14:paraId="0E96CA13"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18" w:type="dxa"/>
            <w:shd w:val="clear" w:color="auto" w:fill="auto"/>
            <w:vAlign w:val="center"/>
            <w:hideMark/>
          </w:tcPr>
          <w:p w14:paraId="49D30648"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18" w:type="dxa"/>
            <w:vAlign w:val="bottom"/>
          </w:tcPr>
          <w:p w14:paraId="3844422C" w14:textId="044B11A3"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100</w:t>
            </w:r>
          </w:p>
        </w:tc>
      </w:tr>
      <w:tr w:rsidR="008C4D41" w:rsidRPr="005B65DF" w14:paraId="465B90FD" w14:textId="2DAB5559" w:rsidTr="00F20222">
        <w:trPr>
          <w:trHeight w:val="330"/>
        </w:trPr>
        <w:tc>
          <w:tcPr>
            <w:tcW w:w="1080" w:type="dxa"/>
            <w:shd w:val="clear" w:color="auto" w:fill="auto"/>
            <w:vAlign w:val="center"/>
            <w:hideMark/>
          </w:tcPr>
          <w:p w14:paraId="2F8C4728"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15-3-10</w:t>
            </w:r>
          </w:p>
        </w:tc>
        <w:tc>
          <w:tcPr>
            <w:tcW w:w="1106" w:type="dxa"/>
            <w:shd w:val="clear" w:color="auto" w:fill="auto"/>
            <w:vAlign w:val="center"/>
            <w:hideMark/>
          </w:tcPr>
          <w:p w14:paraId="33929C2E"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06" w:type="dxa"/>
            <w:shd w:val="clear" w:color="auto" w:fill="auto"/>
            <w:vAlign w:val="center"/>
            <w:hideMark/>
          </w:tcPr>
          <w:p w14:paraId="1A7E519A"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18" w:type="dxa"/>
            <w:shd w:val="clear" w:color="auto" w:fill="auto"/>
            <w:vAlign w:val="center"/>
            <w:hideMark/>
          </w:tcPr>
          <w:p w14:paraId="7B0D3FF5"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18" w:type="dxa"/>
            <w:vAlign w:val="bottom"/>
          </w:tcPr>
          <w:p w14:paraId="20F5F620" w14:textId="4EF03E68"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60</w:t>
            </w:r>
          </w:p>
        </w:tc>
      </w:tr>
      <w:tr w:rsidR="008C4D41" w:rsidRPr="005B65DF" w14:paraId="414C7E94" w14:textId="16EFE558" w:rsidTr="00F20222">
        <w:trPr>
          <w:trHeight w:val="330"/>
        </w:trPr>
        <w:tc>
          <w:tcPr>
            <w:tcW w:w="1080" w:type="dxa"/>
            <w:shd w:val="clear" w:color="auto" w:fill="auto"/>
            <w:vAlign w:val="center"/>
            <w:hideMark/>
          </w:tcPr>
          <w:p w14:paraId="41D624D5"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15-3-11</w:t>
            </w:r>
          </w:p>
        </w:tc>
        <w:tc>
          <w:tcPr>
            <w:tcW w:w="1106" w:type="dxa"/>
            <w:shd w:val="clear" w:color="auto" w:fill="auto"/>
            <w:vAlign w:val="center"/>
            <w:hideMark/>
          </w:tcPr>
          <w:p w14:paraId="4F4FE0EF"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c>
          <w:tcPr>
            <w:tcW w:w="1106" w:type="dxa"/>
            <w:shd w:val="clear" w:color="auto" w:fill="auto"/>
            <w:vAlign w:val="center"/>
            <w:hideMark/>
          </w:tcPr>
          <w:p w14:paraId="46751DB2"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18" w:type="dxa"/>
            <w:shd w:val="clear" w:color="auto" w:fill="auto"/>
            <w:vAlign w:val="center"/>
            <w:hideMark/>
          </w:tcPr>
          <w:p w14:paraId="16010C95"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c>
          <w:tcPr>
            <w:tcW w:w="1118" w:type="dxa"/>
            <w:vAlign w:val="bottom"/>
          </w:tcPr>
          <w:p w14:paraId="0C3E31E5" w14:textId="7196EB5A"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60</w:t>
            </w:r>
          </w:p>
        </w:tc>
      </w:tr>
      <w:tr w:rsidR="008C4D41" w:rsidRPr="005B65DF" w14:paraId="486215D2" w14:textId="490CD843" w:rsidTr="00F20222">
        <w:trPr>
          <w:trHeight w:val="330"/>
        </w:trPr>
        <w:tc>
          <w:tcPr>
            <w:tcW w:w="1080" w:type="dxa"/>
            <w:tcBorders>
              <w:bottom w:val="single" w:sz="4" w:space="0" w:color="auto"/>
            </w:tcBorders>
            <w:shd w:val="clear" w:color="auto" w:fill="auto"/>
            <w:vAlign w:val="center"/>
            <w:hideMark/>
          </w:tcPr>
          <w:p w14:paraId="2EA0D46D" w14:textId="77777777" w:rsidR="008C4D41" w:rsidRPr="005B65DF" w:rsidRDefault="008C4D41" w:rsidP="008C4D41">
            <w:pPr>
              <w:spacing w:line="240" w:lineRule="auto"/>
              <w:ind w:firstLine="0"/>
              <w:rPr>
                <w:rFonts w:ascii="Times New Roman" w:hAnsi="Times New Roman"/>
                <w:color w:val="000000"/>
                <w:lang w:bidi="ar-SA"/>
              </w:rPr>
            </w:pPr>
            <w:r w:rsidRPr="005B65DF">
              <w:rPr>
                <w:rFonts w:ascii="Times New Roman" w:hAnsi="Times New Roman"/>
                <w:color w:val="000000"/>
                <w:lang w:bidi="ar-SA"/>
              </w:rPr>
              <w:t>15-3-13</w:t>
            </w:r>
          </w:p>
        </w:tc>
        <w:tc>
          <w:tcPr>
            <w:tcW w:w="1106" w:type="dxa"/>
            <w:tcBorders>
              <w:bottom w:val="single" w:sz="4" w:space="0" w:color="auto"/>
            </w:tcBorders>
            <w:shd w:val="clear" w:color="auto" w:fill="auto"/>
            <w:vAlign w:val="center"/>
            <w:hideMark/>
          </w:tcPr>
          <w:p w14:paraId="6B021936"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06" w:type="dxa"/>
            <w:tcBorders>
              <w:bottom w:val="single" w:sz="4" w:space="0" w:color="auto"/>
            </w:tcBorders>
            <w:shd w:val="clear" w:color="auto" w:fill="auto"/>
            <w:vAlign w:val="center"/>
            <w:hideMark/>
          </w:tcPr>
          <w:p w14:paraId="4A8E0EA0"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18" w:type="dxa"/>
            <w:tcBorders>
              <w:bottom w:val="single" w:sz="4" w:space="0" w:color="auto"/>
            </w:tcBorders>
            <w:shd w:val="clear" w:color="auto" w:fill="auto"/>
            <w:vAlign w:val="center"/>
            <w:hideMark/>
          </w:tcPr>
          <w:p w14:paraId="46D3DA14" w14:textId="7777777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18" w:type="dxa"/>
            <w:tcBorders>
              <w:bottom w:val="single" w:sz="4" w:space="0" w:color="auto"/>
            </w:tcBorders>
            <w:vAlign w:val="bottom"/>
          </w:tcPr>
          <w:p w14:paraId="0CD1536A" w14:textId="45CFD827" w:rsidR="008C4D41" w:rsidRPr="005B65DF" w:rsidRDefault="008C4D41" w:rsidP="008C4D41">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rPr>
              <w:t>80</w:t>
            </w:r>
          </w:p>
        </w:tc>
      </w:tr>
      <w:tr w:rsidR="008C4D41" w:rsidRPr="005B65DF" w14:paraId="38C4507E" w14:textId="5579D183" w:rsidTr="00F20222">
        <w:trPr>
          <w:trHeight w:val="315"/>
        </w:trPr>
        <w:tc>
          <w:tcPr>
            <w:tcW w:w="1080" w:type="dxa"/>
            <w:tcBorders>
              <w:top w:val="single" w:sz="4" w:space="0" w:color="auto"/>
            </w:tcBorders>
            <w:shd w:val="clear" w:color="auto" w:fill="auto"/>
            <w:noWrap/>
            <w:vAlign w:val="center"/>
            <w:hideMark/>
          </w:tcPr>
          <w:p w14:paraId="75EBE9FC" w14:textId="77777777" w:rsidR="008C4D41" w:rsidRPr="005B65DF" w:rsidRDefault="008C4D41" w:rsidP="005A19FF">
            <w:pPr>
              <w:spacing w:line="240" w:lineRule="auto"/>
              <w:ind w:firstLine="0"/>
              <w:jc w:val="right"/>
              <w:rPr>
                <w:rFonts w:ascii="Calibri" w:hAnsi="Calibri"/>
                <w:color w:val="000000"/>
                <w:sz w:val="22"/>
                <w:szCs w:val="22"/>
                <w:lang w:bidi="ar-SA"/>
              </w:rPr>
            </w:pPr>
            <w:r w:rsidRPr="005B65DF">
              <w:rPr>
                <w:rFonts w:ascii="Calibri" w:hAnsi="Calibri"/>
                <w:color w:val="000000"/>
                <w:sz w:val="22"/>
                <w:szCs w:val="22"/>
                <w:lang w:bidi="ar-SA"/>
              </w:rPr>
              <w:t>Mean</w:t>
            </w:r>
          </w:p>
        </w:tc>
        <w:tc>
          <w:tcPr>
            <w:tcW w:w="1106" w:type="dxa"/>
            <w:tcBorders>
              <w:top w:val="single" w:sz="4" w:space="0" w:color="auto"/>
            </w:tcBorders>
            <w:shd w:val="clear" w:color="auto" w:fill="auto"/>
            <w:noWrap/>
            <w:vAlign w:val="center"/>
            <w:hideMark/>
          </w:tcPr>
          <w:p w14:paraId="767C5A6F" w14:textId="77777777" w:rsidR="008C4D41" w:rsidRPr="005B65DF" w:rsidRDefault="008C4D41" w:rsidP="005A19FF">
            <w:pPr>
              <w:spacing w:line="240" w:lineRule="auto"/>
              <w:ind w:firstLine="0"/>
              <w:rPr>
                <w:rFonts w:ascii="Calibri" w:hAnsi="Calibri"/>
                <w:color w:val="000000"/>
                <w:sz w:val="22"/>
                <w:szCs w:val="22"/>
                <w:lang w:bidi="ar-SA"/>
              </w:rPr>
            </w:pPr>
            <w:r w:rsidRPr="005B65DF">
              <w:rPr>
                <w:rFonts w:ascii="Calibri" w:hAnsi="Calibri"/>
                <w:color w:val="000000"/>
                <w:sz w:val="22"/>
                <w:szCs w:val="22"/>
                <w:lang w:bidi="ar-SA"/>
              </w:rPr>
              <w:t>63.6±16.5</w:t>
            </w:r>
          </w:p>
        </w:tc>
        <w:tc>
          <w:tcPr>
            <w:tcW w:w="1106" w:type="dxa"/>
            <w:tcBorders>
              <w:top w:val="single" w:sz="4" w:space="0" w:color="auto"/>
            </w:tcBorders>
            <w:shd w:val="clear" w:color="auto" w:fill="auto"/>
            <w:noWrap/>
            <w:vAlign w:val="center"/>
            <w:hideMark/>
          </w:tcPr>
          <w:p w14:paraId="1BA65820" w14:textId="77777777" w:rsidR="008C4D41" w:rsidRPr="005B65DF" w:rsidRDefault="008C4D41" w:rsidP="005A19FF">
            <w:pPr>
              <w:spacing w:line="240" w:lineRule="auto"/>
              <w:ind w:firstLine="0"/>
              <w:rPr>
                <w:rFonts w:ascii="Calibri" w:hAnsi="Calibri"/>
                <w:color w:val="000000"/>
                <w:sz w:val="22"/>
                <w:szCs w:val="22"/>
                <w:lang w:bidi="ar-SA"/>
              </w:rPr>
            </w:pPr>
            <w:r w:rsidRPr="005B65DF">
              <w:rPr>
                <w:rFonts w:ascii="Calibri" w:hAnsi="Calibri"/>
                <w:color w:val="000000"/>
                <w:sz w:val="22"/>
                <w:szCs w:val="22"/>
                <w:lang w:bidi="ar-SA"/>
              </w:rPr>
              <w:t>70.0±12.4</w:t>
            </w:r>
          </w:p>
        </w:tc>
        <w:tc>
          <w:tcPr>
            <w:tcW w:w="1118" w:type="dxa"/>
            <w:tcBorders>
              <w:top w:val="single" w:sz="4" w:space="0" w:color="auto"/>
            </w:tcBorders>
            <w:shd w:val="clear" w:color="auto" w:fill="auto"/>
            <w:noWrap/>
            <w:vAlign w:val="center"/>
            <w:hideMark/>
          </w:tcPr>
          <w:p w14:paraId="578F8A95" w14:textId="77777777" w:rsidR="008C4D41" w:rsidRPr="005B65DF" w:rsidRDefault="008C4D41" w:rsidP="005A19FF">
            <w:pPr>
              <w:spacing w:line="240" w:lineRule="auto"/>
              <w:ind w:firstLine="0"/>
              <w:rPr>
                <w:rFonts w:ascii="Calibri" w:hAnsi="Calibri"/>
                <w:color w:val="000000"/>
                <w:sz w:val="22"/>
                <w:szCs w:val="22"/>
                <w:lang w:bidi="ar-SA"/>
              </w:rPr>
            </w:pPr>
            <w:r w:rsidRPr="005B65DF">
              <w:rPr>
                <w:rFonts w:ascii="Calibri" w:hAnsi="Calibri"/>
                <w:color w:val="000000"/>
                <w:sz w:val="22"/>
                <w:szCs w:val="22"/>
                <w:lang w:bidi="ar-SA"/>
              </w:rPr>
              <w:t>71.4±13.5</w:t>
            </w:r>
          </w:p>
        </w:tc>
        <w:tc>
          <w:tcPr>
            <w:tcW w:w="1118" w:type="dxa"/>
            <w:tcBorders>
              <w:top w:val="single" w:sz="4" w:space="0" w:color="auto"/>
            </w:tcBorders>
          </w:tcPr>
          <w:p w14:paraId="3D677DC9" w14:textId="78229F39" w:rsidR="008C4D41" w:rsidRPr="005B65DF" w:rsidRDefault="008C4D41" w:rsidP="005A19FF">
            <w:pPr>
              <w:spacing w:line="240" w:lineRule="auto"/>
              <w:ind w:firstLine="0"/>
              <w:rPr>
                <w:rFonts w:ascii="Calibri" w:hAnsi="Calibri"/>
                <w:color w:val="000000"/>
                <w:sz w:val="22"/>
                <w:szCs w:val="22"/>
                <w:lang w:bidi="ar-SA"/>
              </w:rPr>
            </w:pPr>
            <w:r w:rsidRPr="005B65DF">
              <w:rPr>
                <w:rFonts w:ascii="Calibri" w:hAnsi="Calibri"/>
                <w:color w:val="000000"/>
                <w:sz w:val="22"/>
                <w:szCs w:val="22"/>
                <w:lang w:bidi="ar-SA"/>
              </w:rPr>
              <w:t>76.4±13.9</w:t>
            </w:r>
          </w:p>
        </w:tc>
      </w:tr>
    </w:tbl>
    <w:p w14:paraId="5E50CDDC" w14:textId="77777777" w:rsidR="00251BDB" w:rsidRPr="005B65DF" w:rsidRDefault="00251BDB" w:rsidP="00251BDB"/>
    <w:p w14:paraId="5CF653D3" w14:textId="0F561663" w:rsidR="00D60C05" w:rsidRPr="005B65DF" w:rsidRDefault="00D60C05" w:rsidP="009B430A">
      <w:pPr>
        <w:pStyle w:val="Caption"/>
        <w:keepNext/>
        <w:ind w:firstLine="0"/>
      </w:pPr>
      <w:bookmarkStart w:id="50" w:name="_Toc185873"/>
      <w:r w:rsidRPr="005B65DF">
        <w:t xml:space="preserve">Table </w:t>
      </w:r>
      <w:r w:rsidR="00997AAB" w:rsidRPr="005B65DF">
        <w:rPr>
          <w:noProof/>
        </w:rPr>
        <w:fldChar w:fldCharType="begin"/>
      </w:r>
      <w:r w:rsidR="00997AAB" w:rsidRPr="005B65DF">
        <w:rPr>
          <w:noProof/>
        </w:rPr>
        <w:instrText xml:space="preserve"> STYLEREF 1 \s </w:instrText>
      </w:r>
      <w:r w:rsidR="00997AAB" w:rsidRPr="005B65DF">
        <w:rPr>
          <w:noProof/>
        </w:rPr>
        <w:fldChar w:fldCharType="separate"/>
      </w:r>
      <w:r w:rsidR="00FC3CCD">
        <w:rPr>
          <w:noProof/>
        </w:rPr>
        <w:t>2</w:t>
      </w:r>
      <w:r w:rsidR="00997AAB" w:rsidRPr="005B65DF">
        <w:rPr>
          <w:noProof/>
        </w:rPr>
        <w:fldChar w:fldCharType="end"/>
      </w:r>
      <w:r w:rsidR="00F76A97" w:rsidRPr="005B65DF">
        <w:noBreakHyphen/>
      </w:r>
      <w:r w:rsidR="00997AAB" w:rsidRPr="005B65DF">
        <w:rPr>
          <w:noProof/>
        </w:rPr>
        <w:fldChar w:fldCharType="begin"/>
      </w:r>
      <w:r w:rsidR="00997AAB" w:rsidRPr="005B65DF">
        <w:rPr>
          <w:noProof/>
        </w:rPr>
        <w:instrText xml:space="preserve"> SEQ Table \* ARABIC \s 1 </w:instrText>
      </w:r>
      <w:r w:rsidR="00997AAB" w:rsidRPr="005B65DF">
        <w:rPr>
          <w:noProof/>
        </w:rPr>
        <w:fldChar w:fldCharType="separate"/>
      </w:r>
      <w:r w:rsidR="00FC3CCD">
        <w:rPr>
          <w:noProof/>
        </w:rPr>
        <w:t>2</w:t>
      </w:r>
      <w:r w:rsidR="00997AAB" w:rsidRPr="005B65DF">
        <w:rPr>
          <w:noProof/>
        </w:rPr>
        <w:fldChar w:fldCharType="end"/>
      </w:r>
      <w:r w:rsidRPr="005B65DF">
        <w:t xml:space="preserve"> </w:t>
      </w:r>
      <w:r w:rsidRPr="005B65DF">
        <w:rPr>
          <w:b w:val="0"/>
        </w:rPr>
        <w:t xml:space="preserve">MEMR </w:t>
      </w:r>
      <w:r w:rsidR="00A006A9" w:rsidRPr="005B65DF">
        <w:rPr>
          <w:b w:val="0"/>
        </w:rPr>
        <w:t>t</w:t>
      </w:r>
      <w:r w:rsidRPr="005B65DF">
        <w:rPr>
          <w:b w:val="0"/>
        </w:rPr>
        <w:t xml:space="preserve">hresholds </w:t>
      </w:r>
      <w:r w:rsidR="00D947E0" w:rsidRPr="005B65DF">
        <w:rPr>
          <w:b w:val="0"/>
        </w:rPr>
        <w:t xml:space="preserve">(dB) </w:t>
      </w:r>
      <w:r w:rsidRPr="005B65DF">
        <w:rPr>
          <w:b w:val="0"/>
        </w:rPr>
        <w:t xml:space="preserve">as </w:t>
      </w:r>
      <w:r w:rsidR="00A006A9" w:rsidRPr="005B65DF">
        <w:rPr>
          <w:b w:val="0"/>
        </w:rPr>
        <w:t>d</w:t>
      </w:r>
      <w:r w:rsidRPr="005B65DF">
        <w:rPr>
          <w:b w:val="0"/>
        </w:rPr>
        <w:t xml:space="preserve">etermined </w:t>
      </w:r>
      <w:r w:rsidR="00A006A9" w:rsidRPr="005B65DF">
        <w:rPr>
          <w:b w:val="0"/>
        </w:rPr>
        <w:t>t</w:t>
      </w:r>
      <w:r w:rsidRPr="005B65DF">
        <w:rPr>
          <w:b w:val="0"/>
        </w:rPr>
        <w:t>hrough ART</w:t>
      </w:r>
      <w:r w:rsidR="00A006A9" w:rsidRPr="005B65DF">
        <w:rPr>
          <w:b w:val="0"/>
        </w:rPr>
        <w:t xml:space="preserve"> t</w:t>
      </w:r>
      <w:r w:rsidR="00817673" w:rsidRPr="005B65DF">
        <w:rPr>
          <w:b w:val="0"/>
        </w:rPr>
        <w:t>esting</w:t>
      </w:r>
      <w:bookmarkEnd w:id="50"/>
    </w:p>
    <w:tbl>
      <w:tblPr>
        <w:tblW w:w="4526" w:type="dxa"/>
        <w:tblInd w:w="108" w:type="dxa"/>
        <w:tblLook w:val="04A0" w:firstRow="1" w:lastRow="0" w:firstColumn="1" w:lastColumn="0" w:noHBand="0" w:noVBand="1"/>
      </w:tblPr>
      <w:tblGrid>
        <w:gridCol w:w="1096"/>
        <w:gridCol w:w="1106"/>
        <w:gridCol w:w="1162"/>
        <w:gridCol w:w="1162"/>
      </w:tblGrid>
      <w:tr w:rsidR="00D60C05" w:rsidRPr="005B65DF" w14:paraId="34B2D2FE" w14:textId="77777777" w:rsidTr="005A19FF">
        <w:trPr>
          <w:trHeight w:val="300"/>
        </w:trPr>
        <w:tc>
          <w:tcPr>
            <w:tcW w:w="1096" w:type="dxa"/>
            <w:tcBorders>
              <w:bottom w:val="single" w:sz="12" w:space="0" w:color="auto"/>
            </w:tcBorders>
          </w:tcPr>
          <w:p w14:paraId="70FABCDC" w14:textId="77777777" w:rsidR="00D60C05" w:rsidRPr="005B65DF" w:rsidRDefault="00D60C05" w:rsidP="00D60C05">
            <w:pPr>
              <w:spacing w:line="240" w:lineRule="auto"/>
              <w:ind w:firstLine="0"/>
              <w:jc w:val="right"/>
              <w:rPr>
                <w:rFonts w:ascii="Calibri" w:hAnsi="Calibri"/>
                <w:color w:val="000000"/>
                <w:sz w:val="22"/>
                <w:szCs w:val="22"/>
                <w:lang w:bidi="ar-SA"/>
              </w:rPr>
            </w:pPr>
          </w:p>
        </w:tc>
        <w:tc>
          <w:tcPr>
            <w:tcW w:w="1106" w:type="dxa"/>
            <w:tcBorders>
              <w:bottom w:val="single" w:sz="12" w:space="0" w:color="auto"/>
            </w:tcBorders>
            <w:shd w:val="clear" w:color="auto" w:fill="auto"/>
            <w:noWrap/>
            <w:vAlign w:val="bottom"/>
            <w:hideMark/>
          </w:tcPr>
          <w:p w14:paraId="5E2C43BF" w14:textId="77777777" w:rsidR="00D60C05" w:rsidRPr="005B65DF" w:rsidRDefault="00D60C05" w:rsidP="005A19FF">
            <w:pPr>
              <w:spacing w:line="240" w:lineRule="auto"/>
              <w:ind w:firstLine="0"/>
              <w:jc w:val="center"/>
              <w:rPr>
                <w:rFonts w:ascii="Calibri" w:hAnsi="Calibri"/>
                <w:b/>
                <w:color w:val="000000"/>
                <w:sz w:val="22"/>
                <w:szCs w:val="22"/>
                <w:lang w:bidi="ar-SA"/>
              </w:rPr>
            </w:pPr>
            <w:r w:rsidRPr="005B65DF">
              <w:rPr>
                <w:rFonts w:ascii="Calibri" w:hAnsi="Calibri"/>
                <w:b/>
                <w:color w:val="000000"/>
                <w:sz w:val="22"/>
                <w:szCs w:val="22"/>
                <w:lang w:bidi="ar-SA"/>
              </w:rPr>
              <w:t>1 kHz</w:t>
            </w:r>
          </w:p>
        </w:tc>
        <w:tc>
          <w:tcPr>
            <w:tcW w:w="1162" w:type="dxa"/>
            <w:tcBorders>
              <w:bottom w:val="single" w:sz="12" w:space="0" w:color="auto"/>
            </w:tcBorders>
            <w:shd w:val="clear" w:color="auto" w:fill="auto"/>
            <w:noWrap/>
            <w:vAlign w:val="bottom"/>
            <w:hideMark/>
          </w:tcPr>
          <w:p w14:paraId="632FF217" w14:textId="77777777" w:rsidR="00D60C05" w:rsidRPr="005B65DF" w:rsidRDefault="00D60C05" w:rsidP="005A19FF">
            <w:pPr>
              <w:spacing w:line="240" w:lineRule="auto"/>
              <w:ind w:firstLine="0"/>
              <w:jc w:val="center"/>
              <w:rPr>
                <w:rFonts w:ascii="Calibri" w:hAnsi="Calibri"/>
                <w:b/>
                <w:color w:val="000000"/>
                <w:sz w:val="22"/>
                <w:szCs w:val="22"/>
                <w:lang w:bidi="ar-SA"/>
              </w:rPr>
            </w:pPr>
            <w:r w:rsidRPr="005B65DF">
              <w:rPr>
                <w:rFonts w:ascii="Calibri" w:hAnsi="Calibri"/>
                <w:b/>
                <w:color w:val="000000"/>
                <w:sz w:val="22"/>
                <w:szCs w:val="22"/>
                <w:lang w:bidi="ar-SA"/>
              </w:rPr>
              <w:t>2 kHz</w:t>
            </w:r>
          </w:p>
        </w:tc>
        <w:tc>
          <w:tcPr>
            <w:tcW w:w="1162" w:type="dxa"/>
            <w:tcBorders>
              <w:bottom w:val="single" w:sz="12" w:space="0" w:color="auto"/>
            </w:tcBorders>
            <w:shd w:val="clear" w:color="auto" w:fill="auto"/>
            <w:noWrap/>
            <w:vAlign w:val="bottom"/>
            <w:hideMark/>
          </w:tcPr>
          <w:p w14:paraId="41675849" w14:textId="77777777" w:rsidR="00D60C05" w:rsidRPr="005B65DF" w:rsidRDefault="00D60C05" w:rsidP="005A19FF">
            <w:pPr>
              <w:spacing w:line="240" w:lineRule="auto"/>
              <w:ind w:firstLine="0"/>
              <w:jc w:val="center"/>
              <w:rPr>
                <w:rFonts w:ascii="Calibri" w:hAnsi="Calibri"/>
                <w:b/>
                <w:color w:val="000000"/>
                <w:sz w:val="22"/>
                <w:szCs w:val="22"/>
                <w:lang w:bidi="ar-SA"/>
              </w:rPr>
            </w:pPr>
            <w:r w:rsidRPr="005B65DF">
              <w:rPr>
                <w:rFonts w:ascii="Calibri" w:hAnsi="Calibri"/>
                <w:b/>
                <w:color w:val="000000"/>
                <w:sz w:val="22"/>
                <w:szCs w:val="22"/>
                <w:lang w:bidi="ar-SA"/>
              </w:rPr>
              <w:t>4 kHz</w:t>
            </w:r>
          </w:p>
        </w:tc>
      </w:tr>
      <w:tr w:rsidR="00D60C05" w:rsidRPr="005B65DF" w14:paraId="2CCB7968" w14:textId="77777777" w:rsidTr="005A19FF">
        <w:trPr>
          <w:trHeight w:val="330"/>
        </w:trPr>
        <w:tc>
          <w:tcPr>
            <w:tcW w:w="1096" w:type="dxa"/>
            <w:tcBorders>
              <w:top w:val="single" w:sz="12" w:space="0" w:color="auto"/>
            </w:tcBorders>
            <w:vAlign w:val="center"/>
          </w:tcPr>
          <w:p w14:paraId="4B553862"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15-2-4</w:t>
            </w:r>
          </w:p>
        </w:tc>
        <w:tc>
          <w:tcPr>
            <w:tcW w:w="1106" w:type="dxa"/>
            <w:tcBorders>
              <w:top w:val="single" w:sz="12" w:space="0" w:color="auto"/>
            </w:tcBorders>
            <w:shd w:val="clear" w:color="auto" w:fill="auto"/>
            <w:vAlign w:val="center"/>
            <w:hideMark/>
          </w:tcPr>
          <w:p w14:paraId="1F60E6D6"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100</w:t>
            </w:r>
          </w:p>
        </w:tc>
        <w:tc>
          <w:tcPr>
            <w:tcW w:w="1162" w:type="dxa"/>
            <w:tcBorders>
              <w:top w:val="single" w:sz="12" w:space="0" w:color="auto"/>
            </w:tcBorders>
            <w:shd w:val="clear" w:color="auto" w:fill="auto"/>
            <w:vAlign w:val="center"/>
            <w:hideMark/>
          </w:tcPr>
          <w:p w14:paraId="63847469"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62" w:type="dxa"/>
            <w:tcBorders>
              <w:top w:val="single" w:sz="12" w:space="0" w:color="auto"/>
            </w:tcBorders>
            <w:shd w:val="clear" w:color="auto" w:fill="auto"/>
            <w:vAlign w:val="center"/>
            <w:hideMark/>
          </w:tcPr>
          <w:p w14:paraId="6B72C3B9"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55</w:t>
            </w:r>
          </w:p>
        </w:tc>
      </w:tr>
      <w:tr w:rsidR="00D60C05" w:rsidRPr="005B65DF" w14:paraId="519985EF" w14:textId="77777777" w:rsidTr="005A19FF">
        <w:trPr>
          <w:trHeight w:val="330"/>
        </w:trPr>
        <w:tc>
          <w:tcPr>
            <w:tcW w:w="1096" w:type="dxa"/>
            <w:vAlign w:val="center"/>
          </w:tcPr>
          <w:p w14:paraId="14FD6586"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15-2-5</w:t>
            </w:r>
          </w:p>
        </w:tc>
        <w:tc>
          <w:tcPr>
            <w:tcW w:w="1106" w:type="dxa"/>
            <w:shd w:val="clear" w:color="auto" w:fill="auto"/>
            <w:vAlign w:val="center"/>
            <w:hideMark/>
          </w:tcPr>
          <w:p w14:paraId="582C77E1"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62" w:type="dxa"/>
            <w:shd w:val="clear" w:color="auto" w:fill="auto"/>
            <w:vAlign w:val="center"/>
            <w:hideMark/>
          </w:tcPr>
          <w:p w14:paraId="3CFFE767"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95</w:t>
            </w:r>
          </w:p>
        </w:tc>
        <w:tc>
          <w:tcPr>
            <w:tcW w:w="1162" w:type="dxa"/>
            <w:shd w:val="clear" w:color="auto" w:fill="auto"/>
            <w:vAlign w:val="center"/>
            <w:hideMark/>
          </w:tcPr>
          <w:p w14:paraId="405D2D24"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r>
      <w:tr w:rsidR="00D60C05" w:rsidRPr="005B65DF" w14:paraId="40F97405" w14:textId="77777777" w:rsidTr="005A19FF">
        <w:trPr>
          <w:trHeight w:val="330"/>
        </w:trPr>
        <w:tc>
          <w:tcPr>
            <w:tcW w:w="1096" w:type="dxa"/>
            <w:vAlign w:val="center"/>
          </w:tcPr>
          <w:p w14:paraId="09B40316"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15-2-6</w:t>
            </w:r>
          </w:p>
        </w:tc>
        <w:tc>
          <w:tcPr>
            <w:tcW w:w="1106" w:type="dxa"/>
            <w:shd w:val="clear" w:color="auto" w:fill="auto"/>
            <w:vAlign w:val="center"/>
            <w:hideMark/>
          </w:tcPr>
          <w:p w14:paraId="59E70DA0"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62" w:type="dxa"/>
            <w:shd w:val="clear" w:color="auto" w:fill="auto"/>
            <w:vAlign w:val="center"/>
            <w:hideMark/>
          </w:tcPr>
          <w:p w14:paraId="10029A87"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c>
          <w:tcPr>
            <w:tcW w:w="1162" w:type="dxa"/>
            <w:shd w:val="clear" w:color="auto" w:fill="auto"/>
            <w:vAlign w:val="center"/>
            <w:hideMark/>
          </w:tcPr>
          <w:p w14:paraId="4EEEF9FE"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r>
      <w:tr w:rsidR="00D60C05" w:rsidRPr="005B65DF" w14:paraId="103B39C1" w14:textId="77777777" w:rsidTr="005A19FF">
        <w:trPr>
          <w:trHeight w:val="330"/>
        </w:trPr>
        <w:tc>
          <w:tcPr>
            <w:tcW w:w="1096" w:type="dxa"/>
            <w:vAlign w:val="center"/>
          </w:tcPr>
          <w:p w14:paraId="3CE4A920"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15-2-7</w:t>
            </w:r>
          </w:p>
        </w:tc>
        <w:tc>
          <w:tcPr>
            <w:tcW w:w="1106" w:type="dxa"/>
            <w:shd w:val="clear" w:color="auto" w:fill="auto"/>
            <w:vAlign w:val="center"/>
            <w:hideMark/>
          </w:tcPr>
          <w:p w14:paraId="2B390B24"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100</w:t>
            </w:r>
          </w:p>
        </w:tc>
        <w:tc>
          <w:tcPr>
            <w:tcW w:w="1162" w:type="dxa"/>
            <w:shd w:val="clear" w:color="auto" w:fill="auto"/>
            <w:vAlign w:val="center"/>
            <w:hideMark/>
          </w:tcPr>
          <w:p w14:paraId="466D27BD"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62" w:type="dxa"/>
            <w:shd w:val="clear" w:color="auto" w:fill="auto"/>
            <w:vAlign w:val="center"/>
            <w:hideMark/>
          </w:tcPr>
          <w:p w14:paraId="649A5852"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55</w:t>
            </w:r>
          </w:p>
        </w:tc>
      </w:tr>
      <w:tr w:rsidR="00D60C05" w:rsidRPr="005B65DF" w14:paraId="2561D572" w14:textId="77777777" w:rsidTr="005A19FF">
        <w:trPr>
          <w:trHeight w:val="330"/>
        </w:trPr>
        <w:tc>
          <w:tcPr>
            <w:tcW w:w="1096" w:type="dxa"/>
            <w:vAlign w:val="center"/>
          </w:tcPr>
          <w:p w14:paraId="4B234D2C"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15-2-8</w:t>
            </w:r>
          </w:p>
        </w:tc>
        <w:tc>
          <w:tcPr>
            <w:tcW w:w="1106" w:type="dxa"/>
            <w:shd w:val="clear" w:color="auto" w:fill="auto"/>
            <w:vAlign w:val="center"/>
            <w:hideMark/>
          </w:tcPr>
          <w:p w14:paraId="24546355"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100</w:t>
            </w:r>
          </w:p>
        </w:tc>
        <w:tc>
          <w:tcPr>
            <w:tcW w:w="1162" w:type="dxa"/>
            <w:shd w:val="clear" w:color="auto" w:fill="auto"/>
            <w:vAlign w:val="center"/>
            <w:hideMark/>
          </w:tcPr>
          <w:p w14:paraId="54737F41"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c>
          <w:tcPr>
            <w:tcW w:w="1162" w:type="dxa"/>
            <w:shd w:val="clear" w:color="auto" w:fill="auto"/>
            <w:vAlign w:val="center"/>
            <w:hideMark/>
          </w:tcPr>
          <w:p w14:paraId="6DE5D679"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r>
      <w:tr w:rsidR="00D60C05" w:rsidRPr="005B65DF" w14:paraId="2D553758" w14:textId="77777777" w:rsidTr="005A19FF">
        <w:trPr>
          <w:trHeight w:val="330"/>
        </w:trPr>
        <w:tc>
          <w:tcPr>
            <w:tcW w:w="1096" w:type="dxa"/>
            <w:vAlign w:val="center"/>
          </w:tcPr>
          <w:p w14:paraId="35464910"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15-2-15</w:t>
            </w:r>
          </w:p>
        </w:tc>
        <w:tc>
          <w:tcPr>
            <w:tcW w:w="1106" w:type="dxa"/>
            <w:shd w:val="clear" w:color="auto" w:fill="auto"/>
            <w:vAlign w:val="center"/>
            <w:hideMark/>
          </w:tcPr>
          <w:p w14:paraId="646DABB3"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65</w:t>
            </w:r>
          </w:p>
        </w:tc>
        <w:tc>
          <w:tcPr>
            <w:tcW w:w="1162" w:type="dxa"/>
            <w:shd w:val="clear" w:color="auto" w:fill="auto"/>
            <w:vAlign w:val="center"/>
            <w:hideMark/>
          </w:tcPr>
          <w:p w14:paraId="5E60D767"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62" w:type="dxa"/>
            <w:shd w:val="clear" w:color="auto" w:fill="auto"/>
            <w:vAlign w:val="center"/>
            <w:hideMark/>
          </w:tcPr>
          <w:p w14:paraId="44348167"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70</w:t>
            </w:r>
          </w:p>
        </w:tc>
      </w:tr>
      <w:tr w:rsidR="00D60C05" w:rsidRPr="005B65DF" w14:paraId="1B386EC7" w14:textId="77777777" w:rsidTr="005A19FF">
        <w:trPr>
          <w:trHeight w:val="330"/>
        </w:trPr>
        <w:tc>
          <w:tcPr>
            <w:tcW w:w="1096" w:type="dxa"/>
            <w:vAlign w:val="center"/>
          </w:tcPr>
          <w:p w14:paraId="3938E62A"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15-3-2</w:t>
            </w:r>
          </w:p>
        </w:tc>
        <w:tc>
          <w:tcPr>
            <w:tcW w:w="1106" w:type="dxa"/>
            <w:shd w:val="clear" w:color="auto" w:fill="auto"/>
            <w:vAlign w:val="center"/>
            <w:hideMark/>
          </w:tcPr>
          <w:p w14:paraId="56E29FC4"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100</w:t>
            </w:r>
          </w:p>
        </w:tc>
        <w:tc>
          <w:tcPr>
            <w:tcW w:w="1162" w:type="dxa"/>
            <w:shd w:val="clear" w:color="auto" w:fill="auto"/>
            <w:vAlign w:val="center"/>
            <w:hideMark/>
          </w:tcPr>
          <w:p w14:paraId="4F17F91F"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62" w:type="dxa"/>
            <w:shd w:val="clear" w:color="auto" w:fill="auto"/>
            <w:vAlign w:val="center"/>
            <w:hideMark/>
          </w:tcPr>
          <w:p w14:paraId="65BCE8B6"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r>
      <w:tr w:rsidR="00D60C05" w:rsidRPr="005B65DF" w14:paraId="16CBE74F" w14:textId="77777777" w:rsidTr="005A19FF">
        <w:trPr>
          <w:trHeight w:val="330"/>
        </w:trPr>
        <w:tc>
          <w:tcPr>
            <w:tcW w:w="1096" w:type="dxa"/>
            <w:vAlign w:val="center"/>
          </w:tcPr>
          <w:p w14:paraId="5EFE87E8"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15-3-3</w:t>
            </w:r>
          </w:p>
        </w:tc>
        <w:tc>
          <w:tcPr>
            <w:tcW w:w="1106" w:type="dxa"/>
            <w:shd w:val="clear" w:color="auto" w:fill="auto"/>
            <w:vAlign w:val="center"/>
            <w:hideMark/>
          </w:tcPr>
          <w:p w14:paraId="65B0B149"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95</w:t>
            </w:r>
          </w:p>
        </w:tc>
        <w:tc>
          <w:tcPr>
            <w:tcW w:w="1162" w:type="dxa"/>
            <w:shd w:val="clear" w:color="auto" w:fill="auto"/>
            <w:vAlign w:val="center"/>
            <w:hideMark/>
          </w:tcPr>
          <w:p w14:paraId="468E2DD6"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100</w:t>
            </w:r>
          </w:p>
        </w:tc>
        <w:tc>
          <w:tcPr>
            <w:tcW w:w="1162" w:type="dxa"/>
            <w:shd w:val="clear" w:color="auto" w:fill="auto"/>
            <w:vAlign w:val="center"/>
            <w:hideMark/>
          </w:tcPr>
          <w:p w14:paraId="57814F4B"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r>
      <w:tr w:rsidR="00D60C05" w:rsidRPr="005B65DF" w14:paraId="5D2C20E2" w14:textId="77777777" w:rsidTr="005A19FF">
        <w:trPr>
          <w:trHeight w:val="330"/>
        </w:trPr>
        <w:tc>
          <w:tcPr>
            <w:tcW w:w="1096" w:type="dxa"/>
            <w:vAlign w:val="center"/>
          </w:tcPr>
          <w:p w14:paraId="27758D3B"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15-3-4</w:t>
            </w:r>
          </w:p>
        </w:tc>
        <w:tc>
          <w:tcPr>
            <w:tcW w:w="1106" w:type="dxa"/>
            <w:shd w:val="clear" w:color="auto" w:fill="auto"/>
            <w:vAlign w:val="center"/>
            <w:hideMark/>
          </w:tcPr>
          <w:p w14:paraId="63B7C781"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65</w:t>
            </w:r>
          </w:p>
        </w:tc>
        <w:tc>
          <w:tcPr>
            <w:tcW w:w="1162" w:type="dxa"/>
            <w:shd w:val="clear" w:color="auto" w:fill="auto"/>
            <w:vAlign w:val="center"/>
            <w:hideMark/>
          </w:tcPr>
          <w:p w14:paraId="1C6D8D1C"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60</w:t>
            </w:r>
          </w:p>
        </w:tc>
        <w:tc>
          <w:tcPr>
            <w:tcW w:w="1162" w:type="dxa"/>
            <w:shd w:val="clear" w:color="auto" w:fill="auto"/>
            <w:vAlign w:val="center"/>
            <w:hideMark/>
          </w:tcPr>
          <w:p w14:paraId="31CB3E91"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r>
      <w:tr w:rsidR="00D60C05" w:rsidRPr="005B65DF" w14:paraId="180EE45E" w14:textId="77777777" w:rsidTr="005A19FF">
        <w:trPr>
          <w:trHeight w:val="330"/>
        </w:trPr>
        <w:tc>
          <w:tcPr>
            <w:tcW w:w="1096" w:type="dxa"/>
            <w:vAlign w:val="center"/>
          </w:tcPr>
          <w:p w14:paraId="00F660A3"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15-3-8</w:t>
            </w:r>
          </w:p>
        </w:tc>
        <w:tc>
          <w:tcPr>
            <w:tcW w:w="1106" w:type="dxa"/>
            <w:shd w:val="clear" w:color="auto" w:fill="auto"/>
            <w:vAlign w:val="center"/>
            <w:hideMark/>
          </w:tcPr>
          <w:p w14:paraId="06E5FB3A"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65</w:t>
            </w:r>
          </w:p>
        </w:tc>
        <w:tc>
          <w:tcPr>
            <w:tcW w:w="1162" w:type="dxa"/>
            <w:shd w:val="clear" w:color="auto" w:fill="auto"/>
            <w:vAlign w:val="center"/>
            <w:hideMark/>
          </w:tcPr>
          <w:p w14:paraId="3FE3816A"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c>
          <w:tcPr>
            <w:tcW w:w="1162" w:type="dxa"/>
            <w:shd w:val="clear" w:color="auto" w:fill="auto"/>
            <w:vAlign w:val="center"/>
            <w:hideMark/>
          </w:tcPr>
          <w:p w14:paraId="15E89E55"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50</w:t>
            </w:r>
          </w:p>
        </w:tc>
      </w:tr>
      <w:tr w:rsidR="00D60C05" w:rsidRPr="005B65DF" w14:paraId="3812FAA0" w14:textId="77777777" w:rsidTr="005A19FF">
        <w:trPr>
          <w:trHeight w:val="330"/>
        </w:trPr>
        <w:tc>
          <w:tcPr>
            <w:tcW w:w="1096" w:type="dxa"/>
            <w:vAlign w:val="center"/>
          </w:tcPr>
          <w:p w14:paraId="0E5BBA8D"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15-3-9</w:t>
            </w:r>
          </w:p>
        </w:tc>
        <w:tc>
          <w:tcPr>
            <w:tcW w:w="1106" w:type="dxa"/>
            <w:shd w:val="clear" w:color="auto" w:fill="auto"/>
            <w:vAlign w:val="center"/>
            <w:hideMark/>
          </w:tcPr>
          <w:p w14:paraId="701062E0"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95</w:t>
            </w:r>
          </w:p>
        </w:tc>
        <w:tc>
          <w:tcPr>
            <w:tcW w:w="1162" w:type="dxa"/>
            <w:shd w:val="clear" w:color="auto" w:fill="auto"/>
            <w:vAlign w:val="center"/>
            <w:hideMark/>
          </w:tcPr>
          <w:p w14:paraId="3FAE194C"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85</w:t>
            </w:r>
          </w:p>
        </w:tc>
        <w:tc>
          <w:tcPr>
            <w:tcW w:w="1162" w:type="dxa"/>
            <w:shd w:val="clear" w:color="auto" w:fill="auto"/>
            <w:vAlign w:val="center"/>
            <w:hideMark/>
          </w:tcPr>
          <w:p w14:paraId="150D3E12"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85</w:t>
            </w:r>
          </w:p>
        </w:tc>
      </w:tr>
      <w:tr w:rsidR="00D60C05" w:rsidRPr="005B65DF" w14:paraId="40D33B69" w14:textId="77777777" w:rsidTr="005A19FF">
        <w:trPr>
          <w:trHeight w:val="330"/>
        </w:trPr>
        <w:tc>
          <w:tcPr>
            <w:tcW w:w="1096" w:type="dxa"/>
            <w:vAlign w:val="center"/>
          </w:tcPr>
          <w:p w14:paraId="4B25ADE8"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15-3-10</w:t>
            </w:r>
          </w:p>
        </w:tc>
        <w:tc>
          <w:tcPr>
            <w:tcW w:w="1106" w:type="dxa"/>
            <w:shd w:val="clear" w:color="auto" w:fill="auto"/>
            <w:vAlign w:val="center"/>
            <w:hideMark/>
          </w:tcPr>
          <w:p w14:paraId="7F8D78B1"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95</w:t>
            </w:r>
          </w:p>
        </w:tc>
        <w:tc>
          <w:tcPr>
            <w:tcW w:w="1162" w:type="dxa"/>
            <w:shd w:val="clear" w:color="auto" w:fill="auto"/>
            <w:vAlign w:val="center"/>
            <w:hideMark/>
          </w:tcPr>
          <w:p w14:paraId="715C0F37"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65</w:t>
            </w:r>
          </w:p>
        </w:tc>
        <w:tc>
          <w:tcPr>
            <w:tcW w:w="1162" w:type="dxa"/>
            <w:shd w:val="clear" w:color="auto" w:fill="auto"/>
            <w:vAlign w:val="center"/>
            <w:hideMark/>
          </w:tcPr>
          <w:p w14:paraId="73C0A6FD"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r>
      <w:tr w:rsidR="00D60C05" w:rsidRPr="005B65DF" w14:paraId="7A790366" w14:textId="77777777" w:rsidTr="005A19FF">
        <w:trPr>
          <w:trHeight w:val="330"/>
        </w:trPr>
        <w:tc>
          <w:tcPr>
            <w:tcW w:w="1096" w:type="dxa"/>
            <w:vAlign w:val="center"/>
          </w:tcPr>
          <w:p w14:paraId="029AFC98"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15-3-11</w:t>
            </w:r>
          </w:p>
        </w:tc>
        <w:tc>
          <w:tcPr>
            <w:tcW w:w="1106" w:type="dxa"/>
            <w:shd w:val="clear" w:color="auto" w:fill="auto"/>
            <w:vAlign w:val="center"/>
            <w:hideMark/>
          </w:tcPr>
          <w:p w14:paraId="0ED917B5"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c>
          <w:tcPr>
            <w:tcW w:w="1162" w:type="dxa"/>
            <w:shd w:val="clear" w:color="auto" w:fill="auto"/>
            <w:vAlign w:val="center"/>
            <w:hideMark/>
          </w:tcPr>
          <w:p w14:paraId="396F2EFB"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85</w:t>
            </w:r>
          </w:p>
        </w:tc>
        <w:tc>
          <w:tcPr>
            <w:tcW w:w="1162" w:type="dxa"/>
            <w:shd w:val="clear" w:color="auto" w:fill="auto"/>
            <w:vAlign w:val="center"/>
            <w:hideMark/>
          </w:tcPr>
          <w:p w14:paraId="796A34D0"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r>
      <w:tr w:rsidR="00D60C05" w:rsidRPr="005B65DF" w14:paraId="08E05CD7" w14:textId="77777777" w:rsidTr="005A19FF">
        <w:trPr>
          <w:trHeight w:val="330"/>
        </w:trPr>
        <w:tc>
          <w:tcPr>
            <w:tcW w:w="1096" w:type="dxa"/>
            <w:tcBorders>
              <w:bottom w:val="single" w:sz="4" w:space="0" w:color="auto"/>
            </w:tcBorders>
            <w:vAlign w:val="center"/>
          </w:tcPr>
          <w:p w14:paraId="0F84595E" w14:textId="77777777" w:rsidR="00D60C05" w:rsidRPr="005B65DF" w:rsidRDefault="00D60C05" w:rsidP="00D60C05">
            <w:pPr>
              <w:spacing w:line="240" w:lineRule="auto"/>
              <w:ind w:firstLine="0"/>
              <w:rPr>
                <w:rFonts w:ascii="Times New Roman" w:hAnsi="Times New Roman"/>
                <w:color w:val="000000"/>
                <w:lang w:bidi="ar-SA"/>
              </w:rPr>
            </w:pPr>
            <w:r w:rsidRPr="005B65DF">
              <w:rPr>
                <w:rFonts w:ascii="Times New Roman" w:hAnsi="Times New Roman"/>
                <w:color w:val="000000"/>
                <w:lang w:bidi="ar-SA"/>
              </w:rPr>
              <w:t>15-3-13</w:t>
            </w:r>
          </w:p>
        </w:tc>
        <w:tc>
          <w:tcPr>
            <w:tcW w:w="1106" w:type="dxa"/>
            <w:tcBorders>
              <w:bottom w:val="single" w:sz="4" w:space="0" w:color="auto"/>
            </w:tcBorders>
            <w:shd w:val="clear" w:color="auto" w:fill="auto"/>
            <w:vAlign w:val="center"/>
            <w:hideMark/>
          </w:tcPr>
          <w:p w14:paraId="6365219F"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80</w:t>
            </w:r>
          </w:p>
        </w:tc>
        <w:tc>
          <w:tcPr>
            <w:tcW w:w="1162" w:type="dxa"/>
            <w:tcBorders>
              <w:bottom w:val="single" w:sz="4" w:space="0" w:color="auto"/>
            </w:tcBorders>
            <w:shd w:val="clear" w:color="auto" w:fill="auto"/>
            <w:vAlign w:val="center"/>
            <w:hideMark/>
          </w:tcPr>
          <w:p w14:paraId="39C7ACA0"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85</w:t>
            </w:r>
          </w:p>
        </w:tc>
        <w:tc>
          <w:tcPr>
            <w:tcW w:w="1162" w:type="dxa"/>
            <w:tcBorders>
              <w:bottom w:val="single" w:sz="4" w:space="0" w:color="auto"/>
            </w:tcBorders>
            <w:shd w:val="clear" w:color="auto" w:fill="auto"/>
            <w:vAlign w:val="center"/>
            <w:hideMark/>
          </w:tcPr>
          <w:p w14:paraId="3C364420" w14:textId="77777777" w:rsidR="00D60C05" w:rsidRPr="005B65DF" w:rsidRDefault="00D60C05" w:rsidP="00A1591F">
            <w:pPr>
              <w:spacing w:line="240" w:lineRule="auto"/>
              <w:ind w:firstLine="0"/>
              <w:jc w:val="center"/>
              <w:rPr>
                <w:rFonts w:ascii="Calibri" w:hAnsi="Calibri"/>
                <w:color w:val="000000"/>
                <w:sz w:val="22"/>
                <w:szCs w:val="22"/>
                <w:lang w:bidi="ar-SA"/>
              </w:rPr>
            </w:pPr>
            <w:r w:rsidRPr="005B65DF">
              <w:rPr>
                <w:rFonts w:ascii="Calibri" w:hAnsi="Calibri"/>
                <w:color w:val="000000"/>
                <w:sz w:val="22"/>
                <w:szCs w:val="22"/>
                <w:lang w:bidi="ar-SA"/>
              </w:rPr>
              <w:t>90</w:t>
            </w:r>
          </w:p>
        </w:tc>
      </w:tr>
      <w:tr w:rsidR="00D60C05" w:rsidRPr="005B65DF" w14:paraId="169DEEF7" w14:textId="77777777" w:rsidTr="005A19FF">
        <w:trPr>
          <w:trHeight w:val="300"/>
        </w:trPr>
        <w:tc>
          <w:tcPr>
            <w:tcW w:w="1096" w:type="dxa"/>
            <w:tcBorders>
              <w:top w:val="single" w:sz="4" w:space="0" w:color="auto"/>
            </w:tcBorders>
          </w:tcPr>
          <w:p w14:paraId="22565616" w14:textId="77777777" w:rsidR="00D60C05" w:rsidRPr="005B65DF" w:rsidRDefault="00D60C05" w:rsidP="00D60C05">
            <w:pPr>
              <w:spacing w:line="240" w:lineRule="auto"/>
              <w:ind w:firstLine="0"/>
              <w:jc w:val="right"/>
              <w:rPr>
                <w:rFonts w:ascii="Calibri" w:hAnsi="Calibri"/>
                <w:color w:val="000000"/>
                <w:sz w:val="22"/>
                <w:szCs w:val="22"/>
                <w:lang w:bidi="ar-SA"/>
              </w:rPr>
            </w:pPr>
            <w:r w:rsidRPr="005B65DF">
              <w:rPr>
                <w:rFonts w:ascii="Calibri" w:hAnsi="Calibri"/>
                <w:color w:val="000000"/>
                <w:sz w:val="22"/>
                <w:szCs w:val="22"/>
                <w:lang w:bidi="ar-SA"/>
              </w:rPr>
              <w:t>Mean</w:t>
            </w:r>
          </w:p>
        </w:tc>
        <w:tc>
          <w:tcPr>
            <w:tcW w:w="1106" w:type="dxa"/>
            <w:tcBorders>
              <w:top w:val="single" w:sz="4" w:space="0" w:color="auto"/>
            </w:tcBorders>
            <w:shd w:val="clear" w:color="auto" w:fill="auto"/>
            <w:noWrap/>
            <w:vAlign w:val="bottom"/>
            <w:hideMark/>
          </w:tcPr>
          <w:p w14:paraId="65314363" w14:textId="77777777" w:rsidR="00D60C05" w:rsidRPr="005B65DF" w:rsidRDefault="00D60C05" w:rsidP="00D60C05">
            <w:pPr>
              <w:spacing w:line="240" w:lineRule="auto"/>
              <w:ind w:firstLine="0"/>
              <w:jc w:val="right"/>
              <w:rPr>
                <w:rFonts w:ascii="Calibri" w:hAnsi="Calibri"/>
                <w:color w:val="000000"/>
                <w:sz w:val="22"/>
                <w:szCs w:val="22"/>
                <w:lang w:bidi="ar-SA"/>
              </w:rPr>
            </w:pPr>
            <w:r w:rsidRPr="005B65DF">
              <w:rPr>
                <w:rFonts w:ascii="Calibri" w:hAnsi="Calibri"/>
                <w:color w:val="000000"/>
                <w:sz w:val="22"/>
                <w:szCs w:val="22"/>
                <w:lang w:bidi="ar-SA"/>
              </w:rPr>
              <w:t>85.0±15.4</w:t>
            </w:r>
          </w:p>
        </w:tc>
        <w:tc>
          <w:tcPr>
            <w:tcW w:w="1162" w:type="dxa"/>
            <w:tcBorders>
              <w:top w:val="single" w:sz="4" w:space="0" w:color="auto"/>
            </w:tcBorders>
            <w:shd w:val="clear" w:color="auto" w:fill="auto"/>
            <w:noWrap/>
            <w:vAlign w:val="bottom"/>
            <w:hideMark/>
          </w:tcPr>
          <w:p w14:paraId="2DF30C0D" w14:textId="77777777" w:rsidR="00D60C05" w:rsidRPr="005B65DF" w:rsidRDefault="00D60C05" w:rsidP="00D60C05">
            <w:pPr>
              <w:spacing w:line="240" w:lineRule="auto"/>
              <w:ind w:firstLine="0"/>
              <w:jc w:val="right"/>
              <w:rPr>
                <w:rFonts w:ascii="Calibri" w:hAnsi="Calibri"/>
                <w:color w:val="000000"/>
                <w:sz w:val="22"/>
                <w:szCs w:val="22"/>
                <w:lang w:bidi="ar-SA"/>
              </w:rPr>
            </w:pPr>
            <w:r w:rsidRPr="005B65DF">
              <w:rPr>
                <w:rFonts w:ascii="Calibri" w:hAnsi="Calibri"/>
                <w:color w:val="000000"/>
                <w:sz w:val="22"/>
                <w:szCs w:val="22"/>
                <w:lang w:bidi="ar-SA"/>
              </w:rPr>
              <w:t>81.1±11.5</w:t>
            </w:r>
          </w:p>
        </w:tc>
        <w:tc>
          <w:tcPr>
            <w:tcW w:w="1162" w:type="dxa"/>
            <w:tcBorders>
              <w:top w:val="single" w:sz="4" w:space="0" w:color="auto"/>
            </w:tcBorders>
            <w:shd w:val="clear" w:color="auto" w:fill="auto"/>
            <w:noWrap/>
            <w:vAlign w:val="bottom"/>
            <w:hideMark/>
          </w:tcPr>
          <w:p w14:paraId="60221574" w14:textId="77777777" w:rsidR="00D60C05" w:rsidRPr="005B65DF" w:rsidRDefault="00D60C05" w:rsidP="00D60C05">
            <w:pPr>
              <w:spacing w:line="240" w:lineRule="auto"/>
              <w:ind w:firstLine="0"/>
              <w:jc w:val="right"/>
              <w:rPr>
                <w:rFonts w:ascii="Calibri" w:hAnsi="Calibri"/>
                <w:color w:val="000000"/>
                <w:sz w:val="22"/>
                <w:szCs w:val="22"/>
                <w:lang w:bidi="ar-SA"/>
              </w:rPr>
            </w:pPr>
            <w:r w:rsidRPr="005B65DF">
              <w:rPr>
                <w:rFonts w:ascii="Calibri" w:hAnsi="Calibri"/>
                <w:color w:val="000000"/>
                <w:sz w:val="22"/>
                <w:szCs w:val="22"/>
                <w:lang w:bidi="ar-SA"/>
              </w:rPr>
              <w:t>73.9±17.9</w:t>
            </w:r>
          </w:p>
        </w:tc>
      </w:tr>
    </w:tbl>
    <w:p w14:paraId="43E53BD1" w14:textId="77777777" w:rsidR="00D60C05" w:rsidRPr="005B65DF" w:rsidRDefault="00D60C05" w:rsidP="00251BDB"/>
    <w:p w14:paraId="4C34A2B5" w14:textId="77777777" w:rsidR="00900E12" w:rsidRPr="005B65DF" w:rsidRDefault="00900E12" w:rsidP="00251BDB"/>
    <w:p w14:paraId="1A52D52B" w14:textId="0DF61441" w:rsidR="00900E12" w:rsidRPr="005B65DF" w:rsidRDefault="00900E12" w:rsidP="00900E12">
      <w:pPr>
        <w:pStyle w:val="Heading3"/>
        <w:rPr>
          <w:b/>
          <w:szCs w:val="18"/>
        </w:rPr>
      </w:pPr>
      <w:bookmarkStart w:id="51" w:name="_Toc185910"/>
      <w:r w:rsidRPr="005B65DF">
        <w:lastRenderedPageBreak/>
        <w:t xml:space="preserve">2.3.2 Comparison of MEMR Threshold as Determined by ART </w:t>
      </w:r>
      <w:r w:rsidR="00817673" w:rsidRPr="005B65DF">
        <w:t xml:space="preserve">Testing </w:t>
      </w:r>
      <w:r w:rsidRPr="005B65DF">
        <w:t>vs EMG</w:t>
      </w:r>
      <w:bookmarkEnd w:id="51"/>
    </w:p>
    <w:p w14:paraId="76C89D2C" w14:textId="491F1812" w:rsidR="00900E12" w:rsidRPr="005B65DF" w:rsidRDefault="00900E12" w:rsidP="00900E12">
      <w:r w:rsidRPr="005B65DF">
        <w:t>At all frequencies wh</w:t>
      </w:r>
      <w:r w:rsidR="002B0E36" w:rsidRPr="005B65DF">
        <w:t>ere thresholds were found</w:t>
      </w:r>
      <w:r w:rsidRPr="005B65DF">
        <w:t>, the ART</w:t>
      </w:r>
      <w:r w:rsidR="00817673" w:rsidRPr="005B65DF">
        <w:t>-testing</w:t>
      </w:r>
      <w:r w:rsidRPr="005B65DF">
        <w:t xml:space="preserve">-determined </w:t>
      </w:r>
      <w:r w:rsidR="002B0E36" w:rsidRPr="005B65DF">
        <w:t xml:space="preserve">mean </w:t>
      </w:r>
      <w:r w:rsidRPr="005B65DF">
        <w:t xml:space="preserve">threshold was higher than that determined via </w:t>
      </w:r>
      <w:r w:rsidR="002B0E36" w:rsidRPr="005B65DF">
        <w:t>EMG</w:t>
      </w:r>
      <w:r w:rsidRPr="005B65DF">
        <w:t>. The most profound difference was 21.4 dB at 1 kHz, followed by 11.1 dB at 2 kHz and 2.5 dB at 4 kHz.</w:t>
      </w:r>
      <w:r w:rsidR="004A08AF" w:rsidRPr="005B65DF">
        <w:t xml:space="preserve"> A two-tailed paired t-test with a 95% confidence interval was applied to compare the results at each frequency. There was a significant difference at both 1 kHz and 2 kHz with p = 0.005</w:t>
      </w:r>
      <w:r w:rsidR="007A6FB1" w:rsidRPr="005B65DF">
        <w:t xml:space="preserve"> and p = 0.04</w:t>
      </w:r>
      <w:r w:rsidR="004A08AF" w:rsidRPr="005B65DF">
        <w:t>, respectively. For 4 kHz, there was not a significant difference between EMG and ART</w:t>
      </w:r>
      <w:r w:rsidR="00817673" w:rsidRPr="005B65DF">
        <w:t xml:space="preserve"> testing</w:t>
      </w:r>
      <w:r w:rsidR="00527497" w:rsidRPr="005B65DF">
        <w:t xml:space="preserve"> results with p = 0.7</w:t>
      </w:r>
      <w:r w:rsidR="007A6FB1" w:rsidRPr="005B65DF">
        <w:t>3</w:t>
      </w:r>
      <w:r w:rsidR="004A08AF" w:rsidRPr="005B65DF">
        <w:t xml:space="preserve">. </w:t>
      </w:r>
    </w:p>
    <w:p w14:paraId="094296ED" w14:textId="1B6D5B00" w:rsidR="002B0E36" w:rsidRPr="005B65DF" w:rsidRDefault="002B0E36" w:rsidP="00900E12">
      <w:pPr>
        <w:rPr>
          <w:szCs w:val="18"/>
        </w:rPr>
      </w:pPr>
      <w:r w:rsidRPr="005B65DF">
        <w:rPr>
          <w:szCs w:val="18"/>
        </w:rPr>
        <w:t xml:space="preserve">Looking at individual specimens, the variance between methods seems even more profound. While ART </w:t>
      </w:r>
      <w:r w:rsidR="00817673" w:rsidRPr="005B65DF">
        <w:rPr>
          <w:szCs w:val="18"/>
        </w:rPr>
        <w:t xml:space="preserve">testing </w:t>
      </w:r>
      <w:r w:rsidRPr="005B65DF">
        <w:rPr>
          <w:szCs w:val="18"/>
        </w:rPr>
        <w:t xml:space="preserve">results were always higher than EMG results on average, for some subjects this trend was reversed. </w:t>
      </w:r>
      <w:r w:rsidR="00C020B0" w:rsidRPr="005B65DF">
        <w:rPr>
          <w:szCs w:val="18"/>
        </w:rPr>
        <w:t xml:space="preserve">Among the 14 animals tested, the highest discrepancies were 50 dB higher ART </w:t>
      </w:r>
      <w:r w:rsidR="00817673" w:rsidRPr="005B65DF">
        <w:rPr>
          <w:szCs w:val="18"/>
        </w:rPr>
        <w:t xml:space="preserve">testing </w:t>
      </w:r>
      <w:r w:rsidR="00C020B0" w:rsidRPr="005B65DF">
        <w:rPr>
          <w:szCs w:val="18"/>
        </w:rPr>
        <w:t xml:space="preserve">results than EMG in animals 15-2-4 and 15-2-7 at 1 kHz and 50 dB higher EMG results than ART </w:t>
      </w:r>
      <w:r w:rsidR="00817673" w:rsidRPr="005B65DF">
        <w:rPr>
          <w:szCs w:val="18"/>
        </w:rPr>
        <w:t>testing</w:t>
      </w:r>
      <w:r w:rsidR="00BE2C3E" w:rsidRPr="005B65DF">
        <w:rPr>
          <w:szCs w:val="18"/>
        </w:rPr>
        <w:t xml:space="preserve"> </w:t>
      </w:r>
      <w:r w:rsidR="00C020B0" w:rsidRPr="005B65DF">
        <w:rPr>
          <w:szCs w:val="18"/>
        </w:rPr>
        <w:t>in 15-3-4 at 4 kHz.</w:t>
      </w:r>
    </w:p>
    <w:p w14:paraId="5AA4B1FA" w14:textId="77777777" w:rsidR="00900E12" w:rsidRPr="005B65DF" w:rsidRDefault="002B0E36" w:rsidP="002B0E36">
      <w:pPr>
        <w:pStyle w:val="Heading3"/>
      </w:pPr>
      <w:bookmarkStart w:id="52" w:name="_Toc185911"/>
      <w:r w:rsidRPr="005B65DF">
        <w:t>2.3.3 MEMR Latency</w:t>
      </w:r>
      <w:bookmarkEnd w:id="52"/>
      <w:r w:rsidRPr="005B65DF">
        <w:t xml:space="preserve"> </w:t>
      </w:r>
    </w:p>
    <w:p w14:paraId="7B4CA047" w14:textId="05CA998E" w:rsidR="009B430A" w:rsidRPr="005B65DF" w:rsidRDefault="00AA0958" w:rsidP="006B1F8B">
      <w:r w:rsidRPr="005B65DF">
        <w:t>L</w:t>
      </w:r>
      <w:r w:rsidR="00A1591F" w:rsidRPr="005B65DF">
        <w:t xml:space="preserve">atency </w:t>
      </w:r>
      <w:r w:rsidRPr="005B65DF">
        <w:t xml:space="preserve">is the </w:t>
      </w:r>
      <w:r w:rsidR="00A1591F" w:rsidRPr="005B65DF">
        <w:t xml:space="preserve">time between stimulus onset and MEMR </w:t>
      </w:r>
      <w:r w:rsidR="00A66248" w:rsidRPr="005B65DF">
        <w:t>activation and</w:t>
      </w:r>
      <w:r w:rsidRPr="005B65DF">
        <w:t xml:space="preserve"> is an important factor in determining </w:t>
      </w:r>
      <w:r w:rsidR="00352E39" w:rsidRPr="005B65DF">
        <w:t xml:space="preserve">whether or not </w:t>
      </w:r>
      <w:r w:rsidR="006B1F8B" w:rsidRPr="005B65DF">
        <w:t>the reflex will be active in time to protect from impulse noise.</w:t>
      </w:r>
      <w:r w:rsidR="00A1591F" w:rsidRPr="005B65DF">
        <w:t xml:space="preserve"> </w:t>
      </w:r>
      <w:r w:rsidRPr="005B65DF">
        <w:t xml:space="preserve">The latency in milliseconds </w:t>
      </w:r>
      <w:r w:rsidR="00A1591F" w:rsidRPr="005B65DF">
        <w:t>is given for both the threshold activation level in Table 2-3 and the highest stimulus level tested in Table 2-4. The highest latencies with reference to the threshold level were 10.41 ms at 1 k</w:t>
      </w:r>
      <w:r w:rsidR="001946D6" w:rsidRPr="005B65DF">
        <w:t>H</w:t>
      </w:r>
      <w:r w:rsidR="00A1591F" w:rsidRPr="005B65DF">
        <w:t>z</w:t>
      </w:r>
      <w:r w:rsidR="003444F5" w:rsidRPr="005B65DF">
        <w:t>;</w:t>
      </w:r>
      <w:r w:rsidR="00A1591F" w:rsidRPr="005B65DF">
        <w:t xml:space="preserve"> 9.01 ms at 2 kHz</w:t>
      </w:r>
      <w:r w:rsidR="003444F5" w:rsidRPr="005B65DF">
        <w:t>;</w:t>
      </w:r>
      <w:r w:rsidR="00A1591F" w:rsidRPr="005B65DF">
        <w:t xml:space="preserve"> 9.61 at 4 k</w:t>
      </w:r>
      <w:r w:rsidR="001946D6" w:rsidRPr="005B65DF">
        <w:t>H</w:t>
      </w:r>
      <w:r w:rsidR="00A1591F" w:rsidRPr="005B65DF">
        <w:t>z</w:t>
      </w:r>
      <w:r w:rsidR="003444F5" w:rsidRPr="005B65DF">
        <w:t>;</w:t>
      </w:r>
      <w:r w:rsidR="00A1591F" w:rsidRPr="005B65DF">
        <w:t xml:space="preserve"> and 7.91 at 6 kHz. The minima were 6.41 ms at 1 k</w:t>
      </w:r>
      <w:r w:rsidR="001946D6" w:rsidRPr="005B65DF">
        <w:t>H</w:t>
      </w:r>
      <w:r w:rsidR="00A1591F" w:rsidRPr="005B65DF">
        <w:t>z</w:t>
      </w:r>
      <w:r w:rsidR="003444F5" w:rsidRPr="005B65DF">
        <w:t>;</w:t>
      </w:r>
      <w:r w:rsidR="00A1591F" w:rsidRPr="005B65DF">
        <w:t xml:space="preserve"> 2.80 at 2 kHz</w:t>
      </w:r>
      <w:r w:rsidR="003444F5" w:rsidRPr="005B65DF">
        <w:t>;</w:t>
      </w:r>
      <w:r w:rsidR="00A1591F" w:rsidRPr="005B65DF">
        <w:t xml:space="preserve"> 3.00 at 4 kHz</w:t>
      </w:r>
      <w:r w:rsidR="003444F5" w:rsidRPr="005B65DF">
        <w:t>;</w:t>
      </w:r>
      <w:r w:rsidR="00A1591F" w:rsidRPr="005B65DF">
        <w:t xml:space="preserve"> and 3.00 at 6 k</w:t>
      </w:r>
      <w:r w:rsidR="001946D6" w:rsidRPr="005B65DF">
        <w:t>H</w:t>
      </w:r>
      <w:r w:rsidR="00A1591F" w:rsidRPr="005B65DF">
        <w:t xml:space="preserve">z. </w:t>
      </w:r>
      <w:r w:rsidR="00AB5359" w:rsidRPr="005B65DF">
        <w:t xml:space="preserve">At all frequencies other than 6 kHz, the latency </w:t>
      </w:r>
      <w:r w:rsidR="003444F5" w:rsidRPr="005B65DF">
        <w:t>at the MEMR</w:t>
      </w:r>
      <w:r w:rsidR="00AB5359" w:rsidRPr="005B65DF">
        <w:t xml:space="preserve"> threshold </w:t>
      </w:r>
      <w:r w:rsidR="003444F5" w:rsidRPr="005B65DF">
        <w:t>was lower compared to</w:t>
      </w:r>
      <w:r w:rsidR="00AB5359" w:rsidRPr="005B65DF">
        <w:t xml:space="preserve"> the </w:t>
      </w:r>
      <w:r w:rsidR="003444F5" w:rsidRPr="005B65DF">
        <w:t xml:space="preserve">latency at the </w:t>
      </w:r>
      <w:r w:rsidR="00AB5359" w:rsidRPr="005B65DF">
        <w:t>highest level tested</w:t>
      </w:r>
      <w:r w:rsidR="003444F5" w:rsidRPr="005B65DF">
        <w:t xml:space="preserve">, </w:t>
      </w:r>
      <w:r w:rsidR="00472EF8" w:rsidRPr="005B65DF">
        <w:t>110 dB. In addition, the latency tended to decrease as the eliciting stimulus frequency increased.</w:t>
      </w:r>
    </w:p>
    <w:p w14:paraId="48718B57" w14:textId="77777777" w:rsidR="007A6FB1" w:rsidRPr="005B65DF" w:rsidRDefault="007A6FB1" w:rsidP="006B1F8B"/>
    <w:p w14:paraId="45ADC98A" w14:textId="1A427BB1" w:rsidR="009B430A" w:rsidRPr="005B65DF" w:rsidRDefault="009B430A" w:rsidP="009B430A">
      <w:pPr>
        <w:pStyle w:val="Caption"/>
        <w:keepNext/>
        <w:ind w:firstLine="0"/>
      </w:pPr>
      <w:bookmarkStart w:id="53" w:name="_Toc185874"/>
      <w:r w:rsidRPr="005B65DF">
        <w:lastRenderedPageBreak/>
        <w:t xml:space="preserve">Table </w:t>
      </w:r>
      <w:r w:rsidR="00997AAB" w:rsidRPr="005B65DF">
        <w:rPr>
          <w:noProof/>
        </w:rPr>
        <w:fldChar w:fldCharType="begin"/>
      </w:r>
      <w:r w:rsidR="00997AAB" w:rsidRPr="005B65DF">
        <w:rPr>
          <w:noProof/>
        </w:rPr>
        <w:instrText xml:space="preserve"> STYLEREF 1 \s </w:instrText>
      </w:r>
      <w:r w:rsidR="00997AAB" w:rsidRPr="005B65DF">
        <w:rPr>
          <w:noProof/>
        </w:rPr>
        <w:fldChar w:fldCharType="separate"/>
      </w:r>
      <w:r w:rsidR="00FC3CCD">
        <w:rPr>
          <w:noProof/>
        </w:rPr>
        <w:t>2</w:t>
      </w:r>
      <w:r w:rsidR="00997AAB" w:rsidRPr="005B65DF">
        <w:rPr>
          <w:noProof/>
        </w:rPr>
        <w:fldChar w:fldCharType="end"/>
      </w:r>
      <w:r w:rsidR="00F76A97" w:rsidRPr="005B65DF">
        <w:noBreakHyphen/>
      </w:r>
      <w:r w:rsidR="00997AAB" w:rsidRPr="005B65DF">
        <w:rPr>
          <w:noProof/>
        </w:rPr>
        <w:fldChar w:fldCharType="begin"/>
      </w:r>
      <w:r w:rsidR="00997AAB" w:rsidRPr="005B65DF">
        <w:rPr>
          <w:noProof/>
        </w:rPr>
        <w:instrText xml:space="preserve"> SEQ Table \* ARABIC \s 1 </w:instrText>
      </w:r>
      <w:r w:rsidR="00997AAB" w:rsidRPr="005B65DF">
        <w:rPr>
          <w:noProof/>
        </w:rPr>
        <w:fldChar w:fldCharType="separate"/>
      </w:r>
      <w:r w:rsidR="00FC3CCD">
        <w:rPr>
          <w:noProof/>
        </w:rPr>
        <w:t>3</w:t>
      </w:r>
      <w:r w:rsidR="00997AAB" w:rsidRPr="005B65DF">
        <w:rPr>
          <w:noProof/>
        </w:rPr>
        <w:fldChar w:fldCharType="end"/>
      </w:r>
      <w:r w:rsidRPr="005B65DF">
        <w:rPr>
          <w:b w:val="0"/>
        </w:rPr>
        <w:t xml:space="preserve"> MEMR </w:t>
      </w:r>
      <w:r w:rsidR="00A006A9" w:rsidRPr="005B65DF">
        <w:rPr>
          <w:b w:val="0"/>
        </w:rPr>
        <w:t>l</w:t>
      </w:r>
      <w:r w:rsidRPr="005B65DF">
        <w:rPr>
          <w:b w:val="0"/>
        </w:rPr>
        <w:t xml:space="preserve">atency (ms) </w:t>
      </w:r>
      <w:r w:rsidR="00A006A9" w:rsidRPr="005B65DF">
        <w:rPr>
          <w:b w:val="0"/>
        </w:rPr>
        <w:t>m</w:t>
      </w:r>
      <w:r w:rsidRPr="005B65DF">
        <w:rPr>
          <w:b w:val="0"/>
        </w:rPr>
        <w:t xml:space="preserve">easured at </w:t>
      </w:r>
      <w:r w:rsidR="00A006A9" w:rsidRPr="005B65DF">
        <w:rPr>
          <w:b w:val="0"/>
        </w:rPr>
        <w:t>a</w:t>
      </w:r>
      <w:r w:rsidRPr="005B65DF">
        <w:rPr>
          <w:b w:val="0"/>
        </w:rPr>
        <w:t xml:space="preserve">ctivation </w:t>
      </w:r>
      <w:r w:rsidR="00A006A9" w:rsidRPr="005B65DF">
        <w:rPr>
          <w:b w:val="0"/>
        </w:rPr>
        <w:t>t</w:t>
      </w:r>
      <w:r w:rsidRPr="005B65DF">
        <w:rPr>
          <w:b w:val="0"/>
        </w:rPr>
        <w:t>hreshold</w:t>
      </w:r>
      <w:bookmarkEnd w:id="5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1308"/>
        <w:gridCol w:w="1188"/>
        <w:gridCol w:w="1188"/>
        <w:gridCol w:w="1188"/>
      </w:tblGrid>
      <w:tr w:rsidR="009B430A" w:rsidRPr="005B65DF" w14:paraId="7B31945F" w14:textId="77777777" w:rsidTr="00A1591F">
        <w:trPr>
          <w:trHeight w:val="300"/>
        </w:trPr>
        <w:tc>
          <w:tcPr>
            <w:tcW w:w="1022" w:type="dxa"/>
            <w:tcBorders>
              <w:bottom w:val="single" w:sz="12" w:space="0" w:color="auto"/>
            </w:tcBorders>
            <w:noWrap/>
            <w:hideMark/>
          </w:tcPr>
          <w:p w14:paraId="371995D0" w14:textId="77777777" w:rsidR="009B430A" w:rsidRPr="005B65DF" w:rsidRDefault="009B430A" w:rsidP="009B430A">
            <w:pPr>
              <w:spacing w:line="240" w:lineRule="auto"/>
              <w:ind w:firstLine="0"/>
              <w:rPr>
                <w:rFonts w:ascii="Times New Roman" w:hAnsi="Times New Roman"/>
                <w:color w:val="000000"/>
                <w:lang w:bidi="ar-SA"/>
              </w:rPr>
            </w:pPr>
          </w:p>
        </w:tc>
        <w:tc>
          <w:tcPr>
            <w:tcW w:w="1308" w:type="dxa"/>
            <w:tcBorders>
              <w:bottom w:val="single" w:sz="12" w:space="0" w:color="auto"/>
            </w:tcBorders>
            <w:noWrap/>
            <w:hideMark/>
          </w:tcPr>
          <w:p w14:paraId="6B952ED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1 kHz</w:t>
            </w:r>
          </w:p>
        </w:tc>
        <w:tc>
          <w:tcPr>
            <w:tcW w:w="1188" w:type="dxa"/>
            <w:tcBorders>
              <w:bottom w:val="single" w:sz="12" w:space="0" w:color="auto"/>
            </w:tcBorders>
            <w:noWrap/>
            <w:hideMark/>
          </w:tcPr>
          <w:p w14:paraId="5533E07A"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2 kHz</w:t>
            </w:r>
          </w:p>
        </w:tc>
        <w:tc>
          <w:tcPr>
            <w:tcW w:w="1188" w:type="dxa"/>
            <w:tcBorders>
              <w:bottom w:val="single" w:sz="12" w:space="0" w:color="auto"/>
            </w:tcBorders>
            <w:noWrap/>
            <w:hideMark/>
          </w:tcPr>
          <w:p w14:paraId="42377C77"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4 kHz</w:t>
            </w:r>
          </w:p>
        </w:tc>
        <w:tc>
          <w:tcPr>
            <w:tcW w:w="1188" w:type="dxa"/>
            <w:tcBorders>
              <w:bottom w:val="single" w:sz="12" w:space="0" w:color="auto"/>
            </w:tcBorders>
            <w:noWrap/>
            <w:hideMark/>
          </w:tcPr>
          <w:p w14:paraId="65AEBA65"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 kHz</w:t>
            </w:r>
          </w:p>
        </w:tc>
      </w:tr>
      <w:tr w:rsidR="009B430A" w:rsidRPr="005B65DF" w14:paraId="6472FF93" w14:textId="77777777" w:rsidTr="00A1591F">
        <w:trPr>
          <w:trHeight w:val="300"/>
        </w:trPr>
        <w:tc>
          <w:tcPr>
            <w:tcW w:w="1022" w:type="dxa"/>
            <w:tcBorders>
              <w:top w:val="single" w:sz="12" w:space="0" w:color="auto"/>
            </w:tcBorders>
            <w:noWrap/>
            <w:hideMark/>
          </w:tcPr>
          <w:p w14:paraId="3815FEFE"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15-2-4</w:t>
            </w:r>
          </w:p>
        </w:tc>
        <w:tc>
          <w:tcPr>
            <w:tcW w:w="1308" w:type="dxa"/>
            <w:tcBorders>
              <w:top w:val="single" w:sz="12" w:space="0" w:color="auto"/>
            </w:tcBorders>
            <w:noWrap/>
            <w:hideMark/>
          </w:tcPr>
          <w:p w14:paraId="3EE42121"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7.11</w:t>
            </w:r>
          </w:p>
        </w:tc>
        <w:tc>
          <w:tcPr>
            <w:tcW w:w="1188" w:type="dxa"/>
            <w:tcBorders>
              <w:top w:val="single" w:sz="12" w:space="0" w:color="auto"/>
            </w:tcBorders>
            <w:noWrap/>
            <w:hideMark/>
          </w:tcPr>
          <w:p w14:paraId="50D7B41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2.80</w:t>
            </w:r>
          </w:p>
        </w:tc>
        <w:tc>
          <w:tcPr>
            <w:tcW w:w="1188" w:type="dxa"/>
            <w:tcBorders>
              <w:top w:val="single" w:sz="12" w:space="0" w:color="auto"/>
            </w:tcBorders>
            <w:noWrap/>
            <w:hideMark/>
          </w:tcPr>
          <w:p w14:paraId="7E24028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3.00</w:t>
            </w:r>
          </w:p>
        </w:tc>
        <w:tc>
          <w:tcPr>
            <w:tcW w:w="1188" w:type="dxa"/>
            <w:tcBorders>
              <w:top w:val="single" w:sz="12" w:space="0" w:color="auto"/>
            </w:tcBorders>
            <w:noWrap/>
            <w:hideMark/>
          </w:tcPr>
          <w:p w14:paraId="46812B9D"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3.00</w:t>
            </w:r>
          </w:p>
        </w:tc>
      </w:tr>
      <w:tr w:rsidR="009B430A" w:rsidRPr="005B65DF" w14:paraId="6E03E45F" w14:textId="77777777" w:rsidTr="00A1591F">
        <w:trPr>
          <w:trHeight w:val="300"/>
        </w:trPr>
        <w:tc>
          <w:tcPr>
            <w:tcW w:w="1022" w:type="dxa"/>
            <w:noWrap/>
            <w:hideMark/>
          </w:tcPr>
          <w:p w14:paraId="2AC38691"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15-2-5</w:t>
            </w:r>
          </w:p>
        </w:tc>
        <w:tc>
          <w:tcPr>
            <w:tcW w:w="1308" w:type="dxa"/>
            <w:noWrap/>
            <w:hideMark/>
          </w:tcPr>
          <w:p w14:paraId="2A0E2C3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8.71</w:t>
            </w:r>
          </w:p>
        </w:tc>
        <w:tc>
          <w:tcPr>
            <w:tcW w:w="1188" w:type="dxa"/>
            <w:noWrap/>
            <w:hideMark/>
          </w:tcPr>
          <w:p w14:paraId="7CC1FA29"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8.11</w:t>
            </w:r>
          </w:p>
        </w:tc>
        <w:tc>
          <w:tcPr>
            <w:tcW w:w="1188" w:type="dxa"/>
            <w:noWrap/>
            <w:hideMark/>
          </w:tcPr>
          <w:p w14:paraId="38A6F719"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188" w:type="dxa"/>
            <w:noWrap/>
            <w:hideMark/>
          </w:tcPr>
          <w:p w14:paraId="78624BD3"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7.11</w:t>
            </w:r>
          </w:p>
        </w:tc>
      </w:tr>
      <w:tr w:rsidR="009B430A" w:rsidRPr="005B65DF" w14:paraId="40B74D41" w14:textId="77777777" w:rsidTr="00A1591F">
        <w:trPr>
          <w:trHeight w:val="300"/>
        </w:trPr>
        <w:tc>
          <w:tcPr>
            <w:tcW w:w="1022" w:type="dxa"/>
            <w:noWrap/>
            <w:hideMark/>
          </w:tcPr>
          <w:p w14:paraId="265D0121"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15-2-6</w:t>
            </w:r>
          </w:p>
        </w:tc>
        <w:tc>
          <w:tcPr>
            <w:tcW w:w="1308" w:type="dxa"/>
            <w:noWrap/>
            <w:hideMark/>
          </w:tcPr>
          <w:p w14:paraId="5901292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8.11</w:t>
            </w:r>
          </w:p>
        </w:tc>
        <w:tc>
          <w:tcPr>
            <w:tcW w:w="1188" w:type="dxa"/>
            <w:noWrap/>
            <w:hideMark/>
          </w:tcPr>
          <w:p w14:paraId="1C939E2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6.81</w:t>
            </w:r>
          </w:p>
        </w:tc>
        <w:tc>
          <w:tcPr>
            <w:tcW w:w="1188" w:type="dxa"/>
            <w:noWrap/>
            <w:hideMark/>
          </w:tcPr>
          <w:p w14:paraId="6627C6E3"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6.41</w:t>
            </w:r>
          </w:p>
        </w:tc>
        <w:tc>
          <w:tcPr>
            <w:tcW w:w="1188" w:type="dxa"/>
            <w:noWrap/>
            <w:hideMark/>
          </w:tcPr>
          <w:p w14:paraId="1F05E88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r>
      <w:tr w:rsidR="009B430A" w:rsidRPr="005B65DF" w14:paraId="5E8BA9D0" w14:textId="77777777" w:rsidTr="00A1591F">
        <w:trPr>
          <w:trHeight w:val="300"/>
        </w:trPr>
        <w:tc>
          <w:tcPr>
            <w:tcW w:w="1022" w:type="dxa"/>
            <w:noWrap/>
            <w:hideMark/>
          </w:tcPr>
          <w:p w14:paraId="531B7CE5"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15-2-7</w:t>
            </w:r>
          </w:p>
        </w:tc>
        <w:tc>
          <w:tcPr>
            <w:tcW w:w="1308" w:type="dxa"/>
            <w:noWrap/>
            <w:hideMark/>
          </w:tcPr>
          <w:p w14:paraId="60934591"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7.01</w:t>
            </w:r>
          </w:p>
        </w:tc>
        <w:tc>
          <w:tcPr>
            <w:tcW w:w="1188" w:type="dxa"/>
            <w:noWrap/>
            <w:hideMark/>
          </w:tcPr>
          <w:p w14:paraId="0CE0A67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6.41</w:t>
            </w:r>
          </w:p>
        </w:tc>
        <w:tc>
          <w:tcPr>
            <w:tcW w:w="1188" w:type="dxa"/>
            <w:noWrap/>
            <w:hideMark/>
          </w:tcPr>
          <w:p w14:paraId="215FE8F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5.81</w:t>
            </w:r>
          </w:p>
        </w:tc>
        <w:tc>
          <w:tcPr>
            <w:tcW w:w="1188" w:type="dxa"/>
            <w:noWrap/>
            <w:hideMark/>
          </w:tcPr>
          <w:p w14:paraId="77785617"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6.41</w:t>
            </w:r>
          </w:p>
        </w:tc>
      </w:tr>
      <w:tr w:rsidR="009B430A" w:rsidRPr="005B65DF" w14:paraId="06979543" w14:textId="77777777" w:rsidTr="00A1591F">
        <w:trPr>
          <w:trHeight w:val="300"/>
        </w:trPr>
        <w:tc>
          <w:tcPr>
            <w:tcW w:w="1022" w:type="dxa"/>
            <w:noWrap/>
            <w:hideMark/>
          </w:tcPr>
          <w:p w14:paraId="2EFE7B56"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15-2-8</w:t>
            </w:r>
          </w:p>
        </w:tc>
        <w:tc>
          <w:tcPr>
            <w:tcW w:w="1308" w:type="dxa"/>
            <w:noWrap/>
            <w:hideMark/>
          </w:tcPr>
          <w:p w14:paraId="73CE65D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6.91</w:t>
            </w:r>
          </w:p>
        </w:tc>
        <w:tc>
          <w:tcPr>
            <w:tcW w:w="1188" w:type="dxa"/>
            <w:noWrap/>
            <w:hideMark/>
          </w:tcPr>
          <w:p w14:paraId="50269E09"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6.81</w:t>
            </w:r>
          </w:p>
        </w:tc>
        <w:tc>
          <w:tcPr>
            <w:tcW w:w="1188" w:type="dxa"/>
            <w:noWrap/>
            <w:hideMark/>
          </w:tcPr>
          <w:p w14:paraId="7489958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6.01</w:t>
            </w:r>
          </w:p>
        </w:tc>
        <w:tc>
          <w:tcPr>
            <w:tcW w:w="1188" w:type="dxa"/>
            <w:noWrap/>
            <w:hideMark/>
          </w:tcPr>
          <w:p w14:paraId="5D399F0D"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6.01</w:t>
            </w:r>
          </w:p>
        </w:tc>
      </w:tr>
      <w:tr w:rsidR="009B430A" w:rsidRPr="005B65DF" w14:paraId="6E7CA18C" w14:textId="77777777" w:rsidTr="00A1591F">
        <w:trPr>
          <w:trHeight w:val="300"/>
        </w:trPr>
        <w:tc>
          <w:tcPr>
            <w:tcW w:w="1022" w:type="dxa"/>
            <w:noWrap/>
            <w:hideMark/>
          </w:tcPr>
          <w:p w14:paraId="0045CF29"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15-2-15</w:t>
            </w:r>
          </w:p>
        </w:tc>
        <w:tc>
          <w:tcPr>
            <w:tcW w:w="1308" w:type="dxa"/>
            <w:noWrap/>
            <w:hideMark/>
          </w:tcPr>
          <w:p w14:paraId="112904A1"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10.41</w:t>
            </w:r>
          </w:p>
        </w:tc>
        <w:tc>
          <w:tcPr>
            <w:tcW w:w="1188" w:type="dxa"/>
            <w:noWrap/>
            <w:hideMark/>
          </w:tcPr>
          <w:p w14:paraId="6DA358D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7.31</w:t>
            </w:r>
          </w:p>
        </w:tc>
        <w:tc>
          <w:tcPr>
            <w:tcW w:w="1188" w:type="dxa"/>
            <w:noWrap/>
            <w:hideMark/>
          </w:tcPr>
          <w:p w14:paraId="2E9371A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7.51</w:t>
            </w:r>
          </w:p>
        </w:tc>
        <w:tc>
          <w:tcPr>
            <w:tcW w:w="1188" w:type="dxa"/>
            <w:noWrap/>
            <w:hideMark/>
          </w:tcPr>
          <w:p w14:paraId="697CA96D"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5.81</w:t>
            </w:r>
          </w:p>
        </w:tc>
      </w:tr>
      <w:tr w:rsidR="009B430A" w:rsidRPr="005B65DF" w14:paraId="3698B995" w14:textId="77777777" w:rsidTr="00A1591F">
        <w:trPr>
          <w:trHeight w:val="300"/>
        </w:trPr>
        <w:tc>
          <w:tcPr>
            <w:tcW w:w="1022" w:type="dxa"/>
            <w:noWrap/>
            <w:hideMark/>
          </w:tcPr>
          <w:p w14:paraId="3E4E67BA"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15-3-2</w:t>
            </w:r>
          </w:p>
        </w:tc>
        <w:tc>
          <w:tcPr>
            <w:tcW w:w="1308" w:type="dxa"/>
            <w:noWrap/>
            <w:hideMark/>
          </w:tcPr>
          <w:p w14:paraId="60EE2BC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7.51</w:t>
            </w:r>
          </w:p>
        </w:tc>
        <w:tc>
          <w:tcPr>
            <w:tcW w:w="1188" w:type="dxa"/>
            <w:noWrap/>
            <w:hideMark/>
          </w:tcPr>
          <w:p w14:paraId="2C115525"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188" w:type="dxa"/>
            <w:noWrap/>
            <w:hideMark/>
          </w:tcPr>
          <w:p w14:paraId="2FFC319A"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6.41</w:t>
            </w:r>
          </w:p>
        </w:tc>
        <w:tc>
          <w:tcPr>
            <w:tcW w:w="1188" w:type="dxa"/>
            <w:noWrap/>
            <w:hideMark/>
          </w:tcPr>
          <w:p w14:paraId="7907AD85"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6.21</w:t>
            </w:r>
          </w:p>
        </w:tc>
      </w:tr>
      <w:tr w:rsidR="009B430A" w:rsidRPr="005B65DF" w14:paraId="224BFA28" w14:textId="77777777" w:rsidTr="00A1591F">
        <w:trPr>
          <w:trHeight w:val="300"/>
        </w:trPr>
        <w:tc>
          <w:tcPr>
            <w:tcW w:w="1022" w:type="dxa"/>
            <w:noWrap/>
            <w:hideMark/>
          </w:tcPr>
          <w:p w14:paraId="1C14631F"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15-3-3</w:t>
            </w:r>
          </w:p>
        </w:tc>
        <w:tc>
          <w:tcPr>
            <w:tcW w:w="1308" w:type="dxa"/>
            <w:noWrap/>
            <w:hideMark/>
          </w:tcPr>
          <w:p w14:paraId="552B558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8.51</w:t>
            </w:r>
          </w:p>
        </w:tc>
        <w:tc>
          <w:tcPr>
            <w:tcW w:w="1188" w:type="dxa"/>
            <w:noWrap/>
            <w:hideMark/>
          </w:tcPr>
          <w:p w14:paraId="7A7C2D5F"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7.01</w:t>
            </w:r>
          </w:p>
        </w:tc>
        <w:tc>
          <w:tcPr>
            <w:tcW w:w="1188" w:type="dxa"/>
            <w:noWrap/>
            <w:hideMark/>
          </w:tcPr>
          <w:p w14:paraId="08E58ADA"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188" w:type="dxa"/>
            <w:noWrap/>
            <w:hideMark/>
          </w:tcPr>
          <w:p w14:paraId="690C920D"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6.81</w:t>
            </w:r>
          </w:p>
        </w:tc>
      </w:tr>
      <w:tr w:rsidR="009B430A" w:rsidRPr="005B65DF" w14:paraId="3BE6456B" w14:textId="77777777" w:rsidTr="00A1591F">
        <w:trPr>
          <w:trHeight w:val="300"/>
        </w:trPr>
        <w:tc>
          <w:tcPr>
            <w:tcW w:w="1022" w:type="dxa"/>
            <w:noWrap/>
            <w:hideMark/>
          </w:tcPr>
          <w:p w14:paraId="57C8868E"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15-3-4</w:t>
            </w:r>
          </w:p>
        </w:tc>
        <w:tc>
          <w:tcPr>
            <w:tcW w:w="1308" w:type="dxa"/>
            <w:noWrap/>
            <w:hideMark/>
          </w:tcPr>
          <w:p w14:paraId="42DECE0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9.01</w:t>
            </w:r>
          </w:p>
        </w:tc>
        <w:tc>
          <w:tcPr>
            <w:tcW w:w="1188" w:type="dxa"/>
            <w:noWrap/>
            <w:hideMark/>
          </w:tcPr>
          <w:p w14:paraId="7891BCB9"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7.71</w:t>
            </w:r>
          </w:p>
        </w:tc>
        <w:tc>
          <w:tcPr>
            <w:tcW w:w="1188" w:type="dxa"/>
            <w:noWrap/>
            <w:hideMark/>
          </w:tcPr>
          <w:p w14:paraId="0A020689"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9.41</w:t>
            </w:r>
          </w:p>
        </w:tc>
        <w:tc>
          <w:tcPr>
            <w:tcW w:w="1188" w:type="dxa"/>
            <w:noWrap/>
            <w:hideMark/>
          </w:tcPr>
          <w:p w14:paraId="0AC17D08"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6.21</w:t>
            </w:r>
          </w:p>
        </w:tc>
      </w:tr>
      <w:tr w:rsidR="009B430A" w:rsidRPr="005B65DF" w14:paraId="09F29447" w14:textId="77777777" w:rsidTr="00A1591F">
        <w:trPr>
          <w:trHeight w:val="300"/>
        </w:trPr>
        <w:tc>
          <w:tcPr>
            <w:tcW w:w="1022" w:type="dxa"/>
            <w:noWrap/>
            <w:hideMark/>
          </w:tcPr>
          <w:p w14:paraId="0C01E57A"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15-3-8</w:t>
            </w:r>
          </w:p>
        </w:tc>
        <w:tc>
          <w:tcPr>
            <w:tcW w:w="1308" w:type="dxa"/>
            <w:noWrap/>
            <w:hideMark/>
          </w:tcPr>
          <w:p w14:paraId="3FCD375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8.51</w:t>
            </w:r>
          </w:p>
        </w:tc>
        <w:tc>
          <w:tcPr>
            <w:tcW w:w="1188" w:type="dxa"/>
            <w:noWrap/>
            <w:hideMark/>
          </w:tcPr>
          <w:p w14:paraId="3ED1AD8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7.91</w:t>
            </w:r>
          </w:p>
        </w:tc>
        <w:tc>
          <w:tcPr>
            <w:tcW w:w="1188" w:type="dxa"/>
            <w:noWrap/>
            <w:hideMark/>
          </w:tcPr>
          <w:p w14:paraId="0CFBA7A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6.21</w:t>
            </w:r>
          </w:p>
        </w:tc>
        <w:tc>
          <w:tcPr>
            <w:tcW w:w="1188" w:type="dxa"/>
            <w:noWrap/>
            <w:hideMark/>
          </w:tcPr>
          <w:p w14:paraId="2D5AA82D"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7.91</w:t>
            </w:r>
          </w:p>
        </w:tc>
      </w:tr>
      <w:tr w:rsidR="009B430A" w:rsidRPr="005B65DF" w14:paraId="4DB85460" w14:textId="77777777" w:rsidTr="00A1591F">
        <w:trPr>
          <w:trHeight w:val="300"/>
        </w:trPr>
        <w:tc>
          <w:tcPr>
            <w:tcW w:w="1022" w:type="dxa"/>
            <w:noWrap/>
            <w:hideMark/>
          </w:tcPr>
          <w:p w14:paraId="3A2F17AC"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15-3-9</w:t>
            </w:r>
          </w:p>
        </w:tc>
        <w:tc>
          <w:tcPr>
            <w:tcW w:w="1308" w:type="dxa"/>
            <w:noWrap/>
            <w:hideMark/>
          </w:tcPr>
          <w:p w14:paraId="3BABFDF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9.41</w:t>
            </w:r>
          </w:p>
        </w:tc>
        <w:tc>
          <w:tcPr>
            <w:tcW w:w="1188" w:type="dxa"/>
            <w:noWrap/>
            <w:hideMark/>
          </w:tcPr>
          <w:p w14:paraId="503A0C4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9.01</w:t>
            </w:r>
          </w:p>
        </w:tc>
        <w:tc>
          <w:tcPr>
            <w:tcW w:w="1188" w:type="dxa"/>
            <w:noWrap/>
            <w:hideMark/>
          </w:tcPr>
          <w:p w14:paraId="5DF6A237"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9.61</w:t>
            </w:r>
          </w:p>
        </w:tc>
        <w:tc>
          <w:tcPr>
            <w:tcW w:w="1188" w:type="dxa"/>
            <w:noWrap/>
            <w:hideMark/>
          </w:tcPr>
          <w:p w14:paraId="59B9F351"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3.00</w:t>
            </w:r>
          </w:p>
        </w:tc>
      </w:tr>
      <w:tr w:rsidR="009B430A" w:rsidRPr="005B65DF" w14:paraId="000A5419" w14:textId="77777777" w:rsidTr="00A1591F">
        <w:trPr>
          <w:trHeight w:val="300"/>
        </w:trPr>
        <w:tc>
          <w:tcPr>
            <w:tcW w:w="1022" w:type="dxa"/>
            <w:noWrap/>
            <w:hideMark/>
          </w:tcPr>
          <w:p w14:paraId="3389BA92"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15-3-10</w:t>
            </w:r>
          </w:p>
        </w:tc>
        <w:tc>
          <w:tcPr>
            <w:tcW w:w="1308" w:type="dxa"/>
            <w:noWrap/>
            <w:hideMark/>
          </w:tcPr>
          <w:p w14:paraId="45C748C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6.41</w:t>
            </w:r>
          </w:p>
        </w:tc>
        <w:tc>
          <w:tcPr>
            <w:tcW w:w="1188" w:type="dxa"/>
            <w:noWrap/>
            <w:hideMark/>
          </w:tcPr>
          <w:p w14:paraId="093F0C87"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6.01</w:t>
            </w:r>
          </w:p>
        </w:tc>
        <w:tc>
          <w:tcPr>
            <w:tcW w:w="1188" w:type="dxa"/>
            <w:noWrap/>
            <w:hideMark/>
          </w:tcPr>
          <w:p w14:paraId="52D0468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188" w:type="dxa"/>
            <w:noWrap/>
            <w:hideMark/>
          </w:tcPr>
          <w:p w14:paraId="1B2F48D8"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5.31</w:t>
            </w:r>
          </w:p>
        </w:tc>
      </w:tr>
      <w:tr w:rsidR="009B430A" w:rsidRPr="005B65DF" w14:paraId="12320B6F" w14:textId="77777777" w:rsidTr="00A1591F">
        <w:trPr>
          <w:trHeight w:val="300"/>
        </w:trPr>
        <w:tc>
          <w:tcPr>
            <w:tcW w:w="1022" w:type="dxa"/>
            <w:noWrap/>
            <w:hideMark/>
          </w:tcPr>
          <w:p w14:paraId="2748FD74"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15-3-11</w:t>
            </w:r>
          </w:p>
        </w:tc>
        <w:tc>
          <w:tcPr>
            <w:tcW w:w="1308" w:type="dxa"/>
            <w:noWrap/>
            <w:hideMark/>
          </w:tcPr>
          <w:p w14:paraId="363011BA"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8.51</w:t>
            </w:r>
          </w:p>
        </w:tc>
        <w:tc>
          <w:tcPr>
            <w:tcW w:w="1188" w:type="dxa"/>
            <w:noWrap/>
            <w:hideMark/>
          </w:tcPr>
          <w:p w14:paraId="6D24D1BA"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6.41</w:t>
            </w:r>
          </w:p>
        </w:tc>
        <w:tc>
          <w:tcPr>
            <w:tcW w:w="1188" w:type="dxa"/>
            <w:noWrap/>
            <w:hideMark/>
          </w:tcPr>
          <w:p w14:paraId="388EBF83"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5.91</w:t>
            </w:r>
          </w:p>
        </w:tc>
        <w:tc>
          <w:tcPr>
            <w:tcW w:w="1188" w:type="dxa"/>
            <w:noWrap/>
            <w:hideMark/>
          </w:tcPr>
          <w:p w14:paraId="5755D0A4"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5.61</w:t>
            </w:r>
          </w:p>
        </w:tc>
      </w:tr>
      <w:tr w:rsidR="009B430A" w:rsidRPr="005B65DF" w14:paraId="655B1494" w14:textId="77777777" w:rsidTr="00A1591F">
        <w:trPr>
          <w:trHeight w:val="300"/>
        </w:trPr>
        <w:tc>
          <w:tcPr>
            <w:tcW w:w="1022" w:type="dxa"/>
            <w:tcBorders>
              <w:bottom w:val="single" w:sz="4" w:space="0" w:color="auto"/>
            </w:tcBorders>
            <w:noWrap/>
            <w:hideMark/>
          </w:tcPr>
          <w:p w14:paraId="24ED4B5C"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15-3-13</w:t>
            </w:r>
          </w:p>
        </w:tc>
        <w:tc>
          <w:tcPr>
            <w:tcW w:w="1308" w:type="dxa"/>
            <w:tcBorders>
              <w:bottom w:val="single" w:sz="4" w:space="0" w:color="auto"/>
            </w:tcBorders>
            <w:noWrap/>
            <w:hideMark/>
          </w:tcPr>
          <w:p w14:paraId="3E70DE71"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8.71</w:t>
            </w:r>
          </w:p>
        </w:tc>
        <w:tc>
          <w:tcPr>
            <w:tcW w:w="1188" w:type="dxa"/>
            <w:tcBorders>
              <w:bottom w:val="single" w:sz="4" w:space="0" w:color="auto"/>
            </w:tcBorders>
            <w:noWrap/>
            <w:hideMark/>
          </w:tcPr>
          <w:p w14:paraId="0B125C9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6.81</w:t>
            </w:r>
          </w:p>
        </w:tc>
        <w:tc>
          <w:tcPr>
            <w:tcW w:w="1188" w:type="dxa"/>
            <w:tcBorders>
              <w:bottom w:val="single" w:sz="4" w:space="0" w:color="auto"/>
            </w:tcBorders>
            <w:noWrap/>
            <w:hideMark/>
          </w:tcPr>
          <w:p w14:paraId="5A77920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6.91</w:t>
            </w:r>
          </w:p>
        </w:tc>
        <w:tc>
          <w:tcPr>
            <w:tcW w:w="1188" w:type="dxa"/>
            <w:tcBorders>
              <w:bottom w:val="single" w:sz="4" w:space="0" w:color="auto"/>
            </w:tcBorders>
            <w:noWrap/>
            <w:hideMark/>
          </w:tcPr>
          <w:p w14:paraId="382B049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6.01</w:t>
            </w:r>
          </w:p>
        </w:tc>
      </w:tr>
      <w:tr w:rsidR="009B430A" w:rsidRPr="005B65DF" w14:paraId="13DB966A" w14:textId="77777777" w:rsidTr="00A1591F">
        <w:trPr>
          <w:trHeight w:val="300"/>
        </w:trPr>
        <w:tc>
          <w:tcPr>
            <w:tcW w:w="1022" w:type="dxa"/>
            <w:tcBorders>
              <w:top w:val="single" w:sz="4" w:space="0" w:color="auto"/>
            </w:tcBorders>
            <w:noWrap/>
            <w:hideMark/>
          </w:tcPr>
          <w:p w14:paraId="72314CCD"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Mean</w:t>
            </w:r>
          </w:p>
        </w:tc>
        <w:tc>
          <w:tcPr>
            <w:tcW w:w="1308" w:type="dxa"/>
            <w:tcBorders>
              <w:top w:val="single" w:sz="4" w:space="0" w:color="auto"/>
            </w:tcBorders>
            <w:noWrap/>
            <w:hideMark/>
          </w:tcPr>
          <w:p w14:paraId="685C48E9"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8.20±1.10</w:t>
            </w:r>
          </w:p>
        </w:tc>
        <w:tc>
          <w:tcPr>
            <w:tcW w:w="1188" w:type="dxa"/>
            <w:tcBorders>
              <w:top w:val="single" w:sz="4" w:space="0" w:color="auto"/>
            </w:tcBorders>
            <w:noWrap/>
            <w:hideMark/>
          </w:tcPr>
          <w:p w14:paraId="3765F6F9"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6.84±1.41</w:t>
            </w:r>
          </w:p>
        </w:tc>
        <w:tc>
          <w:tcPr>
            <w:tcW w:w="1188" w:type="dxa"/>
            <w:tcBorders>
              <w:top w:val="single" w:sz="4" w:space="0" w:color="auto"/>
            </w:tcBorders>
            <w:noWrap/>
            <w:hideMark/>
          </w:tcPr>
          <w:p w14:paraId="5DC0909D"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6.56±1.62</w:t>
            </w:r>
          </w:p>
        </w:tc>
        <w:tc>
          <w:tcPr>
            <w:tcW w:w="1188" w:type="dxa"/>
            <w:tcBorders>
              <w:top w:val="single" w:sz="4" w:space="0" w:color="auto"/>
            </w:tcBorders>
            <w:noWrap/>
            <w:hideMark/>
          </w:tcPr>
          <w:p w14:paraId="3F78AEED"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5.86±1.37</w:t>
            </w:r>
          </w:p>
        </w:tc>
      </w:tr>
    </w:tbl>
    <w:p w14:paraId="6A260B97" w14:textId="77777777" w:rsidR="009B430A" w:rsidRPr="005B65DF" w:rsidRDefault="009B430A" w:rsidP="009B430A"/>
    <w:p w14:paraId="50978AB4" w14:textId="4C36BA4E" w:rsidR="009B430A" w:rsidRPr="005B65DF" w:rsidRDefault="009B430A" w:rsidP="009B430A">
      <w:pPr>
        <w:pStyle w:val="Caption"/>
        <w:keepNext/>
        <w:ind w:firstLine="0"/>
        <w:rPr>
          <w:b w:val="0"/>
        </w:rPr>
      </w:pPr>
      <w:bookmarkStart w:id="54" w:name="_Toc185875"/>
      <w:r w:rsidRPr="005B65DF">
        <w:t xml:space="preserve">Table </w:t>
      </w:r>
      <w:r w:rsidR="00997AAB" w:rsidRPr="005B65DF">
        <w:rPr>
          <w:noProof/>
        </w:rPr>
        <w:fldChar w:fldCharType="begin"/>
      </w:r>
      <w:r w:rsidR="00997AAB" w:rsidRPr="005B65DF">
        <w:rPr>
          <w:noProof/>
        </w:rPr>
        <w:instrText xml:space="preserve"> STYLEREF 1 \s </w:instrText>
      </w:r>
      <w:r w:rsidR="00997AAB" w:rsidRPr="005B65DF">
        <w:rPr>
          <w:noProof/>
        </w:rPr>
        <w:fldChar w:fldCharType="separate"/>
      </w:r>
      <w:r w:rsidR="00FC3CCD">
        <w:rPr>
          <w:noProof/>
        </w:rPr>
        <w:t>2</w:t>
      </w:r>
      <w:r w:rsidR="00997AAB" w:rsidRPr="005B65DF">
        <w:rPr>
          <w:noProof/>
        </w:rPr>
        <w:fldChar w:fldCharType="end"/>
      </w:r>
      <w:r w:rsidR="00F76A97" w:rsidRPr="005B65DF">
        <w:noBreakHyphen/>
      </w:r>
      <w:r w:rsidR="00997AAB" w:rsidRPr="005B65DF">
        <w:rPr>
          <w:noProof/>
        </w:rPr>
        <w:fldChar w:fldCharType="begin"/>
      </w:r>
      <w:r w:rsidR="00997AAB" w:rsidRPr="005B65DF">
        <w:rPr>
          <w:noProof/>
        </w:rPr>
        <w:instrText xml:space="preserve"> SEQ Table \* ARABIC \s 1 </w:instrText>
      </w:r>
      <w:r w:rsidR="00997AAB" w:rsidRPr="005B65DF">
        <w:rPr>
          <w:noProof/>
        </w:rPr>
        <w:fldChar w:fldCharType="separate"/>
      </w:r>
      <w:r w:rsidR="00FC3CCD">
        <w:rPr>
          <w:noProof/>
        </w:rPr>
        <w:t>4</w:t>
      </w:r>
      <w:r w:rsidR="00997AAB" w:rsidRPr="005B65DF">
        <w:rPr>
          <w:noProof/>
        </w:rPr>
        <w:fldChar w:fldCharType="end"/>
      </w:r>
      <w:r w:rsidRPr="005B65DF">
        <w:t xml:space="preserve"> </w:t>
      </w:r>
      <w:r w:rsidR="00A006A9" w:rsidRPr="005B65DF">
        <w:rPr>
          <w:b w:val="0"/>
        </w:rPr>
        <w:t>MEMR l</w:t>
      </w:r>
      <w:r w:rsidRPr="005B65DF">
        <w:rPr>
          <w:b w:val="0"/>
        </w:rPr>
        <w:t xml:space="preserve">atency (ms) </w:t>
      </w:r>
      <w:r w:rsidR="00A006A9" w:rsidRPr="005B65DF">
        <w:rPr>
          <w:b w:val="0"/>
        </w:rPr>
        <w:t>m</w:t>
      </w:r>
      <w:r w:rsidRPr="005B65DF">
        <w:rPr>
          <w:b w:val="0"/>
        </w:rPr>
        <w:t>easured at 110 dB</w:t>
      </w:r>
      <w:bookmarkEnd w:id="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1308"/>
        <w:gridCol w:w="1308"/>
        <w:gridCol w:w="1308"/>
        <w:gridCol w:w="1308"/>
      </w:tblGrid>
      <w:tr w:rsidR="009B430A" w:rsidRPr="005B65DF" w14:paraId="40A557BB" w14:textId="77777777" w:rsidTr="00A1591F">
        <w:trPr>
          <w:trHeight w:val="300"/>
        </w:trPr>
        <w:tc>
          <w:tcPr>
            <w:tcW w:w="1096" w:type="dxa"/>
            <w:tcBorders>
              <w:bottom w:val="single" w:sz="12" w:space="0" w:color="auto"/>
            </w:tcBorders>
          </w:tcPr>
          <w:p w14:paraId="60B0F5FA" w14:textId="77777777" w:rsidR="009B430A" w:rsidRPr="005B65DF" w:rsidRDefault="009B430A" w:rsidP="009B430A">
            <w:pPr>
              <w:spacing w:line="240" w:lineRule="auto"/>
              <w:ind w:firstLine="0"/>
              <w:rPr>
                <w:rFonts w:ascii="Times New Roman" w:hAnsi="Times New Roman"/>
                <w:color w:val="000000"/>
                <w:lang w:bidi="ar-SA"/>
              </w:rPr>
            </w:pPr>
          </w:p>
        </w:tc>
        <w:tc>
          <w:tcPr>
            <w:tcW w:w="1308" w:type="dxa"/>
            <w:tcBorders>
              <w:bottom w:val="single" w:sz="12" w:space="0" w:color="auto"/>
            </w:tcBorders>
            <w:noWrap/>
            <w:hideMark/>
          </w:tcPr>
          <w:p w14:paraId="7FD968CF"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1 kHz</w:t>
            </w:r>
          </w:p>
        </w:tc>
        <w:tc>
          <w:tcPr>
            <w:tcW w:w="1308" w:type="dxa"/>
            <w:tcBorders>
              <w:bottom w:val="single" w:sz="12" w:space="0" w:color="auto"/>
            </w:tcBorders>
            <w:noWrap/>
            <w:hideMark/>
          </w:tcPr>
          <w:p w14:paraId="5296CA1B"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2 kHz</w:t>
            </w:r>
          </w:p>
        </w:tc>
        <w:tc>
          <w:tcPr>
            <w:tcW w:w="1308" w:type="dxa"/>
            <w:tcBorders>
              <w:bottom w:val="single" w:sz="12" w:space="0" w:color="auto"/>
            </w:tcBorders>
            <w:noWrap/>
            <w:hideMark/>
          </w:tcPr>
          <w:p w14:paraId="7DD43FDA"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4 kHz</w:t>
            </w:r>
          </w:p>
        </w:tc>
        <w:tc>
          <w:tcPr>
            <w:tcW w:w="1308" w:type="dxa"/>
            <w:tcBorders>
              <w:bottom w:val="single" w:sz="12" w:space="0" w:color="auto"/>
            </w:tcBorders>
            <w:noWrap/>
            <w:hideMark/>
          </w:tcPr>
          <w:p w14:paraId="52A28A6D"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 kHz</w:t>
            </w:r>
          </w:p>
        </w:tc>
      </w:tr>
      <w:tr w:rsidR="009B430A" w:rsidRPr="005B65DF" w14:paraId="4022094F" w14:textId="77777777" w:rsidTr="00A1591F">
        <w:trPr>
          <w:trHeight w:val="300"/>
        </w:trPr>
        <w:tc>
          <w:tcPr>
            <w:tcW w:w="1096" w:type="dxa"/>
            <w:tcBorders>
              <w:top w:val="single" w:sz="12" w:space="0" w:color="auto"/>
            </w:tcBorders>
          </w:tcPr>
          <w:p w14:paraId="22237C80"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15-2-4</w:t>
            </w:r>
          </w:p>
        </w:tc>
        <w:tc>
          <w:tcPr>
            <w:tcW w:w="1308" w:type="dxa"/>
            <w:tcBorders>
              <w:top w:val="single" w:sz="12" w:space="0" w:color="auto"/>
            </w:tcBorders>
            <w:noWrap/>
            <w:hideMark/>
          </w:tcPr>
          <w:p w14:paraId="466BECA1"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6.31</w:t>
            </w:r>
          </w:p>
        </w:tc>
        <w:tc>
          <w:tcPr>
            <w:tcW w:w="1308" w:type="dxa"/>
            <w:tcBorders>
              <w:top w:val="single" w:sz="12" w:space="0" w:color="auto"/>
            </w:tcBorders>
            <w:noWrap/>
            <w:hideMark/>
          </w:tcPr>
          <w:p w14:paraId="3561A3D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6.01</w:t>
            </w:r>
          </w:p>
        </w:tc>
        <w:tc>
          <w:tcPr>
            <w:tcW w:w="1308" w:type="dxa"/>
            <w:tcBorders>
              <w:top w:val="single" w:sz="12" w:space="0" w:color="auto"/>
            </w:tcBorders>
            <w:noWrap/>
            <w:hideMark/>
          </w:tcPr>
          <w:p w14:paraId="7DD68621"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5.81</w:t>
            </w:r>
          </w:p>
        </w:tc>
        <w:tc>
          <w:tcPr>
            <w:tcW w:w="1308" w:type="dxa"/>
            <w:tcBorders>
              <w:top w:val="single" w:sz="12" w:space="0" w:color="auto"/>
            </w:tcBorders>
            <w:noWrap/>
            <w:hideMark/>
          </w:tcPr>
          <w:p w14:paraId="29E48DD6"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2.80</w:t>
            </w:r>
          </w:p>
        </w:tc>
      </w:tr>
      <w:tr w:rsidR="009B430A" w:rsidRPr="005B65DF" w14:paraId="6C15C2C6" w14:textId="77777777" w:rsidTr="00A1591F">
        <w:trPr>
          <w:trHeight w:val="300"/>
        </w:trPr>
        <w:tc>
          <w:tcPr>
            <w:tcW w:w="1096" w:type="dxa"/>
          </w:tcPr>
          <w:p w14:paraId="74CBE8DF"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15-2-5</w:t>
            </w:r>
          </w:p>
        </w:tc>
        <w:tc>
          <w:tcPr>
            <w:tcW w:w="1308" w:type="dxa"/>
            <w:noWrap/>
            <w:hideMark/>
          </w:tcPr>
          <w:p w14:paraId="4DB1B6A9"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7.11</w:t>
            </w:r>
          </w:p>
        </w:tc>
        <w:tc>
          <w:tcPr>
            <w:tcW w:w="1308" w:type="dxa"/>
            <w:noWrap/>
            <w:hideMark/>
          </w:tcPr>
          <w:p w14:paraId="35B950C7"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308" w:type="dxa"/>
            <w:noWrap/>
            <w:hideMark/>
          </w:tcPr>
          <w:p w14:paraId="215CC4E7"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308" w:type="dxa"/>
            <w:noWrap/>
            <w:hideMark/>
          </w:tcPr>
          <w:p w14:paraId="7EFA86E4"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7.11</w:t>
            </w:r>
          </w:p>
        </w:tc>
      </w:tr>
      <w:tr w:rsidR="009B430A" w:rsidRPr="005B65DF" w14:paraId="445AFD1E" w14:textId="77777777" w:rsidTr="00A1591F">
        <w:trPr>
          <w:trHeight w:val="300"/>
        </w:trPr>
        <w:tc>
          <w:tcPr>
            <w:tcW w:w="1096" w:type="dxa"/>
          </w:tcPr>
          <w:p w14:paraId="19DE2024"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15-2-6</w:t>
            </w:r>
          </w:p>
        </w:tc>
        <w:tc>
          <w:tcPr>
            <w:tcW w:w="1308" w:type="dxa"/>
            <w:noWrap/>
            <w:hideMark/>
          </w:tcPr>
          <w:p w14:paraId="7983C271"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7.91</w:t>
            </w:r>
          </w:p>
        </w:tc>
        <w:tc>
          <w:tcPr>
            <w:tcW w:w="1308" w:type="dxa"/>
            <w:noWrap/>
            <w:hideMark/>
          </w:tcPr>
          <w:p w14:paraId="4EC7603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51C1E415"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308" w:type="dxa"/>
            <w:noWrap/>
            <w:hideMark/>
          </w:tcPr>
          <w:p w14:paraId="1657E0E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7.01</w:t>
            </w:r>
          </w:p>
        </w:tc>
      </w:tr>
      <w:tr w:rsidR="009B430A" w:rsidRPr="005B65DF" w14:paraId="3CA8C7B0" w14:textId="77777777" w:rsidTr="00A1591F">
        <w:trPr>
          <w:trHeight w:val="300"/>
        </w:trPr>
        <w:tc>
          <w:tcPr>
            <w:tcW w:w="1096" w:type="dxa"/>
          </w:tcPr>
          <w:p w14:paraId="71AD3885"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15-2-7</w:t>
            </w:r>
          </w:p>
        </w:tc>
        <w:tc>
          <w:tcPr>
            <w:tcW w:w="1308" w:type="dxa"/>
            <w:noWrap/>
            <w:hideMark/>
          </w:tcPr>
          <w:p w14:paraId="1D5E313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4193D2CB"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5F0A8338"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5.61</w:t>
            </w:r>
          </w:p>
        </w:tc>
        <w:tc>
          <w:tcPr>
            <w:tcW w:w="1308" w:type="dxa"/>
            <w:noWrap/>
            <w:hideMark/>
          </w:tcPr>
          <w:p w14:paraId="3158F481"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5.61</w:t>
            </w:r>
          </w:p>
        </w:tc>
      </w:tr>
      <w:tr w:rsidR="009B430A" w:rsidRPr="005B65DF" w14:paraId="6C61EF02" w14:textId="77777777" w:rsidTr="00A1591F">
        <w:trPr>
          <w:trHeight w:val="300"/>
        </w:trPr>
        <w:tc>
          <w:tcPr>
            <w:tcW w:w="1096" w:type="dxa"/>
          </w:tcPr>
          <w:p w14:paraId="32018813"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15-2-8</w:t>
            </w:r>
          </w:p>
        </w:tc>
        <w:tc>
          <w:tcPr>
            <w:tcW w:w="1308" w:type="dxa"/>
            <w:noWrap/>
            <w:hideMark/>
          </w:tcPr>
          <w:p w14:paraId="7FCE1245"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308" w:type="dxa"/>
            <w:noWrap/>
            <w:hideMark/>
          </w:tcPr>
          <w:p w14:paraId="1F9FEB5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5513147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5805AA45"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r>
      <w:tr w:rsidR="009B430A" w:rsidRPr="005B65DF" w14:paraId="7652E79B" w14:textId="77777777" w:rsidTr="00A1591F">
        <w:trPr>
          <w:trHeight w:val="300"/>
        </w:trPr>
        <w:tc>
          <w:tcPr>
            <w:tcW w:w="1096" w:type="dxa"/>
          </w:tcPr>
          <w:p w14:paraId="041B06AF"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15-2-15</w:t>
            </w:r>
          </w:p>
        </w:tc>
        <w:tc>
          <w:tcPr>
            <w:tcW w:w="1308" w:type="dxa"/>
            <w:noWrap/>
            <w:hideMark/>
          </w:tcPr>
          <w:p w14:paraId="1BDC0AD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8.51</w:t>
            </w:r>
          </w:p>
        </w:tc>
        <w:tc>
          <w:tcPr>
            <w:tcW w:w="1308" w:type="dxa"/>
            <w:noWrap/>
            <w:hideMark/>
          </w:tcPr>
          <w:p w14:paraId="6399AF54"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308" w:type="dxa"/>
            <w:noWrap/>
            <w:hideMark/>
          </w:tcPr>
          <w:p w14:paraId="19E80AB3"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7.91</w:t>
            </w:r>
          </w:p>
        </w:tc>
        <w:tc>
          <w:tcPr>
            <w:tcW w:w="1308" w:type="dxa"/>
            <w:noWrap/>
            <w:hideMark/>
          </w:tcPr>
          <w:p w14:paraId="75EF3F0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6.21</w:t>
            </w:r>
          </w:p>
        </w:tc>
      </w:tr>
      <w:tr w:rsidR="009B430A" w:rsidRPr="005B65DF" w14:paraId="4E03BB1E" w14:textId="77777777" w:rsidTr="00A1591F">
        <w:trPr>
          <w:trHeight w:val="300"/>
        </w:trPr>
        <w:tc>
          <w:tcPr>
            <w:tcW w:w="1096" w:type="dxa"/>
          </w:tcPr>
          <w:p w14:paraId="658C1852"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15-3-2</w:t>
            </w:r>
          </w:p>
        </w:tc>
        <w:tc>
          <w:tcPr>
            <w:tcW w:w="1308" w:type="dxa"/>
            <w:noWrap/>
            <w:hideMark/>
          </w:tcPr>
          <w:p w14:paraId="4A8DFB19"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43E6CAD8"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0800955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196EE2E9"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r>
      <w:tr w:rsidR="009B430A" w:rsidRPr="005B65DF" w14:paraId="0E2AA325" w14:textId="77777777" w:rsidTr="00A1591F">
        <w:trPr>
          <w:trHeight w:val="300"/>
        </w:trPr>
        <w:tc>
          <w:tcPr>
            <w:tcW w:w="1096" w:type="dxa"/>
          </w:tcPr>
          <w:p w14:paraId="002E49C4"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15-3-3</w:t>
            </w:r>
          </w:p>
        </w:tc>
        <w:tc>
          <w:tcPr>
            <w:tcW w:w="1308" w:type="dxa"/>
            <w:noWrap/>
            <w:hideMark/>
          </w:tcPr>
          <w:p w14:paraId="0AD08BD8"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7D91945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54F3CE24"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6.01</w:t>
            </w:r>
          </w:p>
        </w:tc>
        <w:tc>
          <w:tcPr>
            <w:tcW w:w="1308" w:type="dxa"/>
            <w:noWrap/>
            <w:hideMark/>
          </w:tcPr>
          <w:p w14:paraId="28382D3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6.81</w:t>
            </w:r>
          </w:p>
        </w:tc>
      </w:tr>
      <w:tr w:rsidR="009B430A" w:rsidRPr="005B65DF" w14:paraId="0D5544C6" w14:textId="77777777" w:rsidTr="00A1591F">
        <w:trPr>
          <w:trHeight w:val="300"/>
        </w:trPr>
        <w:tc>
          <w:tcPr>
            <w:tcW w:w="1096" w:type="dxa"/>
          </w:tcPr>
          <w:p w14:paraId="14C17CF7"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15-3-4</w:t>
            </w:r>
          </w:p>
        </w:tc>
        <w:tc>
          <w:tcPr>
            <w:tcW w:w="1308" w:type="dxa"/>
            <w:noWrap/>
            <w:hideMark/>
          </w:tcPr>
          <w:p w14:paraId="5DE3BDE3"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7.51</w:t>
            </w:r>
          </w:p>
        </w:tc>
        <w:tc>
          <w:tcPr>
            <w:tcW w:w="1308" w:type="dxa"/>
            <w:noWrap/>
            <w:hideMark/>
          </w:tcPr>
          <w:p w14:paraId="04F8831D"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7.01</w:t>
            </w:r>
          </w:p>
        </w:tc>
        <w:tc>
          <w:tcPr>
            <w:tcW w:w="1308" w:type="dxa"/>
            <w:noWrap/>
            <w:hideMark/>
          </w:tcPr>
          <w:p w14:paraId="4CCA944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6.81</w:t>
            </w:r>
          </w:p>
        </w:tc>
        <w:tc>
          <w:tcPr>
            <w:tcW w:w="1308" w:type="dxa"/>
            <w:noWrap/>
            <w:hideMark/>
          </w:tcPr>
          <w:p w14:paraId="12A6353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8.51</w:t>
            </w:r>
          </w:p>
        </w:tc>
      </w:tr>
      <w:tr w:rsidR="009B430A" w:rsidRPr="005B65DF" w14:paraId="7C93FB23" w14:textId="77777777" w:rsidTr="00A1591F">
        <w:trPr>
          <w:trHeight w:val="300"/>
        </w:trPr>
        <w:tc>
          <w:tcPr>
            <w:tcW w:w="1096" w:type="dxa"/>
          </w:tcPr>
          <w:p w14:paraId="1B3C0AB7"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15-3-8</w:t>
            </w:r>
          </w:p>
        </w:tc>
        <w:tc>
          <w:tcPr>
            <w:tcW w:w="1308" w:type="dxa"/>
            <w:noWrap/>
            <w:hideMark/>
          </w:tcPr>
          <w:p w14:paraId="6973DD74"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7.91</w:t>
            </w:r>
          </w:p>
        </w:tc>
        <w:tc>
          <w:tcPr>
            <w:tcW w:w="1308" w:type="dxa"/>
            <w:noWrap/>
            <w:hideMark/>
          </w:tcPr>
          <w:p w14:paraId="1D039637"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6.41</w:t>
            </w:r>
          </w:p>
        </w:tc>
        <w:tc>
          <w:tcPr>
            <w:tcW w:w="1308" w:type="dxa"/>
            <w:noWrap/>
            <w:hideMark/>
          </w:tcPr>
          <w:p w14:paraId="2DA6851D"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5.61</w:t>
            </w:r>
          </w:p>
        </w:tc>
        <w:tc>
          <w:tcPr>
            <w:tcW w:w="1308" w:type="dxa"/>
            <w:noWrap/>
            <w:hideMark/>
          </w:tcPr>
          <w:p w14:paraId="684D67C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5.61</w:t>
            </w:r>
          </w:p>
        </w:tc>
      </w:tr>
      <w:tr w:rsidR="009B430A" w:rsidRPr="005B65DF" w14:paraId="03EED7F4" w14:textId="77777777" w:rsidTr="00A1591F">
        <w:trPr>
          <w:trHeight w:val="300"/>
        </w:trPr>
        <w:tc>
          <w:tcPr>
            <w:tcW w:w="1096" w:type="dxa"/>
          </w:tcPr>
          <w:p w14:paraId="54165B7C"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15-3-9</w:t>
            </w:r>
          </w:p>
        </w:tc>
        <w:tc>
          <w:tcPr>
            <w:tcW w:w="1308" w:type="dxa"/>
            <w:noWrap/>
            <w:hideMark/>
          </w:tcPr>
          <w:p w14:paraId="78C081EE"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8.51</w:t>
            </w:r>
          </w:p>
        </w:tc>
        <w:tc>
          <w:tcPr>
            <w:tcW w:w="1308" w:type="dxa"/>
            <w:noWrap/>
            <w:hideMark/>
          </w:tcPr>
          <w:p w14:paraId="0C457828"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7.91</w:t>
            </w:r>
          </w:p>
        </w:tc>
        <w:tc>
          <w:tcPr>
            <w:tcW w:w="1308" w:type="dxa"/>
            <w:noWrap/>
            <w:hideMark/>
          </w:tcPr>
          <w:p w14:paraId="601F5133"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7.01</w:t>
            </w:r>
          </w:p>
        </w:tc>
        <w:tc>
          <w:tcPr>
            <w:tcW w:w="1308" w:type="dxa"/>
            <w:noWrap/>
            <w:hideMark/>
          </w:tcPr>
          <w:p w14:paraId="2C7AF3FC"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2.80</w:t>
            </w:r>
          </w:p>
        </w:tc>
      </w:tr>
      <w:tr w:rsidR="009B430A" w:rsidRPr="005B65DF" w14:paraId="66FE7C79" w14:textId="77777777" w:rsidTr="00A1591F">
        <w:trPr>
          <w:trHeight w:val="300"/>
        </w:trPr>
        <w:tc>
          <w:tcPr>
            <w:tcW w:w="1096" w:type="dxa"/>
          </w:tcPr>
          <w:p w14:paraId="7CDF511A"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15-3-10</w:t>
            </w:r>
          </w:p>
        </w:tc>
        <w:tc>
          <w:tcPr>
            <w:tcW w:w="1308" w:type="dxa"/>
            <w:noWrap/>
            <w:hideMark/>
          </w:tcPr>
          <w:p w14:paraId="1E374BC2"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5.61</w:t>
            </w:r>
          </w:p>
        </w:tc>
        <w:tc>
          <w:tcPr>
            <w:tcW w:w="1308" w:type="dxa"/>
            <w:noWrap/>
            <w:hideMark/>
          </w:tcPr>
          <w:p w14:paraId="4A6207F3"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5.11</w:t>
            </w:r>
          </w:p>
        </w:tc>
        <w:tc>
          <w:tcPr>
            <w:tcW w:w="1308" w:type="dxa"/>
            <w:noWrap/>
            <w:hideMark/>
          </w:tcPr>
          <w:p w14:paraId="2DD7D124"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4.91</w:t>
            </w:r>
          </w:p>
        </w:tc>
        <w:tc>
          <w:tcPr>
            <w:tcW w:w="1308" w:type="dxa"/>
            <w:noWrap/>
            <w:hideMark/>
          </w:tcPr>
          <w:p w14:paraId="4B7F2014"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5.11</w:t>
            </w:r>
          </w:p>
        </w:tc>
      </w:tr>
      <w:tr w:rsidR="009B430A" w:rsidRPr="005B65DF" w14:paraId="0EBF92E9" w14:textId="77777777" w:rsidTr="00A1591F">
        <w:trPr>
          <w:trHeight w:val="300"/>
        </w:trPr>
        <w:tc>
          <w:tcPr>
            <w:tcW w:w="1096" w:type="dxa"/>
          </w:tcPr>
          <w:p w14:paraId="4BFA2CA9"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15-3-11</w:t>
            </w:r>
          </w:p>
        </w:tc>
        <w:tc>
          <w:tcPr>
            <w:tcW w:w="1308" w:type="dxa"/>
            <w:noWrap/>
            <w:hideMark/>
          </w:tcPr>
          <w:p w14:paraId="57902F27"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7.11</w:t>
            </w:r>
          </w:p>
        </w:tc>
        <w:tc>
          <w:tcPr>
            <w:tcW w:w="1308" w:type="dxa"/>
            <w:noWrap/>
            <w:hideMark/>
          </w:tcPr>
          <w:p w14:paraId="516DCA4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5.41</w:t>
            </w:r>
          </w:p>
        </w:tc>
        <w:tc>
          <w:tcPr>
            <w:tcW w:w="1308" w:type="dxa"/>
            <w:noWrap/>
            <w:hideMark/>
          </w:tcPr>
          <w:p w14:paraId="7BF4E658"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308" w:type="dxa"/>
            <w:noWrap/>
            <w:hideMark/>
          </w:tcPr>
          <w:p w14:paraId="7D35A9CA"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r>
      <w:tr w:rsidR="009B430A" w:rsidRPr="005B65DF" w14:paraId="5C038A29" w14:textId="77777777" w:rsidTr="00A1591F">
        <w:trPr>
          <w:trHeight w:val="300"/>
        </w:trPr>
        <w:tc>
          <w:tcPr>
            <w:tcW w:w="1096" w:type="dxa"/>
            <w:tcBorders>
              <w:bottom w:val="single" w:sz="4" w:space="0" w:color="auto"/>
            </w:tcBorders>
          </w:tcPr>
          <w:p w14:paraId="6673B71B"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15-3-13</w:t>
            </w:r>
          </w:p>
        </w:tc>
        <w:tc>
          <w:tcPr>
            <w:tcW w:w="1308" w:type="dxa"/>
            <w:tcBorders>
              <w:bottom w:val="single" w:sz="4" w:space="0" w:color="auto"/>
            </w:tcBorders>
            <w:noWrap/>
            <w:hideMark/>
          </w:tcPr>
          <w:p w14:paraId="00446513"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7.21</w:t>
            </w:r>
          </w:p>
        </w:tc>
        <w:tc>
          <w:tcPr>
            <w:tcW w:w="1308" w:type="dxa"/>
            <w:tcBorders>
              <w:bottom w:val="single" w:sz="4" w:space="0" w:color="auto"/>
            </w:tcBorders>
            <w:noWrap/>
            <w:hideMark/>
          </w:tcPr>
          <w:p w14:paraId="5AE62A58"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c>
          <w:tcPr>
            <w:tcW w:w="1308" w:type="dxa"/>
            <w:tcBorders>
              <w:bottom w:val="single" w:sz="4" w:space="0" w:color="auto"/>
            </w:tcBorders>
            <w:noWrap/>
            <w:hideMark/>
          </w:tcPr>
          <w:p w14:paraId="4AF364C3"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6.21</w:t>
            </w:r>
          </w:p>
        </w:tc>
        <w:tc>
          <w:tcPr>
            <w:tcW w:w="1308" w:type="dxa"/>
            <w:tcBorders>
              <w:bottom w:val="single" w:sz="4" w:space="0" w:color="auto"/>
            </w:tcBorders>
            <w:noWrap/>
            <w:hideMark/>
          </w:tcPr>
          <w:p w14:paraId="766D5930" w14:textId="77777777" w:rsidR="009B430A" w:rsidRPr="005B65DF" w:rsidRDefault="009B430A" w:rsidP="009B430A">
            <w:pPr>
              <w:spacing w:line="240" w:lineRule="auto"/>
              <w:ind w:firstLine="0"/>
              <w:jc w:val="center"/>
              <w:rPr>
                <w:rFonts w:ascii="Times New Roman" w:hAnsi="Times New Roman"/>
                <w:color w:val="000000"/>
                <w:lang w:bidi="ar-SA"/>
              </w:rPr>
            </w:pPr>
            <w:r w:rsidRPr="005B65DF">
              <w:rPr>
                <w:rFonts w:ascii="Times New Roman" w:hAnsi="Times New Roman"/>
                <w:color w:val="000000"/>
                <w:lang w:bidi="ar-SA"/>
              </w:rPr>
              <w:t>6.61</w:t>
            </w:r>
          </w:p>
        </w:tc>
      </w:tr>
      <w:tr w:rsidR="009B430A" w:rsidRPr="005B65DF" w14:paraId="52603B68" w14:textId="77777777" w:rsidTr="00A1591F">
        <w:trPr>
          <w:trHeight w:val="300"/>
        </w:trPr>
        <w:tc>
          <w:tcPr>
            <w:tcW w:w="1096" w:type="dxa"/>
            <w:tcBorders>
              <w:top w:val="single" w:sz="4" w:space="0" w:color="auto"/>
            </w:tcBorders>
          </w:tcPr>
          <w:p w14:paraId="0ED82D53"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Mean</w:t>
            </w:r>
          </w:p>
        </w:tc>
        <w:tc>
          <w:tcPr>
            <w:tcW w:w="1308" w:type="dxa"/>
            <w:tcBorders>
              <w:top w:val="single" w:sz="4" w:space="0" w:color="auto"/>
            </w:tcBorders>
            <w:noWrap/>
            <w:hideMark/>
          </w:tcPr>
          <w:p w14:paraId="164F883F"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6.89±1.13</w:t>
            </w:r>
          </w:p>
        </w:tc>
        <w:tc>
          <w:tcPr>
            <w:tcW w:w="1308" w:type="dxa"/>
            <w:tcBorders>
              <w:top w:val="single" w:sz="4" w:space="0" w:color="auto"/>
            </w:tcBorders>
            <w:noWrap/>
            <w:hideMark/>
          </w:tcPr>
          <w:p w14:paraId="042A8A1E"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6.05±0.82</w:t>
            </w:r>
          </w:p>
        </w:tc>
        <w:tc>
          <w:tcPr>
            <w:tcW w:w="1308" w:type="dxa"/>
            <w:tcBorders>
              <w:top w:val="single" w:sz="4" w:space="0" w:color="auto"/>
            </w:tcBorders>
            <w:noWrap/>
            <w:hideMark/>
          </w:tcPr>
          <w:p w14:paraId="6F016156"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6.18±0.80</w:t>
            </w:r>
          </w:p>
        </w:tc>
        <w:tc>
          <w:tcPr>
            <w:tcW w:w="1308" w:type="dxa"/>
            <w:tcBorders>
              <w:top w:val="single" w:sz="4" w:space="0" w:color="auto"/>
            </w:tcBorders>
            <w:noWrap/>
            <w:hideMark/>
          </w:tcPr>
          <w:p w14:paraId="2300022D" w14:textId="77777777" w:rsidR="009B430A" w:rsidRPr="005B65DF" w:rsidRDefault="009B430A" w:rsidP="009B430A">
            <w:pPr>
              <w:spacing w:line="240" w:lineRule="auto"/>
              <w:ind w:firstLine="0"/>
              <w:rPr>
                <w:rFonts w:ascii="Times New Roman" w:hAnsi="Times New Roman"/>
                <w:color w:val="000000"/>
                <w:lang w:bidi="ar-SA"/>
              </w:rPr>
            </w:pPr>
            <w:r w:rsidRPr="005B65DF">
              <w:rPr>
                <w:rFonts w:ascii="Times New Roman" w:hAnsi="Times New Roman"/>
                <w:color w:val="000000"/>
                <w:lang w:bidi="ar-SA"/>
              </w:rPr>
              <w:t>5.83±1.56</w:t>
            </w:r>
          </w:p>
        </w:tc>
      </w:tr>
    </w:tbl>
    <w:p w14:paraId="50D3F46C" w14:textId="77777777" w:rsidR="009B430A" w:rsidRPr="005B65DF" w:rsidRDefault="009B430A" w:rsidP="009B430A"/>
    <w:bookmarkStart w:id="55" w:name="_Hlk533194753"/>
    <w:p w14:paraId="444DDFFA" w14:textId="1F7AE6A5" w:rsidR="00A1591F" w:rsidRPr="005B65DF" w:rsidRDefault="007A6FB1" w:rsidP="009B430A">
      <w:r w:rsidRPr="005B65DF">
        <w:object w:dxaOrig="6682" w:dyaOrig="4190" w14:anchorId="7D934CE1">
          <v:shape id="_x0000_i1027" type="#_x0000_t75" style="width:349.5pt;height:220.5pt" o:ole="">
            <v:imagedata r:id="rId36" o:title=""/>
          </v:shape>
          <o:OLEObject Type="Embed" ProgID="Prism8.Document" ShapeID="_x0000_i1027" DrawAspect="Content" ObjectID="_1610798723" r:id="rId37"/>
        </w:object>
      </w:r>
      <w:bookmarkEnd w:id="55"/>
      <w:r w:rsidR="00B9723D" w:rsidRPr="005B65DF">
        <w:t xml:space="preserve"> </w:t>
      </w:r>
    </w:p>
    <w:p w14:paraId="7059CD01" w14:textId="365FD6C0" w:rsidR="00B9723D" w:rsidRPr="005B65DF" w:rsidRDefault="00B9723D" w:rsidP="00F20222">
      <w:pPr>
        <w:pStyle w:val="Caption"/>
        <w:ind w:left="720"/>
      </w:pPr>
      <w:bookmarkStart w:id="56" w:name="_Toc185838"/>
      <w:r w:rsidRPr="005B65DF">
        <w:t xml:space="preserve">Figure </w:t>
      </w:r>
      <w:fldSimple w:instr=" STYLEREF 1 \s ">
        <w:r w:rsidR="00FC3CCD">
          <w:rPr>
            <w:noProof/>
          </w:rPr>
          <w:t>2</w:t>
        </w:r>
      </w:fldSimple>
      <w:r w:rsidR="00216C1B">
        <w:noBreakHyphen/>
      </w:r>
      <w:fldSimple w:instr=" SEQ Figure \* ARABIC \s 1 ">
        <w:r w:rsidR="00FC3CCD">
          <w:rPr>
            <w:noProof/>
          </w:rPr>
          <w:t>8</w:t>
        </w:r>
      </w:fldSimple>
      <w:r w:rsidR="00A006A9" w:rsidRPr="005B65DF">
        <w:t>. MEMR latency t</w:t>
      </w:r>
      <w:r w:rsidRPr="005B65DF">
        <w:t>ime</w:t>
      </w:r>
      <w:r w:rsidR="00A006A9" w:rsidRPr="005B65DF">
        <w:t xml:space="preserve"> at each frequency tested.</w:t>
      </w:r>
      <w:bookmarkEnd w:id="56"/>
    </w:p>
    <w:p w14:paraId="0C78F920" w14:textId="77777777" w:rsidR="00EE7918" w:rsidRPr="005B65DF" w:rsidRDefault="00EE7918" w:rsidP="00F20222">
      <w:pPr>
        <w:ind w:firstLine="0"/>
      </w:pPr>
    </w:p>
    <w:p w14:paraId="5C2D1711" w14:textId="67182B91" w:rsidR="00EE7918" w:rsidRPr="005B65DF" w:rsidRDefault="00EE7918" w:rsidP="009C5C49">
      <w:r w:rsidRPr="005B65DF">
        <w:t xml:space="preserve">Finally, statistical analysis was performed on the latency data at threshold level and at 110 dB for each frequency in the form of a two-tailed paired t-test with a 95% confidence interval. There was not a statistically significant difference between the latency at the threshold and at 110 dB for either 4 kHz or 6 kHz eliciting stimuli. There was a significant difference between the two, in both cases a decrease in latency at the 110 dB level, at 1 kHz with a p value below 0.0001 and </w:t>
      </w:r>
      <w:r w:rsidR="007A6FB1" w:rsidRPr="005B65DF">
        <w:t>at 2 kHz with a p value of 0.03</w:t>
      </w:r>
      <w:r w:rsidRPr="005B65DF">
        <w:t>.</w:t>
      </w:r>
      <w:r w:rsidR="0082106A" w:rsidRPr="005B65DF">
        <w:t xml:space="preserve"> At 4 kHz and 6 kHz the</w:t>
      </w:r>
      <w:r w:rsidR="007A6FB1" w:rsidRPr="005B65DF">
        <w:t xml:space="preserve"> p values were 0.31 and 0.92</w:t>
      </w:r>
      <w:r w:rsidR="0082106A" w:rsidRPr="005B65DF">
        <w:t>, respectively.</w:t>
      </w:r>
    </w:p>
    <w:p w14:paraId="7A9662CB" w14:textId="77777777" w:rsidR="00251BDB" w:rsidRPr="005B65DF" w:rsidRDefault="00251BDB" w:rsidP="00251BDB">
      <w:pPr>
        <w:pStyle w:val="Heading2"/>
      </w:pPr>
      <w:bookmarkStart w:id="57" w:name="_Toc185912"/>
      <w:r w:rsidRPr="005B65DF">
        <w:t>2.4 Discussion</w:t>
      </w:r>
      <w:bookmarkEnd w:id="57"/>
    </w:p>
    <w:p w14:paraId="7658F1F1" w14:textId="6A7A3676" w:rsidR="00003087" w:rsidRPr="005B65DF" w:rsidRDefault="00003087" w:rsidP="00003087">
      <w:pPr>
        <w:pStyle w:val="Heading3"/>
      </w:pPr>
      <w:bookmarkStart w:id="58" w:name="_Toc185913"/>
      <w:r w:rsidRPr="005B65DF">
        <w:t xml:space="preserve">2.4.1 Discrepancies Between EMG and ART </w:t>
      </w:r>
      <w:r w:rsidR="00817673" w:rsidRPr="005B65DF">
        <w:t xml:space="preserve">Testing </w:t>
      </w:r>
      <w:r w:rsidRPr="005B65DF">
        <w:t>Results</w:t>
      </w:r>
      <w:bookmarkEnd w:id="58"/>
    </w:p>
    <w:p w14:paraId="4D468F7B" w14:textId="308BC3AD" w:rsidR="00003087" w:rsidRPr="005B65DF" w:rsidRDefault="009B137E" w:rsidP="00003087">
      <w:r w:rsidRPr="005B65DF">
        <w:t xml:space="preserve">Per 2.3.2, there was not good agreement between EMG and ART </w:t>
      </w:r>
      <w:r w:rsidR="00817673" w:rsidRPr="005B65DF">
        <w:t xml:space="preserve">testing </w:t>
      </w:r>
      <w:r w:rsidRPr="005B65DF">
        <w:t>results at 1 kHz or 2 kHz.</w:t>
      </w:r>
      <w:r w:rsidR="006B1F8B" w:rsidRPr="005B65DF">
        <w:t xml:space="preserve"> There was not a significant difference between the two methods at 4 kHz. A few possibilities can explain this. ART </w:t>
      </w:r>
      <w:r w:rsidR="00817673" w:rsidRPr="005B65DF">
        <w:t xml:space="preserve">testing </w:t>
      </w:r>
      <w:r w:rsidR="006B1F8B" w:rsidRPr="005B65DF">
        <w:t>might be less sensitive at some frequencies, not detecting the MEMR if it isn’t sufficiently strong</w:t>
      </w:r>
      <w:r w:rsidR="001A303C" w:rsidRPr="005B65DF">
        <w:t xml:space="preserve"> to alter tympanograms</w:t>
      </w:r>
      <w:r w:rsidR="006B1F8B" w:rsidRPr="005B65DF">
        <w:t xml:space="preserve">. </w:t>
      </w:r>
      <w:r w:rsidR="001A303C" w:rsidRPr="005B65DF">
        <w:t xml:space="preserve">This would be </w:t>
      </w:r>
      <w:r w:rsidR="001A303C" w:rsidRPr="005B65DF">
        <w:lastRenderedPageBreak/>
        <w:t xml:space="preserve">consistent with the trend of increasing EMG amplitude as stimulus amplitude increases, which suggests that muscle activation is weak at the threshold level but gets stronger at higher stimulus levels. </w:t>
      </w:r>
      <w:r w:rsidR="006B1F8B" w:rsidRPr="005B65DF">
        <w:t xml:space="preserve">EMG, on the other hand, should detect even a very weak reflex activation </w:t>
      </w:r>
      <w:r w:rsidR="00B9723D" w:rsidRPr="005B65DF">
        <w:t xml:space="preserve">because </w:t>
      </w:r>
      <w:r w:rsidR="006B1F8B" w:rsidRPr="005B65DF">
        <w:t xml:space="preserve">it directly </w:t>
      </w:r>
      <w:r w:rsidR="001A303C" w:rsidRPr="005B65DF">
        <w:t xml:space="preserve">measures the muscle’s activity. </w:t>
      </w:r>
      <w:r w:rsidR="00356F7D" w:rsidRPr="005B65DF">
        <w:t xml:space="preserve">This would be consistent with the results of a rat study of the MEMR which compared EMG-derived thresholds to visually-determined thresholds through a microscope </w:t>
      </w:r>
      <w:r w:rsidR="00356F7D" w:rsidRPr="005B65DF">
        <w:fldChar w:fldCharType="begin" w:fldLock="1"/>
      </w:r>
      <w:r w:rsidR="00C479C8" w:rsidRPr="005B65DF">
        <w:instrText>ADDIN CSL_CITATION {"citationItems":[{"id":"ITEM-1","itemData":{"DOI":"10.1016/0378-5955(86)90014-6","ISSN":"03785955","PMID":"3745019","abstract":"The acoustic middle ear muscle reflex was studied in albino rats anesthetized with chloralose. The best frequency of the reflex and the threshold at this frequency were on average about 3 kHz and 57 dB SPL, respectively. The threshold increased as frequency increased above, and decreased below, the best frequency at a rate of about 20 dB/octave. Above about 12 kHz, the muscular response showed instability and habituation. Thresholds were similar between stapedius and tensor tympani reflexes and between ipsilateral and contralateral reflexes. The middle ear transmission loss due to the reflex was the greatest and nearly constant below about 1 kHz, where the loss was about 18 dB at the maximal stimulation. Above this frequency the loss decreased as frequency increased up to 20 kHz. Thus the reflex, unlike that in other animals, suppressed transmission over the whole range of reflex-eliciting frequencies. The transfer function of the reflex had a well damped low-pass characteristic with a cut-off frequency of about 20 Hz. From the above characteristics of the reflex, the role of the rat's tympanic muscles in improving ultrasonic hearing under ambient noises was suggested.","author":[{"dropping-particle":"","family":"Murata","given":"K","non-dropping-particle":"","parse-names":false,"suffix":""},{"dropping-particle":"","family":"Ito","given":"S","non-dropping-particle":"","parse-names":false,"suffix":""},{"dropping-particle":"","family":"Horikawa","given":"J","non-dropping-particle":"","parse-names":false,"suffix":""},{"dropping-particle":"","family":"Minami","given":"S","non-dropping-particle":"","parse-names":false,"suffix":""}],"container-title":"Hearing research","id":"ITEM-1","issue":"2","issued":{"date-parts":[["1986"]]},"page":"169-183","title":"The acoustic middle ear muscle reflex in albino rats.","type":"article-journal","volume":"23"},"uris":["http://www.mendeley.com/documents/?uuid=30734226-d382-45ef-b2bc-27b017cb5a3a"]}],"mendeley":{"formattedCitation":"(Murata et al., 1986)","plainTextFormattedCitation":"(Murata et al., 1986)","previouslyFormattedCitation":"(Murata et al., 1986)"},"properties":{"noteIndex":0},"schema":"https://github.com/citation-style-language/schema/raw/master/csl-citation.json"}</w:instrText>
      </w:r>
      <w:r w:rsidR="00356F7D" w:rsidRPr="005B65DF">
        <w:fldChar w:fldCharType="separate"/>
      </w:r>
      <w:r w:rsidR="00356F7D" w:rsidRPr="005B65DF">
        <w:rPr>
          <w:noProof/>
        </w:rPr>
        <w:t>(Murata et al., 1986)</w:t>
      </w:r>
      <w:r w:rsidR="00356F7D" w:rsidRPr="005B65DF">
        <w:fldChar w:fldCharType="end"/>
      </w:r>
      <w:r w:rsidR="00356F7D" w:rsidRPr="005B65DF">
        <w:t xml:space="preserve">. Murata et al. found that there was a minimum 10 dB increase in the visually-determined stapedius reflex threshold compared to the EMG thresholds. </w:t>
      </w:r>
      <w:r w:rsidR="001A303C" w:rsidRPr="005B65DF">
        <w:t xml:space="preserve">If this is the case, it </w:t>
      </w:r>
      <w:r w:rsidR="00356F7D" w:rsidRPr="005B65DF">
        <w:t>c</w:t>
      </w:r>
      <w:r w:rsidR="001A303C" w:rsidRPr="005B65DF">
        <w:t>ould be a positive aspect of EMG for it to be able to pick up a reflex with heightened sensitivity;</w:t>
      </w:r>
      <w:r w:rsidR="00356F7D" w:rsidRPr="005B65DF">
        <w:t xml:space="preserve"> it could also mean that EMG is giving false positives in which an electrical signal is present but is not sufficient to fully activate the muscle</w:t>
      </w:r>
      <w:r w:rsidR="001A303C" w:rsidRPr="005B65DF">
        <w:t>.</w:t>
      </w:r>
    </w:p>
    <w:p w14:paraId="26FB2EF0" w14:textId="350EEF17" w:rsidR="00E55D79" w:rsidRPr="005B65DF" w:rsidRDefault="00E55D79" w:rsidP="00E55D79">
      <w:r w:rsidRPr="005B65DF">
        <w:t xml:space="preserve">It is worth noting that reflex thresholds have been found to be dependent on the stimulus duration; at 25 ms duration, 120 dB may be needed to elicit a MEMR response when 90 dB produces a response at 100 ms and 80 dB is sufficient at 1000 ms, all other factors kept the same </w:t>
      </w:r>
      <w:r w:rsidRPr="005B65DF">
        <w:fldChar w:fldCharType="begin" w:fldLock="1"/>
      </w:r>
      <w:r w:rsidR="00E01826" w:rsidRPr="005B65DF">
        <w:instrText>ADDIN CSL_CITATION {"citationItems":[{"id":"ITEM-1","itemData":{"DOI":"10.1121/1.381499","ISSN":"0001-4966","author":[{"dropping-particle":"","family":"Morgan","given":"Donald E.","non-dropping-particle":"","parse-names":false,"suffix":""},{"dropping-particle":"","family":"Gilman","given":"Samuel","non-dropping-particle":"","parse-names":false,"suffix":""},{"dropping-particle":"","family":"Dirks","given":"Donald D.","non-dropping-particle":"","parse-names":false,"suffix":""}],"container-title":"The Journal of the Acoustical Society of America","id":"ITEM-1","issue":"1","issued":{"date-parts":[["1977","7"]]},"page":"168-176","title":"Temporal integration at the ’’threshold’’ of the acoustic reflex","type":"article-journal","volume":"62"},"uris":["http://www.mendeley.com/documents/?uuid=4e11ac91-e9ef-4de7-9326-739826dd02a2"]}],"mendeley":{"formattedCitation":"(Morgan et al., 1977)","plainTextFormattedCitation":"(Morgan et al., 1977)","previouslyFormattedCitation":"(Morgan et al., 1977)"},"properties":{"noteIndex":0},"schema":"https://github.com/citation-style-language/schema/raw/master/csl-citation.json"}</w:instrText>
      </w:r>
      <w:r w:rsidRPr="005B65DF">
        <w:fldChar w:fldCharType="separate"/>
      </w:r>
      <w:r w:rsidR="009D66ED" w:rsidRPr="005B65DF">
        <w:rPr>
          <w:noProof/>
        </w:rPr>
        <w:t>(Morgan et al., 1977)</w:t>
      </w:r>
      <w:r w:rsidRPr="005B65DF">
        <w:fldChar w:fldCharType="end"/>
      </w:r>
      <w:r w:rsidRPr="005B65DF">
        <w:t xml:space="preserve">. This potentially complicates comparisons between methods or studies. EMG in our study was elicited with a 50 ms stimulus whereas the measuring point for ART </w:t>
      </w:r>
      <w:r w:rsidR="00817673" w:rsidRPr="005B65DF">
        <w:t xml:space="preserve">testing </w:t>
      </w:r>
      <w:r w:rsidRPr="005B65DF">
        <w:t xml:space="preserve">was 4.5 ms after stimulus onset. This could also explain the discrepancy between </w:t>
      </w:r>
      <w:r w:rsidR="009A75C5" w:rsidRPr="005B65DF">
        <w:t xml:space="preserve">ART testing results and EMG </w:t>
      </w:r>
      <w:r w:rsidRPr="005B65DF">
        <w:t>results.</w:t>
      </w:r>
    </w:p>
    <w:p w14:paraId="0D446B15" w14:textId="77777777" w:rsidR="00003087" w:rsidRPr="005B65DF" w:rsidRDefault="00003087" w:rsidP="00003087">
      <w:pPr>
        <w:pStyle w:val="Heading3"/>
      </w:pPr>
      <w:bookmarkStart w:id="59" w:name="_Toc185914"/>
      <w:r w:rsidRPr="005B65DF">
        <w:t>2.4.2 Comparison to Existing Literature</w:t>
      </w:r>
      <w:bookmarkEnd w:id="59"/>
    </w:p>
    <w:p w14:paraId="14CCB975" w14:textId="3F8098D8" w:rsidR="00003087" w:rsidRPr="005B65DF" w:rsidRDefault="00014BD3" w:rsidP="00003087">
      <w:r w:rsidRPr="005B65DF">
        <w:t xml:space="preserve">There are very few existing studies of the chinchilla MEMR. A collaboration between Kent State University and Ohio State University studied the reflex by analyzing the cochlear microphonic in response to a 0.5 kHz eliciting tone </w:t>
      </w:r>
      <w:r w:rsidRPr="005B65DF">
        <w:fldChar w:fldCharType="begin" w:fldLock="1"/>
      </w:r>
      <w:r w:rsidRPr="005B65DF">
        <w:instrText>ADDIN CSL_CITATION {"citationItems":[{"id":"ITEM-1","itemData":{"DOI":"10.1044/jshr.2201.63","ISSN":"1092-4388","author":[{"dropping-particle":"","family":"Gerhardt","given":"Kenneth J.","non-dropping-particle":"","parse-names":false,"suffix":""},{"dropping-particle":"","family":"Melnick","given":"William","non-dropping-particle":"","parse-names":false,"suffix":""},{"dropping-particle":"","family":"Ferraro","given":"John A.","non-dropping-particle":"","parse-names":false,"suffix":""}],"container-title":"Journal of Speech Language and Hearing Research","id":"ITEM-1","issue":"1","issued":{"date-parts":[["1979","3","1"]]},"page":"63","title":"Reflex Threshold Shift in Chinchillas Following a Prolonged Exposure to Noise","type":"article-journal","volume":"22"},"uris":["http://www.mendeley.com/documents/?uuid=2e5d1e45-82cd-4269-a165-82d8ae69275a"]}],"mendeley":{"formattedCitation":"(Gerhardt et al., 1979)","plainTextFormattedCitation":"(Gerhardt et al., 1979)","previouslyFormattedCitation":"(Gerhardt et al., 1979)"},"properties":{"noteIndex":0},"schema":"https://github.com/citation-style-language/schema/raw/master/csl-citation.json"}</w:instrText>
      </w:r>
      <w:r w:rsidRPr="005B65DF">
        <w:fldChar w:fldCharType="separate"/>
      </w:r>
      <w:r w:rsidRPr="005B65DF">
        <w:rPr>
          <w:noProof/>
        </w:rPr>
        <w:t>(Gerhardt et al., 1979)</w:t>
      </w:r>
      <w:r w:rsidRPr="005B65DF">
        <w:fldChar w:fldCharType="end"/>
      </w:r>
      <w:r w:rsidRPr="005B65DF">
        <w:t xml:space="preserve">. </w:t>
      </w:r>
      <w:r w:rsidR="00FD31E2" w:rsidRPr="005B65DF">
        <w:t>This method involves recording the cochlear microphonic, a response to sound generated by the hair cells and measurable at the round window. This response is measu</w:t>
      </w:r>
      <w:r w:rsidR="001A303C" w:rsidRPr="005B65DF">
        <w:t>r</w:t>
      </w:r>
      <w:r w:rsidR="00FD31E2" w:rsidRPr="005B65DF">
        <w:t xml:space="preserve">able instantly when a sound is input </w:t>
      </w:r>
      <w:r w:rsidR="00FD31E2" w:rsidRPr="005B65DF">
        <w:lastRenderedPageBreak/>
        <w:t>into an ear, but if the MEMR triggers the response</w:t>
      </w:r>
      <w:r w:rsidR="009A75C5" w:rsidRPr="005B65DF">
        <w:t>,</w:t>
      </w:r>
      <w:r w:rsidR="00FD31E2" w:rsidRPr="005B65DF">
        <w:t xml:space="preserve"> </w:t>
      </w:r>
      <w:r w:rsidR="009A75C5" w:rsidRPr="005B65DF">
        <w:t xml:space="preserve">it </w:t>
      </w:r>
      <w:r w:rsidR="00FD31E2" w:rsidRPr="005B65DF">
        <w:t xml:space="preserve">will </w:t>
      </w:r>
      <w:r w:rsidR="00AC6B91" w:rsidRPr="005B65DF">
        <w:t>decline in magnitude</w:t>
      </w:r>
      <w:r w:rsidR="00FD31E2" w:rsidRPr="005B65DF">
        <w:t xml:space="preserve"> after the latency period. By looking at whether the cochlear microphonic </w:t>
      </w:r>
      <w:r w:rsidR="009A75C5" w:rsidRPr="005B65DF">
        <w:t xml:space="preserve">measurements </w:t>
      </w:r>
      <w:r w:rsidR="00FD31E2" w:rsidRPr="005B65DF">
        <w:t xml:space="preserve">stayed steady or were eventually damped by the MEMR, its presence can be determined. For the two control animals tested, the mean reflex threshold was 72.7 dB, and for the remaining six animals which went through further testing to cause hearing damage, the mean healthy reflex threshold was 72.8 dB. </w:t>
      </w:r>
      <w:r w:rsidR="009B137E" w:rsidRPr="005B65DF">
        <w:t xml:space="preserve">Standard deviations were not reported in that study, but those numbers are consistent with the average thresholds of 63.6±16.5 dB, 70.0±12.4 dB, and 71.4±13.5 dB found via EMG at 1, 2, and 4 kHz. </w:t>
      </w:r>
    </w:p>
    <w:p w14:paraId="36F999E4" w14:textId="5BD223BF" w:rsidR="00472EF8" w:rsidRPr="005B65DF" w:rsidRDefault="003C1784" w:rsidP="00472EF8">
      <w:r w:rsidRPr="005B65DF">
        <w:t>In humans, a</w:t>
      </w:r>
      <w:r w:rsidR="0076487B" w:rsidRPr="005B65DF">
        <w:t xml:space="preserve"> study using ART</w:t>
      </w:r>
      <w:r w:rsidR="00817673" w:rsidRPr="005B65DF">
        <w:t xml:space="preserve"> testing</w:t>
      </w:r>
      <w:r w:rsidR="0076487B" w:rsidRPr="005B65DF">
        <w:t xml:space="preserve"> with a broadband stimulus determined a MEMR threshold of 84.9 </w:t>
      </w:r>
      <w:r w:rsidR="0076487B" w:rsidRPr="005B65DF">
        <w:rPr>
          <w:rFonts w:cstheme="minorHAnsi"/>
        </w:rPr>
        <w:t>±</w:t>
      </w:r>
      <w:r w:rsidR="0076487B" w:rsidRPr="005B65DF">
        <w:t xml:space="preserve"> 7.8 dB </w:t>
      </w:r>
      <w:r w:rsidR="0076487B" w:rsidRPr="005B65DF">
        <w:fldChar w:fldCharType="begin" w:fldLock="1"/>
      </w:r>
      <w:r w:rsidR="00E01826" w:rsidRPr="005B65DF">
        <w:instrText>ADDIN CSL_CITATION {"citationItems":[{"id":"ITEM-1","itemData":{"DOI":"10.1016/0378-5955(93)90213-K","ISBN":"1673-8527 (Print)\\r1673-8527 (Linking)","ISSN":"03785955","PMID":"26297014","abstract":"It is now generally accepted that otoacoustic emissions (OAE) represent the only objective and non-intrusive means of functional exploration of the active micromechanical characteristics of the outer hair cells of the organ of Corti. Previous studies showed a decrease of the transiently evoked otoacoustic emissions and spontaneous otoacoustic emissions in humans, during acoustic stimulation of the contralateral ear, and attributed this effect to the medial efferent system. Such an effect has been shown on acoustic distortion product otoacoustic emissions (DPOAE) in guinea pigs, but has not been investigated for DPOAEs recorded in humans, although DPOAEs represent the easiest means of exploring active micromechanical cochlear properties both in humans and in laboratory animals. The present study sought to investigate the existence and characteristics of a contralateral auditory stimulation effect on DPOAEs recorded in humans. This study shows that contralateral broad-band noise (BBN) has a suppressive effect on DPOAEs recorded from 0.5 kHz to 5 kHz. This effect is not due to air conduction, as no change in the noise floor occurred under increasing contralateral stimulation, and as no reduction in DPOAE amplitude was obtained in subjects whose contralateral ear was sealed with a plastic ear plug. Moreover, cross-over attenuation by bone transmission has been ruled out, as no change in DPOAE amplitude was recorded in the healthy ear of total unilaterally deaf patients during acoustic stimulation of the deaf ear. The effect seen was not entirely due to the acoustic reflex, as it was found and could indeed be even greater in subjects with no acoustic reflex. Results presented here show that the contralateral BBN effect is greater at low levels of ipsilateral stimulation, which leads us to discuss the involvement of both passive and active mechanisms in DPOAE generation at high stimulation levels. The contralateral BBN effect seems to be greater in mid frequency cochlear regions. There is strong evidence that the medial efferent system is involved and that afferent and efferent inputs are, at least partly, integrated at a brainstem level in order to ensure cochlear interaction. DPOAEs provide an interesting model for functional exploration of the efferent system, since they seem to be the only type of otoacoustic emission that can be recorded in both humans and in the majority of animals, and since results are obtained in the same way from both animals and hu…","author":[{"dropping-particle":"","family":"Moulin","given":"A.","non-dropping-particle":"","parse-names":false,"suffix":""},{"dropping-particle":"","family":"Collet","given":"L.","non-dropping-particle":"","parse-names":false,"suffix":""},{"dropping-particle":"","family":"Duclaux","given":"R.","non-dropping-particle":"","parse-names":false,"suffix":""}],"container-title":"Hearing Research","id":"ITEM-1","issue":"1-2","issued":{"date-parts":[["1993"]]},"page":"193-210","title":"Contralateral auditory stimulation alters acoustic distortion products in humans","type":"article-journal","volume":"65"},"uris":["http://www.mendeley.com/documents/?uuid=ffddfba4-b6a2-4007-8bf5-f31e898f2ba4"]}],"mendeley":{"formattedCitation":"(Moulin et al., 1993)","plainTextFormattedCitation":"(Moulin et al., 1993)","previouslyFormattedCitation":"(Moulin et al., 1993)"},"properties":{"noteIndex":0},"schema":"https://github.com/citation-style-language/schema/raw/master/csl-citation.json"}</w:instrText>
      </w:r>
      <w:r w:rsidR="0076487B" w:rsidRPr="005B65DF">
        <w:fldChar w:fldCharType="separate"/>
      </w:r>
      <w:r w:rsidR="009D66ED" w:rsidRPr="005B65DF">
        <w:rPr>
          <w:noProof/>
        </w:rPr>
        <w:t>(Moulin et al., 1993)</w:t>
      </w:r>
      <w:r w:rsidR="0076487B" w:rsidRPr="005B65DF">
        <w:fldChar w:fldCharType="end"/>
      </w:r>
      <w:r w:rsidR="0076487B" w:rsidRPr="005B65DF">
        <w:t>.</w:t>
      </w:r>
      <w:r w:rsidR="00E70BB8" w:rsidRPr="005B65DF">
        <w:t xml:space="preserve"> A similar study estimated the reflex threshold to be between 82-87 dB using ART</w:t>
      </w:r>
      <w:r w:rsidR="00817673" w:rsidRPr="005B65DF">
        <w:t xml:space="preserve"> testing</w:t>
      </w:r>
      <w:r w:rsidR="00E70BB8" w:rsidRPr="005B65DF">
        <w:t xml:space="preserve"> </w:t>
      </w:r>
      <w:r w:rsidR="00E70BB8" w:rsidRPr="005B65DF">
        <w:fldChar w:fldCharType="begin" w:fldLock="1"/>
      </w:r>
      <w:r w:rsidR="00651517" w:rsidRPr="005B65DF">
        <w:instrText>ADDIN CSL_CITATION {"citationItems":[{"id":"ITEM-1","itemData":{"DOI":"10.1097/AUD.0b013e31827ad9d3","ISBN":"1538-4667 (Electronic)\\r0196-0202 (Linking)","ISSN":"1538-4667","PMID":"23403808","abstract":"OBJECTIVE: The objective of this study was to examine the role of the acoustic stapedius reflex in the protection of speech recognition from the upward spread of masking arising from low-frequency background noise.\\n\\nDESIGN: Speech recognition scores were measured for nine control participants (19-34 years) and six patients with transected stapedius tendons poststapedotomy (39-57 years) as a function of the amplitude of a low-frequency masker, presented at nominal signal to noise ratios of +5 dB, -5 dB, and -15 dB. All participants had pure-tone hearing thresholds in the normal range. Continuous high-pass noise was present in all conditions to avoid ceiling effects; this reduced performance in quiet to approximately 85% for all participants. Scores were measured for soft and loud nonsense syllables (average third octave band levels of 35 and 65 dB SPL), so that a comparison of the low-frequency noise masking functions at the two levels would provide information about the effects of the reflex on speech intelligibility in noise. A third group of nine control participants (19-22 years) listened in the presence of a low-frequency masker gated to come on 1 sec before stimulus onset, to reduce the likelihood of reflex adaptation. The Speech-Intelligibility Index was used to quantify the amount of speech information available in each condition.\\n\\nRESULTS: Patients with transected tendons performed more poorly than control participants as a function of Speech-Intelligibility Index in all conditions, even at levels that were too soft for reflex activation. This could be because of postsurgical differences in sensitivity, the more advanced age of poststapedotomy group, or differences in medial olivocochlear inhibition. For loud speech, patient performance fell nearly linearly with increases in the low-frequency masker, but control participants' performance declined little as the signal to noise ratio declined from +5 to -5 dB, and then fell rapidly as the ratio declined to -15 dB. This plateau in the masking function did not occur for the patients. Masking functions obtained with the gated low-frequency masker were either highly similar or poorer to those obtained with a continuous masker, suggesting that the use of a continuous low frequency masker did not result in significant reflex adaptation.\\n\\nCONCLUSIONS: The stapedius reflex appears to offer some protection from the upward spread of masking of speech by background low-frequency noise at moderate level…","author":[{"dropping-particle":"","family":"Aiken","given":"Steven J","non-dropping-particle":"","parse-names":false,"suffix":""},{"dropping-particle":"","family":"Andrus","given":"Jessica N","non-dropping-particle":"","parse-names":false,"suffix":""},{"dropping-particle":"","family":"Bance","given":"Manohar","non-dropping-particle":"","parse-names":false,"suffix":""},{"dropping-particle":"","family":"Phillips","given":"Dennis P","non-dropping-particle":"","parse-names":false,"suffix":""}],"container-title":"Ear and hearing","id":"ITEM-1","issue":"4","issued":{"date-parts":[["2013"]]},"page":"e38-51","title":"Acoustic stapedius reflex function in man revisited.","type":"article-journal","volume":"34"},"uris":["http://www.mendeley.com/documents/?uuid=4ca894e4-6f4c-4554-8b84-03b60868c15b"]}],"mendeley":{"formattedCitation":"(Aiken et al., 2013)","plainTextFormattedCitation":"(Aiken et al., 2013)","previouslyFormattedCitation":"(Aiken et al., 2013)"},"properties":{"noteIndex":0},"schema":"https://github.com/citation-style-language/schema/raw/master/csl-citation.json"}</w:instrText>
      </w:r>
      <w:r w:rsidR="00E70BB8" w:rsidRPr="005B65DF">
        <w:fldChar w:fldCharType="separate"/>
      </w:r>
      <w:r w:rsidR="00E70BB8" w:rsidRPr="005B65DF">
        <w:rPr>
          <w:noProof/>
        </w:rPr>
        <w:t>(Aiken et al., 2013)</w:t>
      </w:r>
      <w:r w:rsidR="00E70BB8" w:rsidRPr="005B65DF">
        <w:fldChar w:fldCharType="end"/>
      </w:r>
      <w:r w:rsidR="00E70BB8" w:rsidRPr="005B65DF">
        <w:t>.</w:t>
      </w:r>
      <w:r w:rsidR="00651517" w:rsidRPr="005B65DF">
        <w:t xml:space="preserve"> Two studies actually involved EMG. One was done during </w:t>
      </w:r>
      <w:r w:rsidR="00091215" w:rsidRPr="005B65DF">
        <w:t>stapedectomy surgery to repair otosclerosis</w:t>
      </w:r>
      <w:r w:rsidR="00651517" w:rsidRPr="005B65DF">
        <w:t xml:space="preserve"> </w:t>
      </w:r>
      <w:r w:rsidR="00651517" w:rsidRPr="005B65DF">
        <w:fldChar w:fldCharType="begin" w:fldLock="1"/>
      </w:r>
      <w:r w:rsidR="00FE5310" w:rsidRPr="005B65DF">
        <w:instrText>ADDIN CSL_CITATION {"citationItems":[{"id":"ITEM-1","itemData":{"DOI":"10.3109/05384916509070162","ISSN":"1499-2027","author":[{"dropping-particle":"","family":"Djupesland","given":"Gisle","non-dropping-particle":"","parse-names":false,"suffix":""}],"container-title":"International Journal of Audiology","id":"ITEM-1","issue":"1","issued":{"date-parts":[["1965","1"]]},"page":"34-41","title":"Electromyography of the Tympanic Muscles in Man","type":"article-journal","volume":"4"},"uris":["http://www.mendeley.com/documents/?uuid=a60b5e05-c372-4eaf-b560-cebc232860cf"]}],"mendeley":{"formattedCitation":"(Djupesland, 1965)","plainTextFormattedCitation":"(Djupesland, 1965)","previouslyFormattedCitation":"(Djupesland, 1965)"},"properties":{"noteIndex":0},"schema":"https://github.com/citation-style-language/schema/raw/master/csl-citation.json"}</w:instrText>
      </w:r>
      <w:r w:rsidR="00651517" w:rsidRPr="005B65DF">
        <w:fldChar w:fldCharType="separate"/>
      </w:r>
      <w:r w:rsidR="00651517" w:rsidRPr="005B65DF">
        <w:rPr>
          <w:noProof/>
        </w:rPr>
        <w:t>(Djupesland, 1965)</w:t>
      </w:r>
      <w:r w:rsidR="00651517" w:rsidRPr="005B65DF">
        <w:fldChar w:fldCharType="end"/>
      </w:r>
      <w:r w:rsidR="00651517" w:rsidRPr="005B65DF">
        <w:t xml:space="preserve">. </w:t>
      </w:r>
      <w:r w:rsidR="00091215" w:rsidRPr="005B65DF">
        <w:t xml:space="preserve">Rather than determining a threshold, it looked in general at stimuli that can cause the stapedius and tensor tympani to contract, including voluntary closure of the eyes, air jets, swallowing, and vocalization. The major contribution of the noise-induced portion of that study was to show that there is a significantly reduced latency in the stapedius compared to the tensor tympani between stimulus onset and contraction, approximately 10 ms compared to 80-280 ms. This was one piece of evidence showing that the stapedius is significantly more involved in protecting the ear from sounds compared to the tensor tympani. </w:t>
      </w:r>
      <w:r w:rsidR="00651517" w:rsidRPr="005B65DF">
        <w:t xml:space="preserve">The other </w:t>
      </w:r>
      <w:r w:rsidR="00091215" w:rsidRPr="005B65DF">
        <w:t xml:space="preserve">EMG study in humans </w:t>
      </w:r>
      <w:r w:rsidR="00651517" w:rsidRPr="005B65DF">
        <w:t>was performed in otitis media patients</w:t>
      </w:r>
      <w:r w:rsidR="00091215" w:rsidRPr="005B65DF">
        <w:t xml:space="preserve"> with one healthy and one diseased ear</w:t>
      </w:r>
      <w:r w:rsidR="00651517" w:rsidRPr="005B65DF">
        <w:t xml:space="preserve"> </w:t>
      </w:r>
      <w:r w:rsidR="00651517" w:rsidRPr="005B65DF">
        <w:fldChar w:fldCharType="begin" w:fldLock="1"/>
      </w:r>
      <w:r w:rsidR="00651517" w:rsidRPr="005B65DF">
        <w:instrText>ADDIN CSL_CITATION {"citationItems":[{"id":"ITEM-1","itemData":{"DOI":"10.4236/eng.2014.64020","ISSN":"1947-3931","abstract":"This paper provides a first preliminary description of the dependencies between the stapedius muscle’s behavior and its neuronal activation with the adjustment of cochlear implants in mind. For that, stapedial electromyography (EMG) data are compared with EMG data which were derived from the quadriceps femoris muscle. The rationale behind is, that the stapedius muscle is classified as a striated skeletal muscle as the quadriceps femoris muscle is. Thus, the stapedius should expose a behavior which is similar to that of peripheral skeletal muscles. The stapedial reactions were provoked with contralateral acoustic stimulation and ipsilateral electrical stimulation, respectively. The data from the quadriceps femoris muscle were evoked voluntarily. The correlation of the derived data and their stimuli have shown the following main key points: 1) The stapedius muscle behaves like a regular skeletal muscle; 2) The stapedius muscle exhibits an extended range in which the muscle’s force is linear to the stimulation; 3) On both sides of the linear regime, the stapedius muscle exhibits a sigmoidal behavior.","author":[{"dropping-particle":"","family":"Warmuth","given":"Ralf","non-dropping-particle":"","parse-names":false,"suffix":""},{"dropping-particle":"","family":"Behrens","given":"Martin","non-dropping-particle":"","parse-names":false,"suffix":""},{"dropping-particle":"","family":"Behrens","given":"Martin","non-dropping-particle":"","parse-names":false,"suffix":""},{"dropping-particle":"","family":"Dahl","given":"Rüdiger","non-dropping-particle":"","parse-names":false,"suffix":""},{"dropping-particle":"","family":"Ehrt","given":"Karsten","non-dropping-particle":"","parse-names":false,"suffix":""},{"dropping-particle":"","family":"Pau","given":"Hans Wilhelm","non-dropping-particle":"","parse-names":false,"suffix":""},{"dropping-particle":"","family":"Salomon","given":"Ralf","non-dropping-particle":"","parse-names":false,"suffix":""}],"container-title":"Engineering","id":"ITEM-1","issue":"04","issued":{"date-parts":[["2014"]]},"page":"169-176","title":"Automatic Detection of the Electrical Elicited Stapedius Reflex by Evaluation of Its Electromyographic Signals","type":"article-journal","volume":"06"},"uris":["http://www.mendeley.com/documents/?uuid=a18617cf-b150-4adf-af19-dd5505dab660"]}],"mendeley":{"formattedCitation":"(Warmuth et al., 2014)","plainTextFormattedCitation":"(Warmuth et al., 2014)","previouslyFormattedCitation":"(Warmuth et al., 2014)"},"properties":{"noteIndex":0},"schema":"https://github.com/citation-style-language/schema/raw/master/csl-citation.json"}</w:instrText>
      </w:r>
      <w:r w:rsidR="00651517" w:rsidRPr="005B65DF">
        <w:fldChar w:fldCharType="separate"/>
      </w:r>
      <w:r w:rsidR="00651517" w:rsidRPr="005B65DF">
        <w:rPr>
          <w:noProof/>
        </w:rPr>
        <w:t>(Warmuth et al., 2014)</w:t>
      </w:r>
      <w:r w:rsidR="00651517" w:rsidRPr="005B65DF">
        <w:fldChar w:fldCharType="end"/>
      </w:r>
      <w:r w:rsidR="00651517" w:rsidRPr="005B65DF">
        <w:t>.</w:t>
      </w:r>
      <w:r w:rsidR="00091215" w:rsidRPr="005B65DF">
        <w:t xml:space="preserve"> The healthy ear was stimulated while EMG observations of the contralateral reflex were made of the diseased ear. One second </w:t>
      </w:r>
      <w:r w:rsidR="00185B7E" w:rsidRPr="005B65DF">
        <w:t xml:space="preserve">acoustic bursts at 2 kHz were used to elicit the MEMR. A weak response was observed at 100 dB, with progressively higher amplitudes of </w:t>
      </w:r>
      <w:r w:rsidR="00472EF8" w:rsidRPr="005B65DF">
        <w:t>e</w:t>
      </w:r>
      <w:r w:rsidR="00185B7E" w:rsidRPr="005B65DF">
        <w:t xml:space="preserve">lectrical response measured at 105, </w:t>
      </w:r>
      <w:r w:rsidR="00185B7E" w:rsidRPr="005B65DF">
        <w:lastRenderedPageBreak/>
        <w:t xml:space="preserve">110, 115, and 120 dB; as no amplitudes below 100 dB were tested, this cannot be taken as a true determination of MEMR threshold. </w:t>
      </w:r>
    </w:p>
    <w:p w14:paraId="72957B1A" w14:textId="2AE95493" w:rsidR="00753DB8" w:rsidRPr="005B65DF" w:rsidRDefault="00753DB8" w:rsidP="00003087">
      <w:r w:rsidRPr="005B65DF">
        <w:t>One rat study tested three different methods, EMG,</w:t>
      </w:r>
      <w:r w:rsidR="0012126B" w:rsidRPr="005B65DF">
        <w:t xml:space="preserve"> visual inspection of muscle motion, and the cochlear microphonic</w:t>
      </w:r>
      <w:r w:rsidR="00D22EE3" w:rsidRPr="005B65DF">
        <w:t xml:space="preserve"> in response to 500 ms tone bursts</w:t>
      </w:r>
      <w:r w:rsidRPr="005B65DF">
        <w:t xml:space="preserve"> </w:t>
      </w:r>
      <w:r w:rsidRPr="005B65DF">
        <w:fldChar w:fldCharType="begin" w:fldLock="1"/>
      </w:r>
      <w:r w:rsidR="003C1784" w:rsidRPr="005B65DF">
        <w:instrText>ADDIN CSL_CITATION {"citationItems":[{"id":"ITEM-1","itemData":{"DOI":"10.1016/0378-5955(86)90014-6","ISSN":"03785955","PMID":"3745019","abstract":"The acoustic middle ear muscle reflex was studied in albino rats anesthetized with chloralose. The best frequency of the reflex and the threshold at this frequency were on average about 3 kHz and 57 dB SPL, respectively. The threshold increased as frequency increased above, and decreased below, the best frequency at a rate of about 20 dB/octave. Above about 12 kHz, the muscular response showed instability and habituation. Thresholds were similar between stapedius and tensor tympani reflexes and between ipsilateral and contralateral reflexes. The middle ear transmission loss due to the reflex was the greatest and nearly constant below about 1 kHz, where the loss was about 18 dB at the maximal stimulation. Above this frequency the loss decreased as frequency increased up to 20 kHz. Thus the reflex, unlike that in other animals, suppressed transmission over the whole range of reflex-eliciting frequencies. The transfer function of the reflex had a well damped low-pass characteristic with a cut-off frequency of about 20 Hz. From the above characteristics of the reflex, the role of the rat's tympanic muscles in improving ultrasonic hearing under ambient noises was suggested.","author":[{"dropping-particle":"","family":"Murata","given":"K","non-dropping-particle":"","parse-names":false,"suffix":""},{"dropping-particle":"","family":"Ito","given":"S","non-dropping-particle":"","parse-names":false,"suffix":""},{"dropping-particle":"","family":"Horikawa","given":"J","non-dropping-particle":"","parse-names":false,"suffix":""},{"dropping-particle":"","family":"Minami","given":"S","non-dropping-particle":"","parse-names":false,"suffix":""}],"container-title":"Hearing research","id":"ITEM-1","issue":"2","issued":{"date-parts":[["1986"]]},"page":"169-183","title":"The acoustic middle ear muscle reflex in albino rats.","type":"article-journal","volume":"23"},"uris":["http://www.mendeley.com/documents/?uuid=30734226-d382-45ef-b2bc-27b017cb5a3a"]}],"mendeley":{"formattedCitation":"(Murata et al., 1986)","plainTextFormattedCitation":"(Murata et al., 1986)","previouslyFormattedCitation":"(Murata et al., 1986)"},"properties":{"noteIndex":0},"schema":"https://github.com/citation-style-language/schema/raw/master/csl-citation.json"}</w:instrText>
      </w:r>
      <w:r w:rsidRPr="005B65DF">
        <w:fldChar w:fldCharType="separate"/>
      </w:r>
      <w:r w:rsidRPr="005B65DF">
        <w:rPr>
          <w:noProof/>
        </w:rPr>
        <w:t>(Murata et al., 1986)</w:t>
      </w:r>
      <w:r w:rsidRPr="005B65DF">
        <w:fldChar w:fldCharType="end"/>
      </w:r>
      <w:r w:rsidR="003C1784" w:rsidRPr="005B65DF">
        <w:t xml:space="preserve">. </w:t>
      </w:r>
      <w:r w:rsidR="00D22EE3" w:rsidRPr="005B65DF">
        <w:t xml:space="preserve">The minimum threshold found was 55 dB at 3 kHz with thresholds higher on either side of that frequency up to 100 dB at 0.6 and 10 kHz. </w:t>
      </w:r>
      <w:r w:rsidR="009A2C8A" w:rsidRPr="005B65DF">
        <w:t xml:space="preserve">This was 10 dB lower than the stapedius reflex found by observing muscle contractions. Cochlear microphonic results agreed closely with EMG results at most frequencies, only significantly departing at 10 or 12 kHz, where the cochlear microphonic </w:t>
      </w:r>
      <w:r w:rsidR="00E70BB8" w:rsidRPr="005B65DF">
        <w:t xml:space="preserve">underestimated the reflex threshold by 5-10 dB compared to EMG. </w:t>
      </w:r>
      <w:r w:rsidR="003C1784" w:rsidRPr="005B65DF">
        <w:t xml:space="preserve">Cats measured through EMG exhibit ipsilateral MEMR at thresholds between 93-110 dB between 0.25-8 kHz and contralateral responses approximately 5 dB elevated from those values with the highest thresholds at 0.25 and 0.5 kHz and the lowest at 1 or 2 kHz </w:t>
      </w:r>
      <w:r w:rsidR="003C1784" w:rsidRPr="005B65DF">
        <w:fldChar w:fldCharType="begin" w:fldLock="1"/>
      </w:r>
      <w:r w:rsidR="00E01826" w:rsidRPr="005B65DF">
        <w:instrText>ADDIN CSL_CITATION {"citationItems":[{"id":"ITEM-1","itemData":{"DOI":"10.1016/0378-5955(87)90031-1","ISBN":"0378-5955 (Print)","ISSN":"03785955","PMID":"3558137","abstract":"Electromyographic activity (EMG) was used to monitor contractions of the stapedius muscle evoked by both ipsilateral and contralateral sound in ketamine-anesthetized or decerebrate cats. After the onset of a continuing tone, stapedius EMG often had bursts of activity at regular intervals; similar bursts were also observed in the EMG from the tensor tympani muscle. Plots of the r.m.s. amplitude of stapedius-EMG versus sound level usually had a steep rising phase (small dynamic range) and a plateau at high sound levels. For sound stimulation at 1 kHz, the crossed stapedius reflex had a lower maximum amplitude (ave. amplitude ratio: 0.37) and a higher threshold (ave. 8 dB) than the uncrossed reflex. Since the uncrossed reflex evokes considerably more stapedius EMG than does the crossed reflex, it probably produces correspondingly greater changes in middle-ear sound transmission.","author":[{"dropping-particle":"","family":"Guinan","given":"J J","non-dropping-particle":"","parse-names":false,"suffix":""},{"dropping-particle":"","family":"McCue","given":"M P","non-dropping-particle":"","parse-names":false,"suffix":""}],"container-title":"Hearing research","id":"ITEM-1","issue":"1","issued":{"date-parts":[["1987"]]},"page":"1-10","title":"Asymmetries in the acoustic reflexes of the cat stapedius muscle.","type":"article-journal","volume":"26"},"uris":["http://www.mendeley.com/documents/?uuid=8f1106c9-e210-466d-a80c-e6e0aa3ece25"]}],"mendeley":{"formattedCitation":"(Guinan et al., 1987)","plainTextFormattedCitation":"(Guinan et al., 1987)","previouslyFormattedCitation":"(Guinan et al., 1987)"},"properties":{"noteIndex":0},"schema":"https://github.com/citation-style-language/schema/raw/master/csl-citation.json"}</w:instrText>
      </w:r>
      <w:r w:rsidR="003C1784" w:rsidRPr="005B65DF">
        <w:fldChar w:fldCharType="separate"/>
      </w:r>
      <w:r w:rsidR="009D66ED" w:rsidRPr="005B65DF">
        <w:rPr>
          <w:noProof/>
        </w:rPr>
        <w:t>(Guinan et al., 1987)</w:t>
      </w:r>
      <w:r w:rsidR="003C1784" w:rsidRPr="005B65DF">
        <w:fldChar w:fldCharType="end"/>
      </w:r>
      <w:r w:rsidR="003C1784" w:rsidRPr="005B65DF">
        <w:t>. This pattern is different from the reasonably flat frequency-threshold relation found in chinchillas</w:t>
      </w:r>
      <w:r w:rsidR="00741833" w:rsidRPr="005B65DF">
        <w:t xml:space="preserve"> and </w:t>
      </w:r>
      <w:r w:rsidR="009A75C5" w:rsidRPr="005B65DF">
        <w:t xml:space="preserve">was elevated </w:t>
      </w:r>
      <w:r w:rsidR="00741833" w:rsidRPr="005B65DF">
        <w:t>at all levels compared to the chinchilla threshold</w:t>
      </w:r>
      <w:r w:rsidR="003C1784" w:rsidRPr="005B65DF">
        <w:t>.</w:t>
      </w:r>
    </w:p>
    <w:p w14:paraId="6BA08FC6" w14:textId="40302657" w:rsidR="003C1784" w:rsidRPr="005B65DF" w:rsidRDefault="003C1784" w:rsidP="00003087">
      <w:r w:rsidRPr="005B65DF">
        <w:t xml:space="preserve">Regarding latency, a human study using EMG found that latency was approximately 10 ms at stimulus amplitudes of 120 dB, higher than the maximum tested here of 110 dB </w:t>
      </w:r>
      <w:r w:rsidRPr="005B65DF">
        <w:fldChar w:fldCharType="begin" w:fldLock="1"/>
      </w:r>
      <w:r w:rsidRPr="005B65DF">
        <w:instrText>ADDIN CSL_CITATION {"citationItems":[{"id":"ITEM-1","itemData":{"DOI":"10.3109/05384916509070162","ISSN":"1499-2027","author":[{"dropping-particle":"","family":"Djupesland","given":"Gisle","non-dropping-particle":"","parse-names":false,"suffix":""}],"container-title":"International Journal of Audiology","id":"ITEM-1","issue":"1","issued":{"date-parts":[["1965","1"]]},"page":"34-41","title":"Electromyography of the Tympanic Muscles in Man","type":"article-journal","volume":"4"},"uris":["http://www.mendeley.com/documents/?uuid=a60b5e05-c372-4eaf-b560-cebc232860cf"]}],"mendeley":{"formattedCitation":"(Djupesland, 1965)","plainTextFormattedCitation":"(Djupesland, 1965)","previouslyFormattedCitation":"(Djupesland, 1965)"},"properties":{"noteIndex":0},"schema":"https://github.com/citation-style-language/schema/raw/master/csl-citation.json"}</w:instrText>
      </w:r>
      <w:r w:rsidRPr="005B65DF">
        <w:fldChar w:fldCharType="separate"/>
      </w:r>
      <w:r w:rsidRPr="005B65DF">
        <w:rPr>
          <w:noProof/>
        </w:rPr>
        <w:t>(Djupesland, 1965)</w:t>
      </w:r>
      <w:r w:rsidRPr="005B65DF">
        <w:fldChar w:fldCharType="end"/>
      </w:r>
      <w:r w:rsidRPr="005B65DF">
        <w:t xml:space="preserve">. A separate study tested it at the reflex threshold and reported as long a delay as 76 ms </w:t>
      </w:r>
      <w:r w:rsidRPr="005B65DF">
        <w:fldChar w:fldCharType="begin" w:fldLock="1"/>
      </w:r>
      <w:r w:rsidRPr="005B65DF">
        <w:instrText>ADDIN CSL_CITATION {"citationItems":[{"id":"ITEM-1","itemData":{"DOI":"10.3109/00016486009123168","ISSN":"0001-6489","author":[{"dropping-particle":"","family":"Terkildsen","given":"K.","non-dropping-particle":"","parse-names":false,"suffix":""}],"container-title":"Acta Oto-Laryngologica","id":"ITEM-1","issue":"1-6","issued":{"date-parts":[["1960","1","8"]]},"note":"Referenced in Gerhardt","page":"384-396","title":"The Intra-Aural Muscle Reflexes in Normal Persons and in Workers Exposed to Intense Industrial Noise","type":"article-journal","volume":"52"},"uris":["http://www.mendeley.com/documents/?uuid=23d4c134-56ba-42de-b9d7-0beb769f8402"]}],"mendeley":{"formattedCitation":"(Terkildsen, 1960)","plainTextFormattedCitation":"(Terkildsen, 1960)","previouslyFormattedCitation":"(Terkildsen, 1960)"},"properties":{"noteIndex":0},"schema":"https://github.com/citation-style-language/schema/raw/master/csl-citation.json"}</w:instrText>
      </w:r>
      <w:r w:rsidRPr="005B65DF">
        <w:fldChar w:fldCharType="separate"/>
      </w:r>
      <w:r w:rsidRPr="005B65DF">
        <w:rPr>
          <w:noProof/>
        </w:rPr>
        <w:t>(Terkildsen, 1960)</w:t>
      </w:r>
      <w:r w:rsidRPr="005B65DF">
        <w:fldChar w:fldCharType="end"/>
      </w:r>
      <w:r w:rsidRPr="005B65DF">
        <w:t xml:space="preserve">. Our findings in chinchillas had significantly less latency, around 6 ms, but were comparable to Djupesland’s number. </w:t>
      </w:r>
      <w:r w:rsidR="00741833" w:rsidRPr="005B65DF">
        <w:t xml:space="preserve">The closest available results in chinchillas calculated the latency between a reflex-eliciting stimulus and the inhibition of DPOAE results </w:t>
      </w:r>
      <w:r w:rsidR="00741833" w:rsidRPr="005B65DF">
        <w:fldChar w:fldCharType="begin" w:fldLock="1"/>
      </w:r>
      <w:r w:rsidR="006C7BBF" w:rsidRPr="005B65DF">
        <w:instrText>ADDIN CSL_CITATION {"citationItems":[{"id":"ITEM-1","itemData":{"DOI":"10.1159/000356174","ISSN":"14219700","PMID":"24335024","abstract":"Objectives: Mediated by the medial olivocochlear system (MOCS), distortion product otoacoustic emission (DPOAE) levels are reduced by presentation of contralateral acoustic stimuli. Such acoustic signals can also evoke a middle ear muscle reflex (MEMR) that also attenuates recorded DPOAE levels. Our aim is to clearly differentiate these two inhibitory mechanisms and to analyze each separately, perhaps allowing the development of novel tests of hearing function. Methods: DPOAE were recorded in real time from chinchillas with normal auditory brainstem response thresholds and middle ear function. Amplitude reduction and its onset latency caused by contralateral presentation of intermittent narrow-band noise (NBN) were measured. Stapedius and tensor tympani muscle tendons were divided without disturbing the ossicular chain, and DPOAE testing was repeated. Results: Peak reduction of (2f1 - f2) DPOAE levels occurred when the center frequency of contralateral NBN approximated the primary tone f2, indicating an f2-frequency-specific response. For a 4.5-kHz centered NBN, DPOAE (f2 = 4.4 kHz) inhibition was 0.1 dB (p &lt; 0.001). This response remained present after tendon division, consistent with an MOCS origin. Low-frequency NBN (center frequency: 0.5 kHz) reduced otoacoustic emission levels (0.1 dB, p &lt; 0.001) across a wide range of DPOAE frequencies. This low-frequency response was abolished by division of the middle ear muscle tendons, clearly indicating MEMR involvement. Conclusions: Following middle ear muscle tendon division, DPOAE inhibition by contralateral stimuli approximating the primary tone f2 persists, whereas responses evoked by lower contralateral frequencies are abolished. This distinguishes the different roles of the MOCS (f2 frequency specific) and MEMR (low frequency only) in contralateral modulation of DPOAE. This analysis helps clarify the pathways involved in an objective test that might have clinical benefit in the testing of neonates. © 2013 S. Karger AG, Basel.","author":[{"dropping-particle":"","family":"Wolter","given":"Nikolaus E.","non-dropping-particle":"","parse-names":false,"suffix":""},{"dropping-particle":"V.","family":"Harrison","given":"Robert","non-dropping-particle":"","parse-names":false,"suffix":""},{"dropping-particle":"","family":"James","given":"Adrian L.","non-dropping-particle":"","parse-names":false,"suffix":""}],"container-title":"Audiology and Neurotology","id":"ITEM-1","issue":"1","issued":{"date-parts":[["2014"]]},"page":"41-48","title":"Separating the contributions of olivocochlear and middle ear muscle reflexes in modulation of distortion product otoacoustic emission levels","type":"article-journal","volume":"19"},"uris":["http://www.mendeley.com/documents/?uuid=54b5ce87-a803-4b8f-aab8-be3436bd0945"]}],"mendeley":{"formattedCitation":"(Wolter et al., 2014)","plainTextFormattedCitation":"(Wolter et al., 2014)","previouslyFormattedCitation":"(Wolter et al., 2014)"},"properties":{"noteIndex":0},"schema":"https://github.com/citation-style-language/schema/raw/master/csl-citation.json"}</w:instrText>
      </w:r>
      <w:r w:rsidR="00741833" w:rsidRPr="005B65DF">
        <w:fldChar w:fldCharType="separate"/>
      </w:r>
      <w:r w:rsidR="006C7BBF" w:rsidRPr="005B65DF">
        <w:rPr>
          <w:noProof/>
        </w:rPr>
        <w:t>(Wolter et al., 2014)</w:t>
      </w:r>
      <w:r w:rsidR="00741833" w:rsidRPr="005B65DF">
        <w:fldChar w:fldCharType="end"/>
      </w:r>
      <w:r w:rsidR="00741833" w:rsidRPr="005B65DF">
        <w:t>.</w:t>
      </w:r>
      <w:r w:rsidR="00B36517" w:rsidRPr="005B65DF">
        <w:t xml:space="preserve"> DPOAE is an acoustic response generated by the response of inner ear hair cells when a pair of tonal stimuli is presented and is used to verify healthy cochlear activity. The study tested both control animals and chinchillas with severed ear muscle tendons; in the control </w:t>
      </w:r>
      <w:r w:rsidR="00B36517" w:rsidRPr="005B65DF">
        <w:lastRenderedPageBreak/>
        <w:t>animals, there was a latency of 96</w:t>
      </w:r>
      <w:r w:rsidR="00B36517" w:rsidRPr="005B65DF">
        <w:rPr>
          <w:rFonts w:cstheme="minorHAnsi"/>
        </w:rPr>
        <w:t>±</w:t>
      </w:r>
      <w:r w:rsidR="00B36517" w:rsidRPr="005B65DF">
        <w:t>16 ms at 0.5 kHz and 37</w:t>
      </w:r>
      <w:r w:rsidR="00B36517" w:rsidRPr="005B65DF">
        <w:rPr>
          <w:rFonts w:cstheme="minorHAnsi"/>
        </w:rPr>
        <w:t>±15 ms at 4.5 k</w:t>
      </w:r>
      <w:r w:rsidR="00F3023F" w:rsidRPr="005B65DF">
        <w:rPr>
          <w:rFonts w:cstheme="minorHAnsi"/>
        </w:rPr>
        <w:t>H</w:t>
      </w:r>
      <w:r w:rsidR="00B36517" w:rsidRPr="005B65DF">
        <w:rPr>
          <w:rFonts w:cstheme="minorHAnsi"/>
        </w:rPr>
        <w:t>z. Both of these were elevated compared to the latencies found in this study but may not be directly comparable as they are based on the reflex’s impact on a different test, which may introduce additional lag time.</w:t>
      </w:r>
    </w:p>
    <w:p w14:paraId="09B89E89" w14:textId="123BBABD" w:rsidR="00003087" w:rsidRPr="005B65DF" w:rsidRDefault="00003087" w:rsidP="00003087">
      <w:pPr>
        <w:pStyle w:val="Heading3"/>
      </w:pPr>
      <w:bookmarkStart w:id="60" w:name="_Toc185915"/>
      <w:r w:rsidRPr="005B65DF">
        <w:t>2.4.3 Surgical Electrode Insertion Success Rate</w:t>
      </w:r>
      <w:bookmarkEnd w:id="60"/>
    </w:p>
    <w:p w14:paraId="0AA6AE23" w14:textId="77777777" w:rsidR="00C020B0" w:rsidRPr="005B65DF" w:rsidRDefault="00251BDB" w:rsidP="00C020B0">
      <w:r w:rsidRPr="005B65DF">
        <w:t xml:space="preserve">The surgical procedure for accessing the stapedius is difficult as the ossicles and middle ear muscles are small and fragile. In the course of drilling away the bone needed to expose the stapedius, a slip of the hand could cause the destruction of the bones of the middle ear, rendering the animal deaf on that side and making experimentation impossible. </w:t>
      </w:r>
      <w:r w:rsidR="00C020B0" w:rsidRPr="005B65DF">
        <w:t>This resulted in a not insignificant number of failed tests, in which electrode insertion was never successfully achieved. When this occurred, the ear on the other side of the animal was operated on and insertion was attempted there. This did in some cases allow for effective testing, but efforts to reduce the failure rate became a major focus of this project after it was started.</w:t>
      </w:r>
    </w:p>
    <w:p w14:paraId="37732951" w14:textId="7C7CB44A" w:rsidR="00C020B0" w:rsidRPr="005B65DF" w:rsidRDefault="00C020B0" w:rsidP="00251BDB">
      <w:r w:rsidRPr="005B65DF">
        <w:t>This study was performed prior to the acquisition of a dedicated surgical space in the laboratory. This acquisition, between the performance of this work and that described in chapter 3, helped in minimizing potential</w:t>
      </w:r>
      <w:r w:rsidR="00251BDB" w:rsidRPr="005B65DF">
        <w:t xml:space="preserve"> distractions</w:t>
      </w:r>
      <w:r w:rsidRPr="005B65DF">
        <w:t xml:space="preserve"> in the course of the surgical insertion. T</w:t>
      </w:r>
      <w:r w:rsidR="00251BDB" w:rsidRPr="005B65DF">
        <w:t xml:space="preserve">echniques </w:t>
      </w:r>
      <w:r w:rsidRPr="005B65DF">
        <w:t xml:space="preserve">were developed </w:t>
      </w:r>
      <w:r w:rsidR="00251BDB" w:rsidRPr="005B65DF">
        <w:t xml:space="preserve">to minimize the chance of damaging the </w:t>
      </w:r>
      <w:r w:rsidRPr="005B65DF">
        <w:t>ossicles</w:t>
      </w:r>
      <w:r w:rsidR="00251BDB" w:rsidRPr="005B65DF">
        <w:t xml:space="preserve">, including bracing the arm holding the drill against a surface to improve the drill’s stability and </w:t>
      </w:r>
      <w:r w:rsidRPr="005B65DF">
        <w:t xml:space="preserve">designing, manufacturing, and </w:t>
      </w:r>
      <w:r w:rsidR="00251BDB" w:rsidRPr="005B65DF">
        <w:t xml:space="preserve">using a special operating </w:t>
      </w:r>
      <w:r w:rsidRPr="005B65DF">
        <w:t xml:space="preserve">platform </w:t>
      </w:r>
      <w:r w:rsidR="00251BDB" w:rsidRPr="005B65DF">
        <w:t xml:space="preserve">that allows the animal to be rotated and angled to allow for the best possible entrance angle for the drill. </w:t>
      </w:r>
      <w:r w:rsidR="00003087" w:rsidRPr="005B65DF">
        <w:t>The procedures for fixing the electrodes in place were also improved; initially, only putty was used for this purpose, but the fixation was not adequate to keep the electrode in place. These changes led to a significantly higher rate of success in subsequent electrode studies.</w:t>
      </w:r>
    </w:p>
    <w:p w14:paraId="5804CF88" w14:textId="77777777" w:rsidR="00E628DF" w:rsidRPr="005B65DF" w:rsidRDefault="00E628DF" w:rsidP="00E628DF">
      <w:pPr>
        <w:pStyle w:val="Heading3"/>
      </w:pPr>
      <w:bookmarkStart w:id="61" w:name="_Toc185916"/>
      <w:r w:rsidRPr="005B65DF">
        <w:lastRenderedPageBreak/>
        <w:t>2.4.4 Study Limitations</w:t>
      </w:r>
      <w:bookmarkEnd w:id="61"/>
    </w:p>
    <w:p w14:paraId="4B9A7CB5" w14:textId="6619DAF5" w:rsidR="00E628DF" w:rsidRPr="005B65DF" w:rsidRDefault="00E628DF" w:rsidP="00E628DF">
      <w:r w:rsidRPr="005B65DF">
        <w:t xml:space="preserve">With the level of disagreement between the two methods used, this study would have greatly benefited from an additional method of testing the MEMR threshold in order to verify whether ART </w:t>
      </w:r>
      <w:r w:rsidR="00817673" w:rsidRPr="005B65DF">
        <w:t xml:space="preserve">testing </w:t>
      </w:r>
      <w:r w:rsidRPr="005B65DF">
        <w:t>or EMG was more accurate. One possibility would be utilizing the cochlear microphonic as in Gerhardt’s study (1979).</w:t>
      </w:r>
      <w:r w:rsidR="00273095" w:rsidRPr="005B65DF">
        <w:t xml:space="preserve"> Another downside of EMG for MEMR measurement is that only the electrical activity of the muscle is measured; the actual force output by the muscle is still unknown. It would be difficult to fit a force transducer into the ear, but if possible it would be valuable to correlate the electrical activity with the actual force output of the muscle. Laser Doppler vibrometry (LDV) is an alternative option for measuring the motion of the ossicular chain during muscle activation.</w:t>
      </w:r>
    </w:p>
    <w:p w14:paraId="00AEFF9A" w14:textId="77777777" w:rsidR="007B6B12" w:rsidRPr="005B65DF" w:rsidRDefault="007B6B12" w:rsidP="00E628DF">
      <w:r w:rsidRPr="005B65DF">
        <w:br w:type="page"/>
      </w:r>
    </w:p>
    <w:p w14:paraId="5490743C" w14:textId="77777777" w:rsidR="00720002" w:rsidRPr="005B65DF" w:rsidRDefault="0035104F" w:rsidP="00A02A61">
      <w:pPr>
        <w:pStyle w:val="Heading1"/>
      </w:pPr>
      <w:bookmarkStart w:id="62" w:name="_Toc185917"/>
      <w:r w:rsidRPr="005B65DF">
        <w:lastRenderedPageBreak/>
        <w:t>Behavior of Middle Ear Muscle Reflex in Response to Blast Overpressure</w:t>
      </w:r>
      <w:bookmarkEnd w:id="62"/>
    </w:p>
    <w:p w14:paraId="44C811F7" w14:textId="77777777" w:rsidR="00720002" w:rsidRPr="005B65DF" w:rsidRDefault="00247B6B" w:rsidP="00720002">
      <w:pPr>
        <w:pStyle w:val="Heading2"/>
      </w:pPr>
      <w:bookmarkStart w:id="63" w:name="_Toc185918"/>
      <w:r w:rsidRPr="005B65DF">
        <w:t>3.1 Introduction</w:t>
      </w:r>
      <w:bookmarkEnd w:id="63"/>
    </w:p>
    <w:p w14:paraId="4A6612D0" w14:textId="571D655B" w:rsidR="00247B6B" w:rsidRPr="005B65DF" w:rsidRDefault="00D6395A" w:rsidP="0035104F">
      <w:r w:rsidRPr="005B65DF">
        <w:t>Blast trauma is a major cause of hearing damage</w:t>
      </w:r>
      <w:r w:rsidR="00A27F14" w:rsidRPr="005B65DF">
        <w:t xml:space="preserve">. </w:t>
      </w:r>
      <w:r w:rsidR="009A75C5" w:rsidRPr="005B65DF">
        <w:t xml:space="preserve">Although </w:t>
      </w:r>
      <w:r w:rsidR="00A27F14" w:rsidRPr="005B65DF">
        <w:t xml:space="preserve">a blast exposure only lasts for a few milliseconds, the extreme pressure involved can rupture ear drums, disarticulate the ossicular chain, or even cause damage to the cochlea, auditory nerve, or brain. </w:t>
      </w:r>
      <w:r w:rsidR="002266CD" w:rsidRPr="005B65DF">
        <w:t>Because a blast wave is so ephemeral in duration and intense in energy, its mechanisms of damage may be different from those of other dangerously loud sounds. It is thus important to study what precisely goes wrong in an animal’s ears when impacted by a blast wave.</w:t>
      </w:r>
    </w:p>
    <w:p w14:paraId="48EC867C" w14:textId="0D46EBF5" w:rsidR="00A27F14" w:rsidRPr="005B65DF" w:rsidRDefault="00A27F14" w:rsidP="0035104F">
      <w:r w:rsidRPr="005B65DF">
        <w:t>In order to study how the ear reacts to blasts, an anechoic blast chamber</w:t>
      </w:r>
      <w:r w:rsidR="005E3726" w:rsidRPr="005B65DF">
        <w:t xml:space="preserve"> </w:t>
      </w:r>
      <w:r w:rsidRPr="005B65DF">
        <w:t xml:space="preserve">was used. </w:t>
      </w:r>
      <w:r w:rsidR="005E3726" w:rsidRPr="005B65DF">
        <w:t>Withi</w:t>
      </w:r>
      <w:r w:rsidRPr="005B65DF">
        <w:t>n this chamber is an apparatus</w:t>
      </w:r>
      <w:r w:rsidR="001F0EE6" w:rsidRPr="005B65DF">
        <w:t>, pictured in Fig. 3.1</w:t>
      </w:r>
      <w:r w:rsidR="009A75C5" w:rsidRPr="005B65DF">
        <w:t>,</w:t>
      </w:r>
      <w:r w:rsidRPr="005B65DF">
        <w:t xml:space="preserve"> that pressurizes a small cylindrical chamber with N</w:t>
      </w:r>
      <w:r w:rsidRPr="005B65DF">
        <w:rPr>
          <w:vertAlign w:val="subscript"/>
        </w:rPr>
        <w:t>2</w:t>
      </w:r>
      <w:r w:rsidRPr="005B65DF">
        <w:t xml:space="preserve"> gas. The only outlet of this chamber is an orifice that can be blocked with a poly</w:t>
      </w:r>
      <w:r w:rsidR="001E525B" w:rsidRPr="005B65DF">
        <w:t>carbonate</w:t>
      </w:r>
      <w:r w:rsidR="002266CD" w:rsidRPr="005B65DF">
        <w:t xml:space="preserve"> film. By pressurizing the film to the point of its rupture, a blast overpressure wave between 1-30 psi is generated. To control the blast level incident on a specimen, varying film thicknesses create different original blast amplitudes and samples may be suspended a variable distance from the orifice in order to control how much energy dissipates before it reaches them.</w:t>
      </w:r>
      <w:r w:rsidRPr="005B65DF">
        <w:t xml:space="preserve"> </w:t>
      </w:r>
      <w:r w:rsidR="00116624" w:rsidRPr="005B65DF">
        <w:t xml:space="preserve">This method has been previously established in our lab for modeling blast damage with human cadaver specimens </w:t>
      </w:r>
      <w:r w:rsidR="00116624" w:rsidRPr="005B65DF">
        <w:fldChar w:fldCharType="begin" w:fldLock="1"/>
      </w:r>
      <w:r w:rsidR="00E01826" w:rsidRPr="005B65DF">
        <w:instrText>ADDIN CSL_CITATION {"citationItems":[{"id":"ITEM-1","itemData":{"DOI":"10.1007/s10439-017-1870-0","ISSN":"0090-6964","author":[{"dropping-particle":"","family":"Engles","given":"Warren G.","non-dropping-particle":"","parse-names":false,"suffix":""},{"dropping-particle":"","family":"Wang","given":"Xuelin","non-dropping-particle":"","parse-names":false,"suffix":""},{"dropping-particle":"","family":"Gan","given":"Rong Z.","non-dropping-particle":"","parse-names":false,"suffix":""}],"container-title":"Annals of Biomedical Engineering","id":"ITEM-1","issue":"10","issued":{"date-parts":[["2017","10","20"]]},"page":"2383-2394","title":"Dynamic Properties of Human Tympanic Membrane After Exposure to Blast Waves","type":"article-journal","volume":"45"},"uris":["http://www.mendeley.com/documents/?uuid=b5cf28ba-7d95-4ab0-bf12-1369e86f246a"]}],"mendeley":{"formattedCitation":"(Engles et al., 2017)","plainTextFormattedCitation":"(Engles et al., 2017)","previouslyFormattedCitation":"(Engles et al., 2017)"},"properties":{"noteIndex":0},"schema":"https://github.com/citation-style-language/schema/raw/master/csl-citation.json"}</w:instrText>
      </w:r>
      <w:r w:rsidR="00116624" w:rsidRPr="005B65DF">
        <w:fldChar w:fldCharType="separate"/>
      </w:r>
      <w:r w:rsidR="009D66ED" w:rsidRPr="005B65DF">
        <w:rPr>
          <w:noProof/>
        </w:rPr>
        <w:t>(Engles et al., 2017)</w:t>
      </w:r>
      <w:r w:rsidR="00116624" w:rsidRPr="005B65DF">
        <w:fldChar w:fldCharType="end"/>
      </w:r>
      <w:r w:rsidR="00116624" w:rsidRPr="005B65DF">
        <w:t xml:space="preserve">. </w:t>
      </w:r>
      <w:r w:rsidRPr="005B65DF">
        <w:t xml:space="preserve">The chamber is lined with polyurethane foam and is contained within a room that is closed off for testing, providing two </w:t>
      </w:r>
      <w:r w:rsidR="002266CD" w:rsidRPr="005B65DF">
        <w:t>degrees of separation between the operator and the blast.</w:t>
      </w:r>
    </w:p>
    <w:p w14:paraId="34F0237B" w14:textId="77777777" w:rsidR="001F0EE6" w:rsidRPr="005B65DF" w:rsidRDefault="001F0EE6" w:rsidP="001C7D4B">
      <w:pPr>
        <w:ind w:firstLine="0"/>
      </w:pPr>
      <w:r w:rsidRPr="005B65DF">
        <w:rPr>
          <w:noProof/>
          <w:lang w:bidi="ar-SA"/>
        </w:rPr>
        <w:lastRenderedPageBreak/>
        <w:drawing>
          <wp:inline distT="0" distB="0" distL="0" distR="0" wp14:anchorId="485C8B55" wp14:editId="1F6E733E">
            <wp:extent cx="5394960" cy="4171950"/>
            <wp:effectExtent l="0" t="0" r="0" b="0"/>
            <wp:docPr id="412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 name="Picture 46"/>
                    <pic:cNvPicPr>
                      <a:picLocks noChangeAspect="1" noChangeArrowheads="1"/>
                    </pic:cNvPicPr>
                  </pic:nvPicPr>
                  <pic:blipFill rotWithShape="1">
                    <a:blip r:embed="rId38">
                      <a:extLst>
                        <a:ext uri="{28A0092B-C50C-407E-A947-70E740481C1C}">
                          <a14:useLocalDpi xmlns:a14="http://schemas.microsoft.com/office/drawing/2010/main" val="0"/>
                        </a:ext>
                      </a:extLst>
                    </a:blip>
                    <a:srcRect t="8128" b="5035"/>
                    <a:stretch/>
                  </pic:blipFill>
                  <pic:spPr bwMode="auto">
                    <a:xfrm>
                      <a:off x="0" y="0"/>
                      <a:ext cx="5394960" cy="4171950"/>
                    </a:xfrm>
                    <a:prstGeom prst="rect">
                      <a:avLst/>
                    </a:prstGeom>
                    <a:noFill/>
                    <a:ln>
                      <a:noFill/>
                    </a:ln>
                    <a:extLst>
                      <a:ext uri="{53640926-AAD7-44D8-BBD7-CCE9431645EC}">
                        <a14:shadowObscured xmlns:a14="http://schemas.microsoft.com/office/drawing/2010/main"/>
                      </a:ext>
                    </a:extLst>
                  </pic:spPr>
                </pic:pic>
              </a:graphicData>
            </a:graphic>
          </wp:inline>
        </w:drawing>
      </w:r>
    </w:p>
    <w:p w14:paraId="7B8DF6C1" w14:textId="05D8D7D9" w:rsidR="001F0EE6" w:rsidRPr="005B65DF" w:rsidRDefault="001F0EE6" w:rsidP="001F0EE6">
      <w:pPr>
        <w:pStyle w:val="Caption"/>
        <w:ind w:left="720"/>
      </w:pPr>
      <w:bookmarkStart w:id="64" w:name="_Toc185839"/>
      <w:r w:rsidRPr="005B65DF">
        <w:t xml:space="preserve">Figure </w:t>
      </w:r>
      <w:fldSimple w:instr=" STYLEREF 1 \s ">
        <w:r w:rsidR="00FC3CCD">
          <w:rPr>
            <w:noProof/>
          </w:rPr>
          <w:t>3</w:t>
        </w:r>
      </w:fldSimple>
      <w:r w:rsidR="00216C1B">
        <w:noBreakHyphen/>
      </w:r>
      <w:fldSimple w:instr=" SEQ Figure \* ARABIC \s 1 ">
        <w:r w:rsidR="00FC3CCD">
          <w:rPr>
            <w:noProof/>
          </w:rPr>
          <w:t>1</w:t>
        </w:r>
      </w:fldSimple>
      <w:r w:rsidR="003B7C2A" w:rsidRPr="005B65DF">
        <w:rPr>
          <w:noProof/>
        </w:rPr>
        <w:t>.</w:t>
      </w:r>
      <w:r w:rsidRPr="005B65DF">
        <w:t xml:space="preserve"> Blast apparatus schematic</w:t>
      </w:r>
      <w:r w:rsidR="003B7C2A" w:rsidRPr="005B65DF">
        <w:t>.</w:t>
      </w:r>
      <w:bookmarkEnd w:id="64"/>
    </w:p>
    <w:p w14:paraId="1040387C" w14:textId="77777777" w:rsidR="001F0EE6" w:rsidRPr="005B65DF" w:rsidRDefault="001F0EE6" w:rsidP="001F0EE6"/>
    <w:p w14:paraId="0AC3B5F5" w14:textId="77777777" w:rsidR="00247B6B" w:rsidRPr="005B65DF" w:rsidRDefault="00247B6B" w:rsidP="00247B6B">
      <w:pPr>
        <w:pStyle w:val="Heading2"/>
      </w:pPr>
      <w:bookmarkStart w:id="65" w:name="_Toc185919"/>
      <w:r w:rsidRPr="005B65DF">
        <w:t>3.2 Experimental Setup</w:t>
      </w:r>
      <w:bookmarkEnd w:id="65"/>
    </w:p>
    <w:p w14:paraId="1128215E" w14:textId="77777777" w:rsidR="00841698" w:rsidRPr="005B65DF" w:rsidRDefault="00391E41" w:rsidP="0026427F">
      <w:pPr>
        <w:pStyle w:val="Heading3"/>
      </w:pPr>
      <w:bookmarkStart w:id="66" w:name="_Toc185920"/>
      <w:r w:rsidRPr="005B65DF">
        <w:t>3.2.1 Chinchilla Specimens</w:t>
      </w:r>
      <w:bookmarkEnd w:id="66"/>
    </w:p>
    <w:p w14:paraId="4B94D0D0" w14:textId="5A1A2A0C" w:rsidR="002266CD" w:rsidRPr="005B65DF" w:rsidRDefault="002266CD" w:rsidP="002266CD">
      <w:r w:rsidRPr="005B65DF">
        <w:t>Healthy adult chinch</w:t>
      </w:r>
      <w:r w:rsidR="00391E41" w:rsidRPr="005B65DF">
        <w:t>illas (Chinchilla lanigera, n</w:t>
      </w:r>
      <w:r w:rsidR="0079133B" w:rsidRPr="005B65DF">
        <w:t>=10</w:t>
      </w:r>
      <w:r w:rsidRPr="005B65DF">
        <w:t>) of mixed sex weighing between 5</w:t>
      </w:r>
      <w:r w:rsidR="00247D31" w:rsidRPr="005B65DF">
        <w:t>75</w:t>
      </w:r>
      <w:r w:rsidRPr="005B65DF">
        <w:t xml:space="preserve"> and </w:t>
      </w:r>
      <w:r w:rsidR="00247D31" w:rsidRPr="005B65DF">
        <w:t xml:space="preserve">700 </w:t>
      </w:r>
      <w:r w:rsidRPr="005B65DF">
        <w:t>grams were included in this study. The study protocol was approved by the Institutional Animal Care and Use Committee of the University of Oklahoma and met the guidelines of the National Institutes of Health. Animals were acquired from Moulton Chinchilla Ranch, Rochester, MN. They were housed at OU’s animal facility and given a minimum of three days there to acclimate before being tested.</w:t>
      </w:r>
    </w:p>
    <w:p w14:paraId="271BA836" w14:textId="77777777" w:rsidR="002266CD" w:rsidRPr="005B65DF" w:rsidRDefault="00391E41" w:rsidP="0026427F">
      <w:pPr>
        <w:pStyle w:val="Heading3"/>
      </w:pPr>
      <w:bookmarkStart w:id="67" w:name="_Toc185921"/>
      <w:r w:rsidRPr="005B65DF">
        <w:lastRenderedPageBreak/>
        <w:t xml:space="preserve">3.2.2 </w:t>
      </w:r>
      <w:r w:rsidR="00845926" w:rsidRPr="005B65DF">
        <w:t>Sedation and Electrode Insertion</w:t>
      </w:r>
      <w:bookmarkEnd w:id="67"/>
    </w:p>
    <w:p w14:paraId="6B10E1A0" w14:textId="77777777" w:rsidR="001F0EE6" w:rsidRPr="005B65DF" w:rsidRDefault="00021FFC" w:rsidP="00391E41">
      <w:r w:rsidRPr="005B65DF">
        <w:t>Animals were sedated as described in 2.2.3. In short, an initial 35 mg/kg ketamine and 7 mg/kg xylazine dose was administered IM, followed by booster doses of ketamine when the animals approached consciousness. Degree of sedation and temperature were monitored throughout testing.</w:t>
      </w:r>
      <w:r w:rsidR="00845926" w:rsidRPr="005B65DF">
        <w:t xml:space="preserve"> </w:t>
      </w:r>
      <w:r w:rsidR="001F0EE6" w:rsidRPr="005B65DF">
        <w:t xml:space="preserve">Once general anesthesia was attained, animals </w:t>
      </w:r>
      <w:r w:rsidR="00845926" w:rsidRPr="005B65DF">
        <w:t xml:space="preserve">were implanted with bipolar eletrodes in preparation for EMG. </w:t>
      </w:r>
    </w:p>
    <w:p w14:paraId="01ACB84E" w14:textId="02F66E6D" w:rsidR="00845926" w:rsidRPr="005B65DF" w:rsidRDefault="00845926" w:rsidP="00391E41">
      <w:r w:rsidRPr="005B65DF">
        <w:t xml:space="preserve">Electrode insertion was as described in 2.2.3 and 2.2.4. In short, a pinnectomy was performed and flesh was cleared away from the auditory bulla. </w:t>
      </w:r>
      <w:r w:rsidR="00CD6DAB" w:rsidRPr="005B65DF">
        <w:t>Tympanic membrane integrity was verified through tympanometry.</w:t>
      </w:r>
      <w:r w:rsidRPr="005B65DF">
        <w:t xml:space="preserve"> A dental drill was used to create a hole in the bulla with further bony septa removed to create a straight path for the electrode. </w:t>
      </w:r>
      <w:r w:rsidR="0055104B" w:rsidRPr="005B65DF">
        <w:t>After insertion via micromanipulator, the electrode was secured via cyanoacrylate glue.</w:t>
      </w:r>
    </w:p>
    <w:p w14:paraId="5A274181" w14:textId="77777777" w:rsidR="00391E41" w:rsidRPr="005B65DF" w:rsidRDefault="00391E41" w:rsidP="0026427F">
      <w:pPr>
        <w:pStyle w:val="Heading3"/>
      </w:pPr>
      <w:bookmarkStart w:id="68" w:name="_Toc185922"/>
      <w:r w:rsidRPr="005B65DF">
        <w:t>3.2.3 Blast Exposure</w:t>
      </w:r>
      <w:bookmarkEnd w:id="68"/>
    </w:p>
    <w:p w14:paraId="2F08E269" w14:textId="398FACD3" w:rsidR="00391E41" w:rsidRPr="005B65DF" w:rsidRDefault="0055104B" w:rsidP="00391E41">
      <w:r w:rsidRPr="005B65DF">
        <w:t>Once prepped for EMG, the chinchilla was placed in a specially designed holder made of PVC pipe</w:t>
      </w:r>
      <w:r w:rsidR="009A75C5" w:rsidRPr="005B65DF">
        <w:t xml:space="preserve"> as</w:t>
      </w:r>
      <w:r w:rsidRPr="005B65DF">
        <w:t xml:space="preserve"> shown in Fig. 3.2. </w:t>
      </w:r>
      <w:r w:rsidR="00C56AFE" w:rsidRPr="005B65DF">
        <w:t>This holder has an internal diameter of 4 inches, wide enough to comfortably fit even large chinchillas. Padding was added to keep smaller animals secure. An adjustable false bottom was used to control how much of each animal was exposed through the opening of the holder with a height selected such that only the head emerged. A sensor holder (right side of the figure) was placed s</w:t>
      </w:r>
      <w:r w:rsidR="00FD2EE5" w:rsidRPr="005B65DF">
        <w:t xml:space="preserve">o </w:t>
      </w:r>
      <w:r w:rsidR="00C56AFE" w:rsidRPr="005B65DF">
        <w:t>that a PC</w:t>
      </w:r>
      <w:r w:rsidR="00A36220">
        <w:t>B</w:t>
      </w:r>
      <w:r w:rsidR="00C56AFE" w:rsidRPr="005B65DF">
        <w:t xml:space="preserve"> Piezotronics (Depew, NY) model 102B16 piezoelectric pressure sensor was at the same height as the animal’s ears. A door in the side allowed access to the animal</w:t>
      </w:r>
      <w:r w:rsidR="00FD2EE5" w:rsidRPr="005B65DF">
        <w:t>’</w:t>
      </w:r>
      <w:r w:rsidR="00C56AFE" w:rsidRPr="005B65DF">
        <w:t>s legs in case further doses of sedative were needed.</w:t>
      </w:r>
      <w:r w:rsidR="003E10E6" w:rsidRPr="005B65DF">
        <w:t xml:space="preserve"> With the animal firmly secure within the holder, it was transported to the anechoic chamber and the holder was secured to a height-adjustable post within.</w:t>
      </w:r>
    </w:p>
    <w:p w14:paraId="4A362E5F" w14:textId="283B91AA" w:rsidR="00C6764C" w:rsidRPr="005B65DF" w:rsidRDefault="00CC04E8" w:rsidP="00C6764C">
      <w:r w:rsidRPr="005B65DF">
        <w:rPr>
          <w:noProof/>
          <w:lang w:bidi="ar-SA"/>
        </w:rPr>
        <w:lastRenderedPageBreak/>
        <w:drawing>
          <wp:anchor distT="0" distB="0" distL="114300" distR="114300" simplePos="0" relativeHeight="251665920" behindDoc="0" locked="0" layoutInCell="1" allowOverlap="1" wp14:anchorId="16BAC871" wp14:editId="3CBE2867">
            <wp:simplePos x="0" y="0"/>
            <wp:positionH relativeFrom="column">
              <wp:posOffset>1456993</wp:posOffset>
            </wp:positionH>
            <wp:positionV relativeFrom="paragraph">
              <wp:posOffset>3748462</wp:posOffset>
            </wp:positionV>
            <wp:extent cx="2565400" cy="423799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565400" cy="4237990"/>
                    </a:xfrm>
                    <a:prstGeom prst="rect">
                      <a:avLst/>
                    </a:prstGeom>
                  </pic:spPr>
                </pic:pic>
              </a:graphicData>
            </a:graphic>
            <wp14:sizeRelH relativeFrom="margin">
              <wp14:pctWidth>0</wp14:pctWidth>
            </wp14:sizeRelH>
            <wp14:sizeRelV relativeFrom="margin">
              <wp14:pctHeight>0</wp14:pctHeight>
            </wp14:sizeRelV>
          </wp:anchor>
        </w:drawing>
      </w:r>
      <w:r w:rsidR="00D87012">
        <w:rPr>
          <w:noProof/>
        </w:rPr>
        <w:pict w14:anchorId="6F99E795">
          <v:shape id="_x0000_s1046" type="#_x0000_t202" style="position:absolute;left:0;text-align:left;margin-left:106.15pt;margin-top:705.9pt;width:215.7pt;height:13.8pt;z-index:251669504;mso-position-horizontal-relative:text;mso-position-vertical-relative:page" stroked="f">
            <v:textbox style="mso-next-textbox:#_x0000_s1046;mso-fit-shape-to-text:t" inset="0,0,0,0">
              <w:txbxContent>
                <w:p w14:paraId="7B7C86AE" w14:textId="1D55AD0E" w:rsidR="00D87012" w:rsidRPr="00FC5495" w:rsidRDefault="00D87012" w:rsidP="003E10E6">
                  <w:pPr>
                    <w:pStyle w:val="Caption"/>
                    <w:rPr>
                      <w:i/>
                    </w:rPr>
                  </w:pPr>
                  <w:bookmarkStart w:id="69" w:name="_Toc185840"/>
                  <w:r>
                    <w:t xml:space="preserve">Figure </w:t>
                  </w:r>
                  <w:fldSimple w:instr=" STYLEREF 1 \s ">
                    <w:r w:rsidR="00FC3CCD">
                      <w:rPr>
                        <w:noProof/>
                      </w:rPr>
                      <w:t>3</w:t>
                    </w:r>
                  </w:fldSimple>
                  <w:r w:rsidR="00216C1B">
                    <w:noBreakHyphen/>
                  </w:r>
                  <w:fldSimple w:instr=" SEQ Figure \* ARABIC \s 1 ">
                    <w:r w:rsidR="00FC3CCD">
                      <w:rPr>
                        <w:noProof/>
                      </w:rPr>
                      <w:t>2</w:t>
                    </w:r>
                  </w:fldSimple>
                  <w:r>
                    <w:rPr>
                      <w:noProof/>
                    </w:rPr>
                    <w:t>.</w:t>
                  </w:r>
                  <w:r>
                    <w:t xml:space="preserve"> Chinchilla blast holder.</w:t>
                  </w:r>
                  <w:bookmarkEnd w:id="69"/>
                </w:p>
              </w:txbxContent>
            </v:textbox>
            <w10:wrap type="topAndBottom" anchory="page"/>
          </v:shape>
        </w:pict>
      </w:r>
      <w:r w:rsidR="003E10E6" w:rsidRPr="005B65DF">
        <w:t>With the animal secure, the blast apparatus was loaded with polycarbonate film</w:t>
      </w:r>
      <w:r w:rsidR="00FD2EE5" w:rsidRPr="005B65DF">
        <w:t>, the thickness of which</w:t>
      </w:r>
      <w:r w:rsidR="003E10E6" w:rsidRPr="005B65DF">
        <w:t xml:space="preserve"> depended on the desired blast amplitude. </w:t>
      </w:r>
      <w:r w:rsidR="00186408" w:rsidRPr="005B65DF">
        <w:t>The combination of film thickness (either 0.13 or 0.25 mm) and distance between the apparatus and the test subject determined the blast amplitude at the point of the animal’s ear</w:t>
      </w:r>
      <w:r w:rsidR="007D1941" w:rsidRPr="005B65DF">
        <w:t xml:space="preserve">, which was recorded via the pressure sensor. </w:t>
      </w:r>
      <w:r w:rsidR="003E10E6" w:rsidRPr="005B65DF">
        <w:t xml:space="preserve">The anechoic chamber was then sealed and the blast </w:t>
      </w:r>
      <w:r w:rsidR="00F854B3" w:rsidRPr="005B65DF">
        <w:t>apparatus was activated remotely. Each animal was exposed to three blasts</w:t>
      </w:r>
      <w:r w:rsidR="00FD2EE5" w:rsidRPr="005B65DF">
        <w:t>:</w:t>
      </w:r>
      <w:r w:rsidR="00F854B3" w:rsidRPr="005B65DF">
        <w:t xml:space="preserve"> one at approximately 1-</w:t>
      </w:r>
      <w:r w:rsidR="00FD2EE5" w:rsidRPr="005B65DF">
        <w:t>3</w:t>
      </w:r>
      <w:r w:rsidR="00F854B3" w:rsidRPr="005B65DF">
        <w:t xml:space="preserve"> psi</w:t>
      </w:r>
      <w:r w:rsidR="00FD2EE5" w:rsidRPr="005B65DF">
        <w:t xml:space="preserve"> (6.9-20.7 kPa or 170.8-180.3 dB);</w:t>
      </w:r>
      <w:r w:rsidR="00F854B3" w:rsidRPr="005B65DF">
        <w:t xml:space="preserve"> one at </w:t>
      </w:r>
      <w:r w:rsidR="00FD2EE5" w:rsidRPr="005B65DF">
        <w:t>3-</w:t>
      </w:r>
      <w:r w:rsidR="00F854B3" w:rsidRPr="005B65DF">
        <w:t>6 psi</w:t>
      </w:r>
      <w:r w:rsidR="00FD2EE5" w:rsidRPr="005B65DF">
        <w:t xml:space="preserve"> (20.7-41.4 kPa or 180.3-186.3 dB);</w:t>
      </w:r>
      <w:r w:rsidR="00F854B3" w:rsidRPr="005B65DF">
        <w:t xml:space="preserve"> and one at </w:t>
      </w:r>
      <w:r w:rsidR="00FD2EE5" w:rsidRPr="005B65DF">
        <w:t>6</w:t>
      </w:r>
      <w:r w:rsidR="00F854B3" w:rsidRPr="005B65DF">
        <w:t>+ psi</w:t>
      </w:r>
      <w:r w:rsidR="00FD2EE5" w:rsidRPr="005B65DF">
        <w:t xml:space="preserve"> (41.4+ kPa or 186.3+ dB)</w:t>
      </w:r>
      <w:r w:rsidR="00F854B3" w:rsidRPr="005B65DF">
        <w:t xml:space="preserve">. Due to the inherent variability of the membrane-rupture blast generation method in the open field, these ranges corresponded to the approximately </w:t>
      </w:r>
      <w:r w:rsidR="00F854B3" w:rsidRPr="005B65DF">
        <w:rPr>
          <w:rFonts w:cstheme="minorHAnsi"/>
        </w:rPr>
        <w:t>±</w:t>
      </w:r>
      <w:r w:rsidR="00F854B3" w:rsidRPr="005B65DF">
        <w:t>2 psi variability in blast amplitude between blasts created with identical setups.</w:t>
      </w:r>
      <w:r w:rsidR="007D1941" w:rsidRPr="005B65DF">
        <w:t xml:space="preserve"> </w:t>
      </w:r>
      <w:r w:rsidR="00C710EE" w:rsidRPr="005B65DF">
        <w:t>Previous blast research determin</w:t>
      </w:r>
      <w:r w:rsidR="00C6764C" w:rsidRPr="005B65DF">
        <w:t>e</w:t>
      </w:r>
      <w:r w:rsidR="00C710EE" w:rsidRPr="005B65DF">
        <w:t xml:space="preserve">d the open field tympanic </w:t>
      </w:r>
      <w:r w:rsidR="00C710EE" w:rsidRPr="005B65DF">
        <w:lastRenderedPageBreak/>
        <w:t xml:space="preserve">membrane rupture threshold of chinchillas to be 9.1 </w:t>
      </w:r>
      <w:r w:rsidR="00C710EE" w:rsidRPr="005B65DF">
        <w:rPr>
          <w:rFonts w:cstheme="minorHAnsi"/>
        </w:rPr>
        <w:t>± 1.7 psi</w:t>
      </w:r>
      <w:r w:rsidR="00FD2EE5" w:rsidRPr="005B65DF">
        <w:rPr>
          <w:rFonts w:cstheme="minorHAnsi"/>
        </w:rPr>
        <w:t xml:space="preserve"> or 62.7</w:t>
      </w:r>
      <w:r w:rsidR="00FD2EE5" w:rsidRPr="005B65DF">
        <w:t xml:space="preserve"> </w:t>
      </w:r>
      <w:r w:rsidR="00FD2EE5" w:rsidRPr="005B65DF">
        <w:rPr>
          <w:rFonts w:cstheme="minorHAnsi"/>
        </w:rPr>
        <w:t>± 11.7 kPa</w:t>
      </w:r>
      <w:r w:rsidR="00C710EE" w:rsidRPr="005B65DF">
        <w:rPr>
          <w:rFonts w:cstheme="minorHAnsi"/>
        </w:rPr>
        <w:t xml:space="preserve"> </w:t>
      </w:r>
      <w:r w:rsidR="00C710EE" w:rsidRPr="005B65DF">
        <w:rPr>
          <w:rFonts w:cstheme="minorHAnsi"/>
        </w:rPr>
        <w:fldChar w:fldCharType="begin" w:fldLock="1"/>
      </w:r>
      <w:r w:rsidR="00E01826" w:rsidRPr="005B65DF">
        <w:rPr>
          <w:rFonts w:cstheme="minorHAnsi"/>
        </w:rPr>
        <w:instrText>ADDIN CSL_CITATION {"citationItems":[{"id":"ITEM-1","itemData":{"DOI":"10.1016/j.heares.2016.01.004","ISSN":"03785955","author":[{"dropping-particle":"","family":"Gan","given":"Rong Z","non-dropping-particle":"","parse-names":false,"suffix":""},{"dropping-particle":"","family":"Nakmali","given":"Don","non-dropping-particle":"","parse-names":false,"suffix":""},{"dropping-particle":"","family":"Ji","given":"Xiao D","non-dropping-particle":"","parse-names":false,"suffix":""},{"dropping-particle":"","family":"Leckness","given":"Kegan","non-dropping-particle":"","parse-names":false,"suffix":""},{"dropping-particle":"","family":"Yokell","given":"Zachary","non-dropping-particle":"","parse-names":false,"suffix":""}],"container-title":"Hearing Research","id":"ITEM-1","issued":{"date-parts":[["2016","10"]]},"page":"25-34","title":"Mechanical damage of tympanic membrane in relation to impulse pressure waveform – A study in chinchillas","type":"article-journal","volume":"340"},"uris":["http://www.mendeley.com/documents/?uuid=13d2e890-7867-3cfc-b147-8c6f5852040a"]}],"mendeley":{"formattedCitation":"(Gan et al., 2016)","plainTextFormattedCitation":"(Gan et al., 2016)","previouslyFormattedCitation":"(Gan et al., 2016)"},"properties":{"noteIndex":0},"schema":"https://github.com/citation-style-language/schema/raw/master/csl-citation.json"}</w:instrText>
      </w:r>
      <w:r w:rsidR="00C710EE" w:rsidRPr="005B65DF">
        <w:rPr>
          <w:rFonts w:cstheme="minorHAnsi"/>
        </w:rPr>
        <w:fldChar w:fldCharType="separate"/>
      </w:r>
      <w:r w:rsidR="009D66ED" w:rsidRPr="005B65DF">
        <w:rPr>
          <w:rFonts w:cstheme="minorHAnsi"/>
          <w:noProof/>
        </w:rPr>
        <w:t>(Gan et al., 2016)</w:t>
      </w:r>
      <w:r w:rsidR="00C710EE" w:rsidRPr="005B65DF">
        <w:rPr>
          <w:rFonts w:cstheme="minorHAnsi"/>
        </w:rPr>
        <w:fldChar w:fldCharType="end"/>
      </w:r>
      <w:r w:rsidR="00C710EE" w:rsidRPr="005B65DF">
        <w:rPr>
          <w:rFonts w:cstheme="minorHAnsi"/>
        </w:rPr>
        <w:t>.</w:t>
      </w:r>
      <w:r w:rsidR="00C710EE" w:rsidRPr="005B65DF">
        <w:t xml:space="preserve"> These three ranges were selected based on that; the lowest range was at least two standard deviations away from the mean rupture threshold, the middle range was close enough to the threshold that rupture was fairly likely, and the final blast intensity was intense enough to almost certainly rupture the tympanic membrane and cause significant hearing damage</w:t>
      </w:r>
      <w:r w:rsidR="00336FC8" w:rsidRPr="005B65DF">
        <w:t xml:space="preserve"> without causing fatalities</w:t>
      </w:r>
      <w:r w:rsidR="00C710EE" w:rsidRPr="005B65DF">
        <w:t xml:space="preserve">. </w:t>
      </w:r>
      <w:r w:rsidR="007D1941" w:rsidRPr="005B65DF">
        <w:t>For each blast, data from the pressure sensor and electrode were simultaneously recorded through separate channels of a cDAQ-9174 (National Instruments, Austin, TX)</w:t>
      </w:r>
      <w:r w:rsidR="00417B58" w:rsidRPr="005B65DF">
        <w:t xml:space="preserve"> 4-channel compact data acquisition system wired into a model 482C (PCB Piezotronics, Depew, NY) signal conditioner, controlled by NI LabVIEW SignalExpress software.</w:t>
      </w:r>
      <w:r w:rsidR="00C6764C" w:rsidRPr="005B65DF">
        <w:t xml:space="preserve"> Animals were euthanized at the end of EMG testing </w:t>
      </w:r>
      <w:r w:rsidR="00F0745F" w:rsidRPr="005B65DF">
        <w:t xml:space="preserve">via intraperitoneal administration of </w:t>
      </w:r>
      <w:r w:rsidR="00C6764C" w:rsidRPr="005B65DF">
        <w:t>1 mL of Euthasol (Pentobarbital Sodium 390 mg/ml and Phenytoin Sodium 50 mg/ml).</w:t>
      </w:r>
    </w:p>
    <w:p w14:paraId="2DCEA9E0" w14:textId="77777777" w:rsidR="00391E41" w:rsidRPr="005B65DF" w:rsidRDefault="00391E41" w:rsidP="00417B58">
      <w:pPr>
        <w:ind w:firstLine="0"/>
      </w:pPr>
    </w:p>
    <w:p w14:paraId="6620D347" w14:textId="77777777" w:rsidR="00CC04E8" w:rsidRPr="005B65DF" w:rsidRDefault="00CC04E8" w:rsidP="00417B58">
      <w:pPr>
        <w:ind w:firstLine="0"/>
      </w:pPr>
    </w:p>
    <w:p w14:paraId="61876A8B" w14:textId="77777777" w:rsidR="00CC04E8" w:rsidRPr="005B65DF" w:rsidRDefault="00CC04E8" w:rsidP="00417B58">
      <w:pPr>
        <w:ind w:firstLine="0"/>
      </w:pPr>
    </w:p>
    <w:p w14:paraId="230F3595" w14:textId="77777777" w:rsidR="00CC04E8" w:rsidRPr="005B65DF" w:rsidRDefault="00CC04E8" w:rsidP="00417B58">
      <w:pPr>
        <w:ind w:firstLine="0"/>
      </w:pPr>
    </w:p>
    <w:p w14:paraId="19875BDD" w14:textId="77777777" w:rsidR="00CC04E8" w:rsidRPr="005B65DF" w:rsidRDefault="00CC04E8" w:rsidP="00417B58">
      <w:pPr>
        <w:ind w:firstLine="0"/>
      </w:pPr>
    </w:p>
    <w:p w14:paraId="2004682B" w14:textId="77777777" w:rsidR="00FD2EE5" w:rsidRPr="005B65DF" w:rsidRDefault="00FD2EE5" w:rsidP="00417B58">
      <w:pPr>
        <w:ind w:firstLine="0"/>
      </w:pPr>
    </w:p>
    <w:p w14:paraId="641D0838" w14:textId="77777777" w:rsidR="00FD2EE5" w:rsidRPr="005B65DF" w:rsidRDefault="00FD2EE5" w:rsidP="00417B58">
      <w:pPr>
        <w:ind w:firstLine="0"/>
      </w:pPr>
    </w:p>
    <w:p w14:paraId="48D13AF0" w14:textId="77777777" w:rsidR="00FD2EE5" w:rsidRPr="005B65DF" w:rsidRDefault="00FD2EE5" w:rsidP="00417B58">
      <w:pPr>
        <w:ind w:firstLine="0"/>
      </w:pPr>
    </w:p>
    <w:p w14:paraId="1DCEE6ED" w14:textId="77777777" w:rsidR="00FD2EE5" w:rsidRPr="005B65DF" w:rsidRDefault="00FD2EE5" w:rsidP="00417B58">
      <w:pPr>
        <w:ind w:firstLine="0"/>
      </w:pPr>
    </w:p>
    <w:p w14:paraId="6C57D455" w14:textId="77777777" w:rsidR="00391E41" w:rsidRPr="005B65DF" w:rsidRDefault="00391E41" w:rsidP="00391E41"/>
    <w:p w14:paraId="0079B88B" w14:textId="77777777" w:rsidR="00841698" w:rsidRPr="005B65DF" w:rsidRDefault="00841698" w:rsidP="00841698">
      <w:pPr>
        <w:pStyle w:val="Heading2"/>
      </w:pPr>
      <w:bookmarkStart w:id="70" w:name="_Toc185923"/>
      <w:r w:rsidRPr="005B65DF">
        <w:lastRenderedPageBreak/>
        <w:t>3.3 Results</w:t>
      </w:r>
      <w:bookmarkEnd w:id="70"/>
    </w:p>
    <w:p w14:paraId="58DCFA89" w14:textId="1F89E234" w:rsidR="00D825A8" w:rsidRPr="005B65DF" w:rsidRDefault="00021230" w:rsidP="00F875D0">
      <w:r w:rsidRPr="005B65DF">
        <w:t>Blast pressure data generally had a good fit with the ideal open-field Friedlander waveform shown in Fig. 1.2</w:t>
      </w:r>
      <w:r w:rsidR="002434F6" w:rsidRPr="005B65DF">
        <w:t xml:space="preserve"> with a near-instantaneous overpressure peak decreasing back to ambient levels then dipping below ambient for an underpressure phase before returning to ambient values</w:t>
      </w:r>
      <w:r w:rsidRPr="005B65DF">
        <w:t>.</w:t>
      </w:r>
      <w:r w:rsidR="00E02B37" w:rsidRPr="005B65DF">
        <w:t xml:space="preserve"> </w:t>
      </w:r>
      <w:r w:rsidR="002434F6" w:rsidRPr="005B65DF">
        <w:t xml:space="preserve">A pair of blast waveforms are </w:t>
      </w:r>
      <w:r w:rsidR="00E02B37" w:rsidRPr="005B65DF">
        <w:t>given in Fig. 3.3</w:t>
      </w:r>
      <w:r w:rsidR="002434F6" w:rsidRPr="005B65DF">
        <w:t>, one from the lowest (&lt;3 psi) pressure group and one from the highest (&gt;6 psi)</w:t>
      </w:r>
      <w:r w:rsidR="00E02B37" w:rsidRPr="005B65DF">
        <w:t xml:space="preserve">. </w:t>
      </w:r>
      <w:r w:rsidR="002434F6" w:rsidRPr="005B65DF">
        <w:t>In both cases, the underpressure was less than half of the magnitude of the overpressure at their respective minima and maxima, although the higher pressure (left) case more closely resembles the Friedlander curve in that its underpressure trough is shallow. The overpressure duration was about 0.5 ms in both cases whereas the underpressure duration was slightly longer in the higher pressure case compared with the underpressure duration of the lower pressure case. These blast pressure trends were consistent and repeatable through the study.</w:t>
      </w:r>
    </w:p>
    <w:p w14:paraId="1A42F1BB" w14:textId="77777777" w:rsidR="002434F6" w:rsidRPr="005B65DF" w:rsidRDefault="002434F6" w:rsidP="00F875D0"/>
    <w:p w14:paraId="6BB10652" w14:textId="1C0A78A2" w:rsidR="00D825A8" w:rsidRPr="005B65DF" w:rsidRDefault="00481191" w:rsidP="00F20222">
      <w:pPr>
        <w:keepNext/>
        <w:ind w:firstLine="0"/>
      </w:pPr>
      <w:r w:rsidRPr="005B65DF">
        <w:object w:dxaOrig="11259" w:dyaOrig="4306" w14:anchorId="30705383">
          <v:shape id="_x0000_i1028" type="#_x0000_t75" style="width:424.5pt;height:163.5pt" o:ole="">
            <v:imagedata r:id="rId40" o:title=""/>
          </v:shape>
          <o:OLEObject Type="Embed" ProgID="Prism8.Document" ShapeID="_x0000_i1028" DrawAspect="Content" ObjectID="_1610798724" r:id="rId41"/>
        </w:object>
      </w:r>
    </w:p>
    <w:p w14:paraId="7CF02363" w14:textId="26D51F96" w:rsidR="00D825A8" w:rsidRPr="005B65DF" w:rsidRDefault="00D825A8" w:rsidP="00F20222">
      <w:pPr>
        <w:pStyle w:val="Caption"/>
        <w:ind w:firstLine="0"/>
      </w:pPr>
      <w:bookmarkStart w:id="71" w:name="_Toc185841"/>
      <w:r w:rsidRPr="005B65DF">
        <w:t xml:space="preserve">Figure </w:t>
      </w:r>
      <w:fldSimple w:instr=" STYLEREF 1 \s ">
        <w:r w:rsidR="00FC3CCD">
          <w:rPr>
            <w:noProof/>
          </w:rPr>
          <w:t>3</w:t>
        </w:r>
      </w:fldSimple>
      <w:r w:rsidR="00216C1B">
        <w:noBreakHyphen/>
      </w:r>
      <w:fldSimple w:instr=" SEQ Figure \* ARABIC \s 1 ">
        <w:r w:rsidR="00FC3CCD">
          <w:rPr>
            <w:noProof/>
          </w:rPr>
          <w:t>3</w:t>
        </w:r>
      </w:fldSimple>
      <w:r w:rsidR="003B7C2A" w:rsidRPr="005B65DF">
        <w:t>.</w:t>
      </w:r>
      <w:r w:rsidRPr="005B65DF">
        <w:t xml:space="preserve"> Blast pressure data for </w:t>
      </w:r>
      <w:r w:rsidR="00E02B37" w:rsidRPr="005B65DF">
        <w:t>two animals at different blast intensity levels</w:t>
      </w:r>
      <w:r w:rsidR="00481191" w:rsidRPr="005B65DF">
        <w:t xml:space="preserve"> corresponding to the &gt;6 psi (left) and &lt;3 psi (right) cases</w:t>
      </w:r>
      <w:r w:rsidR="003B7C2A" w:rsidRPr="005B65DF">
        <w:t>.</w:t>
      </w:r>
      <w:bookmarkEnd w:id="71"/>
    </w:p>
    <w:p w14:paraId="39CC8238" w14:textId="77777777" w:rsidR="00D825A8" w:rsidRPr="005B65DF" w:rsidRDefault="00D825A8" w:rsidP="00F20222">
      <w:pPr>
        <w:ind w:firstLine="0"/>
      </w:pPr>
    </w:p>
    <w:p w14:paraId="057BF9A8" w14:textId="77777777" w:rsidR="00E02B37" w:rsidRPr="005B65DF" w:rsidRDefault="00E02B37">
      <w:pPr>
        <w:spacing w:line="240" w:lineRule="auto"/>
        <w:ind w:firstLine="0"/>
      </w:pPr>
      <w:r w:rsidRPr="005B65DF">
        <w:br w:type="page"/>
      </w:r>
    </w:p>
    <w:p w14:paraId="58A9631E" w14:textId="3A88D777" w:rsidR="00F875D0" w:rsidRPr="005B65DF" w:rsidRDefault="00021230" w:rsidP="00F875D0">
      <w:r w:rsidRPr="005B65DF">
        <w:rPr>
          <w:noProof/>
          <w:lang w:bidi="ar-SA"/>
        </w:rPr>
        <w:lastRenderedPageBreak/>
        <w:drawing>
          <wp:anchor distT="0" distB="0" distL="114300" distR="114300" simplePos="0" relativeHeight="251696640" behindDoc="0" locked="0" layoutInCell="1" allowOverlap="1" wp14:anchorId="7E3D2F8D" wp14:editId="3D152EE3">
            <wp:simplePos x="0" y="0"/>
            <wp:positionH relativeFrom="column">
              <wp:posOffset>2609215</wp:posOffset>
            </wp:positionH>
            <wp:positionV relativeFrom="paragraph">
              <wp:posOffset>3736975</wp:posOffset>
            </wp:positionV>
            <wp:extent cx="2907030" cy="1937385"/>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07030" cy="1937385"/>
                    </a:xfrm>
                    <a:prstGeom prst="rect">
                      <a:avLst/>
                    </a:prstGeom>
                    <a:noFill/>
                  </pic:spPr>
                </pic:pic>
              </a:graphicData>
            </a:graphic>
            <wp14:sizeRelH relativeFrom="margin">
              <wp14:pctWidth>0</wp14:pctWidth>
            </wp14:sizeRelH>
            <wp14:sizeRelV relativeFrom="margin">
              <wp14:pctHeight>0</wp14:pctHeight>
            </wp14:sizeRelV>
          </wp:anchor>
        </w:drawing>
      </w:r>
      <w:r w:rsidR="00BA66E7" w:rsidRPr="005B65DF">
        <w:rPr>
          <w:noProof/>
          <w:lang w:bidi="ar-SA"/>
        </w:rPr>
        <w:drawing>
          <wp:anchor distT="0" distB="0" distL="114300" distR="114300" simplePos="0" relativeHeight="251691520" behindDoc="0" locked="0" layoutInCell="1" allowOverlap="1" wp14:anchorId="528A7FD7" wp14:editId="70B48338">
            <wp:simplePos x="0" y="0"/>
            <wp:positionH relativeFrom="column">
              <wp:posOffset>2619862</wp:posOffset>
            </wp:positionH>
            <wp:positionV relativeFrom="paragraph">
              <wp:posOffset>5486754</wp:posOffset>
            </wp:positionV>
            <wp:extent cx="2933700" cy="1955800"/>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33700" cy="1955800"/>
                    </a:xfrm>
                    <a:prstGeom prst="rect">
                      <a:avLst/>
                    </a:prstGeom>
                    <a:noFill/>
                  </pic:spPr>
                </pic:pic>
              </a:graphicData>
            </a:graphic>
            <wp14:sizeRelH relativeFrom="margin">
              <wp14:pctWidth>0</wp14:pctWidth>
            </wp14:sizeRelH>
            <wp14:sizeRelV relativeFrom="margin">
              <wp14:pctHeight>0</wp14:pctHeight>
            </wp14:sizeRelV>
          </wp:anchor>
        </w:drawing>
      </w:r>
      <w:r w:rsidR="00D87012">
        <w:rPr>
          <w:noProof/>
        </w:rPr>
        <w:pict w14:anchorId="181C50AA">
          <v:shape id="_x0000_s1063" type="#_x0000_t202" style="position:absolute;left:0;text-align:left;margin-left:8.9pt;margin-top:593.35pt;width:395.35pt;height:13.8pt;z-index:251673600;mso-position-horizontal-relative:text;mso-position-vertical-relative:text" stroked="f">
            <v:textbox style="mso-next-textbox:#_x0000_s1063;mso-fit-shape-to-text:t" inset="0,0,0,0">
              <w:txbxContent>
                <w:p w14:paraId="21302423" w14:textId="1B0920B8" w:rsidR="00D87012" w:rsidRPr="003645C7" w:rsidRDefault="00D87012" w:rsidP="00F875D0">
                  <w:pPr>
                    <w:pStyle w:val="Caption"/>
                    <w:rPr>
                      <w:szCs w:val="24"/>
                    </w:rPr>
                  </w:pPr>
                  <w:bookmarkStart w:id="72" w:name="_Toc185842"/>
                  <w:r>
                    <w:t xml:space="preserve">Figure </w:t>
                  </w:r>
                  <w:fldSimple w:instr=" STYLEREF 1 \s ">
                    <w:r w:rsidR="00FC3CCD">
                      <w:rPr>
                        <w:noProof/>
                      </w:rPr>
                      <w:t>3</w:t>
                    </w:r>
                  </w:fldSimple>
                  <w:r w:rsidR="00216C1B">
                    <w:noBreakHyphen/>
                  </w:r>
                  <w:fldSimple w:instr=" SEQ Figure \* ARABIC \s 1 ">
                    <w:r w:rsidR="00FC3CCD">
                      <w:rPr>
                        <w:noProof/>
                      </w:rPr>
                      <w:t>4</w:t>
                    </w:r>
                  </w:fldSimple>
                  <w:r>
                    <w:t>. Raw EMG blast results from four different animals.</w:t>
                  </w:r>
                  <w:bookmarkEnd w:id="72"/>
                </w:p>
              </w:txbxContent>
            </v:textbox>
            <w10:wrap type="topAndBottom"/>
          </v:shape>
        </w:pict>
      </w:r>
      <w:r w:rsidR="00BA66E7" w:rsidRPr="005B65DF">
        <w:rPr>
          <w:noProof/>
          <w:lang w:bidi="ar-SA"/>
        </w:rPr>
        <w:drawing>
          <wp:anchor distT="0" distB="0" distL="114300" distR="114300" simplePos="0" relativeHeight="251686400" behindDoc="0" locked="0" layoutInCell="1" allowOverlap="1" wp14:anchorId="6706667B" wp14:editId="581AE37E">
            <wp:simplePos x="0" y="0"/>
            <wp:positionH relativeFrom="column">
              <wp:posOffset>-70485</wp:posOffset>
            </wp:positionH>
            <wp:positionV relativeFrom="paragraph">
              <wp:posOffset>5550948</wp:posOffset>
            </wp:positionV>
            <wp:extent cx="2809875" cy="187325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09875" cy="1873250"/>
                    </a:xfrm>
                    <a:prstGeom prst="rect">
                      <a:avLst/>
                    </a:prstGeom>
                    <a:noFill/>
                  </pic:spPr>
                </pic:pic>
              </a:graphicData>
            </a:graphic>
            <wp14:sizeRelH relativeFrom="margin">
              <wp14:pctWidth>0</wp14:pctWidth>
            </wp14:sizeRelH>
            <wp14:sizeRelV relativeFrom="margin">
              <wp14:pctHeight>0</wp14:pctHeight>
            </wp14:sizeRelV>
          </wp:anchor>
        </w:drawing>
      </w:r>
      <w:r w:rsidR="00F875D0" w:rsidRPr="005B65DF">
        <w:t>Raw b</w:t>
      </w:r>
      <w:r w:rsidR="00474FA1" w:rsidRPr="005B65DF">
        <w:t xml:space="preserve">last </w:t>
      </w:r>
      <w:r w:rsidR="000B3F24" w:rsidRPr="005B65DF">
        <w:t xml:space="preserve">EMG </w:t>
      </w:r>
      <w:r w:rsidR="00474FA1" w:rsidRPr="005B65DF">
        <w:t xml:space="preserve">results </w:t>
      </w:r>
      <w:r w:rsidR="00F875D0" w:rsidRPr="005B65DF">
        <w:t>can be seen in Fig. 3.</w:t>
      </w:r>
      <w:r w:rsidR="002434F6" w:rsidRPr="005B65DF">
        <w:t>4</w:t>
      </w:r>
      <w:r w:rsidR="00F875D0" w:rsidRPr="005B65DF">
        <w:t xml:space="preserve">. </w:t>
      </w:r>
      <w:r w:rsidR="00C83F57" w:rsidRPr="005B65DF">
        <w:t>While</w:t>
      </w:r>
      <w:r w:rsidR="000B3F24" w:rsidRPr="005B65DF">
        <w:t xml:space="preserve"> the blast overpressure waveform is not depicted, in each case the first overpressure peak occurred at t=0 ms</w:t>
      </w:r>
      <w:r w:rsidR="00C83F57" w:rsidRPr="005B65DF">
        <w:t>; this range of EMG data was chosen to simplify the determination of latency such that the time in ms of the first EMG peak was identical to the latency time between blast overpressure presentation and EMG response</w:t>
      </w:r>
      <w:r w:rsidR="000B3F24" w:rsidRPr="005B65DF">
        <w:t>.</w:t>
      </w:r>
      <w:r w:rsidR="00FE5310" w:rsidRPr="005B65DF">
        <w:t xml:space="preserve"> There is significant waveform variability between different animals and blast exposures in contrast to acoustic EMG’s repeatability.  EMG amplitude is also very variable between animals, although it can be reasonably used to judge muscle contraction strength within a single animal. </w:t>
      </w:r>
      <w:r w:rsidR="00157290" w:rsidRPr="005B65DF">
        <w:t>Fig. 3.</w:t>
      </w:r>
      <w:r w:rsidR="002434F6" w:rsidRPr="005B65DF">
        <w:t>5</w:t>
      </w:r>
      <w:r w:rsidR="00157290" w:rsidRPr="005B65DF">
        <w:t xml:space="preserve"> demonstrates this in two animals over multiple blast exposures; the relationship </w:t>
      </w:r>
      <w:r w:rsidRPr="005B65DF">
        <w:t xml:space="preserve">between EMG response amplitude and blast intensity is nearly linear. Comparisons </w:t>
      </w:r>
    </w:p>
    <w:p w14:paraId="754C5FB2" w14:textId="0A1C1151" w:rsidR="00F875D0" w:rsidRPr="005B65DF" w:rsidRDefault="00D825A8" w:rsidP="00F20222">
      <w:pPr>
        <w:ind w:firstLine="0"/>
      </w:pPr>
      <w:r w:rsidRPr="005B65DF">
        <w:rPr>
          <w:noProof/>
          <w:lang w:bidi="ar-SA"/>
        </w:rPr>
        <w:drawing>
          <wp:anchor distT="0" distB="0" distL="114300" distR="114300" simplePos="0" relativeHeight="251681280" behindDoc="1" locked="0" layoutInCell="1" allowOverlap="1" wp14:anchorId="62962660" wp14:editId="1A964533">
            <wp:simplePos x="0" y="0"/>
            <wp:positionH relativeFrom="column">
              <wp:posOffset>-69850</wp:posOffset>
            </wp:positionH>
            <wp:positionV relativeFrom="page">
              <wp:posOffset>4672965</wp:posOffset>
            </wp:positionV>
            <wp:extent cx="2809875" cy="187325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09875" cy="1873250"/>
                    </a:xfrm>
                    <a:prstGeom prst="rect">
                      <a:avLst/>
                    </a:prstGeom>
                    <a:noFill/>
                  </pic:spPr>
                </pic:pic>
              </a:graphicData>
            </a:graphic>
            <wp14:sizeRelH relativeFrom="margin">
              <wp14:pctWidth>0</wp14:pctWidth>
            </wp14:sizeRelH>
            <wp14:sizeRelV relativeFrom="margin">
              <wp14:pctHeight>0</wp14:pctHeight>
            </wp14:sizeRelV>
          </wp:anchor>
        </w:drawing>
      </w:r>
    </w:p>
    <w:p w14:paraId="0E002741" w14:textId="77777777" w:rsidR="00474FA1" w:rsidRPr="005B65DF" w:rsidRDefault="00D87012" w:rsidP="00F875D0">
      <w:r>
        <w:rPr>
          <w:noProof/>
        </w:rPr>
        <w:lastRenderedPageBreak/>
        <w:pict w14:anchorId="2572A3A9">
          <v:shape id="_x0000_s1064" type="#_x0000_t202" style="position:absolute;left:0;text-align:left;margin-left:.5pt;margin-top:510.6pt;width:348.8pt;height:13.8pt;z-index:251674624;mso-position-horizontal-relative:text;mso-position-vertical-relative:text" stroked="f">
            <v:textbox style="mso-next-textbox:#_x0000_s1064;mso-fit-shape-to-text:t" inset="0,0,0,0">
              <w:txbxContent>
                <w:p w14:paraId="14D05ED5" w14:textId="6F29892B" w:rsidR="00D87012" w:rsidRPr="008709A7" w:rsidRDefault="00D87012" w:rsidP="00157290">
                  <w:pPr>
                    <w:pStyle w:val="Caption"/>
                    <w:rPr>
                      <w:szCs w:val="24"/>
                    </w:rPr>
                  </w:pPr>
                  <w:bookmarkStart w:id="73" w:name="_Toc185843"/>
                  <w:r>
                    <w:t xml:space="preserve">Figure </w:t>
                  </w:r>
                  <w:fldSimple w:instr=" STYLEREF 1 \s ">
                    <w:r w:rsidR="00FC3CCD">
                      <w:rPr>
                        <w:noProof/>
                      </w:rPr>
                      <w:t>3</w:t>
                    </w:r>
                  </w:fldSimple>
                  <w:r w:rsidR="00216C1B">
                    <w:noBreakHyphen/>
                  </w:r>
                  <w:fldSimple w:instr=" SEQ Figure \* ARABIC \s 1 ">
                    <w:r w:rsidR="00FC3CCD">
                      <w:rPr>
                        <w:noProof/>
                      </w:rPr>
                      <w:t>5</w:t>
                    </w:r>
                  </w:fldSimple>
                  <w:r>
                    <w:t>. EMG amplitude (</w:t>
                  </w:r>
                  <w:r>
                    <w:rPr>
                      <w:rFonts w:cstheme="minorHAnsi"/>
                    </w:rPr>
                    <w:t>μ</w:t>
                  </w:r>
                  <w:r>
                    <w:t>V) vs blast intensity (psi).</w:t>
                  </w:r>
                  <w:bookmarkEnd w:id="73"/>
                </w:p>
              </w:txbxContent>
            </v:textbox>
          </v:shape>
        </w:pict>
      </w:r>
      <w:r>
        <w:pict w14:anchorId="39FD4B5C">
          <v:group id="Group 18" o:spid="_x0000_s1060" style="position:absolute;left:0;text-align:left;margin-left:1.35pt;margin-top:4.75pt;width:348.8pt;height:502.35pt;z-index:251659264" coordsize="62049,85302">
            <v:rect id="Rectangle 24" o:spid="_x0000_s1061" style="position:absolute;width:62049;height:85302;visibility:visible;mso-wrap-style:square;v-text-anchor:top" fillcolor="white [3212]" strokecolor="white [3212]">
              <v:stroke joinstyle="round"/>
            </v:rect>
            <v:shape id="Picture 25" o:spid="_x0000_s1062" type="#_x0000_t75" style="position:absolute;left:2070;top:1145;width:59979;height:84157;visibility:visible;mso-wrap-style:square">
              <v:imagedata r:id="rId46" o:title=""/>
            </v:shape>
            <w10:wrap type="topAndBottom"/>
          </v:group>
        </w:pict>
      </w:r>
    </w:p>
    <w:p w14:paraId="36EE9832" w14:textId="77777777" w:rsidR="00474FA1" w:rsidRPr="005B65DF" w:rsidRDefault="00474FA1" w:rsidP="00F875D0"/>
    <w:p w14:paraId="7A5176C0" w14:textId="77777777" w:rsidR="00474FA1" w:rsidRPr="005B65DF" w:rsidRDefault="00474FA1" w:rsidP="00F875D0"/>
    <w:p w14:paraId="2245939F" w14:textId="77777777" w:rsidR="00474FA1" w:rsidRPr="005B65DF" w:rsidRDefault="00474FA1" w:rsidP="00F875D0"/>
    <w:p w14:paraId="4574630C" w14:textId="4C44B988" w:rsidR="00021230" w:rsidRPr="005B65DF" w:rsidRDefault="00C83F57" w:rsidP="00F20222">
      <w:pPr>
        <w:ind w:firstLine="0"/>
      </w:pPr>
      <w:r w:rsidRPr="005B65DF">
        <w:lastRenderedPageBreak/>
        <w:t>between animals prove difficult, however. The highest blast level for the top animal in Fig. 3.</w:t>
      </w:r>
      <w:r w:rsidR="002434F6" w:rsidRPr="005B65DF">
        <w:t>5</w:t>
      </w:r>
      <w:r w:rsidRPr="005B65DF">
        <w:t xml:space="preserve"> was 5.7 psi, which elicited a 1.2 mV response. </w:t>
      </w:r>
      <w:r w:rsidR="00BA66E7" w:rsidRPr="005B65DF">
        <w:t>The highest blast experienced by the second animal was over 8 psi, larger than any the first animal was subjected to, yet its response was only 1</w:t>
      </w:r>
      <w:r w:rsidR="00D70F92" w:rsidRPr="005B65DF">
        <w:t xml:space="preserve"> mV</w:t>
      </w:r>
      <w:r w:rsidR="00BA66E7" w:rsidRPr="005B65DF">
        <w:t>.</w:t>
      </w:r>
      <w:r w:rsidR="00260F8F" w:rsidRPr="005B65DF">
        <w:t xml:space="preserve"> Fig. 3.</w:t>
      </w:r>
      <w:r w:rsidR="002434F6" w:rsidRPr="005B65DF">
        <w:t>6</w:t>
      </w:r>
      <w:r w:rsidR="00260F8F" w:rsidRPr="005B65DF">
        <w:t xml:space="preserve"> shows the EMG amplitudes for the animals tested broken down into low intensity (&lt;3 psi), medium intensity (3-6 psi), and high intensity (&gt;6 psi) pressure levels. </w:t>
      </w:r>
    </w:p>
    <w:p w14:paraId="5A40D19F" w14:textId="60AD1FD4" w:rsidR="00021230" w:rsidRPr="005B65DF" w:rsidRDefault="0079133B" w:rsidP="00F20222">
      <w:pPr>
        <w:ind w:firstLine="0"/>
      </w:pPr>
      <w:r w:rsidRPr="005B65DF">
        <w:tab/>
        <w:t xml:space="preserve">Latency between blast overpressure onset and EMG response was also measured. The time between the Friedlander waveform peak and the first EMG peak was defined as </w:t>
      </w:r>
      <w:r w:rsidR="008106E1" w:rsidRPr="005B65DF">
        <w:t>the latency time</w:t>
      </w:r>
      <w:r w:rsidR="00FD2EE5" w:rsidRPr="005B65DF">
        <w:t xml:space="preserve"> as</w:t>
      </w:r>
      <w:r w:rsidR="008106E1" w:rsidRPr="005B65DF">
        <w:t xml:space="preserve"> per Fig. 3.</w:t>
      </w:r>
      <w:r w:rsidR="002434F6" w:rsidRPr="005B65DF">
        <w:t>7</w:t>
      </w:r>
      <w:r w:rsidRPr="005B65DF">
        <w:t xml:space="preserve">. Latency for all ten animals tested </w:t>
      </w:r>
      <w:r w:rsidR="008106E1" w:rsidRPr="005B65DF">
        <w:t>is given in Fig. 3.</w:t>
      </w:r>
      <w:r w:rsidR="002434F6" w:rsidRPr="005B65DF">
        <w:t>8</w:t>
      </w:r>
      <w:r w:rsidR="008106E1" w:rsidRPr="005B65DF">
        <w:t>.</w:t>
      </w:r>
      <w:r w:rsidR="00260F8F" w:rsidRPr="005B65DF">
        <w:t xml:space="preserve"> There is no readily apparent relationship between latency and blast intensity at the levels tested. The average latency was 4.75 </w:t>
      </w:r>
      <w:r w:rsidR="00260F8F" w:rsidRPr="005B65DF">
        <w:rPr>
          <w:rFonts w:cstheme="minorHAnsi"/>
        </w:rPr>
        <w:t>±</w:t>
      </w:r>
      <w:r w:rsidR="00260F8F" w:rsidRPr="005B65DF">
        <w:t xml:space="preserve"> 3.19 ms.</w:t>
      </w:r>
      <w:r w:rsidR="00021230" w:rsidRPr="005B65DF">
        <w:t xml:space="preserve"> </w:t>
      </w:r>
    </w:p>
    <w:p w14:paraId="7C3301EE" w14:textId="46D3A094" w:rsidR="00021230" w:rsidRPr="005B65DF" w:rsidRDefault="00021230" w:rsidP="00021230">
      <w:pPr>
        <w:keepNext/>
        <w:ind w:firstLine="0"/>
      </w:pPr>
      <w:r w:rsidRPr="005B65DF">
        <w:object w:dxaOrig="6170" w:dyaOrig="4320" w14:anchorId="5F38BFDA">
          <v:shape id="_x0000_i1029" type="#_x0000_t75" style="width:357pt;height:250.5pt" o:ole="">
            <v:imagedata r:id="rId47" o:title=""/>
          </v:shape>
          <o:OLEObject Type="Embed" ProgID="Prism8.Document" ShapeID="_x0000_i1029" DrawAspect="Content" ObjectID="_1610798725" r:id="rId48"/>
        </w:object>
      </w:r>
    </w:p>
    <w:p w14:paraId="6F379EEF" w14:textId="534A3D92" w:rsidR="00021230" w:rsidRPr="005B65DF" w:rsidRDefault="00021230" w:rsidP="00F20222">
      <w:pPr>
        <w:keepNext/>
        <w:ind w:firstLine="0"/>
        <w:rPr>
          <w:b/>
        </w:rPr>
      </w:pPr>
      <w:bookmarkStart w:id="74" w:name="_Toc185844"/>
      <w:r w:rsidRPr="005B65DF">
        <w:rPr>
          <w:b/>
        </w:rPr>
        <w:t xml:space="preserve">Figure </w:t>
      </w:r>
      <w:r w:rsidR="00216C1B">
        <w:rPr>
          <w:b/>
        </w:rPr>
        <w:fldChar w:fldCharType="begin"/>
      </w:r>
      <w:r w:rsidR="00216C1B">
        <w:rPr>
          <w:b/>
        </w:rPr>
        <w:instrText xml:space="preserve"> STYLEREF 1 \s </w:instrText>
      </w:r>
      <w:r w:rsidR="00216C1B">
        <w:rPr>
          <w:b/>
        </w:rPr>
        <w:fldChar w:fldCharType="separate"/>
      </w:r>
      <w:r w:rsidR="00FC3CCD">
        <w:rPr>
          <w:b/>
          <w:noProof/>
        </w:rPr>
        <w:t>3</w:t>
      </w:r>
      <w:r w:rsidR="00216C1B">
        <w:rPr>
          <w:b/>
        </w:rPr>
        <w:fldChar w:fldCharType="end"/>
      </w:r>
      <w:r w:rsidR="00216C1B">
        <w:rPr>
          <w:b/>
        </w:rPr>
        <w:noBreakHyphen/>
      </w:r>
      <w:r w:rsidR="00216C1B">
        <w:rPr>
          <w:b/>
        </w:rPr>
        <w:fldChar w:fldCharType="begin"/>
      </w:r>
      <w:r w:rsidR="00216C1B">
        <w:rPr>
          <w:b/>
        </w:rPr>
        <w:instrText xml:space="preserve"> SEQ Figure \* ARABIC \s 1 </w:instrText>
      </w:r>
      <w:r w:rsidR="00216C1B">
        <w:rPr>
          <w:b/>
        </w:rPr>
        <w:fldChar w:fldCharType="separate"/>
      </w:r>
      <w:r w:rsidR="00FC3CCD">
        <w:rPr>
          <w:b/>
          <w:noProof/>
        </w:rPr>
        <w:t>6</w:t>
      </w:r>
      <w:r w:rsidR="00216C1B">
        <w:rPr>
          <w:b/>
        </w:rPr>
        <w:fldChar w:fldCharType="end"/>
      </w:r>
      <w:r w:rsidR="003B7C2A" w:rsidRPr="005B65DF">
        <w:rPr>
          <w:b/>
        </w:rPr>
        <w:t>.</w:t>
      </w:r>
      <w:r w:rsidRPr="005B65DF">
        <w:rPr>
          <w:b/>
        </w:rPr>
        <w:t xml:space="preserve"> EMG response amplitude in the thre</w:t>
      </w:r>
      <w:r w:rsidRPr="005B65DF">
        <w:rPr>
          <w:b/>
          <w:noProof/>
        </w:rPr>
        <w:t>e blast intensity groups tested</w:t>
      </w:r>
      <w:r w:rsidR="003B7C2A" w:rsidRPr="005B65DF">
        <w:rPr>
          <w:b/>
          <w:noProof/>
        </w:rPr>
        <w:t>.</w:t>
      </w:r>
      <w:bookmarkEnd w:id="74"/>
    </w:p>
    <w:p w14:paraId="0CD6270E" w14:textId="3346316E" w:rsidR="008106E1" w:rsidRPr="005B65DF" w:rsidRDefault="008106E1" w:rsidP="00F20222">
      <w:pPr>
        <w:ind w:firstLine="0"/>
      </w:pPr>
    </w:p>
    <w:p w14:paraId="0EA4FB76" w14:textId="2A482061" w:rsidR="00BA66E7" w:rsidRPr="005B65DF" w:rsidRDefault="00BA66E7" w:rsidP="00F875D0"/>
    <w:p w14:paraId="6A4F9A42" w14:textId="344DC5E5" w:rsidR="00260F8F" w:rsidRPr="005B65DF" w:rsidRDefault="00021230" w:rsidP="00BA66E7">
      <w:pPr>
        <w:pStyle w:val="Caption"/>
        <w:ind w:firstLine="0"/>
      </w:pPr>
      <w:r w:rsidRPr="005B65DF">
        <w:rPr>
          <w:noProof/>
          <w:lang w:bidi="ar-SA"/>
        </w:rPr>
        <w:lastRenderedPageBreak/>
        <w:drawing>
          <wp:anchor distT="0" distB="0" distL="114300" distR="114300" simplePos="0" relativeHeight="251701760" behindDoc="1" locked="0" layoutInCell="1" allowOverlap="1" wp14:anchorId="3E886BD1" wp14:editId="11E962A3">
            <wp:simplePos x="0" y="0"/>
            <wp:positionH relativeFrom="column">
              <wp:posOffset>1026160</wp:posOffset>
            </wp:positionH>
            <wp:positionV relativeFrom="paragraph">
              <wp:posOffset>0</wp:posOffset>
            </wp:positionV>
            <wp:extent cx="3348990" cy="3366135"/>
            <wp:effectExtent l="0" t="0" r="0" b="0"/>
            <wp:wrapSquare wrapText="bothSides"/>
            <wp:docPr id="41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 name="Picture 10"/>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48990" cy="3366135"/>
                    </a:xfrm>
                    <a:prstGeom prst="rect">
                      <a:avLst/>
                    </a:prstGeom>
                    <a:noFill/>
                    <a:ln>
                      <a:noFill/>
                    </a:ln>
                    <a:extLst/>
                  </pic:spPr>
                </pic:pic>
              </a:graphicData>
            </a:graphic>
          </wp:anchor>
        </w:drawing>
      </w:r>
    </w:p>
    <w:p w14:paraId="0ADDBF41" w14:textId="77777777" w:rsidR="00260F8F" w:rsidRPr="005B65DF" w:rsidRDefault="00260F8F" w:rsidP="00BA66E7">
      <w:pPr>
        <w:pStyle w:val="Caption"/>
        <w:ind w:firstLine="0"/>
      </w:pPr>
    </w:p>
    <w:p w14:paraId="77FEDBF4" w14:textId="77777777" w:rsidR="00260F8F" w:rsidRPr="005B65DF" w:rsidRDefault="00260F8F" w:rsidP="00BA66E7">
      <w:pPr>
        <w:pStyle w:val="Caption"/>
        <w:ind w:firstLine="0"/>
      </w:pPr>
    </w:p>
    <w:p w14:paraId="07491A74" w14:textId="2F8C4C09" w:rsidR="00260F8F" w:rsidRPr="005B65DF" w:rsidRDefault="00260F8F" w:rsidP="00BA66E7">
      <w:pPr>
        <w:pStyle w:val="Caption"/>
        <w:ind w:firstLine="0"/>
      </w:pPr>
    </w:p>
    <w:p w14:paraId="1A887C88" w14:textId="77777777" w:rsidR="00260F8F" w:rsidRPr="005B65DF" w:rsidRDefault="00260F8F" w:rsidP="00BA66E7">
      <w:pPr>
        <w:pStyle w:val="Caption"/>
        <w:ind w:firstLine="0"/>
      </w:pPr>
    </w:p>
    <w:p w14:paraId="011E1D37" w14:textId="77777777" w:rsidR="00260F8F" w:rsidRPr="005B65DF" w:rsidRDefault="00260F8F" w:rsidP="00BA66E7">
      <w:pPr>
        <w:pStyle w:val="Caption"/>
        <w:ind w:firstLine="0"/>
      </w:pPr>
    </w:p>
    <w:p w14:paraId="7B53761B" w14:textId="77777777" w:rsidR="00260F8F" w:rsidRPr="005B65DF" w:rsidRDefault="00260F8F" w:rsidP="00BA66E7">
      <w:pPr>
        <w:pStyle w:val="Caption"/>
        <w:ind w:firstLine="0"/>
      </w:pPr>
    </w:p>
    <w:p w14:paraId="4BE6F3AD" w14:textId="77777777" w:rsidR="00260F8F" w:rsidRPr="005B65DF" w:rsidRDefault="00260F8F" w:rsidP="00BA66E7">
      <w:pPr>
        <w:pStyle w:val="Caption"/>
        <w:ind w:firstLine="0"/>
      </w:pPr>
    </w:p>
    <w:p w14:paraId="761F219D" w14:textId="77777777" w:rsidR="00260F8F" w:rsidRPr="005B65DF" w:rsidRDefault="00260F8F" w:rsidP="00BA66E7">
      <w:pPr>
        <w:pStyle w:val="Caption"/>
        <w:ind w:firstLine="0"/>
      </w:pPr>
    </w:p>
    <w:p w14:paraId="23598836" w14:textId="77777777" w:rsidR="00260F8F" w:rsidRPr="005B65DF" w:rsidRDefault="00260F8F" w:rsidP="00BA66E7">
      <w:pPr>
        <w:pStyle w:val="Caption"/>
        <w:ind w:firstLine="0"/>
      </w:pPr>
    </w:p>
    <w:p w14:paraId="3CCB42FA" w14:textId="77777777" w:rsidR="00260F8F" w:rsidRPr="005B65DF" w:rsidRDefault="00260F8F" w:rsidP="00BA66E7">
      <w:pPr>
        <w:pStyle w:val="Caption"/>
        <w:ind w:firstLine="0"/>
      </w:pPr>
    </w:p>
    <w:p w14:paraId="5CD555F9" w14:textId="77777777" w:rsidR="00260F8F" w:rsidRPr="005B65DF" w:rsidRDefault="00260F8F" w:rsidP="00BA66E7">
      <w:pPr>
        <w:pStyle w:val="Caption"/>
        <w:ind w:firstLine="0"/>
      </w:pPr>
    </w:p>
    <w:p w14:paraId="7F501389" w14:textId="77777777" w:rsidR="00260F8F" w:rsidRPr="005B65DF" w:rsidRDefault="00260F8F" w:rsidP="00BA66E7">
      <w:pPr>
        <w:pStyle w:val="Caption"/>
        <w:ind w:firstLine="0"/>
      </w:pPr>
    </w:p>
    <w:p w14:paraId="3CF59F89" w14:textId="77777777" w:rsidR="00021230" w:rsidRPr="005B65DF" w:rsidRDefault="00021230" w:rsidP="00F20222"/>
    <w:p w14:paraId="35F61D1E" w14:textId="77777777" w:rsidR="00021230" w:rsidRPr="005B65DF" w:rsidRDefault="00021230" w:rsidP="00F20222"/>
    <w:p w14:paraId="7918EEBA" w14:textId="77777777" w:rsidR="00021230" w:rsidRPr="005B65DF" w:rsidRDefault="00021230" w:rsidP="00F20222"/>
    <w:p w14:paraId="1308D1C5" w14:textId="77777777" w:rsidR="00021230" w:rsidRPr="005B65DF" w:rsidRDefault="00021230" w:rsidP="00F20222"/>
    <w:p w14:paraId="4DD5A655" w14:textId="3CC3D350" w:rsidR="00F875D0" w:rsidRPr="005B65DF" w:rsidRDefault="00F875D0" w:rsidP="00BA66E7">
      <w:pPr>
        <w:pStyle w:val="Caption"/>
        <w:ind w:firstLine="0"/>
      </w:pPr>
      <w:bookmarkStart w:id="75" w:name="_Toc185845"/>
      <w:r w:rsidRPr="005B65DF">
        <w:t xml:space="preserve">Figure </w:t>
      </w:r>
      <w:fldSimple w:instr=" STYLEREF 1 \s ">
        <w:r w:rsidR="00FC3CCD">
          <w:rPr>
            <w:noProof/>
          </w:rPr>
          <w:t>3</w:t>
        </w:r>
      </w:fldSimple>
      <w:r w:rsidR="00216C1B">
        <w:noBreakHyphen/>
      </w:r>
      <w:fldSimple w:instr=" SEQ Figure \* ARABIC \s 1 ">
        <w:r w:rsidR="00FC3CCD">
          <w:rPr>
            <w:noProof/>
          </w:rPr>
          <w:t>7</w:t>
        </w:r>
      </w:fldSimple>
      <w:r w:rsidR="003B7C2A" w:rsidRPr="005B65DF">
        <w:t>.</w:t>
      </w:r>
      <w:r w:rsidRPr="005B65DF">
        <w:t xml:space="preserve"> Determination of blast MEMR latency</w:t>
      </w:r>
      <w:r w:rsidR="0079133B" w:rsidRPr="005B65DF">
        <w:t xml:space="preserve"> as the difference between the overpressure peak (black) and the first EMG peak (red)</w:t>
      </w:r>
      <w:r w:rsidR="003B7C2A" w:rsidRPr="005B65DF">
        <w:t>.</w:t>
      </w:r>
      <w:bookmarkEnd w:id="75"/>
    </w:p>
    <w:p w14:paraId="185AFA13" w14:textId="42DEA411" w:rsidR="00260F8F" w:rsidRPr="005B65DF" w:rsidRDefault="00D87012">
      <w:pPr>
        <w:spacing w:line="240" w:lineRule="auto"/>
        <w:ind w:firstLine="0"/>
        <w:rPr>
          <w:rFonts w:asciiTheme="majorHAnsi" w:hAnsiTheme="majorHAnsi"/>
          <w:b/>
          <w:bCs/>
          <w:iCs/>
          <w:szCs w:val="28"/>
        </w:rPr>
      </w:pPr>
      <w:r>
        <w:rPr>
          <w:noProof/>
        </w:rPr>
        <w:pict w14:anchorId="186FF92E">
          <v:shape id="_x0000_s1068" type="#_x0000_t202" style="position:absolute;margin-left:-19.75pt;margin-top:247.6pt;width:415.25pt;height:13.8pt;z-index:251676672;mso-position-horizontal-relative:text;mso-position-vertical-relative:text" stroked="f">
            <v:textbox style="mso-next-textbox:#_x0000_s1068;mso-fit-shape-to-text:t" inset="0,0,0,0">
              <w:txbxContent>
                <w:p w14:paraId="687ADB5E" w14:textId="6F2F0171" w:rsidR="00D87012" w:rsidRPr="0039269E" w:rsidRDefault="00D87012" w:rsidP="00260F8F">
                  <w:pPr>
                    <w:pStyle w:val="Caption"/>
                    <w:rPr>
                      <w:szCs w:val="24"/>
                    </w:rPr>
                  </w:pPr>
                  <w:bookmarkStart w:id="76" w:name="_Toc185846"/>
                  <w:r>
                    <w:t xml:space="preserve">Figure </w:t>
                  </w:r>
                  <w:fldSimple w:instr=" STYLEREF 1 \s ">
                    <w:r w:rsidR="00FC3CCD">
                      <w:rPr>
                        <w:noProof/>
                      </w:rPr>
                      <w:t>3</w:t>
                    </w:r>
                  </w:fldSimple>
                  <w:r w:rsidR="00216C1B">
                    <w:noBreakHyphen/>
                  </w:r>
                  <w:fldSimple w:instr=" SEQ Figure \* ARABIC \s 1 ">
                    <w:r w:rsidR="00FC3CCD">
                      <w:rPr>
                        <w:noProof/>
                      </w:rPr>
                      <w:t>8</w:t>
                    </w:r>
                  </w:fldSimple>
                  <w:r>
                    <w:rPr>
                      <w:noProof/>
                    </w:rPr>
                    <w:t>.</w:t>
                  </w:r>
                  <w:r>
                    <w:t xml:space="preserve"> Latency of the MEMR at different blast intensities.</w:t>
                  </w:r>
                  <w:bookmarkEnd w:id="76"/>
                </w:p>
              </w:txbxContent>
            </v:textbox>
          </v:shape>
        </w:pict>
      </w:r>
      <w:r>
        <w:pict w14:anchorId="1AB70B9E">
          <v:group id="Group 13" o:spid="_x0000_s1065" style="position:absolute;margin-left:-19.75pt;margin-top:10.8pt;width:415.25pt;height:231.55pt;z-index:251675648" coordsize="71823,4622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">
            <v:rect id="Rectangle 30" o:spid="_x0000_s1066" style="position:absolute;left:4324;top:717;width:60735;height:4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1hGMAA&#10;AADbAAAADwAAAGRycy9kb3ducmV2LnhtbERPS2vCQBC+F/wPywi91UktiERXKYIgYg++aI9DdkyC&#10;2dmwu5r037sHwePH954ve9uoO/tQO9HwOcpAsRTO1FJqOB3XH1NQIZIYapywhn8OsFwM3uaUG9fJ&#10;nu+HWKoUIiEnDVWMbY4YioothZFrWRJ3cd5STNCXaDx1Kdw2OM6yCVqqJTVU1PKq4uJ6uFkNrukv&#10;t19Ev8fN+a/72W2L1XGi9fuw/56BitzHl/jp3hgNX2l9+pJ+AC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1hGMAAAADbAAAADwAAAAAAAAAAAAAAAACYAgAAZHJzL2Rvd25y&#10;ZXYueG1sUEsFBgAAAAAEAAQA9QAAAIUDAAAAAA==&#10;" fillcolor="white [3212]" strokecolor="white [3212]">
              <v:stroke joinstyle="round"/>
            </v:rect>
            <v:shape id="Picture 31" o:spid="_x0000_s1067" type="#_x0000_t75" style="position:absolute;width:71823;height:46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zZXLFAAAA2wAAAA8AAABkcnMvZG93bnJldi54bWxEj9FqwkAURN8F/2G5Ql+kbpLaWtJsRISW&#10;gihV+wGX7DVJzd4N2W1M/74rCD4OM3OGyZaDaURPnastK4hnEQjiwuqaSwXfx/fHVxDOI2tsLJOC&#10;P3KwzMejDFNtL7yn/uBLESDsUlRQed+mUrqiIoNuZlvi4J1sZ9AH2ZVSd3gJcNPIJIpepMGaw0KF&#10;La0rKs6HX6PgaFeLzZc/DZv4ebef0iLZzn8+lHqYDKs3EJ4Gfw/f2p9awVMM1y/hB8j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c2VyxQAAANsAAAAPAAAAAAAAAAAAAAAA&#10;AJ8CAABkcnMvZG93bnJldi54bWxQSwUGAAAAAAQABAD3AAAAkQMAAAAA&#10;">
              <v:imagedata r:id="rId50" o:title=""/>
            </v:shape>
          </v:group>
        </w:pict>
      </w:r>
      <w:r w:rsidR="00260F8F" w:rsidRPr="005B65DF">
        <w:br w:type="page"/>
      </w:r>
    </w:p>
    <w:p w14:paraId="753873A8" w14:textId="77777777" w:rsidR="00841698" w:rsidRPr="005B65DF" w:rsidRDefault="00841698" w:rsidP="00841698">
      <w:pPr>
        <w:pStyle w:val="Heading2"/>
      </w:pPr>
      <w:bookmarkStart w:id="77" w:name="_Toc185924"/>
      <w:r w:rsidRPr="005B65DF">
        <w:lastRenderedPageBreak/>
        <w:t>3.4 Discussion</w:t>
      </w:r>
      <w:bookmarkEnd w:id="77"/>
    </w:p>
    <w:p w14:paraId="11B9DC2F" w14:textId="77777777" w:rsidR="00BA66E7" w:rsidRPr="005B65DF" w:rsidRDefault="00BA66E7" w:rsidP="00971CE8">
      <w:pPr>
        <w:pStyle w:val="Heading3"/>
      </w:pPr>
      <w:bookmarkStart w:id="78" w:name="_Toc185925"/>
      <w:r w:rsidRPr="005B65DF">
        <w:t>3.4.1 EMG Amplitude and Muscle Response Strength</w:t>
      </w:r>
      <w:bookmarkEnd w:id="78"/>
    </w:p>
    <w:p w14:paraId="2240BD22" w14:textId="5E3C7554" w:rsidR="00BA66E7" w:rsidRPr="005B65DF" w:rsidRDefault="00410F1D" w:rsidP="00BA66E7">
      <w:r w:rsidRPr="005B65DF">
        <w:t xml:space="preserve">Because the intensity of the blasts </w:t>
      </w:r>
      <w:r w:rsidR="007A6FB1" w:rsidRPr="005B65DF">
        <w:t xml:space="preserve">(170+ dB) </w:t>
      </w:r>
      <w:r w:rsidRPr="005B65DF">
        <w:t>used in this study is s</w:t>
      </w:r>
      <w:r w:rsidR="007A6FB1" w:rsidRPr="005B65DF">
        <w:t>ignificantly higher than the threshold level for the chinchilla MEMR (approximately 60-75 dB)</w:t>
      </w:r>
      <w:r w:rsidRPr="005B65DF">
        <w:t xml:space="preserve">, there were no cases where a blast did not lead to a MEMR response. </w:t>
      </w:r>
      <w:r w:rsidR="00E51C25" w:rsidRPr="005B65DF">
        <w:t xml:space="preserve">Without any trials without responses, little can be said about the MEMR threshold. </w:t>
      </w:r>
      <w:r w:rsidRPr="005B65DF">
        <w:t>This left two main EM</w:t>
      </w:r>
      <w:r w:rsidR="00DD75BA" w:rsidRPr="005B65DF">
        <w:t>G parameters for analysis</w:t>
      </w:r>
      <w:r w:rsidRPr="005B65DF">
        <w:t xml:space="preserve">: response amplitude and latency. </w:t>
      </w:r>
      <w:r w:rsidR="00BA66E7" w:rsidRPr="005B65DF">
        <w:t>As shown above in Fig. 3.</w:t>
      </w:r>
      <w:r w:rsidR="002434F6" w:rsidRPr="005B65DF">
        <w:t>5</w:t>
      </w:r>
      <w:r w:rsidR="00BA66E7" w:rsidRPr="005B65DF">
        <w:t xml:space="preserve">, the variability between different animals </w:t>
      </w:r>
      <w:r w:rsidR="00D70F92" w:rsidRPr="005B65DF">
        <w:t xml:space="preserve">renders comparisons of EMG amplitude problematic. </w:t>
      </w:r>
      <w:r w:rsidR="00746300" w:rsidRPr="005B65DF">
        <w:t xml:space="preserve">However, </w:t>
      </w:r>
      <w:r w:rsidR="00D70F92" w:rsidRPr="005B65DF">
        <w:t>EMG amplitude has been studied as a method of estimating response strength</w:t>
      </w:r>
      <w:r w:rsidR="00746300" w:rsidRPr="005B65DF">
        <w:t xml:space="preserve"> within individuals</w:t>
      </w:r>
      <w:r w:rsidR="00D70F92" w:rsidRPr="005B65DF">
        <w:t xml:space="preserve"> </w:t>
      </w:r>
      <w:r w:rsidR="00D70F92" w:rsidRPr="005B65DF">
        <w:fldChar w:fldCharType="begin" w:fldLock="1"/>
      </w:r>
      <w:r w:rsidR="004732BB" w:rsidRPr="005B65DF">
        <w:instrText>ADDIN CSL_CITATION {"citationItems":[{"id":"ITEM-1","itemData":{"DOI":"10.4236/eng.2014.64020","ISSN":"1947-3931","abstract":"This paper provides a first preliminary description of the dependencies between the stapedius muscle’s behavior and its neuronal activation with the adjustment of cochlear implants in mind. For that, stapedial electromyography (EMG) data are compared with EMG data which were derived from the quadriceps femoris muscle. The rationale behind is, that the stapedius muscle is classified as a striated skeletal muscle as the quadriceps femoris muscle is. Thus, the stapedius should expose a behavior which is similar to that of peripheral skeletal muscles. The stapedial reactions were provoked with contralateral acoustic stimulation and ipsilateral electrical stimulation, respectively. The data from the quadriceps femoris muscle were evoked voluntarily. The correlation of the derived data and their stimuli have shown the following main key points: 1) The stapedius muscle behaves like a regular skeletal muscle; 2) The stapedius muscle exhibits an extended range in which the muscle’s force is linear to the stimulation; 3) On both sides of the linear regime, the stapedius muscle exhibits a sigmoidal behavior.","author":[{"dropping-particle":"","family":"Warmuth","given":"Ralf","non-dropping-particle":"","parse-names":false,"suffix":""},{"dropping-particle":"","family":"Behrens","given":"Martin","non-dropping-particle":"","parse-names":false,"suffix":""},{"dropping-particle":"","family":"Behrens","given":"Martin","non-dropping-particle":"","parse-names":false,"suffix":""},{"dropping-particle":"","family":"Dahl","given":"Rüdiger","non-dropping-particle":"","parse-names":false,"suffix":""},{"dropping-particle":"","family":"Ehrt","given":"Karsten","non-dropping-particle":"","parse-names":false,"suffix":""},{"dropping-particle":"","family":"Pau","given":"Hans Wilhelm","non-dropping-particle":"","parse-names":false,"suffix":""},{"dropping-particle":"","family":"Salomon","given":"Ralf","non-dropping-particle":"","parse-names":false,"suffix":""}],"container-title":"Engineering","id":"ITEM-1","issue":"04","issued":{"date-parts":[["2014"]]},"page":"169-176","title":"Automatic Detection of the Electrical Elicited Stapedius Reflex by Evaluation of Its Electromyographic Signals","type":"article-journal","volume":"06"},"uris":["http://www.mendeley.com/documents/?uuid=a18617cf-b150-4adf-af19-dd5505dab660"]}],"mendeley":{"formattedCitation":"(Warmuth et al., 2014)","plainTextFormattedCitation":"(Warmuth et al., 2014)","previouslyFormattedCitation":"(Warmuth et al., 2014)"},"properties":{"noteIndex":0},"schema":"https://github.com/citation-style-language/schema/raw/master/csl-citation.json"}</w:instrText>
      </w:r>
      <w:r w:rsidR="00D70F92" w:rsidRPr="005B65DF">
        <w:fldChar w:fldCharType="separate"/>
      </w:r>
      <w:r w:rsidR="00D70F92" w:rsidRPr="005B65DF">
        <w:rPr>
          <w:noProof/>
        </w:rPr>
        <w:t>(Warmuth et al., 2014)</w:t>
      </w:r>
      <w:r w:rsidR="00D70F92" w:rsidRPr="005B65DF">
        <w:fldChar w:fldCharType="end"/>
      </w:r>
      <w:r w:rsidR="00D70F92" w:rsidRPr="005B65DF">
        <w:t xml:space="preserve">. Humans undergoing surgery were tested with an electrode in the stapedius muscle with an end goal of estimating ideal cochlear implant tuning parameters. It is possible that with further data something similar could be determined about the </w:t>
      </w:r>
      <w:r w:rsidRPr="005B65DF">
        <w:t xml:space="preserve">strength of the </w:t>
      </w:r>
      <w:r w:rsidR="00D70F92" w:rsidRPr="005B65DF">
        <w:t>chinchilla MEMR.</w:t>
      </w:r>
      <w:r w:rsidRPr="005B65DF">
        <w:t xml:space="preserve"> </w:t>
      </w:r>
    </w:p>
    <w:p w14:paraId="39DCE6BD" w14:textId="4639CB0D" w:rsidR="00746300" w:rsidRPr="005B65DF" w:rsidRDefault="00746300" w:rsidP="00971CE8">
      <w:pPr>
        <w:pStyle w:val="Heading3"/>
      </w:pPr>
      <w:bookmarkStart w:id="79" w:name="_Toc185926"/>
      <w:r w:rsidRPr="005B65DF">
        <w:t>3.4.2 Blast MEMR Latency</w:t>
      </w:r>
      <w:bookmarkEnd w:id="79"/>
    </w:p>
    <w:p w14:paraId="6A8CBE8B" w14:textId="389C788F" w:rsidR="00746300" w:rsidRPr="005B65DF" w:rsidRDefault="00D46BC8" w:rsidP="00F20222">
      <w:r w:rsidRPr="005B65DF">
        <w:t xml:space="preserve">One major concern regarding the MEMR in blast scenarios is whether or not the latency between blast exposure and stapedius activation is fast enough for the reflex to provide its protective mechanism before damage occurs. In pressure data gathered in this study, </w:t>
      </w:r>
      <w:r w:rsidR="002434F6" w:rsidRPr="005B65DF">
        <w:t>the initial overpressure</w:t>
      </w:r>
      <w:r w:rsidR="00137C58" w:rsidRPr="005B65DF">
        <w:t xml:space="preserve"> generally lasted 0.5 ms</w:t>
      </w:r>
      <w:r w:rsidR="0091189A" w:rsidRPr="005B65DF">
        <w:t xml:space="preserve"> and the underpressure an additional 0.5-1 ms after that</w:t>
      </w:r>
      <w:r w:rsidR="00137C58" w:rsidRPr="005B65DF">
        <w:t>.</w:t>
      </w:r>
      <w:r w:rsidR="0091189A" w:rsidRPr="005B65DF">
        <w:t xml:space="preserve"> Because the overpressure and underpressure are the principal mechanisms behind primary blast injury, the type of blast injury most responsible for damage to air-containing organs like the ear, this 1-1.5 ms window is </w:t>
      </w:r>
      <w:r w:rsidR="002968AA" w:rsidRPr="005B65DF">
        <w:t xml:space="preserve">crucial for protecting hearing </w:t>
      </w:r>
      <w:r w:rsidR="002968AA" w:rsidRPr="005B65DF">
        <w:fldChar w:fldCharType="begin" w:fldLock="1"/>
      </w:r>
      <w:r w:rsidR="00E01826" w:rsidRPr="005B65DF">
        <w:instrText>ADDIN CSL_CITATION {"citationItems":[{"id":"ITEM-1","itemData":{"DOI":"10.1016/j.cjtee.2015.10.002","ISBN":"8623688082","ISSN":"10081275","PMID":"26764540","abstract":"Blast injury has become the major life- and function-threatening injuries in recent warfares. There is increased research interest in the mental disorders caused by blast-induced traumatic brain injury (bTBI), which has been proved as one of the \"signature wounds\" in modern battlefield. We reviewed the recent progresses in bTBI-related researches and concluded that the new era of blast injury research has shifted from the traditional physical impairments to cognitive dysfunctional/mental disorders that are proved to be more related to the outcome of combat casualty care.","author":[{"dropping-particle":"","family":"Zhao","given":"Yan","non-dropping-particle":"","parse-names":false,"suffix":""},{"dropping-particle":"","family":"Wang","given":"Zheng Guo","non-dropping-particle":"","parse-names":false,"suffix":""}],"container-title":"Chinese Journal of Traumatology - English Edition","id":"ITEM-1","issue":"4","issued":{"date-parts":[["2015"]]},"page":"201-203","publisher":"Elsevier Ltd","title":"Blast-induced traumatic brain injury: A new trend of blast injury research","type":"article-journal","volume":"18"},"uris":["http://www.mendeley.com/documents/?uuid=f1b469f6-3fb1-4d03-81ac-e5b91c62d3b0"]}],"mendeley":{"formattedCitation":"(Zhao et al., 2015)","plainTextFormattedCitation":"(Zhao et al., 2015)","previouslyFormattedCitation":"(Zhao et al., 2015)"},"properties":{"noteIndex":0},"schema":"https://github.com/citation-style-language/schema/raw/master/csl-citation.json"}</w:instrText>
      </w:r>
      <w:r w:rsidR="002968AA" w:rsidRPr="005B65DF">
        <w:fldChar w:fldCharType="separate"/>
      </w:r>
      <w:r w:rsidR="009D66ED" w:rsidRPr="005B65DF">
        <w:rPr>
          <w:noProof/>
        </w:rPr>
        <w:t>(Zhao et al., 2015)</w:t>
      </w:r>
      <w:r w:rsidR="002968AA" w:rsidRPr="005B65DF">
        <w:fldChar w:fldCharType="end"/>
      </w:r>
      <w:r w:rsidR="002968AA" w:rsidRPr="005B65DF">
        <w:t>.</w:t>
      </w:r>
      <w:r w:rsidR="003C5A99" w:rsidRPr="005B65DF">
        <w:t xml:space="preserve"> It is worth noting that the pressure measurements taken here were recorded at the entrance to the ear canal and that some time is necessary for the pressure to propagate through the ear canal and across the ossicular chain. While a detailed finite element chinchilla blast model was not available, a human </w:t>
      </w:r>
      <w:r w:rsidR="003C5A99" w:rsidRPr="005B65DF">
        <w:lastRenderedPageBreak/>
        <w:t xml:space="preserve">model </w:t>
      </w:r>
      <w:r w:rsidR="002A3164" w:rsidRPr="005B65DF">
        <w:t xml:space="preserve">using data from the same blast generation apparatus used here </w:t>
      </w:r>
      <w:r w:rsidR="003C5A99" w:rsidRPr="005B65DF">
        <w:t>was able to</w:t>
      </w:r>
      <w:r w:rsidR="004B4DBB" w:rsidRPr="005B65DF">
        <w:t xml:space="preserve"> estimate</w:t>
      </w:r>
      <w:r w:rsidR="003C5A99" w:rsidRPr="005B65DF">
        <w:t xml:space="preserve"> the additional time necessary for this propagation </w:t>
      </w:r>
      <w:r w:rsidR="003C5A99" w:rsidRPr="005B65DF">
        <w:fldChar w:fldCharType="begin" w:fldLock="1"/>
      </w:r>
      <w:r w:rsidR="00E01826" w:rsidRPr="005B65DF">
        <w:instrText>ADDIN CSL_CITATION {"citationItems":[{"id":"ITEM-1","itemData":{"DOI":"10.1093/milmed/usx226","ISSN":"1930613X","abstract":"Hearing loss has become the most common disability among veterans. Understanding how blast waves propagate through the human ear is a necessary step in the development of effective hearing protection devices (HPDs). This article presents the first 3D finite element (FE) model of the human ear to simulate blast wave transmission through the ear. The 3D FE model of the human ear consisting of the ear canal, tympanic membrane, ossicular chain, and middle ear cavity was imported into ANSYS Workbench for coupled fluid–structure interaction analysis in the time domain. Blast pressure waveforms recorded external to the ear in human cadaver temporal bone tests were applied at the entrance of the ear canal in the model. The pressure waveforms near the tympanic membrane (TM) in the canal (P1) and behind the TM in the middle ear cavity (P2) were calculated. The model-predicted results were then compared with measured P1 and P2 waveforms recorded in human cadaver ears during blast tests. Results show that the model-derived P1 waveforms were in an agreement with the experimentally recorded waveforms with statistic Kurtosis analysis. The FE model will be used for the evaluation of HPDs in future studies","author":[{"dropping-particle":"","family":"Leckness","given":"Kegan","non-dropping-particle":"","parse-names":false,"suffix":""},{"dropping-particle":"","family":"Nakmali","given":"Don","non-dropping-particle":"","parse-names":false,"suffix":""},{"dropping-particle":"","family":"Gan","given":"Rong Z.","non-dropping-particle":"","parse-names":false,"suffix":""}],"container-title":"Military Medicine","id":"ITEM-1","issued":{"date-parts":[["2018"]]},"page":"262-268","title":"Computational Modeling of Blast Wave Transmission Through Human Ear","type":"article-journal","volume":"183"},"uris":["http://www.mendeley.com/documents/?uuid=27aab59a-ddd9-4ee9-9c78-e777ea6f2aee"]}],"mendeley":{"formattedCitation":"(Leckness et al., 2018)","plainTextFormattedCitation":"(Leckness et al., 2018)","previouslyFormattedCitation":"(Leckness et al., 2018)"},"properties":{"noteIndex":0},"schema":"https://github.com/citation-style-language/schema/raw/master/csl-citation.json"}</w:instrText>
      </w:r>
      <w:r w:rsidR="003C5A99" w:rsidRPr="005B65DF">
        <w:fldChar w:fldCharType="separate"/>
      </w:r>
      <w:r w:rsidR="009D66ED" w:rsidRPr="005B65DF">
        <w:rPr>
          <w:noProof/>
        </w:rPr>
        <w:t>(Leckness et al., 2018)</w:t>
      </w:r>
      <w:r w:rsidR="003C5A99" w:rsidRPr="005B65DF">
        <w:fldChar w:fldCharType="end"/>
      </w:r>
      <w:r w:rsidR="003C5A99" w:rsidRPr="005B65DF">
        <w:t>.</w:t>
      </w:r>
      <w:r w:rsidR="004B4DBB" w:rsidRPr="005B65DF">
        <w:t xml:space="preserve"> According to this model, it takes 0.1 ms in a human between the onset of overpressure at the ear canal and </w:t>
      </w:r>
      <w:r w:rsidR="00BA5B8F" w:rsidRPr="005B65DF">
        <w:t xml:space="preserve">the commencement of motion in the stapes in response to that pressure. Assuming </w:t>
      </w:r>
      <w:r w:rsidR="002A3164" w:rsidRPr="005B65DF">
        <w:t>this blast propagation</w:t>
      </w:r>
      <w:r w:rsidR="003607A8" w:rsidRPr="005B65DF">
        <w:t xml:space="preserve"> time is similar in magnitude in chinchillas, most of the blast waves observed in this study would have gone through both overpressure and underpressure with enough time for the impact of the underpressure to reach the stapes within approximately 1.6 ms. Comparing this to the average </w:t>
      </w:r>
      <w:r w:rsidR="004C4892" w:rsidRPr="005B65DF">
        <w:t xml:space="preserve">MEMR </w:t>
      </w:r>
      <w:r w:rsidR="003607A8" w:rsidRPr="005B65DF">
        <w:t>latency</w:t>
      </w:r>
      <w:r w:rsidR="004C4892" w:rsidRPr="005B65DF">
        <w:t xml:space="preserve"> of 4.75 </w:t>
      </w:r>
      <w:r w:rsidR="004C4892" w:rsidRPr="005B65DF">
        <w:rPr>
          <w:rFonts w:cstheme="minorHAnsi"/>
        </w:rPr>
        <w:t>±</w:t>
      </w:r>
      <w:r w:rsidR="004C4892" w:rsidRPr="005B65DF">
        <w:t xml:space="preserve"> 3.19 ms</w:t>
      </w:r>
      <w:r w:rsidR="003607A8" w:rsidRPr="005B65DF">
        <w:t xml:space="preserve"> found here </w:t>
      </w:r>
      <w:r w:rsidR="004C4892" w:rsidRPr="005B65DF">
        <w:t>for the blast case</w:t>
      </w:r>
      <w:r w:rsidR="003607A8" w:rsidRPr="005B65DF">
        <w:t>, it is likely that most or all of the mechanical damage from a blast will occur before MEMR activation.</w:t>
      </w:r>
      <w:r w:rsidR="004C4892" w:rsidRPr="005B65DF">
        <w:t xml:space="preserve"> Despite having lower MEMR latency than some other animals</w:t>
      </w:r>
      <w:r w:rsidR="003607A8" w:rsidRPr="005B65DF">
        <w:t xml:space="preserve"> </w:t>
      </w:r>
      <w:r w:rsidR="004C4892" w:rsidRPr="005B65DF">
        <w:t>per section 2.4.2, the chinchilla stapedius still does not respond quickly enough when activated by an impulse overpressure.</w:t>
      </w:r>
    </w:p>
    <w:p w14:paraId="28A494D3" w14:textId="184A4B70" w:rsidR="00720002" w:rsidRPr="005B65DF" w:rsidRDefault="00BA66E7" w:rsidP="00971CE8">
      <w:pPr>
        <w:pStyle w:val="Heading3"/>
      </w:pPr>
      <w:bookmarkStart w:id="80" w:name="_Toc185927"/>
      <w:r w:rsidRPr="005B65DF">
        <w:t>3.4.</w:t>
      </w:r>
      <w:r w:rsidR="00746300" w:rsidRPr="005B65DF">
        <w:t>3</w:t>
      </w:r>
      <w:r w:rsidR="00971CE8" w:rsidRPr="005B65DF">
        <w:t xml:space="preserve"> Study Limitations</w:t>
      </w:r>
      <w:bookmarkEnd w:id="80"/>
    </w:p>
    <w:p w14:paraId="4CEE2377" w14:textId="4581020E" w:rsidR="00045059" w:rsidRPr="005B65DF" w:rsidRDefault="00045059" w:rsidP="000672D4">
      <w:r w:rsidRPr="005B65DF">
        <w:t xml:space="preserve">One possible explanation for the high variability in waveforms between animals is blast interference with the electrode and wiring. </w:t>
      </w:r>
      <w:r w:rsidR="0079133B" w:rsidRPr="005B65DF">
        <w:t xml:space="preserve">Preliminary acoustic studies did have some interference at high stimulus levels from the speaker stimuli, but the filters used were designed in part to remove that noise. While attempts at that were made here as well, it is possible that better data could be obtained with either better-designed filters or </w:t>
      </w:r>
      <w:r w:rsidR="00E51C25" w:rsidRPr="005B65DF">
        <w:t>more</w:t>
      </w:r>
      <w:r w:rsidR="0079133B" w:rsidRPr="005B65DF">
        <w:t xml:space="preserve"> noise insulation for the wiring.</w:t>
      </w:r>
    </w:p>
    <w:p w14:paraId="66D36AA3" w14:textId="4C99FB46" w:rsidR="00391E41" w:rsidRPr="005B65DF" w:rsidRDefault="002968AA" w:rsidP="00260F8F">
      <w:pPr>
        <w:rPr>
          <w:rFonts w:asciiTheme="majorHAnsi" w:hAnsiTheme="majorHAnsi"/>
          <w:b/>
          <w:bCs/>
          <w:sz w:val="28"/>
          <w:szCs w:val="32"/>
        </w:rPr>
      </w:pPr>
      <w:r w:rsidRPr="005B65DF">
        <w:t>While this study corroborates t</w:t>
      </w:r>
      <w:r w:rsidR="000672D4" w:rsidRPr="005B65DF">
        <w:t xml:space="preserve">he current understanding of the MEMR </w:t>
      </w:r>
      <w:r w:rsidRPr="005B65DF">
        <w:t xml:space="preserve">which </w:t>
      </w:r>
      <w:r w:rsidR="000672D4" w:rsidRPr="005B65DF">
        <w:t>suggests that protection from blast damage is unlikely due to latency</w:t>
      </w:r>
      <w:r w:rsidRPr="005B65DF">
        <w:t>, it does not rule out protection in a warned-stapedius case</w:t>
      </w:r>
      <w:r w:rsidR="000672D4" w:rsidRPr="005B65DF">
        <w:t>. It is possible that a reflex activating stimulus presented before blast onset could result in protection from damage</w:t>
      </w:r>
      <w:r w:rsidR="003C5A99" w:rsidRPr="005B65DF">
        <w:t>, but that exceeded the scope of this study</w:t>
      </w:r>
      <w:r w:rsidR="000672D4" w:rsidRPr="005B65DF">
        <w:t xml:space="preserve">. This model could be easily adapted </w:t>
      </w:r>
      <w:r w:rsidR="003C5A99" w:rsidRPr="005B65DF">
        <w:t xml:space="preserve">in the future </w:t>
      </w:r>
      <w:r w:rsidR="000672D4" w:rsidRPr="005B65DF">
        <w:t>to test that possibility by adding a MEMR-eliciting sound in advance of the blast wave.</w:t>
      </w:r>
      <w:r w:rsidR="00391E41" w:rsidRPr="005B65DF">
        <w:br w:type="page"/>
      </w:r>
    </w:p>
    <w:p w14:paraId="57AEEA52" w14:textId="322F7F20" w:rsidR="00720002" w:rsidRPr="005B65DF" w:rsidRDefault="0035104F" w:rsidP="00A02A61">
      <w:pPr>
        <w:pStyle w:val="Heading1"/>
      </w:pPr>
      <w:bookmarkStart w:id="81" w:name="_Toc185928"/>
      <w:r w:rsidRPr="005B65DF">
        <w:lastRenderedPageBreak/>
        <w:t xml:space="preserve">Use of Electromyography to Quantify Level of Hearing Damage from </w:t>
      </w:r>
      <w:r w:rsidR="00746300" w:rsidRPr="005B65DF">
        <w:t xml:space="preserve">Prolonged </w:t>
      </w:r>
      <w:r w:rsidRPr="005B65DF">
        <w:t>High Intensity Sound Exposure</w:t>
      </w:r>
      <w:bookmarkEnd w:id="81"/>
    </w:p>
    <w:p w14:paraId="6C603656" w14:textId="77777777" w:rsidR="00720002" w:rsidRPr="005B65DF" w:rsidRDefault="00247B6B" w:rsidP="00720002">
      <w:pPr>
        <w:pStyle w:val="Heading2"/>
      </w:pPr>
      <w:bookmarkStart w:id="82" w:name="_Toc185929"/>
      <w:r w:rsidRPr="005B65DF">
        <w:t>4.1 Introduction</w:t>
      </w:r>
      <w:bookmarkEnd w:id="82"/>
    </w:p>
    <w:p w14:paraId="42116652" w14:textId="18C18A58" w:rsidR="00247B6B" w:rsidRPr="005B65DF" w:rsidRDefault="00391E41" w:rsidP="00247B6B">
      <w:r w:rsidRPr="005B65DF">
        <w:t xml:space="preserve">High-intensity noise exposure is also a major cause of hearing damage. Most commonly, people are exposed to intense noise in their workplace. Concerts, lawn mowers, and even headphones can potentially produce dangerous levels of sound as well. There are a variety of studies on how much the hearing threshold can shift after intense </w:t>
      </w:r>
      <w:r w:rsidR="00BC4879" w:rsidRPr="005B65DF">
        <w:t xml:space="preserve">sound </w:t>
      </w:r>
      <w:r w:rsidRPr="005B65DF">
        <w:t>exposure, but these generally stay below 125 dB</w:t>
      </w:r>
      <w:r w:rsidR="00BC4879" w:rsidRPr="005B65DF">
        <w:t xml:space="preserve"> and involve days or weeks of repeated exposure</w:t>
      </w:r>
      <w:r w:rsidRPr="005B65DF">
        <w:t xml:space="preserve">. </w:t>
      </w:r>
      <w:r w:rsidR="00BC4879" w:rsidRPr="005B65DF">
        <w:t>Due to the highly invasive nature of EMG measurement of the MEMR, it is not possible to insert the</w:t>
      </w:r>
      <w:r w:rsidR="00746300" w:rsidRPr="005B65DF">
        <w:t xml:space="preserve"> electrode</w:t>
      </w:r>
      <w:r w:rsidR="00BC4879" w:rsidRPr="005B65DF">
        <w:t xml:space="preserve"> before a multiple day long study without significant medical intervention</w:t>
      </w:r>
      <w:r w:rsidR="00746300" w:rsidRPr="005B65DF">
        <w:t xml:space="preserve"> to deal with both pain and chance of infection</w:t>
      </w:r>
      <w:r w:rsidR="00BC4879" w:rsidRPr="005B65DF">
        <w:t>. In order to circumvent this issue, sound amplitudes above 130 dB were selected in order to cause hearing damage in only a single exposure session.</w:t>
      </w:r>
      <w:r w:rsidR="00AD0C72" w:rsidRPr="005B65DF">
        <w:t xml:space="preserve"> The goals were to establish a single-day noise exposure model for hearing damage in chinchillas</w:t>
      </w:r>
      <w:r w:rsidR="004D5835" w:rsidRPr="005B65DF">
        <w:t>, compare the shift in hearing level to the shift in MEMR threshold after exposure, and analyze changes in the MEMR post-exposure.</w:t>
      </w:r>
    </w:p>
    <w:p w14:paraId="308F32FA" w14:textId="77777777" w:rsidR="00247B6B" w:rsidRPr="005B65DF" w:rsidRDefault="00247B6B" w:rsidP="00247B6B">
      <w:pPr>
        <w:pStyle w:val="Heading2"/>
      </w:pPr>
      <w:bookmarkStart w:id="83" w:name="_Toc185930"/>
      <w:r w:rsidRPr="005B65DF">
        <w:t>4.2 Experimental Setup</w:t>
      </w:r>
      <w:bookmarkEnd w:id="83"/>
    </w:p>
    <w:p w14:paraId="00A37CD6" w14:textId="77777777" w:rsidR="002266CD" w:rsidRPr="005B65DF" w:rsidRDefault="00BC4879" w:rsidP="0026427F">
      <w:pPr>
        <w:pStyle w:val="Heading3"/>
      </w:pPr>
      <w:bookmarkStart w:id="84" w:name="_Toc185931"/>
      <w:r w:rsidRPr="005B65DF">
        <w:t>4.2.1 Chinchilla Specimens</w:t>
      </w:r>
      <w:bookmarkEnd w:id="84"/>
    </w:p>
    <w:p w14:paraId="1AF8D352" w14:textId="77777777" w:rsidR="002266CD" w:rsidRPr="005B65DF" w:rsidRDefault="002266CD" w:rsidP="002266CD">
      <w:r w:rsidRPr="005B65DF">
        <w:t>Healthy adult chinchillas (Chinchilla lanigera, n</w:t>
      </w:r>
      <w:r w:rsidR="00784056" w:rsidRPr="005B65DF">
        <w:t>=8)</w:t>
      </w:r>
      <w:r w:rsidRPr="005B65DF">
        <w:t xml:space="preserve"> o</w:t>
      </w:r>
      <w:r w:rsidR="00784056" w:rsidRPr="005B65DF">
        <w:t>f mixed sex weighing between 560 and 865</w:t>
      </w:r>
      <w:r w:rsidRPr="005B65DF">
        <w:t xml:space="preserve"> grams </w:t>
      </w:r>
      <w:r w:rsidR="00395E23" w:rsidRPr="005B65DF">
        <w:t xml:space="preserve">with a mean and standard deviation of 644.4 </w:t>
      </w:r>
      <w:r w:rsidR="00395E23" w:rsidRPr="005B65DF">
        <w:rPr>
          <w:rFonts w:cstheme="minorHAnsi"/>
        </w:rPr>
        <w:t>±</w:t>
      </w:r>
      <w:r w:rsidR="00395E23" w:rsidRPr="005B65DF">
        <w:t xml:space="preserve"> 96.3 g </w:t>
      </w:r>
      <w:r w:rsidRPr="005B65DF">
        <w:t>were included in this study. The study protocol was approved by the Institutional Animal Care and Use Committee of the University of Oklahoma and met the guidelines of the National Institutes of Health. Animals were acquired from Moulton Chinchilla Ranch, Rochester, MN. They were housed at OU’s animal facility and given a minimum of three days there to acclimate before being tested.</w:t>
      </w:r>
    </w:p>
    <w:p w14:paraId="56CF9F65" w14:textId="77777777" w:rsidR="00116624" w:rsidRPr="005B65DF" w:rsidRDefault="00116624" w:rsidP="0026427F">
      <w:pPr>
        <w:pStyle w:val="Heading3"/>
      </w:pPr>
      <w:bookmarkStart w:id="85" w:name="_Toc185932"/>
      <w:r w:rsidRPr="005B65DF">
        <w:lastRenderedPageBreak/>
        <w:t>4.2.2 Pre-testing</w:t>
      </w:r>
      <w:bookmarkEnd w:id="85"/>
    </w:p>
    <w:p w14:paraId="7622CA48" w14:textId="77777777" w:rsidR="00021FFC" w:rsidRPr="005B65DF" w:rsidRDefault="00021FFC" w:rsidP="00021FFC">
      <w:r w:rsidRPr="005B65DF">
        <w:t>Animals were sedated as described in 2.2.3</w:t>
      </w:r>
      <w:r w:rsidR="007771CE" w:rsidRPr="005B65DF">
        <w:t>;</w:t>
      </w:r>
      <w:r w:rsidRPr="005B65DF">
        <w:t xml:space="preserve"> an initial 35 mg/kg ketamine and 7 mg/kg xylazine dose was administered IM, followed by booster doses of ketamine when the animals approached consciousness. Degree of sedation and temperature were monitored throughout testing. </w:t>
      </w:r>
    </w:p>
    <w:p w14:paraId="2FB7138F" w14:textId="153C8A82" w:rsidR="00CD6DAB" w:rsidRPr="005B65DF" w:rsidRDefault="00CD6DAB" w:rsidP="00CD6DAB">
      <w:r w:rsidRPr="005B65DF">
        <w:t xml:space="preserve">Electrode insertion was as described in 2.2.3 and 2.2.4. In short, a pinnectomy was performed and flesh was cleared away from the auditory bulla. Tympanic membrane integrity was verified through tympanometry. A dental drill was used to create a hole in the bulla with further </w:t>
      </w:r>
      <w:r w:rsidR="00746300" w:rsidRPr="005B65DF">
        <w:t xml:space="preserve">removal of </w:t>
      </w:r>
      <w:r w:rsidRPr="005B65DF">
        <w:t>bony septa to create a straight path for the electrode. After insertion via micromanipulator, the electrode was secured via cyanoacrylate glue.</w:t>
      </w:r>
    </w:p>
    <w:p w14:paraId="1D7621E7" w14:textId="25589B62" w:rsidR="00116624" w:rsidRPr="005B65DF" w:rsidRDefault="00021FFC" w:rsidP="00CD6DAB">
      <w:r w:rsidRPr="005B65DF">
        <w:t>ABR was performed to determine healthy hearing levels. A pair of needle electrodes were inserted subcutaneously at the cranial vertex and ma</w:t>
      </w:r>
      <w:r w:rsidR="00E132A1" w:rsidRPr="005B65DF">
        <w:t>stoid process</w:t>
      </w:r>
      <w:r w:rsidRPr="005B65DF">
        <w:t>.</w:t>
      </w:r>
      <w:r w:rsidR="00D211A1" w:rsidRPr="005B65DF">
        <w:t xml:space="preserve"> These electrodes were wired into an RA4PA Medusa Preamp, part of the TDT System 3. Stimulus was controled by TDT’s BioSig software.</w:t>
      </w:r>
      <w:r w:rsidR="00CD6DAB" w:rsidRPr="005B65DF">
        <w:t xml:space="preserve"> The test was run at 0.5, 1, 2, 4, 6, and 8 kHz</w:t>
      </w:r>
      <w:r w:rsidR="00557A59" w:rsidRPr="005B65DF">
        <w:t>, each of which was stepped in 5 dB intervals between 0-80 dB. T</w:t>
      </w:r>
      <w:r w:rsidR="00CD6DAB" w:rsidRPr="005B65DF">
        <w:t xml:space="preserve">he approximate hearing level at each </w:t>
      </w:r>
      <w:r w:rsidR="00557A59" w:rsidRPr="005B65DF">
        <w:t>frequency</w:t>
      </w:r>
      <w:r w:rsidR="00784056" w:rsidRPr="005B65DF">
        <w:t xml:space="preserve"> was defined as the lowest amplitude sound stimulus that elicited the recurring 5-peak waveform typical of ABR</w:t>
      </w:r>
      <w:r w:rsidR="00CD6DAB" w:rsidRPr="005B65DF">
        <w:t>.</w:t>
      </w:r>
      <w:r w:rsidR="00784056" w:rsidRPr="005B65DF">
        <w:t xml:space="preserve"> </w:t>
      </w:r>
      <w:r w:rsidR="00CD6DAB" w:rsidRPr="005B65DF">
        <w:t>After ABR, acoustic EMG was performed as in 2.2.5 to determine MEMR thresholds at 1, 2, 4, and 6 kHz</w:t>
      </w:r>
      <w:r w:rsidR="00557A59" w:rsidRPr="005B65DF">
        <w:t xml:space="preserve"> with amplitudes ranging from 50-110 dB with a 10 dB step</w:t>
      </w:r>
      <w:r w:rsidR="00CD6DAB" w:rsidRPr="005B65DF">
        <w:t xml:space="preserve">. </w:t>
      </w:r>
    </w:p>
    <w:p w14:paraId="57FF634C" w14:textId="77777777" w:rsidR="00116624" w:rsidRPr="005B65DF" w:rsidRDefault="00116624" w:rsidP="0026427F">
      <w:pPr>
        <w:pStyle w:val="Heading3"/>
        <w:numPr>
          <w:ilvl w:val="0"/>
          <w:numId w:val="0"/>
        </w:numPr>
      </w:pPr>
      <w:bookmarkStart w:id="86" w:name="_Toc185933"/>
      <w:r w:rsidRPr="005B65DF">
        <w:t>4.2.3 High Intensity Noise Exposure</w:t>
      </w:r>
      <w:bookmarkEnd w:id="86"/>
    </w:p>
    <w:p w14:paraId="7B914647" w14:textId="23FB982C" w:rsidR="00E0754D" w:rsidRPr="005B65DF" w:rsidRDefault="00E0754D" w:rsidP="00116624">
      <w:r w:rsidRPr="005B65DF">
        <w:t>The a</w:t>
      </w:r>
      <w:r w:rsidR="00D211A1" w:rsidRPr="005B65DF">
        <w:t xml:space="preserve">nimals </w:t>
      </w:r>
      <w:r w:rsidRPr="005B65DF">
        <w:t xml:space="preserve">was then </w:t>
      </w:r>
      <w:r w:rsidR="00CD6DAB" w:rsidRPr="005B65DF">
        <w:t>transferred to a</w:t>
      </w:r>
      <w:r w:rsidR="00D9410F" w:rsidRPr="005B65DF">
        <w:t xml:space="preserve"> sound-insulated chamber</w:t>
      </w:r>
      <w:r w:rsidR="0055104B" w:rsidRPr="005B65DF">
        <w:t>, shown in Fig. 4.</w:t>
      </w:r>
      <w:r w:rsidR="00DE2D91" w:rsidRPr="005B65DF">
        <w:t>1</w:t>
      </w:r>
      <w:r w:rsidR="00D211A1" w:rsidRPr="005B65DF">
        <w:t>.</w:t>
      </w:r>
      <w:r w:rsidR="00CD6DAB" w:rsidRPr="005B65DF">
        <w:t xml:space="preserve"> </w:t>
      </w:r>
      <w:r w:rsidR="00D83DB2" w:rsidRPr="005B65DF">
        <w:t xml:space="preserve">The EMG electrodes were left inserted in the stapedius, and care was taken to secure them to the platform to prevent them from being jostled out of place. </w:t>
      </w:r>
      <w:r w:rsidR="00CD6DAB" w:rsidRPr="005B65DF">
        <w:t>Within this</w:t>
      </w:r>
      <w:r w:rsidR="00D9410F" w:rsidRPr="005B65DF">
        <w:t xml:space="preserve"> chamber</w:t>
      </w:r>
      <w:r w:rsidR="00CD6DAB" w:rsidRPr="005B65DF">
        <w:t xml:space="preserve">, a Pyle PH44 mid-tweeter </w:t>
      </w:r>
      <w:r w:rsidR="004D5835" w:rsidRPr="005B65DF">
        <w:t xml:space="preserve">controlled by a TDT System 3 </w:t>
      </w:r>
      <w:r w:rsidR="00CD6DAB" w:rsidRPr="005B65DF">
        <w:t xml:space="preserve">was used for stimulus generation (Pyle, Brooklyn, NY). </w:t>
      </w:r>
      <w:r w:rsidR="00B74180" w:rsidRPr="005B65DF">
        <w:t xml:space="preserve">A </w:t>
      </w:r>
      <w:r w:rsidR="00B74180" w:rsidRPr="005B65DF">
        <w:lastRenderedPageBreak/>
        <w:t xml:space="preserve">platform allowed the animal to be positioned with one ear directly next to the speaker. </w:t>
      </w:r>
      <w:r w:rsidRPr="005B65DF">
        <w:t xml:space="preserve">Stimulus intensity at the location of the </w:t>
      </w:r>
      <w:r w:rsidR="00ED1BF3" w:rsidRPr="005B65DF">
        <w:t>closest ear</w:t>
      </w:r>
      <w:r w:rsidRPr="005B65DF">
        <w:t xml:space="preserve"> was verified via probe microphone.</w:t>
      </w:r>
      <w:r w:rsidR="00ED1BF3" w:rsidRPr="005B65DF">
        <w:t xml:space="preserve"> Only that ear was considered in post-exposure tests.</w:t>
      </w:r>
    </w:p>
    <w:p w14:paraId="0F4212AC" w14:textId="1D15EB10" w:rsidR="0055104B" w:rsidRPr="005B65DF" w:rsidRDefault="00D87012" w:rsidP="00116624">
      <w:r>
        <w:rPr>
          <w:noProof/>
        </w:rPr>
        <w:pict w14:anchorId="0D53FE38">
          <v:shape id="_x0000_s1088" type="#_x0000_t202" style="position:absolute;left:0;text-align:left;margin-left:36.5pt;margin-top:545.2pt;width:424.8pt;height:13.8pt;z-index:251679744;mso-position-horizontal-relative:text;mso-position-vertical-relative:text" stroked="f">
            <v:textbox style="mso-fit-shape-to-text:t" inset="0,0,0,0">
              <w:txbxContent>
                <w:p w14:paraId="6A4C5BDE" w14:textId="2F96924D" w:rsidR="00D87012" w:rsidRPr="003E1435" w:rsidRDefault="00D87012" w:rsidP="00D87012">
                  <w:pPr>
                    <w:pStyle w:val="Caption"/>
                    <w:rPr>
                      <w:noProof/>
                      <w:szCs w:val="24"/>
                    </w:rPr>
                  </w:pPr>
                  <w:bookmarkStart w:id="87" w:name="_Toc185847"/>
                  <w:r>
                    <w:t xml:space="preserve">Figure </w:t>
                  </w:r>
                  <w:fldSimple w:instr=" STYLEREF 1 \s ">
                    <w:r w:rsidR="00FC3CCD">
                      <w:rPr>
                        <w:noProof/>
                      </w:rPr>
                      <w:t>4</w:t>
                    </w:r>
                  </w:fldSimple>
                  <w:r w:rsidR="00216C1B">
                    <w:noBreakHyphen/>
                  </w:r>
                  <w:fldSimple w:instr=" SEQ Figure \* ARABIC \s 1 ">
                    <w:r w:rsidR="00FC3CCD">
                      <w:rPr>
                        <w:noProof/>
                      </w:rPr>
                      <w:t>1</w:t>
                    </w:r>
                  </w:fldSimple>
                  <w:r w:rsidRPr="0074236E">
                    <w:t>. Noise insulated chamber for sound exposure.</w:t>
                  </w:r>
                  <w:bookmarkEnd w:id="87"/>
                </w:p>
              </w:txbxContent>
            </v:textbox>
            <w10:wrap type="topAndBottom"/>
          </v:shape>
        </w:pict>
      </w:r>
      <w:r w:rsidR="00DE2D91" w:rsidRPr="005B65DF">
        <w:rPr>
          <w:noProof/>
          <w:lang w:bidi="ar-SA"/>
        </w:rPr>
        <w:drawing>
          <wp:anchor distT="0" distB="0" distL="114300" distR="114300" simplePos="0" relativeHeight="251670016" behindDoc="1" locked="0" layoutInCell="1" allowOverlap="1" wp14:anchorId="1472EC41" wp14:editId="5FA1B6B3">
            <wp:simplePos x="0" y="0"/>
            <wp:positionH relativeFrom="column">
              <wp:posOffset>225631</wp:posOffset>
            </wp:positionH>
            <wp:positionV relativeFrom="paragraph">
              <wp:posOffset>2855364</wp:posOffset>
            </wp:positionV>
            <wp:extent cx="5394960" cy="4044315"/>
            <wp:effectExtent l="0" t="0" r="0" b="0"/>
            <wp:wrapTopAndBottom/>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394960" cy="4044315"/>
                    </a:xfrm>
                    <a:prstGeom prst="rect">
                      <a:avLst/>
                    </a:prstGeom>
                  </pic:spPr>
                </pic:pic>
              </a:graphicData>
            </a:graphic>
          </wp:anchor>
        </w:drawing>
      </w:r>
      <w:r w:rsidR="001E442B" w:rsidRPr="005B65DF">
        <w:t>Animals were divided into one of two groups.</w:t>
      </w:r>
      <w:r w:rsidR="00FB2645" w:rsidRPr="005B65DF">
        <w:t xml:space="preserve"> One group </w:t>
      </w:r>
      <w:r w:rsidR="00395E23" w:rsidRPr="005B65DF">
        <w:t xml:space="preserve">(n=5) </w:t>
      </w:r>
      <w:r w:rsidR="00FB2645" w:rsidRPr="005B65DF">
        <w:t xml:space="preserve">was exposed to </w:t>
      </w:r>
      <w:r w:rsidR="00ED1BF3" w:rsidRPr="005B65DF">
        <w:t>one</w:t>
      </w:r>
      <w:r w:rsidR="00FB2645" w:rsidRPr="005B65DF">
        <w:t xml:space="preserve"> hour of 130 dB sound while the other</w:t>
      </w:r>
      <w:r w:rsidR="00395E23" w:rsidRPr="005B65DF">
        <w:t xml:space="preserve"> (n=3)</w:t>
      </w:r>
      <w:r w:rsidR="00FB2645" w:rsidRPr="005B65DF">
        <w:t xml:space="preserve"> was exposed to </w:t>
      </w:r>
      <w:r w:rsidR="00ED1BF3" w:rsidRPr="005B65DF">
        <w:t>two</w:t>
      </w:r>
      <w:r w:rsidR="00FB2645" w:rsidRPr="005B65DF">
        <w:t xml:space="preserve"> hours.</w:t>
      </w:r>
      <w:r w:rsidR="001E442B" w:rsidRPr="005B65DF">
        <w:t xml:space="preserve"> </w:t>
      </w:r>
      <w:r w:rsidR="00557A59" w:rsidRPr="005B65DF">
        <w:t xml:space="preserve">The sound was presented as 5 second pulses of 2 kHz pure tone with a silent period of 1.67 seconds between each pulse included due to a software limitation preventing constant application of sound. </w:t>
      </w:r>
      <w:r w:rsidR="00E0754D" w:rsidRPr="005B65DF">
        <w:t xml:space="preserve">Animals were checked every 15 minutes for level of consciousness, even while in the exposure chamber. One of the connections between the TDT System 3 and the speaker was disconnected before opening the door for this check in order to temporarily stop the sound. A booster shot was on hand when this was done, so even if drug administration was needed the interruption should not have lasted </w:t>
      </w:r>
      <w:r w:rsidR="00E0754D" w:rsidRPr="005B65DF">
        <w:lastRenderedPageBreak/>
        <w:t>longer than a minute.</w:t>
      </w:r>
    </w:p>
    <w:p w14:paraId="74D31424" w14:textId="77777777" w:rsidR="00F0745F" w:rsidRPr="005B65DF" w:rsidRDefault="00F0745F" w:rsidP="00F0745F">
      <w:pPr>
        <w:pStyle w:val="Heading3"/>
      </w:pPr>
      <w:bookmarkStart w:id="88" w:name="_Toc185934"/>
      <w:r w:rsidRPr="005B65DF">
        <w:t>4.2.4 Post-testing</w:t>
      </w:r>
      <w:bookmarkEnd w:id="88"/>
    </w:p>
    <w:p w14:paraId="60B8AA1A" w14:textId="2CD5BAAF" w:rsidR="00F0745F" w:rsidRPr="005B65DF" w:rsidRDefault="00FB2645" w:rsidP="00F0745F">
      <w:r w:rsidRPr="005B65DF">
        <w:t xml:space="preserve">After noise exposure, post-tests were performed </w:t>
      </w:r>
      <w:r w:rsidR="007771CE" w:rsidRPr="005B65DF">
        <w:t>with</w:t>
      </w:r>
      <w:r w:rsidRPr="005B65DF">
        <w:t xml:space="preserve"> both ABR and EMG </w:t>
      </w:r>
      <w:r w:rsidR="007771CE" w:rsidRPr="005B65DF">
        <w:t xml:space="preserve">over the same frequencies described in 4.2.2 </w:t>
      </w:r>
      <w:r w:rsidRPr="005B65DF">
        <w:t>to determine the extent of damage caused by the exposure</w:t>
      </w:r>
      <w:r w:rsidR="00BE00FF" w:rsidRPr="005B65DF">
        <w:t xml:space="preserve">. </w:t>
      </w:r>
      <w:r w:rsidR="00557A59" w:rsidRPr="005B65DF">
        <w:t xml:space="preserve">Both </w:t>
      </w:r>
      <w:r w:rsidR="003303F5" w:rsidRPr="005B65DF">
        <w:t xml:space="preserve">the ABR </w:t>
      </w:r>
      <w:r w:rsidR="00557A59" w:rsidRPr="005B65DF">
        <w:t xml:space="preserve">and EMG </w:t>
      </w:r>
      <w:r w:rsidR="003303F5" w:rsidRPr="005B65DF">
        <w:t>shift</w:t>
      </w:r>
      <w:r w:rsidR="00557A59" w:rsidRPr="005B65DF">
        <w:t>s</w:t>
      </w:r>
      <w:r w:rsidR="003303F5" w:rsidRPr="005B65DF">
        <w:t xml:space="preserve"> w</w:t>
      </w:r>
      <w:r w:rsidR="00557A59" w:rsidRPr="005B65DF">
        <w:t>ere</w:t>
      </w:r>
      <w:r w:rsidR="003303F5" w:rsidRPr="005B65DF">
        <w:t xml:space="preserve"> so p</w:t>
      </w:r>
      <w:r w:rsidR="00557A59" w:rsidRPr="005B65DF">
        <w:t xml:space="preserve">ronounced that the previously described stimulus intensity ranges were often insufficient to provoke responses. To counteract this, </w:t>
      </w:r>
      <w:r w:rsidR="003303F5" w:rsidRPr="005B65DF">
        <w:t>post-tests were performed over an expanded range going up to 120 dB at maximum</w:t>
      </w:r>
      <w:r w:rsidR="00557A59" w:rsidRPr="005B65DF">
        <w:t xml:space="preserve"> for ABR and 130 dB maximum for EMG</w:t>
      </w:r>
      <w:r w:rsidR="003303F5" w:rsidRPr="005B65DF">
        <w:t xml:space="preserve">. </w:t>
      </w:r>
      <w:r w:rsidR="00BE00FF" w:rsidRPr="005B65DF">
        <w:t>Tests were done</w:t>
      </w:r>
      <w:r w:rsidR="00B74180" w:rsidRPr="005B65DF">
        <w:t xml:space="preserve"> in the ear that had been </w:t>
      </w:r>
      <w:r w:rsidR="00BE00FF" w:rsidRPr="005B65DF">
        <w:t xml:space="preserve">directly adjacent </w:t>
      </w:r>
      <w:r w:rsidR="00B74180" w:rsidRPr="005B65DF">
        <w:t>to the speaker in the noise insulation box</w:t>
      </w:r>
      <w:r w:rsidRPr="005B65DF">
        <w:t>.</w:t>
      </w:r>
      <w:r w:rsidR="00D9410F" w:rsidRPr="005B65DF">
        <w:t xml:space="preserve"> </w:t>
      </w:r>
      <w:r w:rsidR="003303F5" w:rsidRPr="005B65DF">
        <w:t xml:space="preserve">     </w:t>
      </w:r>
    </w:p>
    <w:p w14:paraId="27629F8F" w14:textId="77777777" w:rsidR="00ED1BF3" w:rsidRPr="005B65DF" w:rsidRDefault="00F0745F" w:rsidP="00ED1BF3">
      <w:r w:rsidRPr="005B65DF">
        <w:t xml:space="preserve">After post-testing, 1 mL of Euthasol (Pentobarbital Sodium 390 mg/ml and Phenytoin Sodium 50 mg/ml) was administered intraperitoneally for euthanasia. </w:t>
      </w:r>
      <w:r w:rsidR="00BE00FF" w:rsidRPr="005B65DF">
        <w:t xml:space="preserve">Analysis of </w:t>
      </w:r>
      <w:r w:rsidRPr="005B65DF">
        <w:t xml:space="preserve">ABR and EMG </w:t>
      </w:r>
      <w:r w:rsidR="00BE00FF" w:rsidRPr="005B65DF">
        <w:t xml:space="preserve">results </w:t>
      </w:r>
      <w:r w:rsidR="00D9410F" w:rsidRPr="005B65DF">
        <w:t xml:space="preserve">was performed as </w:t>
      </w:r>
      <w:r w:rsidR="00BE00FF" w:rsidRPr="005B65DF">
        <w:t xml:space="preserve">described </w:t>
      </w:r>
      <w:r w:rsidR="00D9410F" w:rsidRPr="005B65DF">
        <w:t>in previous studies.</w:t>
      </w:r>
    </w:p>
    <w:p w14:paraId="0D8FEAF2" w14:textId="77777777" w:rsidR="00251BDB" w:rsidRPr="005B65DF" w:rsidRDefault="00251BDB" w:rsidP="00ED1BF3">
      <w:pPr>
        <w:pStyle w:val="Heading2"/>
        <w:numPr>
          <w:ilvl w:val="0"/>
          <w:numId w:val="0"/>
        </w:numPr>
      </w:pPr>
      <w:bookmarkStart w:id="89" w:name="_Toc185935"/>
      <w:r w:rsidRPr="005B65DF">
        <w:t>4.3 Results</w:t>
      </w:r>
      <w:bookmarkEnd w:id="89"/>
    </w:p>
    <w:p w14:paraId="65351004" w14:textId="2ABF21CA" w:rsidR="00F4314F" w:rsidRPr="005B65DF" w:rsidRDefault="00395E23" w:rsidP="00ED1BF3">
      <w:r w:rsidRPr="005B65DF">
        <w:t>Noise exposure universally caused a substantial increase in both MEMR and ABR thresholds. Figure 4.</w:t>
      </w:r>
      <w:r w:rsidR="00DE2D91" w:rsidRPr="005B65DF">
        <w:t>2</w:t>
      </w:r>
      <w:r w:rsidRPr="005B65DF">
        <w:t xml:space="preserve"> shows pre-exposure EMG waveforms on the left and post-exposure on the right.</w:t>
      </w:r>
      <w:r w:rsidR="00083833" w:rsidRPr="005B65DF">
        <w:t xml:space="preserve"> </w:t>
      </w:r>
      <w:r w:rsidR="00CF6690" w:rsidRPr="005B65DF">
        <w:t xml:space="preserve">Stimulus levels in both cases range from 90-110 dB. </w:t>
      </w:r>
      <w:r w:rsidR="00B5705E" w:rsidRPr="005B65DF">
        <w:t xml:space="preserve">The peak-to-peak amplitude before noise exposure is approximately double compared to after exposure, and there was no response at all at 100 dB or above after noise exposure. </w:t>
      </w:r>
      <w:r w:rsidR="00971CE8" w:rsidRPr="005B65DF">
        <w:t xml:space="preserve">In addition, the duration of the response is substantially decreased post-exposure. </w:t>
      </w:r>
      <w:r w:rsidR="00B5705E" w:rsidRPr="005B65DF">
        <w:t xml:space="preserve">A comparison of ABR results before and after exposure </w:t>
      </w:r>
      <w:r w:rsidR="00ED144C" w:rsidRPr="005B65DF">
        <w:t xml:space="preserve">between 60-80 dB </w:t>
      </w:r>
      <w:r w:rsidR="00B5705E" w:rsidRPr="005B65DF">
        <w:t>can be seen in Fig. 4.</w:t>
      </w:r>
      <w:r w:rsidR="00DE2D91" w:rsidRPr="005B65DF">
        <w:t>3</w:t>
      </w:r>
      <w:r w:rsidR="00B5705E" w:rsidRPr="005B65DF">
        <w:t xml:space="preserve">. There is, again, a </w:t>
      </w:r>
      <w:r w:rsidR="003303F5" w:rsidRPr="005B65DF">
        <w:t>stark</w:t>
      </w:r>
      <w:r w:rsidR="00B5705E" w:rsidRPr="005B65DF">
        <w:t xml:space="preserve"> difference </w:t>
      </w:r>
      <w:r w:rsidR="00E25E9C" w:rsidRPr="005B65DF">
        <w:t xml:space="preserve">between pre-exposure and post-exposure responses to identical eliciting </w:t>
      </w:r>
      <w:r w:rsidR="003303F5" w:rsidRPr="005B65DF">
        <w:t xml:space="preserve">stimulus levels. </w:t>
      </w:r>
    </w:p>
    <w:p w14:paraId="3FB45BF2" w14:textId="77777777" w:rsidR="00557A59" w:rsidRPr="005B65DF" w:rsidRDefault="00557A59" w:rsidP="00ED1BF3"/>
    <w:p w14:paraId="05381B60" w14:textId="77777777" w:rsidR="00557A59" w:rsidRPr="005B65DF" w:rsidRDefault="00557A59" w:rsidP="00ED1BF3"/>
    <w:p w14:paraId="760A80B4" w14:textId="6410A4B9" w:rsidR="00557A59" w:rsidRPr="005B65DF" w:rsidRDefault="00D87012" w:rsidP="00ED1BF3">
      <w:r>
        <w:rPr>
          <w:noProof/>
        </w:rPr>
        <w:lastRenderedPageBreak/>
        <w:pict w14:anchorId="6C856319">
          <v:shape id="_x0000_s1090" type="#_x0000_t202" style="position:absolute;left:0;text-align:left;margin-left:0;margin-top:450.5pt;width:457.45pt;height:69pt;z-index:251683840;mso-position-horizontal-relative:text;mso-position-vertical-relative:text" stroked="f">
            <v:textbox style="mso-fit-shape-to-text:t" inset="0,0,0,0">
              <w:txbxContent>
                <w:p w14:paraId="5437ADD1" w14:textId="55B6263C" w:rsidR="00D87012" w:rsidRPr="00EE5752" w:rsidRDefault="00D87012" w:rsidP="00D87012">
                  <w:pPr>
                    <w:pStyle w:val="Caption"/>
                    <w:rPr>
                      <w:noProof/>
                      <w:szCs w:val="24"/>
                    </w:rPr>
                  </w:pPr>
                  <w:bookmarkStart w:id="90" w:name="_Toc185848"/>
                  <w:r>
                    <w:t xml:space="preserve">Figure </w:t>
                  </w:r>
                  <w:fldSimple w:instr=" STYLEREF 1 \s ">
                    <w:r w:rsidR="00FC3CCD">
                      <w:rPr>
                        <w:noProof/>
                      </w:rPr>
                      <w:t>4</w:t>
                    </w:r>
                  </w:fldSimple>
                  <w:r w:rsidR="00216C1B">
                    <w:noBreakHyphen/>
                  </w:r>
                  <w:fldSimple w:instr=" SEQ Figure \* ARABIC \s 1 ">
                    <w:r w:rsidR="00FC3CCD">
                      <w:rPr>
                        <w:noProof/>
                      </w:rPr>
                      <w:t>2</w:t>
                    </w:r>
                  </w:fldSimple>
                  <w:r w:rsidRPr="00A563CC">
                    <w:t>. Comparison between pre- (left) and post- (right) 1 hour noise exposure ABR behavior in response to eliciting stimuli ranging from 60 dB (bottom) to 80 dB (top) in 5 dB increments.</w:t>
                  </w:r>
                  <w:bookmarkEnd w:id="90"/>
                </w:p>
              </w:txbxContent>
            </v:textbox>
            <w10:wrap type="square"/>
          </v:shape>
        </w:pict>
      </w:r>
      <w:r>
        <w:rPr>
          <w:noProof/>
        </w:rPr>
        <w:pict w14:anchorId="11FB309D">
          <v:shape id="_x0000_s1089" type="#_x0000_t202" style="position:absolute;left:0;text-align:left;margin-left:12.25pt;margin-top:163.9pt;width:428.65pt;height:69pt;z-index:251681792;mso-position-horizontal-relative:text;mso-position-vertical-relative:text" stroked="f">
            <v:textbox style="mso-fit-shape-to-text:t" inset="0,0,0,0">
              <w:txbxContent>
                <w:p w14:paraId="6C84B154" w14:textId="3001356A" w:rsidR="00D87012" w:rsidRPr="009920C2" w:rsidRDefault="00D87012" w:rsidP="00D87012">
                  <w:pPr>
                    <w:pStyle w:val="Caption"/>
                    <w:rPr>
                      <w:noProof/>
                      <w:szCs w:val="24"/>
                    </w:rPr>
                  </w:pPr>
                  <w:bookmarkStart w:id="91" w:name="_Toc185849"/>
                  <w:r>
                    <w:t xml:space="preserve">Figure </w:t>
                  </w:r>
                  <w:fldSimple w:instr=" STYLEREF 1 \s ">
                    <w:r w:rsidR="00FC3CCD">
                      <w:rPr>
                        <w:noProof/>
                      </w:rPr>
                      <w:t>4</w:t>
                    </w:r>
                  </w:fldSimple>
                  <w:r w:rsidR="00216C1B">
                    <w:noBreakHyphen/>
                  </w:r>
                  <w:fldSimple w:instr=" SEQ Figure \* ARABIC \s 1 ">
                    <w:r w:rsidR="00FC3CCD">
                      <w:rPr>
                        <w:noProof/>
                      </w:rPr>
                      <w:t>3</w:t>
                    </w:r>
                  </w:fldSimple>
                  <w:r w:rsidRPr="008963B2">
                    <w:t>. Comparison between pre- (left) and post- (right) 1 hour noise exposure MEMR behavior in response to eliciting stimuli of 90 dB (top), 100 dB (middle), or 110 dB (bottom).</w:t>
                  </w:r>
                  <w:bookmarkEnd w:id="91"/>
                </w:p>
              </w:txbxContent>
            </v:textbox>
            <w10:wrap type="topAndBottom"/>
          </v:shape>
        </w:pict>
      </w:r>
      <w:r w:rsidR="00DE2D91" w:rsidRPr="005B65DF">
        <w:rPr>
          <w:noProof/>
          <w:lang w:bidi="ar-SA"/>
        </w:rPr>
        <w:drawing>
          <wp:anchor distT="0" distB="0" distL="114300" distR="114300" simplePos="0" relativeHeight="251621888" behindDoc="0" locked="0" layoutInCell="1" allowOverlap="1" wp14:anchorId="5DADAF11" wp14:editId="69C051F5">
            <wp:simplePos x="0" y="0"/>
            <wp:positionH relativeFrom="margin">
              <wp:posOffset>0</wp:posOffset>
            </wp:positionH>
            <wp:positionV relativeFrom="paragraph">
              <wp:posOffset>3057099</wp:posOffset>
            </wp:positionV>
            <wp:extent cx="2847340" cy="2607310"/>
            <wp:effectExtent l="0" t="0" r="0" b="0"/>
            <wp:wrapSquare wrapText="bothSides"/>
            <wp:docPr id="11"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52"/>
                    <a:stretch>
                      <a:fillRect/>
                    </a:stretch>
                  </pic:blipFill>
                  <pic:spPr>
                    <a:xfrm>
                      <a:off x="0" y="0"/>
                      <a:ext cx="2847340" cy="2607310"/>
                    </a:xfrm>
                    <a:prstGeom prst="rect">
                      <a:avLst/>
                    </a:prstGeom>
                  </pic:spPr>
                </pic:pic>
              </a:graphicData>
            </a:graphic>
            <wp14:sizeRelH relativeFrom="margin">
              <wp14:pctWidth>0</wp14:pctWidth>
            </wp14:sizeRelH>
            <wp14:sizeRelV relativeFrom="margin">
              <wp14:pctHeight>0</wp14:pctHeight>
            </wp14:sizeRelV>
          </wp:anchor>
        </w:drawing>
      </w:r>
      <w:r w:rsidR="00DE2D91" w:rsidRPr="005B65DF">
        <w:rPr>
          <w:noProof/>
          <w:lang w:bidi="ar-SA"/>
        </w:rPr>
        <w:drawing>
          <wp:anchor distT="0" distB="0" distL="114300" distR="114300" simplePos="0" relativeHeight="251645440" behindDoc="0" locked="0" layoutInCell="1" allowOverlap="1" wp14:anchorId="13044CFD" wp14:editId="35006B2E">
            <wp:simplePos x="0" y="0"/>
            <wp:positionH relativeFrom="margin">
              <wp:posOffset>2893791</wp:posOffset>
            </wp:positionH>
            <wp:positionV relativeFrom="paragraph">
              <wp:posOffset>3166793</wp:posOffset>
            </wp:positionV>
            <wp:extent cx="3010160" cy="2448884"/>
            <wp:effectExtent l="0" t="0" r="0" b="0"/>
            <wp:wrapSquare wrapText="bothSides"/>
            <wp:docPr id="12"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53"/>
                    <a:stretch>
                      <a:fillRect/>
                    </a:stretch>
                  </pic:blipFill>
                  <pic:spPr>
                    <a:xfrm>
                      <a:off x="0" y="0"/>
                      <a:ext cx="3010160" cy="2448884"/>
                    </a:xfrm>
                    <a:prstGeom prst="rect">
                      <a:avLst/>
                    </a:prstGeom>
                  </pic:spPr>
                </pic:pic>
              </a:graphicData>
            </a:graphic>
            <wp14:sizeRelH relativeFrom="margin">
              <wp14:pctWidth>0</wp14:pctWidth>
            </wp14:sizeRelH>
            <wp14:sizeRelV relativeFrom="margin">
              <wp14:pctHeight>0</wp14:pctHeight>
            </wp14:sizeRelV>
          </wp:anchor>
        </w:drawing>
      </w:r>
      <w:r w:rsidR="00DE2D91" w:rsidRPr="005B65DF">
        <w:rPr>
          <w:noProof/>
          <w:lang w:bidi="ar-SA"/>
        </w:rPr>
        <w:drawing>
          <wp:anchor distT="0" distB="0" distL="114300" distR="114300" simplePos="0" relativeHeight="251675136" behindDoc="0" locked="0" layoutInCell="1" allowOverlap="1" wp14:anchorId="4074C88A" wp14:editId="5193B761">
            <wp:simplePos x="0" y="0"/>
            <wp:positionH relativeFrom="margin">
              <wp:posOffset>2886710</wp:posOffset>
            </wp:positionH>
            <wp:positionV relativeFrom="paragraph">
              <wp:posOffset>433705</wp:posOffset>
            </wp:positionV>
            <wp:extent cx="2811145" cy="1590040"/>
            <wp:effectExtent l="0" t="0" r="0" b="0"/>
            <wp:wrapSquare wrapText="bothSides"/>
            <wp:docPr id="9"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54">
                      <a:extLst>
                        <a:ext uri="{28A0092B-C50C-407E-A947-70E740481C1C}">
                          <a14:useLocalDpi xmlns:a14="http://schemas.microsoft.com/office/drawing/2010/main" val="0"/>
                        </a:ext>
                      </a:extLst>
                    </a:blip>
                    <a:stretch>
                      <a:fillRect/>
                    </a:stretch>
                  </pic:blipFill>
                  <pic:spPr>
                    <a:xfrm>
                      <a:off x="0" y="0"/>
                      <a:ext cx="2811145" cy="1590040"/>
                    </a:xfrm>
                    <a:prstGeom prst="rect">
                      <a:avLst/>
                    </a:prstGeom>
                  </pic:spPr>
                </pic:pic>
              </a:graphicData>
            </a:graphic>
            <wp14:sizeRelH relativeFrom="margin">
              <wp14:pctWidth>0</wp14:pctWidth>
            </wp14:sizeRelH>
            <wp14:sizeRelV relativeFrom="margin">
              <wp14:pctHeight>0</wp14:pctHeight>
            </wp14:sizeRelV>
          </wp:anchor>
        </w:drawing>
      </w:r>
      <w:r w:rsidR="00DE2D91" w:rsidRPr="005B65DF">
        <w:rPr>
          <w:noProof/>
          <w:lang w:bidi="ar-SA"/>
        </w:rPr>
        <w:drawing>
          <wp:anchor distT="0" distB="0" distL="114300" distR="114300" simplePos="0" relativeHeight="251616768" behindDoc="0" locked="0" layoutInCell="1" allowOverlap="1" wp14:anchorId="09507FA3" wp14:editId="7214A744">
            <wp:simplePos x="0" y="0"/>
            <wp:positionH relativeFrom="margin">
              <wp:posOffset>155575</wp:posOffset>
            </wp:positionH>
            <wp:positionV relativeFrom="paragraph">
              <wp:posOffset>45361</wp:posOffset>
            </wp:positionV>
            <wp:extent cx="2701052" cy="1979450"/>
            <wp:effectExtent l="0" t="0" r="0" b="0"/>
            <wp:wrapTopAndBottom/>
            <wp:docPr id="10"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55">
                      <a:extLst>
                        <a:ext uri="{28A0092B-C50C-407E-A947-70E740481C1C}">
                          <a14:useLocalDpi xmlns:a14="http://schemas.microsoft.com/office/drawing/2010/main" val="0"/>
                        </a:ext>
                      </a:extLst>
                    </a:blip>
                    <a:stretch>
                      <a:fillRect/>
                    </a:stretch>
                  </pic:blipFill>
                  <pic:spPr>
                    <a:xfrm>
                      <a:off x="0" y="0"/>
                      <a:ext cx="2701052" cy="1979450"/>
                    </a:xfrm>
                    <a:prstGeom prst="rect">
                      <a:avLst/>
                    </a:prstGeom>
                  </pic:spPr>
                </pic:pic>
              </a:graphicData>
            </a:graphic>
            <wp14:sizeRelH relativeFrom="margin">
              <wp14:pctWidth>0</wp14:pctWidth>
            </wp14:sizeRelH>
            <wp14:sizeRelV relativeFrom="margin">
              <wp14:pctHeight>0</wp14:pctHeight>
            </wp14:sizeRelV>
          </wp:anchor>
        </w:drawing>
      </w:r>
    </w:p>
    <w:p w14:paraId="0BF8789F" w14:textId="24554887" w:rsidR="00557A59" w:rsidRPr="005B65DF" w:rsidRDefault="00557A59" w:rsidP="00ED1BF3"/>
    <w:p w14:paraId="74171889" w14:textId="77777777" w:rsidR="003B7C2A" w:rsidRPr="005B65DF" w:rsidRDefault="003B7C2A" w:rsidP="00ED1BF3"/>
    <w:p w14:paraId="56382FB8" w14:textId="3217DD60" w:rsidR="00557A59" w:rsidRPr="005B65DF" w:rsidRDefault="00557A59" w:rsidP="00ED1BF3"/>
    <w:p w14:paraId="448B9C61" w14:textId="1FB8D2AD" w:rsidR="00557A59" w:rsidRPr="005B65DF" w:rsidRDefault="00557A59" w:rsidP="00ED1BF3"/>
    <w:p w14:paraId="35154571" w14:textId="5A394EDE" w:rsidR="003B7C2A" w:rsidRPr="005B65DF" w:rsidRDefault="003B7C2A" w:rsidP="003B7C2A">
      <w:pPr>
        <w:pStyle w:val="Caption"/>
        <w:keepNext/>
        <w:ind w:firstLine="0"/>
      </w:pPr>
      <w:bookmarkStart w:id="92" w:name="_Toc185876"/>
      <w:r w:rsidRPr="005B65DF">
        <w:lastRenderedPageBreak/>
        <w:t xml:space="preserve">Table </w:t>
      </w:r>
      <w:r w:rsidRPr="005B65DF">
        <w:rPr>
          <w:noProof/>
        </w:rPr>
        <w:fldChar w:fldCharType="begin"/>
      </w:r>
      <w:r w:rsidRPr="005B65DF">
        <w:rPr>
          <w:noProof/>
        </w:rPr>
        <w:instrText xml:space="preserve"> STYLEREF 1 \s </w:instrText>
      </w:r>
      <w:r w:rsidRPr="005B65DF">
        <w:rPr>
          <w:noProof/>
        </w:rPr>
        <w:fldChar w:fldCharType="separate"/>
      </w:r>
      <w:r w:rsidR="00FC3CCD">
        <w:rPr>
          <w:noProof/>
        </w:rPr>
        <w:t>4</w:t>
      </w:r>
      <w:r w:rsidRPr="005B65DF">
        <w:rPr>
          <w:noProof/>
        </w:rPr>
        <w:fldChar w:fldCharType="end"/>
      </w:r>
      <w:r w:rsidRPr="005B65DF">
        <w:noBreakHyphen/>
      </w:r>
      <w:r w:rsidRPr="005B65DF">
        <w:rPr>
          <w:noProof/>
        </w:rPr>
        <w:fldChar w:fldCharType="begin"/>
      </w:r>
      <w:r w:rsidRPr="005B65DF">
        <w:rPr>
          <w:noProof/>
        </w:rPr>
        <w:instrText xml:space="preserve"> SEQ Table \* ARABIC \s 1 </w:instrText>
      </w:r>
      <w:r w:rsidRPr="005B65DF">
        <w:rPr>
          <w:noProof/>
        </w:rPr>
        <w:fldChar w:fldCharType="separate"/>
      </w:r>
      <w:r w:rsidR="00FC3CCD">
        <w:rPr>
          <w:noProof/>
        </w:rPr>
        <w:t>1</w:t>
      </w:r>
      <w:r w:rsidRPr="005B65DF">
        <w:rPr>
          <w:noProof/>
        </w:rPr>
        <w:fldChar w:fldCharType="end"/>
      </w:r>
      <w:r w:rsidRPr="005B65DF">
        <w:t xml:space="preserve"> </w:t>
      </w:r>
      <w:r w:rsidR="00A006A9" w:rsidRPr="005B65DF">
        <w:rPr>
          <w:b w:val="0"/>
        </w:rPr>
        <w:t>Average MEMR t</w:t>
      </w:r>
      <w:r w:rsidRPr="005B65DF">
        <w:rPr>
          <w:b w:val="0"/>
        </w:rPr>
        <w:t xml:space="preserve">hresholds (dB) at each </w:t>
      </w:r>
      <w:r w:rsidR="00A006A9" w:rsidRPr="005B65DF">
        <w:rPr>
          <w:b w:val="0"/>
        </w:rPr>
        <w:t>f</w:t>
      </w:r>
      <w:r w:rsidRPr="005B65DF">
        <w:rPr>
          <w:b w:val="0"/>
        </w:rPr>
        <w:t>requency</w:t>
      </w:r>
      <w:bookmarkEnd w:id="92"/>
    </w:p>
    <w:tbl>
      <w:tblPr>
        <w:tblW w:w="5448" w:type="dxa"/>
        <w:tblInd w:w="108" w:type="dxa"/>
        <w:tblLook w:val="04A0" w:firstRow="1" w:lastRow="0" w:firstColumn="1" w:lastColumn="0" w:noHBand="0" w:noVBand="1"/>
      </w:tblPr>
      <w:tblGrid>
        <w:gridCol w:w="954"/>
        <w:gridCol w:w="1603"/>
        <w:gridCol w:w="1583"/>
        <w:gridCol w:w="1308"/>
      </w:tblGrid>
      <w:tr w:rsidR="003B7C2A" w:rsidRPr="005B65DF" w14:paraId="602862D6" w14:textId="77777777" w:rsidTr="00A006A9">
        <w:trPr>
          <w:trHeight w:val="300"/>
        </w:trPr>
        <w:tc>
          <w:tcPr>
            <w:tcW w:w="954" w:type="dxa"/>
            <w:tcBorders>
              <w:top w:val="nil"/>
              <w:left w:val="nil"/>
              <w:bottom w:val="single" w:sz="12" w:space="0" w:color="auto"/>
              <w:right w:val="nil"/>
            </w:tcBorders>
            <w:shd w:val="clear" w:color="auto" w:fill="auto"/>
            <w:noWrap/>
            <w:vAlign w:val="bottom"/>
            <w:hideMark/>
          </w:tcPr>
          <w:p w14:paraId="0C15DBB1" w14:textId="77777777" w:rsidR="003B7C2A" w:rsidRPr="005B65DF" w:rsidRDefault="003B7C2A" w:rsidP="00A006A9">
            <w:pPr>
              <w:spacing w:line="240" w:lineRule="auto"/>
              <w:ind w:firstLine="0"/>
              <w:rPr>
                <w:rFonts w:ascii="Times New Roman" w:hAnsi="Times New Roman"/>
                <w:color w:val="000000"/>
                <w:lang w:bidi="ar-SA"/>
              </w:rPr>
            </w:pPr>
          </w:p>
          <w:p w14:paraId="3D99CE66" w14:textId="77777777" w:rsidR="003B7C2A" w:rsidRPr="005B65DF" w:rsidRDefault="003B7C2A" w:rsidP="00A006A9">
            <w:pPr>
              <w:spacing w:line="240" w:lineRule="auto"/>
              <w:ind w:firstLine="0"/>
              <w:rPr>
                <w:rFonts w:ascii="Times New Roman" w:hAnsi="Times New Roman"/>
                <w:color w:val="000000"/>
                <w:lang w:bidi="ar-SA"/>
              </w:rPr>
            </w:pPr>
          </w:p>
        </w:tc>
        <w:tc>
          <w:tcPr>
            <w:tcW w:w="1603" w:type="dxa"/>
            <w:tcBorders>
              <w:top w:val="nil"/>
              <w:left w:val="nil"/>
              <w:bottom w:val="single" w:sz="12" w:space="0" w:color="auto"/>
              <w:right w:val="nil"/>
            </w:tcBorders>
            <w:shd w:val="clear" w:color="auto" w:fill="auto"/>
            <w:noWrap/>
            <w:vAlign w:val="bottom"/>
            <w:hideMark/>
          </w:tcPr>
          <w:p w14:paraId="508FE244"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Pre-exposure</w:t>
            </w:r>
          </w:p>
        </w:tc>
        <w:tc>
          <w:tcPr>
            <w:tcW w:w="1583" w:type="dxa"/>
            <w:tcBorders>
              <w:top w:val="nil"/>
              <w:left w:val="nil"/>
              <w:bottom w:val="single" w:sz="12" w:space="0" w:color="auto"/>
              <w:right w:val="nil"/>
            </w:tcBorders>
            <w:shd w:val="clear" w:color="auto" w:fill="auto"/>
            <w:noWrap/>
            <w:vAlign w:val="bottom"/>
            <w:hideMark/>
          </w:tcPr>
          <w:p w14:paraId="3AE821EC"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1-Hour</w:t>
            </w:r>
          </w:p>
        </w:tc>
        <w:tc>
          <w:tcPr>
            <w:tcW w:w="1308" w:type="dxa"/>
            <w:tcBorders>
              <w:top w:val="nil"/>
              <w:left w:val="nil"/>
              <w:bottom w:val="single" w:sz="12" w:space="0" w:color="auto"/>
              <w:right w:val="nil"/>
            </w:tcBorders>
            <w:shd w:val="clear" w:color="auto" w:fill="auto"/>
            <w:noWrap/>
            <w:vAlign w:val="bottom"/>
            <w:hideMark/>
          </w:tcPr>
          <w:p w14:paraId="766A1EB1"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2-Hour</w:t>
            </w:r>
          </w:p>
        </w:tc>
      </w:tr>
      <w:tr w:rsidR="003B7C2A" w:rsidRPr="005B65DF" w14:paraId="24DF1C3D" w14:textId="77777777" w:rsidTr="00A006A9">
        <w:trPr>
          <w:trHeight w:val="300"/>
        </w:trPr>
        <w:tc>
          <w:tcPr>
            <w:tcW w:w="954" w:type="dxa"/>
            <w:tcBorders>
              <w:top w:val="single" w:sz="12" w:space="0" w:color="auto"/>
              <w:left w:val="nil"/>
              <w:bottom w:val="nil"/>
              <w:right w:val="nil"/>
            </w:tcBorders>
            <w:shd w:val="clear" w:color="auto" w:fill="auto"/>
            <w:noWrap/>
            <w:vAlign w:val="bottom"/>
            <w:hideMark/>
          </w:tcPr>
          <w:p w14:paraId="0864935F"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 kHz</w:t>
            </w:r>
          </w:p>
        </w:tc>
        <w:tc>
          <w:tcPr>
            <w:tcW w:w="1603" w:type="dxa"/>
            <w:tcBorders>
              <w:top w:val="single" w:sz="12" w:space="0" w:color="auto"/>
              <w:left w:val="nil"/>
              <w:bottom w:val="nil"/>
              <w:right w:val="nil"/>
            </w:tcBorders>
            <w:shd w:val="clear" w:color="auto" w:fill="auto"/>
            <w:noWrap/>
            <w:vAlign w:val="bottom"/>
            <w:hideMark/>
          </w:tcPr>
          <w:p w14:paraId="15765F02"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64.0±19.0</w:t>
            </w:r>
          </w:p>
        </w:tc>
        <w:tc>
          <w:tcPr>
            <w:tcW w:w="1583" w:type="dxa"/>
            <w:tcBorders>
              <w:top w:val="single" w:sz="12" w:space="0" w:color="auto"/>
              <w:left w:val="nil"/>
              <w:bottom w:val="nil"/>
              <w:right w:val="nil"/>
            </w:tcBorders>
            <w:shd w:val="clear" w:color="auto" w:fill="auto"/>
            <w:noWrap/>
            <w:vAlign w:val="bottom"/>
            <w:hideMark/>
          </w:tcPr>
          <w:p w14:paraId="79278BBE"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115.0±13.8</w:t>
            </w:r>
          </w:p>
        </w:tc>
        <w:tc>
          <w:tcPr>
            <w:tcW w:w="1308" w:type="dxa"/>
            <w:tcBorders>
              <w:top w:val="single" w:sz="12" w:space="0" w:color="auto"/>
              <w:left w:val="nil"/>
              <w:bottom w:val="nil"/>
              <w:right w:val="nil"/>
            </w:tcBorders>
            <w:shd w:val="clear" w:color="auto" w:fill="auto"/>
            <w:noWrap/>
            <w:vAlign w:val="bottom"/>
            <w:hideMark/>
          </w:tcPr>
          <w:p w14:paraId="7D28E4D1"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122.0±13.0</w:t>
            </w:r>
          </w:p>
        </w:tc>
      </w:tr>
      <w:tr w:rsidR="003B7C2A" w:rsidRPr="005B65DF" w14:paraId="5D46D546" w14:textId="77777777" w:rsidTr="00A006A9">
        <w:trPr>
          <w:trHeight w:val="300"/>
        </w:trPr>
        <w:tc>
          <w:tcPr>
            <w:tcW w:w="954" w:type="dxa"/>
            <w:tcBorders>
              <w:top w:val="nil"/>
              <w:left w:val="nil"/>
              <w:bottom w:val="nil"/>
              <w:right w:val="nil"/>
            </w:tcBorders>
            <w:shd w:val="clear" w:color="auto" w:fill="auto"/>
            <w:noWrap/>
            <w:vAlign w:val="bottom"/>
            <w:hideMark/>
          </w:tcPr>
          <w:p w14:paraId="1E4B22CF"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2 kHz</w:t>
            </w:r>
          </w:p>
        </w:tc>
        <w:tc>
          <w:tcPr>
            <w:tcW w:w="1603" w:type="dxa"/>
            <w:tcBorders>
              <w:top w:val="nil"/>
              <w:left w:val="nil"/>
              <w:bottom w:val="nil"/>
              <w:right w:val="nil"/>
            </w:tcBorders>
            <w:shd w:val="clear" w:color="auto" w:fill="auto"/>
            <w:noWrap/>
            <w:vAlign w:val="bottom"/>
            <w:hideMark/>
          </w:tcPr>
          <w:p w14:paraId="43832016"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68.0±14.8</w:t>
            </w:r>
          </w:p>
        </w:tc>
        <w:tc>
          <w:tcPr>
            <w:tcW w:w="1583" w:type="dxa"/>
            <w:tcBorders>
              <w:top w:val="nil"/>
              <w:left w:val="nil"/>
              <w:bottom w:val="nil"/>
              <w:right w:val="nil"/>
            </w:tcBorders>
            <w:shd w:val="clear" w:color="auto" w:fill="auto"/>
            <w:noWrap/>
            <w:vAlign w:val="bottom"/>
            <w:hideMark/>
          </w:tcPr>
          <w:p w14:paraId="1872D15F"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120.0±12.6</w:t>
            </w:r>
          </w:p>
        </w:tc>
        <w:tc>
          <w:tcPr>
            <w:tcW w:w="1308" w:type="dxa"/>
            <w:tcBorders>
              <w:top w:val="nil"/>
              <w:left w:val="nil"/>
              <w:bottom w:val="nil"/>
              <w:right w:val="nil"/>
            </w:tcBorders>
            <w:shd w:val="clear" w:color="auto" w:fill="auto"/>
            <w:noWrap/>
            <w:vAlign w:val="bottom"/>
            <w:hideMark/>
          </w:tcPr>
          <w:p w14:paraId="07D6FA23"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126.0±8.9</w:t>
            </w:r>
          </w:p>
        </w:tc>
      </w:tr>
      <w:tr w:rsidR="003B7C2A" w:rsidRPr="005B65DF" w14:paraId="770CF53F" w14:textId="77777777" w:rsidTr="00A006A9">
        <w:trPr>
          <w:trHeight w:val="300"/>
        </w:trPr>
        <w:tc>
          <w:tcPr>
            <w:tcW w:w="954" w:type="dxa"/>
            <w:tcBorders>
              <w:top w:val="nil"/>
              <w:left w:val="nil"/>
              <w:bottom w:val="nil"/>
              <w:right w:val="nil"/>
            </w:tcBorders>
            <w:shd w:val="clear" w:color="auto" w:fill="auto"/>
            <w:noWrap/>
            <w:vAlign w:val="bottom"/>
            <w:hideMark/>
          </w:tcPr>
          <w:p w14:paraId="0170BFFE"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4 kHz</w:t>
            </w:r>
          </w:p>
        </w:tc>
        <w:tc>
          <w:tcPr>
            <w:tcW w:w="1603" w:type="dxa"/>
            <w:tcBorders>
              <w:top w:val="nil"/>
              <w:left w:val="nil"/>
              <w:bottom w:val="nil"/>
              <w:right w:val="nil"/>
            </w:tcBorders>
            <w:shd w:val="clear" w:color="auto" w:fill="auto"/>
            <w:noWrap/>
            <w:vAlign w:val="bottom"/>
            <w:hideMark/>
          </w:tcPr>
          <w:p w14:paraId="5D82136B"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64.0±16.5</w:t>
            </w:r>
          </w:p>
        </w:tc>
        <w:tc>
          <w:tcPr>
            <w:tcW w:w="1583" w:type="dxa"/>
            <w:tcBorders>
              <w:top w:val="nil"/>
              <w:left w:val="nil"/>
              <w:bottom w:val="nil"/>
              <w:right w:val="nil"/>
            </w:tcBorders>
            <w:shd w:val="clear" w:color="auto" w:fill="auto"/>
            <w:noWrap/>
            <w:vAlign w:val="bottom"/>
            <w:hideMark/>
          </w:tcPr>
          <w:p w14:paraId="622FC6CA"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130.0±0</w:t>
            </w:r>
          </w:p>
        </w:tc>
        <w:tc>
          <w:tcPr>
            <w:tcW w:w="1308" w:type="dxa"/>
            <w:tcBorders>
              <w:top w:val="nil"/>
              <w:left w:val="nil"/>
              <w:bottom w:val="nil"/>
              <w:right w:val="nil"/>
            </w:tcBorders>
            <w:shd w:val="clear" w:color="auto" w:fill="auto"/>
            <w:noWrap/>
            <w:vAlign w:val="bottom"/>
            <w:hideMark/>
          </w:tcPr>
          <w:p w14:paraId="5DEA0D4C"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124.0±8.9</w:t>
            </w:r>
          </w:p>
        </w:tc>
      </w:tr>
      <w:tr w:rsidR="003B7C2A" w:rsidRPr="005B65DF" w14:paraId="4EB7035F" w14:textId="77777777" w:rsidTr="00A006A9">
        <w:trPr>
          <w:trHeight w:val="300"/>
        </w:trPr>
        <w:tc>
          <w:tcPr>
            <w:tcW w:w="954" w:type="dxa"/>
            <w:tcBorders>
              <w:top w:val="nil"/>
              <w:left w:val="nil"/>
              <w:bottom w:val="nil"/>
              <w:right w:val="nil"/>
            </w:tcBorders>
            <w:shd w:val="clear" w:color="auto" w:fill="auto"/>
            <w:noWrap/>
            <w:vAlign w:val="bottom"/>
            <w:hideMark/>
          </w:tcPr>
          <w:p w14:paraId="47296D85"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6 kHz</w:t>
            </w:r>
          </w:p>
        </w:tc>
        <w:tc>
          <w:tcPr>
            <w:tcW w:w="1603" w:type="dxa"/>
            <w:tcBorders>
              <w:top w:val="nil"/>
              <w:left w:val="nil"/>
              <w:bottom w:val="nil"/>
              <w:right w:val="nil"/>
            </w:tcBorders>
            <w:shd w:val="clear" w:color="auto" w:fill="auto"/>
            <w:noWrap/>
            <w:vAlign w:val="bottom"/>
            <w:hideMark/>
          </w:tcPr>
          <w:p w14:paraId="1B5B5612"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79.0±24.7</w:t>
            </w:r>
          </w:p>
        </w:tc>
        <w:tc>
          <w:tcPr>
            <w:tcW w:w="1583" w:type="dxa"/>
            <w:tcBorders>
              <w:top w:val="nil"/>
              <w:left w:val="nil"/>
              <w:bottom w:val="nil"/>
              <w:right w:val="nil"/>
            </w:tcBorders>
            <w:shd w:val="clear" w:color="auto" w:fill="auto"/>
            <w:noWrap/>
            <w:vAlign w:val="bottom"/>
            <w:hideMark/>
          </w:tcPr>
          <w:p w14:paraId="1A01A059"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128.3±4.1</w:t>
            </w:r>
          </w:p>
        </w:tc>
        <w:tc>
          <w:tcPr>
            <w:tcW w:w="1308" w:type="dxa"/>
            <w:tcBorders>
              <w:top w:val="nil"/>
              <w:left w:val="nil"/>
              <w:bottom w:val="nil"/>
              <w:right w:val="nil"/>
            </w:tcBorders>
            <w:shd w:val="clear" w:color="auto" w:fill="auto"/>
            <w:noWrap/>
            <w:vAlign w:val="bottom"/>
            <w:hideMark/>
          </w:tcPr>
          <w:p w14:paraId="4B712576"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126.0±8.9</w:t>
            </w:r>
          </w:p>
        </w:tc>
      </w:tr>
    </w:tbl>
    <w:p w14:paraId="5E0935BE" w14:textId="77777777" w:rsidR="003B7C2A" w:rsidRPr="005B65DF" w:rsidRDefault="003B7C2A" w:rsidP="003B7C2A"/>
    <w:p w14:paraId="225F98E3" w14:textId="5ADDCC7A" w:rsidR="003B7C2A" w:rsidRPr="005B65DF" w:rsidRDefault="003B7C2A" w:rsidP="003B7C2A">
      <w:pPr>
        <w:pStyle w:val="Caption"/>
        <w:keepNext/>
        <w:ind w:firstLine="0"/>
      </w:pPr>
      <w:bookmarkStart w:id="93" w:name="_Toc185877"/>
      <w:r w:rsidRPr="005B65DF">
        <w:t xml:space="preserve">Table </w:t>
      </w:r>
      <w:r w:rsidRPr="005B65DF">
        <w:rPr>
          <w:noProof/>
        </w:rPr>
        <w:fldChar w:fldCharType="begin"/>
      </w:r>
      <w:r w:rsidRPr="005B65DF">
        <w:rPr>
          <w:noProof/>
        </w:rPr>
        <w:instrText xml:space="preserve"> STYLEREF 1 \s </w:instrText>
      </w:r>
      <w:r w:rsidRPr="005B65DF">
        <w:rPr>
          <w:noProof/>
        </w:rPr>
        <w:fldChar w:fldCharType="separate"/>
      </w:r>
      <w:r w:rsidR="00FC3CCD">
        <w:rPr>
          <w:noProof/>
        </w:rPr>
        <w:t>4</w:t>
      </w:r>
      <w:r w:rsidRPr="005B65DF">
        <w:rPr>
          <w:noProof/>
        </w:rPr>
        <w:fldChar w:fldCharType="end"/>
      </w:r>
      <w:r w:rsidRPr="005B65DF">
        <w:noBreakHyphen/>
      </w:r>
      <w:r w:rsidRPr="005B65DF">
        <w:rPr>
          <w:noProof/>
        </w:rPr>
        <w:fldChar w:fldCharType="begin"/>
      </w:r>
      <w:r w:rsidRPr="005B65DF">
        <w:rPr>
          <w:noProof/>
        </w:rPr>
        <w:instrText xml:space="preserve"> SEQ Table \* ARABIC \s 1 </w:instrText>
      </w:r>
      <w:r w:rsidRPr="005B65DF">
        <w:rPr>
          <w:noProof/>
        </w:rPr>
        <w:fldChar w:fldCharType="separate"/>
      </w:r>
      <w:r w:rsidR="00FC3CCD">
        <w:rPr>
          <w:noProof/>
        </w:rPr>
        <w:t>2</w:t>
      </w:r>
      <w:r w:rsidRPr="005B65DF">
        <w:rPr>
          <w:noProof/>
        </w:rPr>
        <w:fldChar w:fldCharType="end"/>
      </w:r>
      <w:r w:rsidRPr="005B65DF">
        <w:rPr>
          <w:b w:val="0"/>
        </w:rPr>
        <w:t xml:space="preserve"> Avera</w:t>
      </w:r>
      <w:r w:rsidR="00A006A9" w:rsidRPr="005B65DF">
        <w:rPr>
          <w:b w:val="0"/>
        </w:rPr>
        <w:t>ge ABR thresholds (dB) at each f</w:t>
      </w:r>
      <w:r w:rsidRPr="005B65DF">
        <w:rPr>
          <w:b w:val="0"/>
        </w:rPr>
        <w:t>requency</w:t>
      </w:r>
      <w:bookmarkEnd w:id="93"/>
    </w:p>
    <w:tbl>
      <w:tblPr>
        <w:tblW w:w="5596" w:type="dxa"/>
        <w:tblInd w:w="108" w:type="dxa"/>
        <w:tblLook w:val="04A0" w:firstRow="1" w:lastRow="0" w:firstColumn="1" w:lastColumn="0" w:noHBand="0" w:noVBand="1"/>
      </w:tblPr>
      <w:tblGrid>
        <w:gridCol w:w="990"/>
        <w:gridCol w:w="1603"/>
        <w:gridCol w:w="1524"/>
        <w:gridCol w:w="1479"/>
      </w:tblGrid>
      <w:tr w:rsidR="003B7C2A" w:rsidRPr="005B65DF" w14:paraId="7067A755" w14:textId="77777777" w:rsidTr="00A006A9">
        <w:trPr>
          <w:trHeight w:val="300"/>
        </w:trPr>
        <w:tc>
          <w:tcPr>
            <w:tcW w:w="990" w:type="dxa"/>
            <w:tcBorders>
              <w:top w:val="nil"/>
              <w:left w:val="nil"/>
              <w:bottom w:val="single" w:sz="12" w:space="0" w:color="auto"/>
              <w:right w:val="nil"/>
            </w:tcBorders>
            <w:shd w:val="clear" w:color="auto" w:fill="auto"/>
            <w:noWrap/>
            <w:vAlign w:val="bottom"/>
            <w:hideMark/>
          </w:tcPr>
          <w:p w14:paraId="4878EE4B" w14:textId="77777777" w:rsidR="003B7C2A" w:rsidRPr="005B65DF" w:rsidRDefault="003B7C2A" w:rsidP="00A006A9">
            <w:pPr>
              <w:spacing w:line="240" w:lineRule="auto"/>
              <w:ind w:firstLine="0"/>
              <w:rPr>
                <w:rFonts w:ascii="Times New Roman" w:hAnsi="Times New Roman"/>
                <w:color w:val="000000"/>
                <w:lang w:bidi="ar-SA"/>
              </w:rPr>
            </w:pPr>
          </w:p>
        </w:tc>
        <w:tc>
          <w:tcPr>
            <w:tcW w:w="1603" w:type="dxa"/>
            <w:tcBorders>
              <w:top w:val="nil"/>
              <w:left w:val="nil"/>
              <w:bottom w:val="single" w:sz="12" w:space="0" w:color="auto"/>
              <w:right w:val="nil"/>
            </w:tcBorders>
            <w:shd w:val="clear" w:color="auto" w:fill="auto"/>
            <w:noWrap/>
            <w:vAlign w:val="bottom"/>
            <w:hideMark/>
          </w:tcPr>
          <w:p w14:paraId="625A8511"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Pre-exposure</w:t>
            </w:r>
          </w:p>
        </w:tc>
        <w:tc>
          <w:tcPr>
            <w:tcW w:w="1524" w:type="dxa"/>
            <w:tcBorders>
              <w:top w:val="nil"/>
              <w:left w:val="nil"/>
              <w:bottom w:val="single" w:sz="12" w:space="0" w:color="auto"/>
              <w:right w:val="nil"/>
            </w:tcBorders>
            <w:shd w:val="clear" w:color="auto" w:fill="auto"/>
            <w:noWrap/>
            <w:vAlign w:val="bottom"/>
            <w:hideMark/>
          </w:tcPr>
          <w:p w14:paraId="45AFC480"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1-Hour</w:t>
            </w:r>
          </w:p>
        </w:tc>
        <w:tc>
          <w:tcPr>
            <w:tcW w:w="1479" w:type="dxa"/>
            <w:tcBorders>
              <w:top w:val="nil"/>
              <w:left w:val="nil"/>
              <w:bottom w:val="single" w:sz="12" w:space="0" w:color="auto"/>
              <w:right w:val="nil"/>
            </w:tcBorders>
            <w:shd w:val="clear" w:color="auto" w:fill="auto"/>
            <w:noWrap/>
            <w:vAlign w:val="bottom"/>
            <w:hideMark/>
          </w:tcPr>
          <w:p w14:paraId="03124EDA"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2-Hour</w:t>
            </w:r>
          </w:p>
        </w:tc>
      </w:tr>
      <w:tr w:rsidR="003B7C2A" w:rsidRPr="005B65DF" w14:paraId="2FAA8159" w14:textId="77777777" w:rsidTr="00A006A9">
        <w:trPr>
          <w:trHeight w:val="300"/>
        </w:trPr>
        <w:tc>
          <w:tcPr>
            <w:tcW w:w="990" w:type="dxa"/>
            <w:tcBorders>
              <w:top w:val="single" w:sz="12" w:space="0" w:color="auto"/>
              <w:left w:val="nil"/>
              <w:bottom w:val="nil"/>
              <w:right w:val="nil"/>
            </w:tcBorders>
            <w:shd w:val="clear" w:color="auto" w:fill="auto"/>
            <w:noWrap/>
            <w:vAlign w:val="bottom"/>
            <w:hideMark/>
          </w:tcPr>
          <w:p w14:paraId="538B532D"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0.5 kHz</w:t>
            </w:r>
          </w:p>
        </w:tc>
        <w:tc>
          <w:tcPr>
            <w:tcW w:w="1603" w:type="dxa"/>
            <w:tcBorders>
              <w:top w:val="single" w:sz="12" w:space="0" w:color="auto"/>
              <w:left w:val="nil"/>
              <w:bottom w:val="nil"/>
              <w:right w:val="nil"/>
            </w:tcBorders>
            <w:shd w:val="clear" w:color="auto" w:fill="auto"/>
            <w:noWrap/>
            <w:vAlign w:val="bottom"/>
            <w:hideMark/>
          </w:tcPr>
          <w:p w14:paraId="2302DA76"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38.5±11.3</w:t>
            </w:r>
          </w:p>
        </w:tc>
        <w:tc>
          <w:tcPr>
            <w:tcW w:w="1524" w:type="dxa"/>
            <w:tcBorders>
              <w:top w:val="single" w:sz="12" w:space="0" w:color="auto"/>
              <w:left w:val="nil"/>
              <w:bottom w:val="nil"/>
              <w:right w:val="nil"/>
            </w:tcBorders>
            <w:shd w:val="clear" w:color="auto" w:fill="auto"/>
            <w:noWrap/>
            <w:vAlign w:val="bottom"/>
            <w:hideMark/>
          </w:tcPr>
          <w:p w14:paraId="3F83B709"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90.8±6.6</w:t>
            </w:r>
          </w:p>
        </w:tc>
        <w:tc>
          <w:tcPr>
            <w:tcW w:w="1479" w:type="dxa"/>
            <w:tcBorders>
              <w:top w:val="single" w:sz="12" w:space="0" w:color="auto"/>
              <w:left w:val="nil"/>
              <w:bottom w:val="nil"/>
              <w:right w:val="nil"/>
            </w:tcBorders>
            <w:shd w:val="clear" w:color="auto" w:fill="auto"/>
            <w:noWrap/>
            <w:vAlign w:val="bottom"/>
            <w:hideMark/>
          </w:tcPr>
          <w:p w14:paraId="3B11A9C3"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100.0±10.0</w:t>
            </w:r>
          </w:p>
        </w:tc>
      </w:tr>
      <w:tr w:rsidR="003B7C2A" w:rsidRPr="005B65DF" w14:paraId="2FDC4006" w14:textId="77777777" w:rsidTr="00A006A9">
        <w:trPr>
          <w:trHeight w:val="300"/>
        </w:trPr>
        <w:tc>
          <w:tcPr>
            <w:tcW w:w="990" w:type="dxa"/>
            <w:tcBorders>
              <w:top w:val="nil"/>
              <w:left w:val="nil"/>
              <w:bottom w:val="nil"/>
              <w:right w:val="nil"/>
            </w:tcBorders>
            <w:shd w:val="clear" w:color="auto" w:fill="auto"/>
            <w:noWrap/>
            <w:vAlign w:val="bottom"/>
            <w:hideMark/>
          </w:tcPr>
          <w:p w14:paraId="3B30EF33"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 kHz</w:t>
            </w:r>
          </w:p>
        </w:tc>
        <w:tc>
          <w:tcPr>
            <w:tcW w:w="1603" w:type="dxa"/>
            <w:tcBorders>
              <w:top w:val="nil"/>
              <w:left w:val="nil"/>
              <w:bottom w:val="nil"/>
              <w:right w:val="nil"/>
            </w:tcBorders>
            <w:shd w:val="clear" w:color="auto" w:fill="auto"/>
            <w:noWrap/>
            <w:vAlign w:val="bottom"/>
            <w:hideMark/>
          </w:tcPr>
          <w:p w14:paraId="5F555663"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39.0±9.9</w:t>
            </w:r>
          </w:p>
        </w:tc>
        <w:tc>
          <w:tcPr>
            <w:tcW w:w="1524" w:type="dxa"/>
            <w:tcBorders>
              <w:top w:val="nil"/>
              <w:left w:val="nil"/>
              <w:bottom w:val="nil"/>
              <w:right w:val="nil"/>
            </w:tcBorders>
            <w:shd w:val="clear" w:color="auto" w:fill="auto"/>
            <w:noWrap/>
            <w:vAlign w:val="bottom"/>
            <w:hideMark/>
          </w:tcPr>
          <w:p w14:paraId="67DFEC27"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98.3±4.1</w:t>
            </w:r>
          </w:p>
        </w:tc>
        <w:tc>
          <w:tcPr>
            <w:tcW w:w="1479" w:type="dxa"/>
            <w:tcBorders>
              <w:top w:val="nil"/>
              <w:left w:val="nil"/>
              <w:bottom w:val="nil"/>
              <w:right w:val="nil"/>
            </w:tcBorders>
            <w:shd w:val="clear" w:color="auto" w:fill="auto"/>
            <w:noWrap/>
            <w:vAlign w:val="bottom"/>
            <w:hideMark/>
          </w:tcPr>
          <w:p w14:paraId="14738C5B"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100.0±12.7</w:t>
            </w:r>
          </w:p>
        </w:tc>
      </w:tr>
      <w:tr w:rsidR="003B7C2A" w:rsidRPr="005B65DF" w14:paraId="6B5864FE" w14:textId="77777777" w:rsidTr="00A006A9">
        <w:trPr>
          <w:trHeight w:val="300"/>
        </w:trPr>
        <w:tc>
          <w:tcPr>
            <w:tcW w:w="990" w:type="dxa"/>
            <w:tcBorders>
              <w:top w:val="nil"/>
              <w:left w:val="nil"/>
              <w:bottom w:val="nil"/>
              <w:right w:val="nil"/>
            </w:tcBorders>
            <w:shd w:val="clear" w:color="auto" w:fill="auto"/>
            <w:noWrap/>
            <w:vAlign w:val="bottom"/>
            <w:hideMark/>
          </w:tcPr>
          <w:p w14:paraId="2F90EC2A"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 xml:space="preserve">2 kHz </w:t>
            </w:r>
          </w:p>
        </w:tc>
        <w:tc>
          <w:tcPr>
            <w:tcW w:w="1603" w:type="dxa"/>
            <w:tcBorders>
              <w:top w:val="nil"/>
              <w:left w:val="nil"/>
              <w:bottom w:val="nil"/>
              <w:right w:val="nil"/>
            </w:tcBorders>
            <w:shd w:val="clear" w:color="auto" w:fill="auto"/>
            <w:noWrap/>
            <w:vAlign w:val="bottom"/>
            <w:hideMark/>
          </w:tcPr>
          <w:p w14:paraId="65C0D3C2"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42.5±7.5</w:t>
            </w:r>
          </w:p>
        </w:tc>
        <w:tc>
          <w:tcPr>
            <w:tcW w:w="1524" w:type="dxa"/>
            <w:tcBorders>
              <w:top w:val="nil"/>
              <w:left w:val="nil"/>
              <w:bottom w:val="nil"/>
              <w:right w:val="nil"/>
            </w:tcBorders>
            <w:shd w:val="clear" w:color="auto" w:fill="auto"/>
            <w:noWrap/>
            <w:vAlign w:val="bottom"/>
            <w:hideMark/>
          </w:tcPr>
          <w:p w14:paraId="3188A4C6"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102.5±2.7</w:t>
            </w:r>
          </w:p>
        </w:tc>
        <w:tc>
          <w:tcPr>
            <w:tcW w:w="1479" w:type="dxa"/>
            <w:tcBorders>
              <w:top w:val="nil"/>
              <w:left w:val="nil"/>
              <w:bottom w:val="nil"/>
              <w:right w:val="nil"/>
            </w:tcBorders>
            <w:shd w:val="clear" w:color="auto" w:fill="auto"/>
            <w:noWrap/>
            <w:vAlign w:val="bottom"/>
            <w:hideMark/>
          </w:tcPr>
          <w:p w14:paraId="62261DF7"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103.0±12.0</w:t>
            </w:r>
          </w:p>
        </w:tc>
      </w:tr>
      <w:tr w:rsidR="003B7C2A" w:rsidRPr="005B65DF" w14:paraId="05AAF557" w14:textId="77777777" w:rsidTr="00A006A9">
        <w:trPr>
          <w:trHeight w:val="300"/>
        </w:trPr>
        <w:tc>
          <w:tcPr>
            <w:tcW w:w="990" w:type="dxa"/>
            <w:tcBorders>
              <w:top w:val="nil"/>
              <w:left w:val="nil"/>
              <w:bottom w:val="nil"/>
              <w:right w:val="nil"/>
            </w:tcBorders>
            <w:shd w:val="clear" w:color="auto" w:fill="auto"/>
            <w:noWrap/>
            <w:vAlign w:val="bottom"/>
            <w:hideMark/>
          </w:tcPr>
          <w:p w14:paraId="3927636D"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4 kHz</w:t>
            </w:r>
          </w:p>
        </w:tc>
        <w:tc>
          <w:tcPr>
            <w:tcW w:w="1603" w:type="dxa"/>
            <w:tcBorders>
              <w:top w:val="nil"/>
              <w:left w:val="nil"/>
              <w:bottom w:val="nil"/>
              <w:right w:val="nil"/>
            </w:tcBorders>
            <w:shd w:val="clear" w:color="auto" w:fill="auto"/>
            <w:noWrap/>
            <w:vAlign w:val="bottom"/>
            <w:hideMark/>
          </w:tcPr>
          <w:p w14:paraId="371E2FE1"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31.0±6.6</w:t>
            </w:r>
          </w:p>
        </w:tc>
        <w:tc>
          <w:tcPr>
            <w:tcW w:w="1524" w:type="dxa"/>
            <w:tcBorders>
              <w:top w:val="nil"/>
              <w:left w:val="nil"/>
              <w:bottom w:val="nil"/>
              <w:right w:val="nil"/>
            </w:tcBorders>
            <w:shd w:val="clear" w:color="auto" w:fill="auto"/>
            <w:noWrap/>
            <w:vAlign w:val="bottom"/>
            <w:hideMark/>
          </w:tcPr>
          <w:p w14:paraId="1C1F9811"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110.8±3.8</w:t>
            </w:r>
          </w:p>
        </w:tc>
        <w:tc>
          <w:tcPr>
            <w:tcW w:w="1479" w:type="dxa"/>
            <w:tcBorders>
              <w:top w:val="nil"/>
              <w:left w:val="nil"/>
              <w:bottom w:val="nil"/>
              <w:right w:val="nil"/>
            </w:tcBorders>
            <w:shd w:val="clear" w:color="auto" w:fill="auto"/>
            <w:noWrap/>
            <w:vAlign w:val="bottom"/>
            <w:hideMark/>
          </w:tcPr>
          <w:p w14:paraId="0319890A"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108.0±10.4</w:t>
            </w:r>
          </w:p>
        </w:tc>
      </w:tr>
      <w:tr w:rsidR="003B7C2A" w:rsidRPr="005B65DF" w14:paraId="17338B99" w14:textId="77777777" w:rsidTr="00A006A9">
        <w:trPr>
          <w:trHeight w:val="300"/>
        </w:trPr>
        <w:tc>
          <w:tcPr>
            <w:tcW w:w="990" w:type="dxa"/>
            <w:tcBorders>
              <w:top w:val="nil"/>
              <w:left w:val="nil"/>
              <w:bottom w:val="nil"/>
              <w:right w:val="nil"/>
            </w:tcBorders>
            <w:shd w:val="clear" w:color="auto" w:fill="auto"/>
            <w:noWrap/>
            <w:vAlign w:val="bottom"/>
            <w:hideMark/>
          </w:tcPr>
          <w:p w14:paraId="0A92C0A2"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6 kHz</w:t>
            </w:r>
          </w:p>
        </w:tc>
        <w:tc>
          <w:tcPr>
            <w:tcW w:w="1603" w:type="dxa"/>
            <w:tcBorders>
              <w:top w:val="nil"/>
              <w:left w:val="nil"/>
              <w:bottom w:val="nil"/>
              <w:right w:val="nil"/>
            </w:tcBorders>
            <w:shd w:val="clear" w:color="auto" w:fill="auto"/>
            <w:noWrap/>
            <w:vAlign w:val="bottom"/>
            <w:hideMark/>
          </w:tcPr>
          <w:p w14:paraId="3AF4CFE6"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37.0±16.5</w:t>
            </w:r>
          </w:p>
        </w:tc>
        <w:tc>
          <w:tcPr>
            <w:tcW w:w="1524" w:type="dxa"/>
            <w:tcBorders>
              <w:top w:val="nil"/>
              <w:left w:val="nil"/>
              <w:bottom w:val="nil"/>
              <w:right w:val="nil"/>
            </w:tcBorders>
            <w:shd w:val="clear" w:color="auto" w:fill="auto"/>
            <w:noWrap/>
            <w:vAlign w:val="bottom"/>
            <w:hideMark/>
          </w:tcPr>
          <w:p w14:paraId="5CD878F5"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110.8±7.4</w:t>
            </w:r>
          </w:p>
        </w:tc>
        <w:tc>
          <w:tcPr>
            <w:tcW w:w="1479" w:type="dxa"/>
            <w:tcBorders>
              <w:top w:val="nil"/>
              <w:left w:val="nil"/>
              <w:bottom w:val="nil"/>
              <w:right w:val="nil"/>
            </w:tcBorders>
            <w:shd w:val="clear" w:color="auto" w:fill="auto"/>
            <w:noWrap/>
            <w:vAlign w:val="bottom"/>
            <w:hideMark/>
          </w:tcPr>
          <w:p w14:paraId="77A5301C"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108.0±8.4</w:t>
            </w:r>
          </w:p>
        </w:tc>
      </w:tr>
      <w:tr w:rsidR="003B7C2A" w:rsidRPr="005B65DF" w14:paraId="0DD92BB2" w14:textId="77777777" w:rsidTr="00A006A9">
        <w:trPr>
          <w:trHeight w:val="300"/>
        </w:trPr>
        <w:tc>
          <w:tcPr>
            <w:tcW w:w="990" w:type="dxa"/>
            <w:tcBorders>
              <w:top w:val="nil"/>
              <w:left w:val="nil"/>
              <w:bottom w:val="nil"/>
              <w:right w:val="nil"/>
            </w:tcBorders>
            <w:shd w:val="clear" w:color="auto" w:fill="auto"/>
            <w:noWrap/>
            <w:vAlign w:val="bottom"/>
            <w:hideMark/>
          </w:tcPr>
          <w:p w14:paraId="2F7F35F0"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8 kHz</w:t>
            </w:r>
          </w:p>
        </w:tc>
        <w:tc>
          <w:tcPr>
            <w:tcW w:w="1603" w:type="dxa"/>
            <w:tcBorders>
              <w:top w:val="nil"/>
              <w:left w:val="nil"/>
              <w:bottom w:val="nil"/>
              <w:right w:val="nil"/>
            </w:tcBorders>
            <w:shd w:val="clear" w:color="auto" w:fill="auto"/>
            <w:noWrap/>
            <w:vAlign w:val="bottom"/>
            <w:hideMark/>
          </w:tcPr>
          <w:p w14:paraId="3E450B5C"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35.0±17.0</w:t>
            </w:r>
          </w:p>
        </w:tc>
        <w:tc>
          <w:tcPr>
            <w:tcW w:w="1524" w:type="dxa"/>
            <w:tcBorders>
              <w:top w:val="nil"/>
              <w:left w:val="nil"/>
              <w:bottom w:val="nil"/>
              <w:right w:val="nil"/>
            </w:tcBorders>
            <w:shd w:val="clear" w:color="auto" w:fill="auto"/>
            <w:noWrap/>
            <w:vAlign w:val="bottom"/>
            <w:hideMark/>
          </w:tcPr>
          <w:p w14:paraId="79D193B9"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108.3±8.8</w:t>
            </w:r>
          </w:p>
        </w:tc>
        <w:tc>
          <w:tcPr>
            <w:tcW w:w="1479" w:type="dxa"/>
            <w:tcBorders>
              <w:top w:val="nil"/>
              <w:left w:val="nil"/>
              <w:bottom w:val="nil"/>
              <w:right w:val="nil"/>
            </w:tcBorders>
            <w:shd w:val="clear" w:color="auto" w:fill="auto"/>
            <w:noWrap/>
            <w:vAlign w:val="bottom"/>
            <w:hideMark/>
          </w:tcPr>
          <w:p w14:paraId="781D0F19" w14:textId="77777777" w:rsidR="003B7C2A" w:rsidRPr="005B65DF" w:rsidRDefault="003B7C2A" w:rsidP="00A006A9">
            <w:pPr>
              <w:spacing w:line="240" w:lineRule="auto"/>
              <w:ind w:firstLine="0"/>
              <w:rPr>
                <w:rFonts w:ascii="Times New Roman" w:hAnsi="Times New Roman"/>
                <w:color w:val="000000"/>
                <w:lang w:bidi="ar-SA"/>
              </w:rPr>
            </w:pPr>
            <w:r w:rsidRPr="005B65DF">
              <w:rPr>
                <w:rFonts w:ascii="Times New Roman" w:hAnsi="Times New Roman"/>
                <w:color w:val="000000"/>
                <w:lang w:bidi="ar-SA"/>
              </w:rPr>
              <w:t>116.0±9.6</w:t>
            </w:r>
          </w:p>
        </w:tc>
      </w:tr>
    </w:tbl>
    <w:p w14:paraId="5F6DF7A5" w14:textId="77777777" w:rsidR="003B7C2A" w:rsidRPr="005B65DF" w:rsidRDefault="003B7C2A" w:rsidP="003B7C2A"/>
    <w:p w14:paraId="18C266AF" w14:textId="77777777" w:rsidR="003B7C2A" w:rsidRPr="005B65DF" w:rsidRDefault="003B7C2A" w:rsidP="003B7C2A">
      <w:r w:rsidRPr="005B65DF">
        <w:t xml:space="preserve">Figures 4.4 and 4.5 show the MEMR and hearing level thresholds before and after exposure. The biggest differences in MEMR threshold between the 1-hour and 2-hour exposure times were at 1 and 2 kHz. For most animals, the slight increasing trend in the MEMR threshold continued after exposure; this did not hold true for all of the 2-hour animals, however. The average threshold with standard deviation can be found in Table 4-1 for MEMR and Table 4-2 for ABR. Across all frequencies tested, pre-exposure animals had an average MEMR threshold of 68.8 dB and ABR of 37.2 dB. After one hour of exposure these increased to 123.4 dB and 103.6 dB, respectively, and after two hours they increased to 124.5 dB and 105.8 dB.  </w:t>
      </w:r>
    </w:p>
    <w:p w14:paraId="3AFB1CB7" w14:textId="74EA1712" w:rsidR="00557A59" w:rsidRPr="005B65DF" w:rsidRDefault="003B7C2A" w:rsidP="003B7C2A">
      <w:r w:rsidRPr="005B65DF">
        <w:t>Figures 4.6 and 4.7 show the shift in MEMR and hearing level threshold after exposure. Across all frequencies, the average MEMR threshold shift was 54.7 dB for one hour and 55.9 dB for two hours. For ABR, the shift was 65.1 dB for one hour and 67.3 dB for two hours. Unpaired t tests were performed between 1-hour and 2-hour points at each frequency. For MEMR, there was no frequency that had a significant difference in threshold shifts between exposure times.</w:t>
      </w:r>
    </w:p>
    <w:p w14:paraId="56992BE5" w14:textId="6BCAAEDC" w:rsidR="003C4C46" w:rsidRPr="005B65DF" w:rsidRDefault="00216C1B" w:rsidP="00247B6B">
      <w:r>
        <w:rPr>
          <w:noProof/>
        </w:rPr>
        <w:lastRenderedPageBreak/>
        <w:pict w14:anchorId="1F8779CA">
          <v:shape id="_x0000_s1092" type="#_x0000_t202" style="position:absolute;left:0;text-align:left;margin-left:5.55pt;margin-top:538.15pt;width:457.5pt;height:.05pt;z-index:251687936;mso-position-horizontal-relative:text;mso-position-vertical-relative:text" stroked="f">
            <v:textbox style="mso-fit-shape-to-text:t" inset="0,0,0,0">
              <w:txbxContent>
                <w:p w14:paraId="2B580BD5" w14:textId="3E86AAD1" w:rsidR="00216C1B" w:rsidRPr="00615F9B" w:rsidRDefault="00216C1B" w:rsidP="00216C1B">
                  <w:pPr>
                    <w:pStyle w:val="Caption"/>
                    <w:rPr>
                      <w:noProof/>
                      <w:szCs w:val="24"/>
                    </w:rPr>
                  </w:pPr>
                  <w:bookmarkStart w:id="94" w:name="_Toc185850"/>
                  <w:r>
                    <w:t xml:space="preserve">Figure </w:t>
                  </w:r>
                  <w:fldSimple w:instr=" STYLEREF 1 \s ">
                    <w:r w:rsidR="00FC3CCD">
                      <w:rPr>
                        <w:noProof/>
                      </w:rPr>
                      <w:t>4</w:t>
                    </w:r>
                  </w:fldSimple>
                  <w:r>
                    <w:noBreakHyphen/>
                  </w:r>
                  <w:fldSimple w:instr=" SEQ Figure \* ARABIC \s 1 ">
                    <w:r w:rsidR="00FC3CCD">
                      <w:rPr>
                        <w:noProof/>
                      </w:rPr>
                      <w:t>4</w:t>
                    </w:r>
                  </w:fldSimple>
                  <w:r w:rsidRPr="0005767A">
                    <w:t>. ABR-determined MEMR Threshold Levels Before and After Noise Exposure.</w:t>
                  </w:r>
                  <w:bookmarkEnd w:id="94"/>
                </w:p>
              </w:txbxContent>
            </v:textbox>
            <w10:wrap type="square"/>
          </v:shape>
        </w:pict>
      </w:r>
      <w:r w:rsidR="00E13E4C" w:rsidRPr="005B65DF">
        <w:rPr>
          <w:noProof/>
          <w:lang w:bidi="ar-SA"/>
        </w:rPr>
        <w:drawing>
          <wp:anchor distT="0" distB="0" distL="114300" distR="114300" simplePos="0" relativeHeight="251660800" behindDoc="0" locked="0" layoutInCell="1" allowOverlap="1" wp14:anchorId="764A8D5A" wp14:editId="1A14FF4E">
            <wp:simplePos x="0" y="0"/>
            <wp:positionH relativeFrom="margin">
              <wp:posOffset>70485</wp:posOffset>
            </wp:positionH>
            <wp:positionV relativeFrom="paragraph">
              <wp:posOffset>3630457</wp:posOffset>
            </wp:positionV>
            <wp:extent cx="5810250" cy="314706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56"/>
                    <a:srcRect/>
                    <a:stretch>
                      <a:fillRect/>
                    </a:stretch>
                  </pic:blipFill>
                  <pic:spPr bwMode="auto">
                    <a:xfrm>
                      <a:off x="0" y="0"/>
                      <a:ext cx="5810250" cy="3147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pict w14:anchorId="74DCABA7">
          <v:shape id="_x0000_s1091" type="#_x0000_t202" style="position:absolute;left:0;text-align:left;margin-left:.3pt;margin-top:255.35pt;width:457.55pt;height:.05pt;z-index:251685888;mso-position-horizontal-relative:text;mso-position-vertical-relative:text" stroked="f">
            <v:textbox style="mso-fit-shape-to-text:t" inset="0,0,0,0">
              <w:txbxContent>
                <w:p w14:paraId="50B22A11" w14:textId="67550437" w:rsidR="00216C1B" w:rsidRPr="00AE7ABA" w:rsidRDefault="00216C1B" w:rsidP="00216C1B">
                  <w:pPr>
                    <w:pStyle w:val="Caption"/>
                    <w:rPr>
                      <w:noProof/>
                      <w:szCs w:val="24"/>
                    </w:rPr>
                  </w:pPr>
                  <w:bookmarkStart w:id="95" w:name="_Toc185851"/>
                  <w:r>
                    <w:t xml:space="preserve">Figure </w:t>
                  </w:r>
                  <w:fldSimple w:instr=" STYLEREF 1 \s ">
                    <w:r w:rsidR="00FC3CCD">
                      <w:rPr>
                        <w:noProof/>
                      </w:rPr>
                      <w:t>4</w:t>
                    </w:r>
                  </w:fldSimple>
                  <w:r>
                    <w:noBreakHyphen/>
                  </w:r>
                  <w:fldSimple w:instr=" SEQ Figure \* ARABIC \s 1 ">
                    <w:r w:rsidR="00FC3CCD">
                      <w:rPr>
                        <w:noProof/>
                      </w:rPr>
                      <w:t>5</w:t>
                    </w:r>
                  </w:fldSimple>
                  <w:r w:rsidRPr="00DA01BC">
                    <w:t>. EMG-determined MEMR Threshold Levels Before and After Noise Exposure.</w:t>
                  </w:r>
                  <w:bookmarkEnd w:id="95"/>
                </w:p>
              </w:txbxContent>
            </v:textbox>
            <w10:wrap type="square"/>
          </v:shape>
        </w:pict>
      </w:r>
      <w:r w:rsidR="003C4C46" w:rsidRPr="005B65DF">
        <w:rPr>
          <w:noProof/>
          <w:lang w:bidi="ar-SA"/>
        </w:rPr>
        <w:drawing>
          <wp:anchor distT="0" distB="0" distL="114300" distR="114300" simplePos="0" relativeHeight="251624960" behindDoc="0" locked="0" layoutInCell="1" allowOverlap="1" wp14:anchorId="3B6E552B" wp14:editId="3293108E">
            <wp:simplePos x="0" y="0"/>
            <wp:positionH relativeFrom="margin">
              <wp:posOffset>3810</wp:posOffset>
            </wp:positionH>
            <wp:positionV relativeFrom="paragraph">
              <wp:posOffset>0</wp:posOffset>
            </wp:positionV>
            <wp:extent cx="5811362" cy="3186314"/>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57"/>
                    <a:srcRect/>
                    <a:stretch>
                      <a:fillRect/>
                    </a:stretch>
                  </pic:blipFill>
                  <pic:spPr bwMode="auto">
                    <a:xfrm>
                      <a:off x="0" y="0"/>
                      <a:ext cx="5811362" cy="31863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5C72F" w14:textId="77777777" w:rsidR="00CF4361" w:rsidRPr="005B65DF" w:rsidRDefault="00CF4361" w:rsidP="00247B6B"/>
    <w:p w14:paraId="0DA40830" w14:textId="3312D235" w:rsidR="00E13E4C" w:rsidRPr="005B65DF" w:rsidRDefault="00E13E4C" w:rsidP="00997AAB">
      <w:r w:rsidRPr="005B65DF">
        <w:br w:type="page"/>
      </w:r>
    </w:p>
    <w:p w14:paraId="745AD982" w14:textId="77777777" w:rsidR="00216C1B" w:rsidRDefault="00E13E4C" w:rsidP="00216C1B">
      <w:pPr>
        <w:keepNext/>
      </w:pPr>
      <w:r w:rsidRPr="005B65DF">
        <w:object w:dxaOrig="7358" w:dyaOrig="4176" w14:anchorId="12ED85EB">
          <v:shape id="_x0000_i1030" type="#_x0000_t75" style="width:387.75pt;height:220.5pt" o:ole="">
            <v:imagedata r:id="rId58" o:title=""/>
          </v:shape>
          <o:OLEObject Type="Embed" ProgID="Prism7.Document" ShapeID="_x0000_i1030" DrawAspect="Content" ObjectID="_1610798726" r:id="rId59"/>
        </w:object>
      </w:r>
    </w:p>
    <w:p w14:paraId="68DAE064" w14:textId="69ABC69B" w:rsidR="00AB544C" w:rsidRPr="005B65DF" w:rsidRDefault="00216C1B" w:rsidP="00216C1B">
      <w:pPr>
        <w:pStyle w:val="Caption"/>
      </w:pPr>
      <w:bookmarkStart w:id="96" w:name="_Toc185852"/>
      <w:r>
        <w:t xml:space="preserve">Figure </w:t>
      </w:r>
      <w:fldSimple w:instr=" STYLEREF 1 \s ">
        <w:r w:rsidR="00FC3CCD">
          <w:rPr>
            <w:noProof/>
          </w:rPr>
          <w:t>4</w:t>
        </w:r>
      </w:fldSimple>
      <w:r>
        <w:noBreakHyphen/>
      </w:r>
      <w:fldSimple w:instr=" SEQ Figure \* ARABIC \s 1 ">
        <w:r w:rsidR="00FC3CCD">
          <w:rPr>
            <w:noProof/>
          </w:rPr>
          <w:t>6</w:t>
        </w:r>
      </w:fldSimple>
      <w:r w:rsidRPr="005E307B">
        <w:t>. EMG-determined Shift in MEMR Thresholds.</w:t>
      </w:r>
      <w:bookmarkEnd w:id="96"/>
    </w:p>
    <w:p w14:paraId="2FDF5D0E" w14:textId="4E2F6C6A" w:rsidR="00AB544C" w:rsidRPr="005B65DF" w:rsidRDefault="00AB544C" w:rsidP="00E13E4C">
      <w:pPr>
        <w:pStyle w:val="Caption"/>
      </w:pPr>
    </w:p>
    <w:p w14:paraId="2701BE2D" w14:textId="77777777" w:rsidR="00AB544C" w:rsidRPr="005B65DF" w:rsidRDefault="00AB544C" w:rsidP="00AB544C">
      <w:pPr>
        <w:keepNext/>
      </w:pPr>
    </w:p>
    <w:p w14:paraId="14355519" w14:textId="77777777" w:rsidR="00216C1B" w:rsidRDefault="00DC414B" w:rsidP="00216C1B">
      <w:pPr>
        <w:keepNext/>
      </w:pPr>
      <w:r w:rsidRPr="005B65DF">
        <w:object w:dxaOrig="7330" w:dyaOrig="4176" w14:anchorId="3D37382D">
          <v:shape id="_x0000_i1031" type="#_x0000_t75" style="width:387.75pt;height:221.25pt" o:ole="">
            <v:imagedata r:id="rId60" o:title=""/>
          </v:shape>
          <o:OLEObject Type="Embed" ProgID="Prism7.Document" ShapeID="_x0000_i1031" DrawAspect="Content" ObjectID="_1610798727" r:id="rId61"/>
        </w:object>
      </w:r>
    </w:p>
    <w:p w14:paraId="08E980E5" w14:textId="5A1E5C40" w:rsidR="00DC414B" w:rsidRPr="005B65DF" w:rsidRDefault="00216C1B" w:rsidP="00216C1B">
      <w:pPr>
        <w:pStyle w:val="Caption"/>
      </w:pPr>
      <w:bookmarkStart w:id="97" w:name="_Toc185853"/>
      <w:r>
        <w:t xml:space="preserve">Figure </w:t>
      </w:r>
      <w:fldSimple w:instr=" STYLEREF 1 \s ">
        <w:r w:rsidR="00FC3CCD">
          <w:rPr>
            <w:noProof/>
          </w:rPr>
          <w:t>4</w:t>
        </w:r>
      </w:fldSimple>
      <w:r>
        <w:noBreakHyphen/>
      </w:r>
      <w:fldSimple w:instr=" SEQ Figure \* ARABIC \s 1 ">
        <w:r w:rsidR="00FC3CCD">
          <w:rPr>
            <w:noProof/>
          </w:rPr>
          <w:t>7</w:t>
        </w:r>
      </w:fldSimple>
      <w:r w:rsidRPr="00EC10F0">
        <w:t>. ABR-determined Shift in MEMR Thresholds.</w:t>
      </w:r>
      <w:bookmarkEnd w:id="97"/>
    </w:p>
    <w:p w14:paraId="01027BAE" w14:textId="57ECA7C3" w:rsidR="00AB544C" w:rsidRPr="005B65DF" w:rsidRDefault="00AB544C" w:rsidP="00AB544C">
      <w:pPr>
        <w:pStyle w:val="Caption"/>
      </w:pPr>
    </w:p>
    <w:p w14:paraId="574F7550" w14:textId="77777777" w:rsidR="00E13E4C" w:rsidRPr="005B65DF" w:rsidRDefault="00E13E4C" w:rsidP="00E13E4C"/>
    <w:p w14:paraId="1E545342" w14:textId="77777777" w:rsidR="00E13E4C" w:rsidRPr="005B65DF" w:rsidRDefault="00E13E4C" w:rsidP="00E13E4C"/>
    <w:p w14:paraId="240ADE13" w14:textId="77777777" w:rsidR="00E13E4C" w:rsidRPr="005B65DF" w:rsidRDefault="00E13E4C">
      <w:pPr>
        <w:spacing w:line="240" w:lineRule="auto"/>
        <w:ind w:firstLine="0"/>
        <w:rPr>
          <w:rFonts w:asciiTheme="majorHAnsi" w:hAnsiTheme="majorHAnsi"/>
          <w:b/>
          <w:bCs/>
          <w:iCs/>
          <w:szCs w:val="28"/>
        </w:rPr>
      </w:pPr>
      <w:r w:rsidRPr="005B65DF">
        <w:br w:type="page"/>
      </w:r>
    </w:p>
    <w:p w14:paraId="4FF6433C" w14:textId="118C3539" w:rsidR="0025377C" w:rsidRPr="005B65DF" w:rsidRDefault="0025377C" w:rsidP="0025377C">
      <w:pPr>
        <w:ind w:firstLine="0"/>
      </w:pPr>
      <w:r w:rsidRPr="005B65DF">
        <w:lastRenderedPageBreak/>
        <w:t>The P values were as follows: at 1 kHz, 0.96; at 2 kHz, 0.84; at 4 kHz, 0.38</w:t>
      </w:r>
      <w:r w:rsidR="007A6FB1" w:rsidRPr="005B65DF">
        <w:t>, and finally at 6 kHz, 0.54</w:t>
      </w:r>
      <w:r w:rsidRPr="005B65DF">
        <w:t>. Similarly, ABR threshold shift results were not statistically significantly different at any frequency. At 0.5 kHz the P value was 0.74, at 1 kHz it was 0.81, at 2 kHz it was 0.8</w:t>
      </w:r>
      <w:r w:rsidR="007A6FB1" w:rsidRPr="005B65DF">
        <w:t>6, at 4 kHz it was 0.53</w:t>
      </w:r>
      <w:r w:rsidRPr="005B65DF">
        <w:t xml:space="preserve">, at 6 kHz it was </w:t>
      </w:r>
      <w:r w:rsidR="007A6FB1" w:rsidRPr="005B65DF">
        <w:t>0.92, and at 8 kHz it was 0.23</w:t>
      </w:r>
      <w:r w:rsidRPr="005B65DF">
        <w:t>.</w:t>
      </w:r>
    </w:p>
    <w:p w14:paraId="357E47D0" w14:textId="77777777" w:rsidR="00251BDB" w:rsidRPr="005B65DF" w:rsidRDefault="00251BDB" w:rsidP="00E13E4C">
      <w:pPr>
        <w:pStyle w:val="Heading2"/>
      </w:pPr>
      <w:bookmarkStart w:id="98" w:name="_Toc185936"/>
      <w:r w:rsidRPr="005B65DF">
        <w:t>4.4 Discussion</w:t>
      </w:r>
      <w:bookmarkEnd w:id="98"/>
    </w:p>
    <w:p w14:paraId="4895C96F" w14:textId="77777777" w:rsidR="00014BD3" w:rsidRPr="005B65DF" w:rsidRDefault="00014BD3" w:rsidP="00014BD3">
      <w:pPr>
        <w:pStyle w:val="Heading3"/>
      </w:pPr>
      <w:bookmarkStart w:id="99" w:name="_Toc185937"/>
      <w:r w:rsidRPr="005B65DF">
        <w:t>4.4.1 Comparison to Existing Literature</w:t>
      </w:r>
      <w:bookmarkEnd w:id="99"/>
    </w:p>
    <w:p w14:paraId="355D7D1E" w14:textId="77777777" w:rsidR="00014BD3" w:rsidRPr="005B65DF" w:rsidRDefault="00014BD3" w:rsidP="00014BD3">
      <w:r w:rsidRPr="005B65DF">
        <w:t>In the same study referenced in 2.4.2 in which the chinchilla MEMR was measured via cochlear microphonic, the researchers also exposed them to a 95 dB octave-band noise for 8</w:t>
      </w:r>
      <w:r w:rsidR="000B7133" w:rsidRPr="005B65DF">
        <w:t>-</w:t>
      </w:r>
      <w:r w:rsidRPr="005B65DF">
        <w:t xml:space="preserve">hour periods in order to test their threshold shift </w:t>
      </w:r>
      <w:r w:rsidRPr="005B65DF">
        <w:fldChar w:fldCharType="begin" w:fldLock="1"/>
      </w:r>
      <w:r w:rsidR="00C710EE" w:rsidRPr="005B65DF">
        <w:instrText>ADDIN CSL_CITATION {"citationItems":[{"id":"ITEM-1","itemData":{"DOI":"10.1044/jshr.2201.63","ISSN":"1092-4388","author":[{"dropping-particle":"","family":"Gerhardt","given":"Kenneth J.","non-dropping-particle":"","parse-names":false,"suffix":""},{"dropping-particle":"","family":"Melnick","given":"William","non-dropping-particle":"","parse-names":false,"suffix":""},{"dropping-particle":"","family":"Ferraro","given":"John A.","non-dropping-particle":"","parse-names":false,"suffix":""}],"container-title":"Journal of Speech Language and Hearing Research","id":"ITEM-1","issue":"1","issued":{"date-parts":[["1979","3","1"]]},"page":"63","title":"Reflex Threshold Shift in Chinchillas Following a Prolonged Exposure to Noise","type":"article-journal","volume":"22"},"uris":["http://www.mendeley.com/documents/?uuid=2e5d1e45-82cd-4269-a165-82d8ae69275a"]}],"mendeley":{"formattedCitation":"(Gerhardt et al., 1979)","plainTextFormattedCitation":"(Gerhardt et al., 1979)","previouslyFormattedCitation":"(Gerhardt et al., 1979)"},"properties":{"noteIndex":0},"schema":"https://github.com/citation-style-language/schema/raw/master/csl-citation.json"}</w:instrText>
      </w:r>
      <w:r w:rsidRPr="005B65DF">
        <w:fldChar w:fldCharType="separate"/>
      </w:r>
      <w:r w:rsidRPr="005B65DF">
        <w:rPr>
          <w:noProof/>
        </w:rPr>
        <w:t>(Gerhardt et al., 1979)</w:t>
      </w:r>
      <w:r w:rsidRPr="005B65DF">
        <w:fldChar w:fldCharType="end"/>
      </w:r>
      <w:r w:rsidRPr="005B65DF">
        <w:t>.</w:t>
      </w:r>
      <w:r w:rsidR="000B7133" w:rsidRPr="005B65DF">
        <w:t xml:space="preserve"> After eight hours of exposure, the average shift in reflex threshold was </w:t>
      </w:r>
      <w:r w:rsidR="00D76CEF" w:rsidRPr="005B65DF">
        <w:t xml:space="preserve">14 dB above the pre-exposure average threshold of 72.8 dB. </w:t>
      </w:r>
      <w:r w:rsidR="000B7133" w:rsidRPr="005B65DF">
        <w:t xml:space="preserve"> </w:t>
      </w:r>
      <w:r w:rsidR="00890412" w:rsidRPr="005B65DF">
        <w:t>This is significantly smaller than the MEMR reflex shift exhibited in our animals.</w:t>
      </w:r>
    </w:p>
    <w:p w14:paraId="5E95C0E9" w14:textId="14F47400" w:rsidR="008E2352" w:rsidRPr="005B65DF" w:rsidRDefault="00D76CEF" w:rsidP="008E2352">
      <w:r w:rsidRPr="005B65DF">
        <w:t xml:space="preserve">Similar results have been obtained in other animals. Hearing level threshold shift was assessed in guinea pigs by conditioning the subjects to respond to a sound stimulus if they could hear it </w:t>
      </w:r>
      <w:r w:rsidRPr="005B65DF">
        <w:fldChar w:fldCharType="begin" w:fldLock="1"/>
      </w:r>
      <w:r w:rsidR="00E01826" w:rsidRPr="005B65DF">
        <w:instrText>ADDIN CSL_CITATION {"citationItems":[{"id":"ITEM-1","itemData":{"DOI":"10.1016/0378-5955(80)90047-7","ISSN":"03785955","author":[{"dropping-particle":"","family":"Syka","given":"J","non-dropping-particle":"","parse-names":false,"suffix":""},{"dropping-particle":"","family":"Popelář","given":"J.","non-dropping-particle":"","parse-names":false,"suffix":""}],"container-title":"Hearing Research","id":"ITEM-1","issue":"3","issued":{"date-parts":[["1980","10"]]},"page":"205-213","title":"Hearing threshold shifts from prolonged exposure to noise in guinea pigs","type":"article-journal","volume":"3"},"uris":["http://www.mendeley.com/documents/?uuid=828b67a6-6149-4613-83a3-d6f37bbe062b"]}],"mendeley":{"formattedCitation":"(Syka et al., 1980)","plainTextFormattedCitation":"(Syka et al., 1980)","previouslyFormattedCitation":"(Syka et al., 1980)"},"properties":{"noteIndex":0},"schema":"https://github.com/citation-style-language/schema/raw/master/csl-citation.json"}</w:instrText>
      </w:r>
      <w:r w:rsidRPr="005B65DF">
        <w:fldChar w:fldCharType="separate"/>
      </w:r>
      <w:r w:rsidR="009D66ED" w:rsidRPr="005B65DF">
        <w:rPr>
          <w:noProof/>
        </w:rPr>
        <w:t>(Syka et al., 1980)</w:t>
      </w:r>
      <w:r w:rsidRPr="005B65DF">
        <w:fldChar w:fldCharType="end"/>
      </w:r>
      <w:r w:rsidRPr="005B65DF">
        <w:t>. Animals were exposed to 100 dB third octave</w:t>
      </w:r>
      <w:r w:rsidR="00FB2479" w:rsidRPr="005B65DF">
        <w:t>-</w:t>
      </w:r>
      <w:r w:rsidRPr="005B65DF">
        <w:t xml:space="preserve">band noise centered at 2 kHz for </w:t>
      </w:r>
      <w:r w:rsidR="008E2352" w:rsidRPr="005B65DF">
        <w:t xml:space="preserve">five days. After exposure was complete, there was a 10 dB threshold shift at 0.5 kHz, a 40 dB threshold shift at 2 kHz, and a 45 dB shift at 4 kHz.  Animals were kept for 120 days after noise exposure ended in order to compare permanent and temporary threshold shifts; hearing level at and below 0.5 kHz was returned to pre-exposure levels, but between 1-16 kHz the post-recovery threshold was still approximately halfway between the immediate post-exposure test and the pre-exposure test result. Given the large recovery time, these shifts were deemed permanent. A rat study using ABR examined the impact of </w:t>
      </w:r>
      <w:r w:rsidR="00EE6C64" w:rsidRPr="005B65DF">
        <w:t xml:space="preserve">narrow-band noise between 16-20 kHz on hearing levels </w:t>
      </w:r>
      <w:r w:rsidR="00EE6C64" w:rsidRPr="005B65DF">
        <w:fldChar w:fldCharType="begin" w:fldLock="1"/>
      </w:r>
      <w:r w:rsidR="00753DB8" w:rsidRPr="005B65DF">
        <w:instrText>ADDIN CSL_CITATION {"citationItems":[{"id":"ITEM-1","itemData":{"DOI":"10.1016/j.heares.2014.08.004","ISSN":"0378-5955","abstract":"Noise-induced hearing loss (NIHL) initially increases with exposure duration, but eventually reaches an asymptotic threshold shift (ATS) once the exposure duration exceeds 18–24 h. Equations for predicting the ATS have been developed for several species, but not for rats, even though this species is extensively used in noise exposure research. To fill this void, we exposed rats to narrowband noise (NBN, 16–20 kHz) for 5 weeks starting at 80 dB SPL in the first week and then increasing the level by 6 dB per week to a final level of 104 dB SPL. Auditory brainstem responses (ABR) were recorded before, during, and following the exposure to determine the amount of hearing loss. The noise induced threshold shift to continuous long-term exposure, defined as compound threshold shift (CTS), within and above 16–20 kHz increased with noise level at the rate of 1.82 dB threshold shift per dB of noise level (NL) above a critical level (C) of 77.2 dB SPL i.e. CTS = 1.82(NL-77.2). The normalized amplitude of the largest ABR peak measured at 100 dB SPL decreased at the rate of 3.1% per dB of NL above the critical level of 76.9 dB SPL, i.e., %ABR Reduction = 3.1%(NL-76.9). ABR thresholds measured &amp;gt;30 days post-exposure only partially recovered resulting in a permanent threshold shift of 30–40 dB along with severe hair cell loss in the basal, high-frequency region of the cochlea. In the rat, CTS increases with noise level with a slope similar to humans and chinchillas. The critical level (C) in the rat is similar to that of humans, but higher than that of chinchillas.","author":[{"dropping-particle":"","family":"Chen","given":"Guang-Di","non-dropping-particle":"","parse-names":false,"suffix":""},{"dropping-particle":"","family":"Decker","given":"Brandon","non-dropping-particle":"","parse-names":false,"suffix":""},{"dropping-particle":"","family":"Krishnan Muthaiah","given":"Vijaya Prakash","non-dropping-particle":"","parse-names":false,"suffix":""},{"dropping-particle":"","family":"Sheppard","given":"Adam","non-dropping-particle":"","parse-names":false,"suffix":""},{"dropping-particle":"","family":"Salvi","given":"Richard","non-dropping-particle":"","parse-names":false,"suffix":""}],"container-title":"Hearing Research","id":"ITEM-1","issued":{"date-parts":[["2014"]]},"page":"1-8","publisher":"Elsevier B.V","title":"Prolonged noise exposure-induced auditory threshold shifts in rats","type":"article-journal","volume":"317"},"uris":["http://www.mendeley.com/documents/?uuid=a0b329f9-c88b-4119-9941-70248d2020e3"]}],"mendeley":{"formattedCitation":"(Chen et al., 2014)","plainTextFormattedCitation":"(Chen et al., 2014)","previouslyFormattedCitation":"(Chen et al., 2014)"},"properties":{"noteIndex":0},"schema":"https://github.com/citation-style-language/schema/raw/master/csl-citation.json"}</w:instrText>
      </w:r>
      <w:r w:rsidR="00EE6C64" w:rsidRPr="005B65DF">
        <w:fldChar w:fldCharType="separate"/>
      </w:r>
      <w:r w:rsidR="00EE6C64" w:rsidRPr="005B65DF">
        <w:rPr>
          <w:noProof/>
        </w:rPr>
        <w:t>(Chen et al., 2014)</w:t>
      </w:r>
      <w:r w:rsidR="00EE6C64" w:rsidRPr="005B65DF">
        <w:fldChar w:fldCharType="end"/>
      </w:r>
      <w:r w:rsidR="00EE6C64" w:rsidRPr="005B65DF">
        <w:t xml:space="preserve">. Sound exposure was stepped up week-by-week in 6 </w:t>
      </w:r>
      <w:r w:rsidR="00EE6C64" w:rsidRPr="005B65DF">
        <w:lastRenderedPageBreak/>
        <w:t>dB steps from an initial 80 dB to a final 104 dB on the fifth week. Because rats have a much larger range of hearing than humans or chinchillas, ABR was tested at 4, 8, 12, 16, 20, 24, and 32 kHz. At the end of the second week, the range deemed low-frequency (4-12 kHz) experienced between 2-9 dB ABR threshold shifts wh</w:t>
      </w:r>
      <w:r w:rsidR="00FB2479" w:rsidRPr="005B65DF">
        <w:t>ereas</w:t>
      </w:r>
      <w:r w:rsidR="00EE6C64" w:rsidRPr="005B65DF">
        <w:t xml:space="preserve"> the high-frequency (16-32 kHz) range experienced between 15-20 dB shifts. At the end of all five weeks, there was a 15 dB shift at 4 kHz, a 22-28 dB shift at 8-12 khz</w:t>
      </w:r>
      <w:r w:rsidR="00890412" w:rsidRPr="005B65DF">
        <w:t>, and a 45-58 dB shift for high frequencies</w:t>
      </w:r>
      <w:r w:rsidR="00EE6C64" w:rsidRPr="005B65DF">
        <w:t>. Animals were allowed to recover for four weeks, after which the 4-12 kHz thr</w:t>
      </w:r>
      <w:r w:rsidR="00890412" w:rsidRPr="005B65DF">
        <w:t>eshold shifts returned to</w:t>
      </w:r>
      <w:r w:rsidR="00746300" w:rsidRPr="005B65DF">
        <w:t xml:space="preserve"> baseline values.</w:t>
      </w:r>
      <w:r w:rsidR="00890412" w:rsidRPr="005B65DF">
        <w:t xml:space="preserve"> </w:t>
      </w:r>
      <w:r w:rsidR="00746300" w:rsidRPr="005B65DF">
        <w:t>At higher frequency levels, t</w:t>
      </w:r>
      <w:r w:rsidR="00890412" w:rsidRPr="005B65DF">
        <w:t>here were permanent threshold shifts of 25 dB at 16 kHz, 35 dB at 20 kHz, 35 dB at 24 khz, and 38 dB at 32 kHz</w:t>
      </w:r>
      <w:r w:rsidR="00EE6C64" w:rsidRPr="005B65DF">
        <w:t>.</w:t>
      </w:r>
      <w:r w:rsidR="00890412" w:rsidRPr="005B65DF">
        <w:t xml:space="preserve"> Neither of these studies reached as large of ABR shifts as ours did, </w:t>
      </w:r>
      <w:r w:rsidR="00FB2479" w:rsidRPr="005B65DF">
        <w:t xml:space="preserve">which was </w:t>
      </w:r>
      <w:r w:rsidR="00890412" w:rsidRPr="005B65DF">
        <w:t xml:space="preserve">likely due to the difference in stimulus amplitudes. Because there was not a significant difference between 1-hour and 2-hour exposures in our study, it may be valuable to study a lower sound stimulus amplitude or duration in future work to be more comparable </w:t>
      </w:r>
      <w:r w:rsidR="00FB2479" w:rsidRPr="005B65DF">
        <w:t xml:space="preserve">with </w:t>
      </w:r>
      <w:r w:rsidR="00890412" w:rsidRPr="005B65DF">
        <w:t>similar studies rather than overshooting their shifts.</w:t>
      </w:r>
      <w:r w:rsidR="00EE6C64" w:rsidRPr="005B65DF">
        <w:t xml:space="preserve"> </w:t>
      </w:r>
    </w:p>
    <w:p w14:paraId="3216A2C1" w14:textId="77777777" w:rsidR="00AD0C72" w:rsidRPr="005B65DF" w:rsidRDefault="00AD0C72" w:rsidP="00AD0C72">
      <w:pPr>
        <w:pStyle w:val="Heading3"/>
      </w:pPr>
      <w:bookmarkStart w:id="100" w:name="_Toc185938"/>
      <w:r w:rsidRPr="005B65DF">
        <w:t xml:space="preserve">4.4.2 </w:t>
      </w:r>
      <w:r w:rsidR="00DC414B" w:rsidRPr="005B65DF">
        <w:t>Asymmetrical Threshold Shift</w:t>
      </w:r>
      <w:bookmarkEnd w:id="100"/>
    </w:p>
    <w:p w14:paraId="296EA679" w14:textId="5E30C4BF" w:rsidR="00291636" w:rsidRPr="005B65DF" w:rsidRDefault="00291636" w:rsidP="000B7133">
      <w:r w:rsidRPr="005B65DF">
        <w:t xml:space="preserve">The average MEMR shift across all frequencies was 10.4 dB less than the average ABR shift for 1-hour exposures and 11.4 dB less for 2-hour exposures. </w:t>
      </w:r>
      <w:r w:rsidR="00D9028B" w:rsidRPr="005B65DF">
        <w:t xml:space="preserve">A </w:t>
      </w:r>
      <w:r w:rsidR="00EE7918" w:rsidRPr="005B65DF">
        <w:t xml:space="preserve">two-tailed </w:t>
      </w:r>
      <w:r w:rsidR="0025377C" w:rsidRPr="005B65DF">
        <w:t xml:space="preserve">paired </w:t>
      </w:r>
      <w:r w:rsidR="00D9028B" w:rsidRPr="005B65DF">
        <w:t xml:space="preserve">t-test </w:t>
      </w:r>
      <w:r w:rsidR="00EE7918" w:rsidRPr="005B65DF">
        <w:t xml:space="preserve">with 95% confidence interval </w:t>
      </w:r>
      <w:r w:rsidR="00D9028B" w:rsidRPr="005B65DF">
        <w:t>was applied to compare ABR shifts to MEMR shifts within the 1-hour and 2-hour groups to determine whether or not these two hearing parameters shifted in different amounts</w:t>
      </w:r>
      <w:r w:rsidRPr="005B65DF">
        <w:t xml:space="preserve">, excluding ABR data at 0.5 and 8 kHz </w:t>
      </w:r>
      <w:r w:rsidR="00FB2479" w:rsidRPr="005B65DF">
        <w:t xml:space="preserve">in which </w:t>
      </w:r>
      <w:r w:rsidRPr="005B65DF">
        <w:t>there was no matching EMG data</w:t>
      </w:r>
      <w:r w:rsidR="00D9028B" w:rsidRPr="005B65DF">
        <w:t xml:space="preserve">.  </w:t>
      </w:r>
      <w:r w:rsidRPr="005B65DF">
        <w:t>In the 1-hour group, P was 0.0049</w:t>
      </w:r>
      <w:r w:rsidR="00FB2479" w:rsidRPr="005B65DF">
        <w:t>, and</w:t>
      </w:r>
      <w:r w:rsidRPr="005B65DF">
        <w:t xml:space="preserve"> in the 2-hour group, P was 0.0599, n</w:t>
      </w:r>
      <w:r w:rsidR="00FB2479" w:rsidRPr="005B65DF">
        <w:t>early yet not</w:t>
      </w:r>
      <w:r w:rsidRPr="005B65DF">
        <w:t xml:space="preserve"> less than 0.05. </w:t>
      </w:r>
    </w:p>
    <w:p w14:paraId="14F53A10" w14:textId="77777777" w:rsidR="00014BD3" w:rsidRPr="005B65DF" w:rsidRDefault="00014BD3" w:rsidP="00014BD3">
      <w:pPr>
        <w:pStyle w:val="Heading3"/>
      </w:pPr>
      <w:bookmarkStart w:id="101" w:name="_Toc185939"/>
      <w:r w:rsidRPr="005B65DF">
        <w:lastRenderedPageBreak/>
        <w:t>4.4.</w:t>
      </w:r>
      <w:r w:rsidR="00971CE8" w:rsidRPr="005B65DF">
        <w:t>3</w:t>
      </w:r>
      <w:r w:rsidRPr="005B65DF">
        <w:t xml:space="preserve"> Study Limitations</w:t>
      </w:r>
      <w:bookmarkEnd w:id="101"/>
    </w:p>
    <w:p w14:paraId="1EC143F1" w14:textId="0FF8B6F8" w:rsidR="00251BDB" w:rsidRPr="005B65DF" w:rsidRDefault="00251BDB" w:rsidP="00655A39">
      <w:r w:rsidRPr="005B65DF">
        <w:t xml:space="preserve">One limitation of this study is that it focuses on TTS as an indicator for hearing damage. </w:t>
      </w:r>
      <w:r w:rsidR="00DC414B" w:rsidRPr="005B65DF">
        <w:t>As testing is performed on the same day as exposure, and because the animals are euthanized after testing instead of allowed to recover with an open surgical site, there is no discrimination between TTS and PTS.</w:t>
      </w:r>
      <w:r w:rsidRPr="005B65DF">
        <w:t xml:space="preserve"> </w:t>
      </w:r>
      <w:r w:rsidR="00DC414B" w:rsidRPr="005B65DF">
        <w:t xml:space="preserve">Future testing would ideally take both into consideration separately by allowing for some recovery time. </w:t>
      </w:r>
      <w:r w:rsidR="00655A39" w:rsidRPr="005B65DF">
        <w:t xml:space="preserve">Because of the invasive nature of stapedius EMG testing, it would be unethical to perform the surgery, test EMG, allow the animal to regain consciousness, and keep it alive for another month to perform a second set of EMG tests to determine PTS. The noise exposure would have to happen on a different day from the surgery and testing with recovery time in between. In order to ensure that </w:t>
      </w:r>
      <w:r w:rsidRPr="005B65DF">
        <w:t>TTS recovery is complete and that any remaining damage is PTS</w:t>
      </w:r>
      <w:r w:rsidR="00655A39" w:rsidRPr="005B65DF">
        <w:t xml:space="preserve"> would require</w:t>
      </w:r>
      <w:r w:rsidRPr="005B65DF">
        <w:t xml:space="preserve"> approximately one month </w:t>
      </w:r>
      <w:r w:rsidR="00655A39" w:rsidRPr="005B65DF">
        <w:t>of recovery time</w:t>
      </w:r>
      <w:r w:rsidR="00746300" w:rsidRPr="005B65DF">
        <w:t xml:space="preserve"> for this severe of threshold shifts</w:t>
      </w:r>
      <w:r w:rsidRPr="005B65DF">
        <w:t xml:space="preserve"> </w:t>
      </w:r>
      <w:r w:rsidR="005527E7" w:rsidRPr="005B65DF">
        <w:fldChar w:fldCharType="begin" w:fldLock="1"/>
      </w:r>
      <w:r w:rsidR="006F5529" w:rsidRPr="005B65DF">
        <w:instrText>ADDIN CSL_CITATION {"citationItems":[{"id":"ITEM-1","itemData":{"DOI":"10.1016/j.heares.2014.08.004","ISSN":"0378-5955","abstract":"Noise-induced hearing loss (NIHL) initially increases with exposure duration, but eventually reaches an asymptotic threshold shift (ATS) once the exposure duration exceeds 18–24 h. Equations for predicting the ATS have been developed for several species, but not for rats, even though this species is extensively used in noise exposure research. To fill this void, we exposed rats to narrowband noise (NBN, 16–20 kHz) for 5 weeks starting at 80 dB SPL in the first week and then increasing the level by 6 dB per week to a final level of 104 dB SPL. Auditory brainstem responses (ABR) were recorded before, during, and following the exposure to determine the amount of hearing loss. The noise induced threshold shift to continuous long-term exposure, defined as compound threshold shift (CTS), within and above 16–20 kHz increased with noise level at the rate of 1.82 dB threshold shift per dB of noise level (NL) above a critical level (C) of 77.2 dB SPL i.e. CTS = 1.82(NL-77.2). The normalized amplitude of the largest ABR peak measured at 100 dB SPL decreased at the rate of 3.1% per dB of NL above the critical level of 76.9 dB SPL, i.e., %ABR Reduction = 3.1%(NL-76.9). ABR thresholds measured &amp;gt;30 days post-exposure only partially recovered resulting in a permanent threshold shift of 30–40 dB along with severe hair cell loss in the basal, high-frequency region of the cochlea. In the rat, CTS increases with noise level with a slope similar to humans and chinchillas. The critical level (C) in the rat is similar to that of humans, but higher than that of chinchillas.","author":[{"dropping-particle":"","family":"Chen","given":"Guang-Di","non-dropping-particle":"","parse-names":false,"suffix":""},{"dropping-particle":"","family":"Decker","given":"Brandon","non-dropping-particle":"","parse-names":false,"suffix":""},{"dropping-particle":"","family":"Krishnan Muthaiah","given":"Vijaya Prakash","non-dropping-particle":"","parse-names":false,"suffix":""},{"dropping-particle":"","family":"Sheppard","given":"Adam","non-dropping-particle":"","parse-names":false,"suffix":""},{"dropping-particle":"","family":"Salvi","given":"Richard","non-dropping-particle":"","parse-names":false,"suffix":""}],"container-title":"Hearing Research","id":"ITEM-1","issued":{"date-parts":[["2014"]]},"page":"1-8","publisher":"Elsevier B.V","title":"Prolonged noise exposure-induced auditory threshold shifts in rats","type":"article-journal","volume":"317"},"uris":["http://www.mendeley.com/documents/?uuid=a0b329f9-c88b-4119-9941-70248d2020e3"]}],"mendeley":{"formattedCitation":"(Chen et al., 2014)","plainTextFormattedCitation":"(Chen et al., 2014)","previouslyFormattedCitation":"(Chen et al., 2014)"},"properties":{"noteIndex":0},"schema":"https://github.com/citation-style-language/schema/raw/master/csl-citation.json"}</w:instrText>
      </w:r>
      <w:r w:rsidR="005527E7" w:rsidRPr="005B65DF">
        <w:fldChar w:fldCharType="separate"/>
      </w:r>
      <w:r w:rsidR="005527E7" w:rsidRPr="005B65DF">
        <w:rPr>
          <w:noProof/>
        </w:rPr>
        <w:t>(Chen et al., 2014)</w:t>
      </w:r>
      <w:r w:rsidR="005527E7" w:rsidRPr="005B65DF">
        <w:fldChar w:fldCharType="end"/>
      </w:r>
      <w:r w:rsidRPr="005B65DF">
        <w:t>.</w:t>
      </w:r>
    </w:p>
    <w:p w14:paraId="77583D01" w14:textId="77777777" w:rsidR="00532FE9" w:rsidRPr="005B65DF" w:rsidRDefault="00532FE9" w:rsidP="00655A39">
      <w:r w:rsidRPr="005B65DF">
        <w:t xml:space="preserve">A second limitation is the lack of translational applicability; while an animal model of hearing damage was successfully created, no progress was made towards </w:t>
      </w:r>
      <w:r w:rsidR="00BE00FF" w:rsidRPr="005B65DF">
        <w:t>preventing damage. Further study should prioritize the testing of hearing protection devices or other prophylactic measures to examine how to prevent damage.</w:t>
      </w:r>
    </w:p>
    <w:p w14:paraId="0F294202" w14:textId="77777777" w:rsidR="00720002" w:rsidRPr="005B65DF" w:rsidRDefault="00720002" w:rsidP="00720002"/>
    <w:p w14:paraId="3CD5F6E8" w14:textId="77777777" w:rsidR="00720002" w:rsidRPr="005B65DF" w:rsidRDefault="00720002" w:rsidP="00720002"/>
    <w:p w14:paraId="776DF440" w14:textId="77777777" w:rsidR="00E5537D" w:rsidRPr="005B65DF" w:rsidRDefault="00E5537D">
      <w:pPr>
        <w:spacing w:line="240" w:lineRule="auto"/>
        <w:ind w:firstLine="0"/>
        <w:rPr>
          <w:rFonts w:asciiTheme="majorHAnsi" w:hAnsiTheme="majorHAnsi"/>
          <w:b/>
          <w:bCs/>
          <w:sz w:val="28"/>
          <w:szCs w:val="32"/>
        </w:rPr>
      </w:pPr>
      <w:r w:rsidRPr="005B65DF">
        <w:br w:type="page"/>
      </w:r>
    </w:p>
    <w:p w14:paraId="50403083" w14:textId="77777777" w:rsidR="00720002" w:rsidRPr="005B65DF" w:rsidRDefault="00720002" w:rsidP="00A02A61">
      <w:pPr>
        <w:pStyle w:val="Heading1"/>
      </w:pPr>
      <w:bookmarkStart w:id="102" w:name="_Toc185940"/>
      <w:r w:rsidRPr="005B65DF">
        <w:lastRenderedPageBreak/>
        <w:t>Conclusions and Future Studies</w:t>
      </w:r>
      <w:bookmarkEnd w:id="102"/>
    </w:p>
    <w:p w14:paraId="4991F5C5" w14:textId="77777777" w:rsidR="00720002" w:rsidRPr="005B65DF" w:rsidRDefault="004E44CE" w:rsidP="00720002">
      <w:pPr>
        <w:pStyle w:val="Heading2"/>
      </w:pPr>
      <w:bookmarkStart w:id="103" w:name="_Toc185941"/>
      <w:r w:rsidRPr="005B65DF">
        <w:t>5.1 Conclusions</w:t>
      </w:r>
      <w:bookmarkEnd w:id="103"/>
    </w:p>
    <w:p w14:paraId="7F8E5AC8" w14:textId="77777777" w:rsidR="00720002" w:rsidRPr="005B65DF" w:rsidRDefault="00E5537D" w:rsidP="00E5537D">
      <w:pPr>
        <w:pStyle w:val="Heading3"/>
      </w:pPr>
      <w:bookmarkStart w:id="104" w:name="_Toc185942"/>
      <w:r w:rsidRPr="005B65DF">
        <w:t>5.1.1 Viability of EMG for MEMR Studies</w:t>
      </w:r>
      <w:bookmarkEnd w:id="104"/>
    </w:p>
    <w:p w14:paraId="133DB128" w14:textId="7F86A6FC" w:rsidR="00E241C5" w:rsidRPr="005B65DF" w:rsidRDefault="00C312C1" w:rsidP="00E241C5">
      <w:r w:rsidRPr="005B65DF">
        <w:t>MEMR thresholds were successfully determined both directly via EMG and indirectly through ART</w:t>
      </w:r>
      <w:r w:rsidR="00817673" w:rsidRPr="005B65DF">
        <w:t xml:space="preserve"> testing</w:t>
      </w:r>
      <w:r w:rsidRPr="005B65DF">
        <w:t>. At 1 kHz the mean EMG-determined threshold was 63.6 ± 16.5 dB</w:t>
      </w:r>
      <w:r w:rsidR="00FB2479" w:rsidRPr="005B65DF">
        <w:t>;</w:t>
      </w:r>
      <w:r w:rsidRPr="005B65DF">
        <w:t xml:space="preserve"> at 2 kHz it was 70.0 ± 12.4 dB</w:t>
      </w:r>
      <w:r w:rsidR="00FB2479" w:rsidRPr="005B65DF">
        <w:t>;</w:t>
      </w:r>
      <w:r w:rsidRPr="005B65DF">
        <w:t xml:space="preserve"> at 4 kHz it was 71.4 ± 13.5 dB</w:t>
      </w:r>
      <w:r w:rsidR="00FB2479" w:rsidRPr="005B65DF">
        <w:t>;</w:t>
      </w:r>
      <w:r w:rsidRPr="005B65DF">
        <w:t xml:space="preserve"> and finally at 6 kHz it was 76.4 ± 13.9 dB. The mean </w:t>
      </w:r>
      <w:r w:rsidR="00866C4E" w:rsidRPr="005B65DF">
        <w:t>ART</w:t>
      </w:r>
      <w:r w:rsidRPr="005B65DF">
        <w:t>-determined thresholds were 85.0 ± 15.4 dB at 1 kHz</w:t>
      </w:r>
      <w:r w:rsidR="00FB2479" w:rsidRPr="005B65DF">
        <w:t>;</w:t>
      </w:r>
      <w:r w:rsidRPr="005B65DF">
        <w:t xml:space="preserve"> 81.1 ± 11.5 dB at 2 kHz</w:t>
      </w:r>
      <w:r w:rsidR="00FB2479" w:rsidRPr="005B65DF">
        <w:t>;</w:t>
      </w:r>
      <w:r w:rsidRPr="005B65DF">
        <w:t xml:space="preserve"> and 73.9 ± 17.9 dB at 4 kHz. </w:t>
      </w:r>
      <w:r w:rsidR="009606AD" w:rsidRPr="005B65DF">
        <w:t xml:space="preserve">Only at 4 kHz was there not a statistically significant difference between the two methods. </w:t>
      </w:r>
      <w:r w:rsidRPr="005B65DF">
        <w:t xml:space="preserve">Possible explanations for the discrepancy between the two measurements include </w:t>
      </w:r>
      <w:r w:rsidR="00E241C5" w:rsidRPr="005B65DF">
        <w:t xml:space="preserve">a difference in sensitivity between the two test methods or a change in behavior based on the reduced stimulus duration in ART </w:t>
      </w:r>
      <w:r w:rsidR="00817673" w:rsidRPr="005B65DF">
        <w:t xml:space="preserve">testing </w:t>
      </w:r>
      <w:r w:rsidR="00E241C5" w:rsidRPr="005B65DF">
        <w:t>compared to EMG.</w:t>
      </w:r>
      <w:r w:rsidR="009606AD" w:rsidRPr="005B65DF">
        <w:t xml:space="preserve"> While caution sh</w:t>
      </w:r>
      <w:r w:rsidR="0082106A" w:rsidRPr="005B65DF">
        <w:t>ould be taken if correlating</w:t>
      </w:r>
      <w:r w:rsidR="009606AD" w:rsidRPr="005B65DF">
        <w:t xml:space="preserve"> the threshold EMG results with a strong enough MEMR to serve a protective function, </w:t>
      </w:r>
      <w:r w:rsidR="0082106A" w:rsidRPr="005B65DF">
        <w:t>similar discrepancies between EMG data and other methods of MEMR threshold determination exist in the literature.</w:t>
      </w:r>
    </w:p>
    <w:p w14:paraId="40C200CE" w14:textId="383C2285" w:rsidR="00273095" w:rsidRPr="005B65DF" w:rsidRDefault="00E241C5" w:rsidP="00E241C5">
      <w:r w:rsidRPr="005B65DF">
        <w:t>MEMR l</w:t>
      </w:r>
      <w:r w:rsidR="00C312C1" w:rsidRPr="005B65DF">
        <w:t xml:space="preserve">atency </w:t>
      </w:r>
      <w:r w:rsidRPr="005B65DF">
        <w:t xml:space="preserve">was also determined via EMG. </w:t>
      </w:r>
      <w:r w:rsidR="00C312C1" w:rsidRPr="005B65DF">
        <w:t>The highest latencies with reference to the threshold level were 10.41 ms at 1 kHz</w:t>
      </w:r>
      <w:r w:rsidR="00FB2479" w:rsidRPr="005B65DF">
        <w:t>;</w:t>
      </w:r>
      <w:r w:rsidR="00C312C1" w:rsidRPr="005B65DF">
        <w:t xml:space="preserve"> 9.01 ms at 2 kHz</w:t>
      </w:r>
      <w:r w:rsidR="00FB2479" w:rsidRPr="005B65DF">
        <w:t>;</w:t>
      </w:r>
      <w:r w:rsidR="00C312C1" w:rsidRPr="005B65DF">
        <w:t xml:space="preserve"> 9.61 at 4 kHz</w:t>
      </w:r>
      <w:r w:rsidR="00FB2479" w:rsidRPr="005B65DF">
        <w:t>;</w:t>
      </w:r>
      <w:r w:rsidR="00C312C1" w:rsidRPr="005B65DF">
        <w:t xml:space="preserve"> and 7.91 at 6 kHz. The minima were 6.41 ms at 1 kHz</w:t>
      </w:r>
      <w:r w:rsidR="00FB2479" w:rsidRPr="005B65DF">
        <w:t>;</w:t>
      </w:r>
      <w:r w:rsidR="00C312C1" w:rsidRPr="005B65DF">
        <w:t xml:space="preserve"> 2.80 at 2 kHz</w:t>
      </w:r>
      <w:r w:rsidR="00FB2479" w:rsidRPr="005B65DF">
        <w:t>;</w:t>
      </w:r>
      <w:r w:rsidR="00C312C1" w:rsidRPr="005B65DF">
        <w:t xml:space="preserve"> 3.00 at 4 kHz</w:t>
      </w:r>
      <w:r w:rsidR="00FB2479" w:rsidRPr="005B65DF">
        <w:t>;</w:t>
      </w:r>
      <w:r w:rsidR="00C312C1" w:rsidRPr="005B65DF">
        <w:t xml:space="preserve"> and 3.00 at 6 kHz. At all frequencies other than </w:t>
      </w:r>
      <w:r w:rsidR="0082106A" w:rsidRPr="005B65DF">
        <w:t xml:space="preserve">4 and </w:t>
      </w:r>
      <w:r w:rsidR="00C312C1" w:rsidRPr="005B65DF">
        <w:t xml:space="preserve">6 kHz, the latency decreased </w:t>
      </w:r>
      <w:r w:rsidR="0082106A" w:rsidRPr="005B65DF">
        <w:t xml:space="preserve">a statistically significant amount </w:t>
      </w:r>
      <w:r w:rsidR="00C312C1" w:rsidRPr="005B65DF">
        <w:t xml:space="preserve">between the threshold and </w:t>
      </w:r>
      <w:r w:rsidR="0082106A" w:rsidRPr="005B65DF">
        <w:t xml:space="preserve">110 dB, </w:t>
      </w:r>
      <w:r w:rsidR="00C312C1" w:rsidRPr="005B65DF">
        <w:t>the highest level tested. In addition, the latency tended to decrease as the eliciting stimulus frequency increased.</w:t>
      </w:r>
      <w:r w:rsidRPr="005B65DF">
        <w:t xml:space="preserve"> Both latency and threshold results were comparable in magnitude to the results of similar studies.</w:t>
      </w:r>
    </w:p>
    <w:p w14:paraId="6DA5BE4B" w14:textId="77777777" w:rsidR="00E5537D" w:rsidRPr="005B65DF" w:rsidRDefault="00E5537D" w:rsidP="00E5537D">
      <w:pPr>
        <w:pStyle w:val="Heading3"/>
      </w:pPr>
      <w:bookmarkStart w:id="105" w:name="_Toc185943"/>
      <w:r w:rsidRPr="005B65DF">
        <w:lastRenderedPageBreak/>
        <w:t>5.1.2 EMG Analysis of MEMR During Blast Exposure</w:t>
      </w:r>
      <w:bookmarkEnd w:id="105"/>
    </w:p>
    <w:p w14:paraId="0A822CD3" w14:textId="0367E255" w:rsidR="00E5537D" w:rsidRPr="005B65DF" w:rsidRDefault="00157290" w:rsidP="00273095">
      <w:r w:rsidRPr="005B65DF">
        <w:t xml:space="preserve">EMG was able to capture information about stapedius behavior during blast exposure. </w:t>
      </w:r>
      <w:r w:rsidR="005E5CCB" w:rsidRPr="005B65DF">
        <w:t xml:space="preserve">At no point was a blast insufficient to ellicit a MEMR from the subjects. </w:t>
      </w:r>
      <w:r w:rsidRPr="005B65DF">
        <w:t>Response strength as judged by EMG signal amplitude nearly linearly increased with blast pressure intensity for each animal, but variability between animals was too high for reasonable comparisons to be made.</w:t>
      </w:r>
      <w:r w:rsidR="006B3196" w:rsidRPr="005B65DF">
        <w:t xml:space="preserve"> The average latency between blast overpressure and MEMR onset was 4.75 ± 3.19 ms.</w:t>
      </w:r>
      <w:r w:rsidR="005E5CCB" w:rsidRPr="005B65DF">
        <w:t xml:space="preserve"> This is considerably longer than it takes an impulse blast overpressure wave to propagate through the ossicles, so despite the low latency time for the chinchilla MEMR it is unlikely to provide significant mitigation of blast damage.</w:t>
      </w:r>
    </w:p>
    <w:p w14:paraId="3EFE4B95" w14:textId="77777777" w:rsidR="00E5537D" w:rsidRPr="005B65DF" w:rsidRDefault="00E5537D" w:rsidP="00E5537D">
      <w:pPr>
        <w:pStyle w:val="Heading3"/>
      </w:pPr>
      <w:bookmarkStart w:id="106" w:name="_Toc185944"/>
      <w:r w:rsidRPr="005B65DF">
        <w:t>5.1.3 EMG Analysis of MEMR After High Intensity Sound Exposure</w:t>
      </w:r>
      <w:bookmarkEnd w:id="106"/>
    </w:p>
    <w:p w14:paraId="3CA65E0F" w14:textId="73608D4F" w:rsidR="00E5537D" w:rsidRPr="005B65DF" w:rsidRDefault="00E13E4C" w:rsidP="00E13E4C">
      <w:r w:rsidRPr="005B65DF">
        <w:t>A one-day exposure model of hearing damage in chinchillas was successfully created</w:t>
      </w:r>
      <w:r w:rsidR="00EF29A9" w:rsidRPr="005B65DF">
        <w:t xml:space="preserve"> by exposing chinchillas to one or two hours of 130 dB pure tone sound in a noise-insulated box. There was</w:t>
      </w:r>
      <w:r w:rsidRPr="005B65DF">
        <w:t xml:space="preserve"> an average MEMR threshold shift of 54.7 dB or 55.9 dB for one or two hours of exposure, respectively. The average ABR threshold shift was 65.1 dB with one hour of exposure and 67.3 dB for two hours. </w:t>
      </w:r>
      <w:r w:rsidR="0025377C" w:rsidRPr="005B65DF">
        <w:t>There was no frequency where either the MEMR or ABR shift was statistically significantly different between 1-hour and 2-hour exposure times.</w:t>
      </w:r>
      <w:r w:rsidR="005E5CCB" w:rsidRPr="005B65DF">
        <w:t xml:space="preserve"> These shifts were bigger than those obtained by most similar sound exposure models in the literature and had the benefit of taking only an hour, enabling pre-testing, hearing damage, and post-testing to occur in the space of a single day. </w:t>
      </w:r>
      <w:r w:rsidR="00817673" w:rsidRPr="005B65DF">
        <w:t>This is particularly valuable for tests as invasive as direct surgical electrode implantation, making this hearing damage model ideal if such tests are desirable.</w:t>
      </w:r>
    </w:p>
    <w:p w14:paraId="55733180" w14:textId="77777777" w:rsidR="00841698" w:rsidRPr="005B65DF" w:rsidRDefault="00841698" w:rsidP="00841698">
      <w:pPr>
        <w:pStyle w:val="Heading2"/>
      </w:pPr>
      <w:bookmarkStart w:id="107" w:name="_Toc185945"/>
      <w:r w:rsidRPr="005B65DF">
        <w:t>5.2 Future Studies</w:t>
      </w:r>
      <w:bookmarkEnd w:id="107"/>
    </w:p>
    <w:p w14:paraId="3F3EE35A" w14:textId="77777777" w:rsidR="00841698" w:rsidRPr="005B65DF" w:rsidRDefault="00E5537D" w:rsidP="00841698">
      <w:r w:rsidRPr="005B65DF">
        <w:t xml:space="preserve">There are a variety of studies that could be performed to better confirm or elaborate upon the conclusions discussed here. </w:t>
      </w:r>
      <w:r w:rsidR="00273095" w:rsidRPr="005B65DF">
        <w:t xml:space="preserve">Shortcomings of these studies include the bad fit between EMG </w:t>
      </w:r>
      <w:r w:rsidR="00273095" w:rsidRPr="005B65DF">
        <w:lastRenderedPageBreak/>
        <w:t>and ART d</w:t>
      </w:r>
      <w:r w:rsidR="005C2195" w:rsidRPr="005B65DF">
        <w:t>ete</w:t>
      </w:r>
      <w:r w:rsidR="00532FE9" w:rsidRPr="005B65DF">
        <w:t>rmination of MEMR thresholds,</w:t>
      </w:r>
      <w:r w:rsidR="00273095" w:rsidRPr="005B65DF">
        <w:t xml:space="preserve"> the lack of distinguishing between temporary and permanent threshold shifts in </w:t>
      </w:r>
      <w:r w:rsidR="005C2195" w:rsidRPr="005B65DF">
        <w:t>hearing damage models</w:t>
      </w:r>
      <w:r w:rsidR="00532FE9" w:rsidRPr="005B65DF">
        <w:t>, and the absence of translationality</w:t>
      </w:r>
      <w:r w:rsidR="005C2195" w:rsidRPr="005B65DF">
        <w:t>.</w:t>
      </w:r>
      <w:r w:rsidR="00532FE9" w:rsidRPr="005B65DF">
        <w:t xml:space="preserve"> Addressing these shortcomings should be a priority if work in this direction were to continue.</w:t>
      </w:r>
    </w:p>
    <w:p w14:paraId="6AA4C417" w14:textId="76052A3F" w:rsidR="00273095" w:rsidRPr="005B65DF" w:rsidRDefault="00273095" w:rsidP="00273095">
      <w:r w:rsidRPr="005B65DF">
        <w:t xml:space="preserve">To check the accuracy of the MEMR thresholds obtained in this study, it would be valuable to apply a third measurement, such as the cochlear microphonic. This could elucidate whether EMG was truly more sensitive than ART </w:t>
      </w:r>
      <w:r w:rsidR="00817673" w:rsidRPr="005B65DF">
        <w:t xml:space="preserve">testing </w:t>
      </w:r>
      <w:r w:rsidRPr="005B65DF">
        <w:t xml:space="preserve">or if ART </w:t>
      </w:r>
      <w:r w:rsidR="00817673" w:rsidRPr="005B65DF">
        <w:t xml:space="preserve">testing </w:t>
      </w:r>
      <w:r w:rsidRPr="005B65DF">
        <w:t xml:space="preserve">was indeed more accurate. It would also be informative to add force transducers or utilize LDV while measuring EMG in order to quantify the force output by the muscle or the change in ossicular displacement with or without reflex activation. </w:t>
      </w:r>
      <w:r w:rsidR="005C2195" w:rsidRPr="005B65DF">
        <w:t>Correlating one or both of those things to the EMG measurements would ensure that a significant physiological activity is occuring beyond just the measurable electric</w:t>
      </w:r>
      <w:r w:rsidR="004C0CF9" w:rsidRPr="005B65DF">
        <w:t>al</w:t>
      </w:r>
      <w:r w:rsidR="005C2195" w:rsidRPr="005B65DF">
        <w:t xml:space="preserve"> activity.</w:t>
      </w:r>
    </w:p>
    <w:p w14:paraId="4E03A2BC" w14:textId="13A092A0" w:rsidR="005C2195" w:rsidRPr="005B65DF" w:rsidRDefault="005C2195" w:rsidP="00273095">
      <w:r w:rsidRPr="005B65DF">
        <w:t xml:space="preserve">For both the blast and noise exposure studies, tests to quantify the level of hearing damage occurred immediately after </w:t>
      </w:r>
      <w:r w:rsidR="0088207F" w:rsidRPr="005B65DF">
        <w:t>exposure. These tests did demonstrate the presence of hearing loss, but there was no discrimination between temporary and permanent threshold shifts. As permanent threshold shifts are the bigger concern for a person’s future quality of life, it would be ideal to be able to compare the severity of the permanent shift to the temporary shift</w:t>
      </w:r>
      <w:r w:rsidR="00BA508E" w:rsidRPr="005B65DF">
        <w:t xml:space="preserve">. Because of the invasive nature of the EMG electrode insertion, it would not be ethically </w:t>
      </w:r>
      <w:r w:rsidR="004C0CF9" w:rsidRPr="005B65DF">
        <w:t xml:space="preserve">sound to </w:t>
      </w:r>
      <w:r w:rsidR="00BA508E" w:rsidRPr="005B65DF">
        <w:t>allow animals to recover for days or weeks post-exposure while doing progressive hearing tests</w:t>
      </w:r>
      <w:r w:rsidR="004C0CF9" w:rsidRPr="005B65DF">
        <w:t>. In addition to</w:t>
      </w:r>
      <w:r w:rsidR="00BA508E" w:rsidRPr="005B65DF">
        <w:t xml:space="preserve"> needing to manage the pain and keep the open wound from infection, the entire surgical procedure would need to be revised to use survival techniques, which are not currently employed as animals are euthanized after testing. As an alternative to changing to survival surgery, it would be easier to cause the hearing damage without electrode insertion, allow the animal to recover, and then only at the end perform EMG electrode insertion and measurement.</w:t>
      </w:r>
    </w:p>
    <w:p w14:paraId="6053CDBA" w14:textId="561ECE56" w:rsidR="00720002" w:rsidRPr="005B65DF" w:rsidRDefault="0088207F" w:rsidP="00720002">
      <w:r w:rsidRPr="005B65DF">
        <w:lastRenderedPageBreak/>
        <w:t xml:space="preserve">Finally, none of this work </w:t>
      </w:r>
      <w:r w:rsidR="0019478A" w:rsidRPr="005B65DF">
        <w:t>directly contributes to actively preventing hearing damage. Moving the project towards being translational would increase its marketability and broaden its significance. Possible routes to do so would be to test hearing protection devices or prophylactic drugs on animals</w:t>
      </w:r>
      <w:r w:rsidR="004C0CF9" w:rsidRPr="005B65DF">
        <w:t xml:space="preserve"> and</w:t>
      </w:r>
      <w:r w:rsidR="0019478A" w:rsidRPr="005B65DF">
        <w:t xml:space="preserve"> then create hearing damage via either blast or noise exposure. </w:t>
      </w:r>
      <w:r w:rsidR="000672D4" w:rsidRPr="005B65DF">
        <w:t>In the blast case,</w:t>
      </w:r>
      <w:r w:rsidR="00532FE9" w:rsidRPr="005B65DF">
        <w:t xml:space="preserve"> a reflex-eliciting tone could be played in advance of the blast to provoke the MEMR </w:t>
      </w:r>
      <w:r w:rsidR="004C0CF9" w:rsidRPr="005B65DF">
        <w:t xml:space="preserve">to </w:t>
      </w:r>
      <w:r w:rsidR="00532FE9" w:rsidRPr="005B65DF">
        <w:t>see whether or not a pre-emptive reflex activation could better protect the ear from a blast.</w:t>
      </w:r>
      <w:r w:rsidR="000672D4" w:rsidRPr="005B65DF">
        <w:t xml:space="preserve"> </w:t>
      </w:r>
      <w:r w:rsidR="0019478A" w:rsidRPr="005B65DF">
        <w:t>EMG could be used alongside ABR</w:t>
      </w:r>
      <w:r w:rsidR="00532FE9" w:rsidRPr="005B65DF">
        <w:t xml:space="preserve"> in any protection study</w:t>
      </w:r>
      <w:r w:rsidR="0019478A" w:rsidRPr="005B65DF">
        <w:t xml:space="preserve"> to determine how </w:t>
      </w:r>
      <w:r w:rsidR="00842183" w:rsidRPr="005B65DF">
        <w:t>effectively</w:t>
      </w:r>
      <w:r w:rsidR="0019478A" w:rsidRPr="005B65DF">
        <w:t xml:space="preserve"> the intervention reduced the severity of hearing loss.</w:t>
      </w:r>
    </w:p>
    <w:p w14:paraId="0A083A35" w14:textId="77777777" w:rsidR="00AA0B13" w:rsidRPr="005B65DF" w:rsidRDefault="00AA0B13" w:rsidP="00A02A61">
      <w:pPr>
        <w:pStyle w:val="Heading1"/>
        <w:numPr>
          <w:ilvl w:val="0"/>
          <w:numId w:val="0"/>
        </w:numPr>
      </w:pPr>
      <w:r w:rsidRPr="005B65DF">
        <w:br w:type="page"/>
      </w:r>
      <w:bookmarkStart w:id="108" w:name="_Toc310579474"/>
      <w:bookmarkStart w:id="109" w:name="_Toc185946"/>
      <w:r w:rsidRPr="005B65DF">
        <w:lastRenderedPageBreak/>
        <w:t>References</w:t>
      </w:r>
      <w:bookmarkEnd w:id="108"/>
      <w:bookmarkEnd w:id="109"/>
    </w:p>
    <w:p w14:paraId="58FFF66E" w14:textId="56EA1333" w:rsidR="009D4264" w:rsidRPr="005B65DF" w:rsidRDefault="0035104F" w:rsidP="009D4264">
      <w:pPr>
        <w:widowControl w:val="0"/>
        <w:autoSpaceDE w:val="0"/>
        <w:autoSpaceDN w:val="0"/>
        <w:adjustRightInd w:val="0"/>
        <w:ind w:left="480" w:hanging="480"/>
        <w:rPr>
          <w:rFonts w:ascii="Times New Roman" w:hAnsi="Times New Roman"/>
          <w:noProof/>
        </w:rPr>
      </w:pPr>
      <w:r w:rsidRPr="005B65DF">
        <w:fldChar w:fldCharType="begin" w:fldLock="1"/>
      </w:r>
      <w:r w:rsidRPr="005B65DF">
        <w:instrText xml:space="preserve">ADDIN Mendeley Bibliography CSL_BIBLIOGRAPHY </w:instrText>
      </w:r>
      <w:r w:rsidRPr="005B65DF">
        <w:fldChar w:fldCharType="separate"/>
      </w:r>
      <w:r w:rsidR="009D4264" w:rsidRPr="005B65DF">
        <w:rPr>
          <w:rFonts w:ascii="Times New Roman" w:hAnsi="Times New Roman"/>
          <w:noProof/>
        </w:rPr>
        <w:t xml:space="preserve">Aiken, S. J., Andrus, J. N., Bance, M., &amp; Phillips, D. P. (2013). Acoustic stapedius reflex function in man revisited. </w:t>
      </w:r>
      <w:r w:rsidR="009D4264" w:rsidRPr="005B65DF">
        <w:rPr>
          <w:rFonts w:ascii="Times New Roman" w:hAnsi="Times New Roman"/>
          <w:i/>
          <w:iCs/>
          <w:noProof/>
        </w:rPr>
        <w:t>Ear and Hearing</w:t>
      </w:r>
      <w:r w:rsidR="009D4264" w:rsidRPr="005B65DF">
        <w:rPr>
          <w:rFonts w:ascii="Times New Roman" w:hAnsi="Times New Roman"/>
          <w:noProof/>
        </w:rPr>
        <w:t xml:space="preserve">, </w:t>
      </w:r>
      <w:r w:rsidR="009D4264" w:rsidRPr="005B65DF">
        <w:rPr>
          <w:rFonts w:ascii="Times New Roman" w:hAnsi="Times New Roman"/>
          <w:i/>
          <w:iCs/>
          <w:noProof/>
        </w:rPr>
        <w:t>34</w:t>
      </w:r>
      <w:r w:rsidR="009D4264" w:rsidRPr="005B65DF">
        <w:rPr>
          <w:rFonts w:ascii="Times New Roman" w:hAnsi="Times New Roman"/>
          <w:noProof/>
        </w:rPr>
        <w:t>(4), e38-51. https://doi.org/10.1097/AUD.0b013e31827ad9d3</w:t>
      </w:r>
    </w:p>
    <w:p w14:paraId="6E9DBBD1"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Avan, P., Loth, D., Menguy, C., &amp; Teyssou, M. (1992). Hypothetical roles of middle ear muscles in the guinea-pig.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59</w:t>
      </w:r>
      <w:r w:rsidRPr="005B65DF">
        <w:rPr>
          <w:rFonts w:ascii="Times New Roman" w:hAnsi="Times New Roman"/>
          <w:noProof/>
        </w:rPr>
        <w:t>(1), 59–69. https://doi.org/10.1016/0378-5955(92)90102-S</w:t>
      </w:r>
    </w:p>
    <w:p w14:paraId="343B234F"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Borg, E., &amp; Møller, A. R. (1975). Effect of Central Depressants on the Acoustic Middle Ear Reflex in Rabbit: A method for quantitative measurements of drug effect on the CNS. </w:t>
      </w:r>
      <w:r w:rsidRPr="005B65DF">
        <w:rPr>
          <w:rFonts w:ascii="Times New Roman" w:hAnsi="Times New Roman"/>
          <w:i/>
          <w:iCs/>
          <w:noProof/>
        </w:rPr>
        <w:t>Acta Physiologica Scandinavica</w:t>
      </w:r>
      <w:r w:rsidRPr="005B65DF">
        <w:rPr>
          <w:rFonts w:ascii="Times New Roman" w:hAnsi="Times New Roman"/>
          <w:noProof/>
        </w:rPr>
        <w:t xml:space="preserve">, </w:t>
      </w:r>
      <w:r w:rsidRPr="005B65DF">
        <w:rPr>
          <w:rFonts w:ascii="Times New Roman" w:hAnsi="Times New Roman"/>
          <w:i/>
          <w:iCs/>
          <w:noProof/>
        </w:rPr>
        <w:t>94</w:t>
      </w:r>
      <w:r w:rsidRPr="005B65DF">
        <w:rPr>
          <w:rFonts w:ascii="Times New Roman" w:hAnsi="Times New Roman"/>
          <w:noProof/>
        </w:rPr>
        <w:t>(3), 327–338. https://doi.org/10.1111/j.1748-1716.1975.tb05893.x</w:t>
      </w:r>
    </w:p>
    <w:p w14:paraId="5BC65435"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Burdick, C. K. (1979). Threshold shifts in chinchillas exposed to octave-band noise centered at 125 Hz for three days. </w:t>
      </w:r>
      <w:r w:rsidRPr="005B65DF">
        <w:rPr>
          <w:rFonts w:ascii="Times New Roman" w:hAnsi="Times New Roman"/>
          <w:i/>
          <w:iCs/>
          <w:noProof/>
        </w:rPr>
        <w:t>The Journal of the Acoustical Society of America</w:t>
      </w:r>
      <w:r w:rsidRPr="005B65DF">
        <w:rPr>
          <w:rFonts w:ascii="Times New Roman" w:hAnsi="Times New Roman"/>
          <w:noProof/>
        </w:rPr>
        <w:t xml:space="preserve">, </w:t>
      </w:r>
      <w:r w:rsidRPr="005B65DF">
        <w:rPr>
          <w:rFonts w:ascii="Times New Roman" w:hAnsi="Times New Roman"/>
          <w:i/>
          <w:iCs/>
          <w:noProof/>
        </w:rPr>
        <w:t>66</w:t>
      </w:r>
      <w:r w:rsidRPr="005B65DF">
        <w:rPr>
          <w:rFonts w:ascii="Times New Roman" w:hAnsi="Times New Roman"/>
          <w:noProof/>
        </w:rPr>
        <w:t>(S1), S62. https://doi.org/10.1121/1.2017870</w:t>
      </w:r>
    </w:p>
    <w:p w14:paraId="62994C2B"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Campo, P., Venet, T., Thomas, A., Cour, C., Castel, B., Nunge, H., &amp; Cosnier, F. (2013). Inhaled toluene can modulate the effects of anesthetics on the middle-ear acoustic reflex. </w:t>
      </w:r>
      <w:r w:rsidRPr="005B65DF">
        <w:rPr>
          <w:rFonts w:ascii="Times New Roman" w:hAnsi="Times New Roman"/>
          <w:i/>
          <w:iCs/>
          <w:noProof/>
        </w:rPr>
        <w:t>Neurotoxicology and Teratology</w:t>
      </w:r>
      <w:r w:rsidRPr="005B65DF">
        <w:rPr>
          <w:rFonts w:ascii="Times New Roman" w:hAnsi="Times New Roman"/>
          <w:noProof/>
        </w:rPr>
        <w:t xml:space="preserve">, </w:t>
      </w:r>
      <w:r w:rsidRPr="005B65DF">
        <w:rPr>
          <w:rFonts w:ascii="Times New Roman" w:hAnsi="Times New Roman"/>
          <w:i/>
          <w:iCs/>
          <w:noProof/>
        </w:rPr>
        <w:t>35</w:t>
      </w:r>
      <w:r w:rsidRPr="005B65DF">
        <w:rPr>
          <w:rFonts w:ascii="Times New Roman" w:hAnsi="Times New Roman"/>
          <w:noProof/>
        </w:rPr>
        <w:t>(1), 1–6. https://doi.org/10.1016/j.ntt.2012.11.002</w:t>
      </w:r>
    </w:p>
    <w:p w14:paraId="2E0C0270"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CDC. (2011). Severe Hearing Impairment Among Military Veterans - United States, 2010. </w:t>
      </w:r>
      <w:r w:rsidRPr="005B65DF">
        <w:rPr>
          <w:rFonts w:ascii="Times New Roman" w:hAnsi="Times New Roman"/>
          <w:i/>
          <w:iCs/>
          <w:noProof/>
        </w:rPr>
        <w:t>Morb. Mortal. Wkly. Rep.</w:t>
      </w:r>
      <w:r w:rsidRPr="005B65DF">
        <w:rPr>
          <w:rFonts w:ascii="Times New Roman" w:hAnsi="Times New Roman"/>
          <w:noProof/>
        </w:rPr>
        <w:t xml:space="preserve">, </w:t>
      </w:r>
      <w:r w:rsidRPr="005B65DF">
        <w:rPr>
          <w:rFonts w:ascii="Times New Roman" w:hAnsi="Times New Roman"/>
          <w:i/>
          <w:iCs/>
          <w:noProof/>
        </w:rPr>
        <w:t>60</w:t>
      </w:r>
      <w:r w:rsidRPr="005B65DF">
        <w:rPr>
          <w:rFonts w:ascii="Times New Roman" w:hAnsi="Times New Roman"/>
          <w:noProof/>
        </w:rPr>
        <w:t>(28), 955–958.</w:t>
      </w:r>
    </w:p>
    <w:p w14:paraId="1DC63CFC"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Chen, G.-D., Decker, B., Krishnan Muthaiah, V. P., Sheppard, A., &amp; Salvi, R. (2014). Prolonged noise exposure-induced auditory threshold shifts in rats.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317</w:t>
      </w:r>
      <w:r w:rsidRPr="005B65DF">
        <w:rPr>
          <w:rFonts w:ascii="Times New Roman" w:hAnsi="Times New Roman"/>
          <w:noProof/>
        </w:rPr>
        <w:t>, 1–8. https://doi.org/10.1016/j.heares.2014.08.004</w:t>
      </w:r>
    </w:p>
    <w:p w14:paraId="591E4F29"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Chertoff, M. E., Martz, A., Sakumura, J. T., Kamerer, A. M., &amp; Diaz, F. (2018). The Middle Ear </w:t>
      </w:r>
      <w:r w:rsidRPr="005B65DF">
        <w:rPr>
          <w:rFonts w:ascii="Times New Roman" w:hAnsi="Times New Roman"/>
          <w:noProof/>
        </w:rPr>
        <w:lastRenderedPageBreak/>
        <w:t xml:space="preserve">Muscle Reflex in Rat. </w:t>
      </w:r>
      <w:r w:rsidRPr="005B65DF">
        <w:rPr>
          <w:rFonts w:ascii="Times New Roman" w:hAnsi="Times New Roman"/>
          <w:i/>
          <w:iCs/>
          <w:noProof/>
        </w:rPr>
        <w:t>Ear and Hearing</w:t>
      </w:r>
      <w:r w:rsidRPr="005B65DF">
        <w:rPr>
          <w:rFonts w:ascii="Times New Roman" w:hAnsi="Times New Roman"/>
          <w:noProof/>
        </w:rPr>
        <w:t xml:space="preserve">, </w:t>
      </w:r>
      <w:r w:rsidRPr="005B65DF">
        <w:rPr>
          <w:rFonts w:ascii="Times New Roman" w:hAnsi="Times New Roman"/>
          <w:i/>
          <w:iCs/>
          <w:noProof/>
        </w:rPr>
        <w:t>39</w:t>
      </w:r>
      <w:r w:rsidRPr="005B65DF">
        <w:rPr>
          <w:rFonts w:ascii="Times New Roman" w:hAnsi="Times New Roman"/>
          <w:noProof/>
        </w:rPr>
        <w:t>(3), 605–614. https://doi.org/10.1097/AUD.0000000000000520</w:t>
      </w:r>
    </w:p>
    <w:p w14:paraId="7ACFB9E6"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Claussen, A. D., Fox, D. J., Yu, X. C., Meech, R. P., Verhulst, S. J., Hargrove, T. L., &amp; Campbell, K. C. M. (2013). D-methionine pre-loading reduces both noise-induced permanent threshold shift and outer hair cell loss in the chinchilla. </w:t>
      </w:r>
      <w:r w:rsidRPr="005B65DF">
        <w:rPr>
          <w:rFonts w:ascii="Times New Roman" w:hAnsi="Times New Roman"/>
          <w:i/>
          <w:iCs/>
          <w:noProof/>
        </w:rPr>
        <w:t>International Journal of Audiology</w:t>
      </w:r>
      <w:r w:rsidRPr="005B65DF">
        <w:rPr>
          <w:rFonts w:ascii="Times New Roman" w:hAnsi="Times New Roman"/>
          <w:noProof/>
        </w:rPr>
        <w:t xml:space="preserve">, </w:t>
      </w:r>
      <w:r w:rsidRPr="005B65DF">
        <w:rPr>
          <w:rFonts w:ascii="Times New Roman" w:hAnsi="Times New Roman"/>
          <w:i/>
          <w:iCs/>
          <w:noProof/>
        </w:rPr>
        <w:t>52</w:t>
      </w:r>
      <w:r w:rsidRPr="005B65DF">
        <w:rPr>
          <w:rFonts w:ascii="Times New Roman" w:hAnsi="Times New Roman"/>
          <w:noProof/>
        </w:rPr>
        <w:t>(12), 801–807. https://doi.org/10.3109/14992027.2013.840933</w:t>
      </w:r>
    </w:p>
    <w:p w14:paraId="0E1B9CE0"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Clement, R. S., Carter, P. M., &amp; Kipke, D. R. (2002). Measuring the electrical stapedius reflex with stapedius muscle electromyogram recordings. </w:t>
      </w:r>
      <w:r w:rsidRPr="005B65DF">
        <w:rPr>
          <w:rFonts w:ascii="Times New Roman" w:hAnsi="Times New Roman"/>
          <w:i/>
          <w:iCs/>
          <w:noProof/>
        </w:rPr>
        <w:t>Annals of Biomedical Engineering</w:t>
      </w:r>
      <w:r w:rsidRPr="005B65DF">
        <w:rPr>
          <w:rFonts w:ascii="Times New Roman" w:hAnsi="Times New Roman"/>
          <w:noProof/>
        </w:rPr>
        <w:t xml:space="preserve">, </w:t>
      </w:r>
      <w:r w:rsidRPr="005B65DF">
        <w:rPr>
          <w:rFonts w:ascii="Times New Roman" w:hAnsi="Times New Roman"/>
          <w:i/>
          <w:iCs/>
          <w:noProof/>
        </w:rPr>
        <w:t>30</w:t>
      </w:r>
      <w:r w:rsidRPr="005B65DF">
        <w:rPr>
          <w:rFonts w:ascii="Times New Roman" w:hAnsi="Times New Roman"/>
          <w:noProof/>
        </w:rPr>
        <w:t>(2), 169–179. https://doi.org/10.1114/1.1454132</w:t>
      </w:r>
    </w:p>
    <w:p w14:paraId="545DFBA4"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Clement, R. S., &amp; Kipke, D. R. (2004). Characteristics of stapedius muscle electromyograms elicited by cochlear implant stimulation in the rat. </w:t>
      </w:r>
      <w:r w:rsidRPr="005B65DF">
        <w:rPr>
          <w:rFonts w:ascii="Times New Roman" w:hAnsi="Times New Roman"/>
          <w:i/>
          <w:iCs/>
          <w:noProof/>
        </w:rPr>
        <w:t>Conference Proceedings : ... Annual International Conference of the IEEE Engineering in Medicine and Biology Society. IEEE Engineering in Medicine and Biology Society. Conference</w:t>
      </w:r>
      <w:r w:rsidRPr="005B65DF">
        <w:rPr>
          <w:rFonts w:ascii="Times New Roman" w:hAnsi="Times New Roman"/>
          <w:noProof/>
        </w:rPr>
        <w:t xml:space="preserve">, </w:t>
      </w:r>
      <w:r w:rsidRPr="005B65DF">
        <w:rPr>
          <w:rFonts w:ascii="Times New Roman" w:hAnsi="Times New Roman"/>
          <w:i/>
          <w:iCs/>
          <w:noProof/>
        </w:rPr>
        <w:t>6</w:t>
      </w:r>
      <w:r w:rsidRPr="005B65DF">
        <w:rPr>
          <w:rFonts w:ascii="Times New Roman" w:hAnsi="Times New Roman"/>
          <w:noProof/>
        </w:rPr>
        <w:t>, 4221–4224. https://doi.org/10.1109/IEMBS.2004.1404177</w:t>
      </w:r>
    </w:p>
    <w:p w14:paraId="348B9A3F"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Courtney, A., &amp; Courtney, M. (2015). The Complexity of Biomechanics Causing Primary Blast-Induced Traumatic Brain Injury: A Review of Potential Mechanisms. </w:t>
      </w:r>
      <w:r w:rsidRPr="005B65DF">
        <w:rPr>
          <w:rFonts w:ascii="Times New Roman" w:hAnsi="Times New Roman"/>
          <w:i/>
          <w:iCs/>
          <w:noProof/>
        </w:rPr>
        <w:t>Frontiers in Neurology</w:t>
      </w:r>
      <w:r w:rsidRPr="005B65DF">
        <w:rPr>
          <w:rFonts w:ascii="Times New Roman" w:hAnsi="Times New Roman"/>
          <w:noProof/>
        </w:rPr>
        <w:t xml:space="preserve">, </w:t>
      </w:r>
      <w:r w:rsidRPr="005B65DF">
        <w:rPr>
          <w:rFonts w:ascii="Times New Roman" w:hAnsi="Times New Roman"/>
          <w:i/>
          <w:iCs/>
          <w:noProof/>
        </w:rPr>
        <w:t>6</w:t>
      </w:r>
      <w:r w:rsidRPr="005B65DF">
        <w:rPr>
          <w:rFonts w:ascii="Times New Roman" w:hAnsi="Times New Roman"/>
          <w:noProof/>
        </w:rPr>
        <w:t>(October), 1–12. https://doi.org/10.3389/fneur.2015.00221</w:t>
      </w:r>
    </w:p>
    <w:p w14:paraId="6AA92A4B"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Daniel, E. (2007). Noise and hearing loss: A review. </w:t>
      </w:r>
      <w:r w:rsidRPr="005B65DF">
        <w:rPr>
          <w:rFonts w:ascii="Times New Roman" w:hAnsi="Times New Roman"/>
          <w:i/>
          <w:iCs/>
          <w:noProof/>
        </w:rPr>
        <w:t>Journal of School Health</w:t>
      </w:r>
      <w:r w:rsidRPr="005B65DF">
        <w:rPr>
          <w:rFonts w:ascii="Times New Roman" w:hAnsi="Times New Roman"/>
          <w:noProof/>
        </w:rPr>
        <w:t xml:space="preserve">, </w:t>
      </w:r>
      <w:r w:rsidRPr="005B65DF">
        <w:rPr>
          <w:rFonts w:ascii="Times New Roman" w:hAnsi="Times New Roman"/>
          <w:i/>
          <w:iCs/>
          <w:noProof/>
        </w:rPr>
        <w:t>77</w:t>
      </w:r>
      <w:r w:rsidRPr="005B65DF">
        <w:rPr>
          <w:rFonts w:ascii="Times New Roman" w:hAnsi="Times New Roman"/>
          <w:noProof/>
        </w:rPr>
        <w:t>(5), 225–231. https://doi.org/10.1111/j.1746-1561.2007.00197.x</w:t>
      </w:r>
    </w:p>
    <w:p w14:paraId="76C85D0E"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Davies, R. A. (2016). Audiometry and other hearing tests. In </w:t>
      </w:r>
      <w:r w:rsidRPr="005B65DF">
        <w:rPr>
          <w:rFonts w:ascii="Times New Roman" w:hAnsi="Times New Roman"/>
          <w:i/>
          <w:iCs/>
          <w:noProof/>
        </w:rPr>
        <w:t>Handbook of Clinical Neurology</w:t>
      </w:r>
      <w:r w:rsidRPr="005B65DF">
        <w:rPr>
          <w:rFonts w:ascii="Times New Roman" w:hAnsi="Times New Roman"/>
          <w:noProof/>
        </w:rPr>
        <w:t xml:space="preserve"> (1st ed., Vol. 137, pp. 157–176). Elsevier B.V. https://doi.org/10.1016/B978-0-444-63437-5.00011-X</w:t>
      </w:r>
    </w:p>
    <w:p w14:paraId="7FA6CBCE"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Djupesland, G. (1965). Electromyography of the Tympanic Muscles in Man. </w:t>
      </w:r>
      <w:r w:rsidRPr="005B65DF">
        <w:rPr>
          <w:rFonts w:ascii="Times New Roman" w:hAnsi="Times New Roman"/>
          <w:i/>
          <w:iCs/>
          <w:noProof/>
        </w:rPr>
        <w:t xml:space="preserve">International </w:t>
      </w:r>
      <w:r w:rsidRPr="005B65DF">
        <w:rPr>
          <w:rFonts w:ascii="Times New Roman" w:hAnsi="Times New Roman"/>
          <w:i/>
          <w:iCs/>
          <w:noProof/>
        </w:rPr>
        <w:lastRenderedPageBreak/>
        <w:t>Journal of Audiology</w:t>
      </w:r>
      <w:r w:rsidRPr="005B65DF">
        <w:rPr>
          <w:rFonts w:ascii="Times New Roman" w:hAnsi="Times New Roman"/>
          <w:noProof/>
        </w:rPr>
        <w:t xml:space="preserve">, </w:t>
      </w:r>
      <w:r w:rsidRPr="005B65DF">
        <w:rPr>
          <w:rFonts w:ascii="Times New Roman" w:hAnsi="Times New Roman"/>
          <w:i/>
          <w:iCs/>
          <w:noProof/>
        </w:rPr>
        <w:t>4</w:t>
      </w:r>
      <w:r w:rsidRPr="005B65DF">
        <w:rPr>
          <w:rFonts w:ascii="Times New Roman" w:hAnsi="Times New Roman"/>
          <w:noProof/>
        </w:rPr>
        <w:t>(1), 34–41. https://doi.org/10.3109/05384916509070162</w:t>
      </w:r>
    </w:p>
    <w:p w14:paraId="3CE5A96E"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Duarte, A. S. M., Tah, R., Ng, Y., Carvalho, G. M. De, Guimarães, A. C., Araujo, L., … Gusmão, R. J. (2015). High levels of sound pressure: acoustic reflex thresholds and auditory complaints of workers with noise exposure. </w:t>
      </w:r>
      <w:r w:rsidRPr="005B65DF">
        <w:rPr>
          <w:rFonts w:ascii="Times New Roman" w:hAnsi="Times New Roman"/>
          <w:i/>
          <w:iCs/>
          <w:noProof/>
        </w:rPr>
        <w:t>Brazilian Journal of Otorhinolaryngology</w:t>
      </w:r>
      <w:r w:rsidRPr="005B65DF">
        <w:rPr>
          <w:rFonts w:ascii="Times New Roman" w:hAnsi="Times New Roman"/>
          <w:noProof/>
        </w:rPr>
        <w:t xml:space="preserve">, </w:t>
      </w:r>
      <w:r w:rsidRPr="005B65DF">
        <w:rPr>
          <w:rFonts w:ascii="Times New Roman" w:hAnsi="Times New Roman"/>
          <w:i/>
          <w:iCs/>
          <w:noProof/>
        </w:rPr>
        <w:t>81</w:t>
      </w:r>
      <w:r w:rsidRPr="005B65DF">
        <w:rPr>
          <w:rFonts w:ascii="Times New Roman" w:hAnsi="Times New Roman"/>
          <w:noProof/>
        </w:rPr>
        <w:t>(4), 374–383. https://doi.org/10.1016/j.bjorl.2014.07.017</w:t>
      </w:r>
    </w:p>
    <w:p w14:paraId="51A1A3B9"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Dunn, D. E., Davis, R. R., Merry, C. J., &amp; Franks, J. R. (1991). Hearing loss in the chinchilla from impact and continuous noise exposure. </w:t>
      </w:r>
      <w:r w:rsidRPr="005B65DF">
        <w:rPr>
          <w:rFonts w:ascii="Times New Roman" w:hAnsi="Times New Roman"/>
          <w:i/>
          <w:iCs/>
          <w:noProof/>
        </w:rPr>
        <w:t>The Journal of the Acoustical Society of America</w:t>
      </w:r>
      <w:r w:rsidRPr="005B65DF">
        <w:rPr>
          <w:rFonts w:ascii="Times New Roman" w:hAnsi="Times New Roman"/>
          <w:noProof/>
        </w:rPr>
        <w:t xml:space="preserve">, </w:t>
      </w:r>
      <w:r w:rsidRPr="005B65DF">
        <w:rPr>
          <w:rFonts w:ascii="Times New Roman" w:hAnsi="Times New Roman"/>
          <w:i/>
          <w:iCs/>
          <w:noProof/>
        </w:rPr>
        <w:t>90</w:t>
      </w:r>
      <w:r w:rsidRPr="005B65DF">
        <w:rPr>
          <w:rFonts w:ascii="Times New Roman" w:hAnsi="Times New Roman"/>
          <w:noProof/>
        </w:rPr>
        <w:t>(4 Pt 1), 1979–1985. https://doi.org/10.1121/1.401677</w:t>
      </w:r>
    </w:p>
    <w:p w14:paraId="4112C3FA"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Eliasson, S., &amp; Gisselsson, L. (1955). Electromyographic studies of the middle ear muscles of the cat. </w:t>
      </w:r>
      <w:r w:rsidRPr="005B65DF">
        <w:rPr>
          <w:rFonts w:ascii="Times New Roman" w:hAnsi="Times New Roman"/>
          <w:i/>
          <w:iCs/>
          <w:noProof/>
        </w:rPr>
        <w:t>Electroencephalography and Clinical Neurophysiology</w:t>
      </w:r>
      <w:r w:rsidRPr="005B65DF">
        <w:rPr>
          <w:rFonts w:ascii="Times New Roman" w:hAnsi="Times New Roman"/>
          <w:noProof/>
        </w:rPr>
        <w:t xml:space="preserve">, </w:t>
      </w:r>
      <w:r w:rsidRPr="005B65DF">
        <w:rPr>
          <w:rFonts w:ascii="Times New Roman" w:hAnsi="Times New Roman"/>
          <w:i/>
          <w:iCs/>
          <w:noProof/>
        </w:rPr>
        <w:t>7</w:t>
      </w:r>
      <w:r w:rsidRPr="005B65DF">
        <w:rPr>
          <w:rFonts w:ascii="Times New Roman" w:hAnsi="Times New Roman"/>
          <w:noProof/>
        </w:rPr>
        <w:t>(3), 399–406. https://doi.org/10.1016/0013-4694(55)90013-4</w:t>
      </w:r>
    </w:p>
    <w:p w14:paraId="07F52A83"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Engles, W. G., Wang, X., &amp; Gan, R. Z. (2017). Dynamic Properties of Human Tympanic Membrane After Exposure to Blast Waves. </w:t>
      </w:r>
      <w:r w:rsidRPr="005B65DF">
        <w:rPr>
          <w:rFonts w:ascii="Times New Roman" w:hAnsi="Times New Roman"/>
          <w:i/>
          <w:iCs/>
          <w:noProof/>
        </w:rPr>
        <w:t>Annals of Biomedical Engineering</w:t>
      </w:r>
      <w:r w:rsidRPr="005B65DF">
        <w:rPr>
          <w:rFonts w:ascii="Times New Roman" w:hAnsi="Times New Roman"/>
          <w:noProof/>
        </w:rPr>
        <w:t xml:space="preserve">, </w:t>
      </w:r>
      <w:r w:rsidRPr="005B65DF">
        <w:rPr>
          <w:rFonts w:ascii="Times New Roman" w:hAnsi="Times New Roman"/>
          <w:i/>
          <w:iCs/>
          <w:noProof/>
        </w:rPr>
        <w:t>45</w:t>
      </w:r>
      <w:r w:rsidRPr="005B65DF">
        <w:rPr>
          <w:rFonts w:ascii="Times New Roman" w:hAnsi="Times New Roman"/>
          <w:noProof/>
        </w:rPr>
        <w:t>(10), 2383–2394. https://doi.org/10.1007/s10439-017-1870-0</w:t>
      </w:r>
    </w:p>
    <w:p w14:paraId="636C8B26"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Fay, R. R. (1989). Hearing in Vertebrates: A Psychophysics Databook. </w:t>
      </w:r>
      <w:r w:rsidRPr="005B65DF">
        <w:rPr>
          <w:rFonts w:ascii="Times New Roman" w:hAnsi="Times New Roman"/>
          <w:i/>
          <w:iCs/>
          <w:noProof/>
        </w:rPr>
        <w:t>The Journal of the Acoustical Society of America</w:t>
      </w:r>
      <w:r w:rsidRPr="005B65DF">
        <w:rPr>
          <w:rFonts w:ascii="Times New Roman" w:hAnsi="Times New Roman"/>
          <w:noProof/>
        </w:rPr>
        <w:t xml:space="preserve">, </w:t>
      </w:r>
      <w:r w:rsidRPr="005B65DF">
        <w:rPr>
          <w:rFonts w:ascii="Times New Roman" w:hAnsi="Times New Roman"/>
          <w:i/>
          <w:iCs/>
          <w:noProof/>
        </w:rPr>
        <w:t>86</w:t>
      </w:r>
      <w:r w:rsidRPr="005B65DF">
        <w:rPr>
          <w:rFonts w:ascii="Times New Roman" w:hAnsi="Times New Roman"/>
          <w:noProof/>
        </w:rPr>
        <w:t>(5), 2044. https://doi.org/10.1121/1.398550</w:t>
      </w:r>
    </w:p>
    <w:p w14:paraId="56232D69"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Ferraro, J. a, Melnick, W., &amp; Gerhardt, K. R. (1981). Effects of prolonged noise exposure in chinchillas with severed middle ear muscles. </w:t>
      </w:r>
      <w:r w:rsidRPr="005B65DF">
        <w:rPr>
          <w:rFonts w:ascii="Times New Roman" w:hAnsi="Times New Roman"/>
          <w:i/>
          <w:iCs/>
          <w:noProof/>
        </w:rPr>
        <w:t>American Journal of Otolaryngology</w:t>
      </w:r>
      <w:r w:rsidRPr="005B65DF">
        <w:rPr>
          <w:rFonts w:ascii="Times New Roman" w:hAnsi="Times New Roman"/>
          <w:noProof/>
        </w:rPr>
        <w:t xml:space="preserve">, </w:t>
      </w:r>
      <w:r w:rsidRPr="005B65DF">
        <w:rPr>
          <w:rFonts w:ascii="Times New Roman" w:hAnsi="Times New Roman"/>
          <w:i/>
          <w:iCs/>
          <w:noProof/>
        </w:rPr>
        <w:t>2</w:t>
      </w:r>
      <w:r w:rsidRPr="005B65DF">
        <w:rPr>
          <w:rFonts w:ascii="Times New Roman" w:hAnsi="Times New Roman"/>
          <w:noProof/>
        </w:rPr>
        <w:t>(1), 13–18. https://doi.org/10.1016/S0196-0709(81)80003-8</w:t>
      </w:r>
    </w:p>
    <w:p w14:paraId="1E91F19C"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Fuchs, J. C., &amp; Tucker, A. S. (2015). </w:t>
      </w:r>
      <w:r w:rsidRPr="005B65DF">
        <w:rPr>
          <w:rFonts w:ascii="Times New Roman" w:hAnsi="Times New Roman"/>
          <w:i/>
          <w:iCs/>
          <w:noProof/>
        </w:rPr>
        <w:t>Development and Integration of the Ear</w:t>
      </w:r>
      <w:r w:rsidRPr="005B65DF">
        <w:rPr>
          <w:rFonts w:ascii="Times New Roman" w:hAnsi="Times New Roman"/>
          <w:noProof/>
        </w:rPr>
        <w:t xml:space="preserve">. </w:t>
      </w:r>
      <w:r w:rsidRPr="005B65DF">
        <w:rPr>
          <w:rFonts w:ascii="Times New Roman" w:hAnsi="Times New Roman"/>
          <w:i/>
          <w:iCs/>
          <w:noProof/>
        </w:rPr>
        <w:t>Craniofacial Development</w:t>
      </w:r>
      <w:r w:rsidRPr="005B65DF">
        <w:rPr>
          <w:rFonts w:ascii="Times New Roman" w:hAnsi="Times New Roman"/>
          <w:noProof/>
        </w:rPr>
        <w:t xml:space="preserve"> (1st ed., Vol. 115). Elsevier Inc. https://doi.org/10.1016/bs.ctdb.2015.07.007</w:t>
      </w:r>
    </w:p>
    <w:p w14:paraId="5FEEA6B1"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Fung, Y. C. (1993). Chapter 9: Skeletal Muscle. In </w:t>
      </w:r>
      <w:r w:rsidRPr="005B65DF">
        <w:rPr>
          <w:rFonts w:ascii="Times New Roman" w:hAnsi="Times New Roman"/>
          <w:i/>
          <w:iCs/>
          <w:noProof/>
        </w:rPr>
        <w:t>Biomechanics: Mechanical Properties of Living Tissues</w:t>
      </w:r>
      <w:r w:rsidRPr="005B65DF">
        <w:rPr>
          <w:rFonts w:ascii="Times New Roman" w:hAnsi="Times New Roman"/>
          <w:noProof/>
        </w:rPr>
        <w:t xml:space="preserve"> (Second, pp. 392–426). New York: Springer-Verlag.</w:t>
      </w:r>
    </w:p>
    <w:p w14:paraId="617DB6E8"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lastRenderedPageBreak/>
        <w:t xml:space="preserve">Gan, R. Z., Nakmali, D., Ji, X. D., Leckness, K., &amp; Yokell, Z. (2016). Mechanical damage of tympanic membrane in relation to impulse pressure waveform – A study in chinchillas.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340</w:t>
      </w:r>
      <w:r w:rsidRPr="005B65DF">
        <w:rPr>
          <w:rFonts w:ascii="Times New Roman" w:hAnsi="Times New Roman"/>
          <w:noProof/>
        </w:rPr>
        <w:t>, 25–34. https://doi.org/10.1016/j.heares.2016.01.004</w:t>
      </w:r>
    </w:p>
    <w:p w14:paraId="2EDEBD9F"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Gerhardt, K. J., Melnick, W., &amp; Ferraro, J. A. (1979). Reflex Threshold Shift in Chinchillas Following a Prolonged Exposure to Noise. </w:t>
      </w:r>
      <w:r w:rsidRPr="005B65DF">
        <w:rPr>
          <w:rFonts w:ascii="Times New Roman" w:hAnsi="Times New Roman"/>
          <w:i/>
          <w:iCs/>
          <w:noProof/>
        </w:rPr>
        <w:t>Journal of Speech Language and Hearing Research</w:t>
      </w:r>
      <w:r w:rsidRPr="005B65DF">
        <w:rPr>
          <w:rFonts w:ascii="Times New Roman" w:hAnsi="Times New Roman"/>
          <w:noProof/>
        </w:rPr>
        <w:t xml:space="preserve">, </w:t>
      </w:r>
      <w:r w:rsidRPr="005B65DF">
        <w:rPr>
          <w:rFonts w:ascii="Times New Roman" w:hAnsi="Times New Roman"/>
          <w:i/>
          <w:iCs/>
          <w:noProof/>
        </w:rPr>
        <w:t>22</w:t>
      </w:r>
      <w:r w:rsidRPr="005B65DF">
        <w:rPr>
          <w:rFonts w:ascii="Times New Roman" w:hAnsi="Times New Roman"/>
          <w:noProof/>
        </w:rPr>
        <w:t>(1), 63. https://doi.org/10.1044/jshr.2201.63</w:t>
      </w:r>
    </w:p>
    <w:p w14:paraId="321D4059"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Ghonim, M. R., Shabana, Y. K., Ashraf, B., &amp; Salem, M. A. (2015). Traumatic Ossicular Disruption with Intact Tympanic Membrane: Treatment Modalities in 42 patients. </w:t>
      </w:r>
      <w:r w:rsidRPr="005B65DF">
        <w:rPr>
          <w:rFonts w:ascii="Times New Roman" w:hAnsi="Times New Roman"/>
          <w:i/>
          <w:iCs/>
          <w:noProof/>
        </w:rPr>
        <w:t>Clinical Otolaryngology</w:t>
      </w:r>
      <w:r w:rsidRPr="005B65DF">
        <w:rPr>
          <w:rFonts w:ascii="Times New Roman" w:hAnsi="Times New Roman"/>
          <w:noProof/>
        </w:rPr>
        <w:t>, n/a-n/a. https://doi.org/10.1111/coa.12461</w:t>
      </w:r>
    </w:p>
    <w:p w14:paraId="273A6A07"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Gottlieb, G. L., &amp; Agarwal, G. C. (1970). Filtering of electromyographic signals. </w:t>
      </w:r>
      <w:r w:rsidRPr="005B65DF">
        <w:rPr>
          <w:rFonts w:ascii="Times New Roman" w:hAnsi="Times New Roman"/>
          <w:i/>
          <w:iCs/>
          <w:noProof/>
        </w:rPr>
        <w:t>American Journal of Physical Medicine</w:t>
      </w:r>
      <w:r w:rsidRPr="005B65DF">
        <w:rPr>
          <w:rFonts w:ascii="Times New Roman" w:hAnsi="Times New Roman"/>
          <w:noProof/>
        </w:rPr>
        <w:t>.</w:t>
      </w:r>
    </w:p>
    <w:p w14:paraId="07026444"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Guinan, J. J., &amp; McCue, M. P. (1987). Asymmetries in the acoustic reflexes of the cat stapedius muscle.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26</w:t>
      </w:r>
      <w:r w:rsidRPr="005B65DF">
        <w:rPr>
          <w:rFonts w:ascii="Times New Roman" w:hAnsi="Times New Roman"/>
          <w:noProof/>
        </w:rPr>
        <w:t>(1), 1–10. https://doi.org/10.1016/0378-5955(87)90031-1</w:t>
      </w:r>
    </w:p>
    <w:p w14:paraId="01CD3064"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Heimbs, S., Ritzer, J., &amp; Markmiller, J. (2015). A Numerical Method for Blast Shock Wave Analysis of Missile Launch from Aircraft. </w:t>
      </w:r>
      <w:r w:rsidRPr="005B65DF">
        <w:rPr>
          <w:rFonts w:ascii="Times New Roman" w:hAnsi="Times New Roman"/>
          <w:i/>
          <w:iCs/>
          <w:noProof/>
        </w:rPr>
        <w:t>International Journal of Aerospace Engineering</w:t>
      </w:r>
      <w:r w:rsidRPr="005B65DF">
        <w:rPr>
          <w:rFonts w:ascii="Times New Roman" w:hAnsi="Times New Roman"/>
          <w:noProof/>
        </w:rPr>
        <w:t xml:space="preserve">, </w:t>
      </w:r>
      <w:r w:rsidRPr="005B65DF">
        <w:rPr>
          <w:rFonts w:ascii="Times New Roman" w:hAnsi="Times New Roman"/>
          <w:i/>
          <w:iCs/>
          <w:noProof/>
        </w:rPr>
        <w:t>2015</w:t>
      </w:r>
      <w:r w:rsidRPr="005B65DF">
        <w:rPr>
          <w:rFonts w:ascii="Times New Roman" w:hAnsi="Times New Roman"/>
          <w:noProof/>
        </w:rPr>
        <w:t>(May), 1–8. https://doi.org/10.1155/2015/897213</w:t>
      </w:r>
    </w:p>
    <w:p w14:paraId="37C61BD5"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Henin, S., Long, G. R., &amp; Thompson, S. (2014). Wideband detection of middle ear muscle activation using swept-tone distortion product otoacoustic emissions. </w:t>
      </w:r>
      <w:r w:rsidRPr="005B65DF">
        <w:rPr>
          <w:rFonts w:ascii="Times New Roman" w:hAnsi="Times New Roman"/>
          <w:i/>
          <w:iCs/>
          <w:noProof/>
        </w:rPr>
        <w:t>The Journal of the Acoustical Society of America</w:t>
      </w:r>
      <w:r w:rsidRPr="005B65DF">
        <w:rPr>
          <w:rFonts w:ascii="Times New Roman" w:hAnsi="Times New Roman"/>
          <w:noProof/>
        </w:rPr>
        <w:t xml:space="preserve">, </w:t>
      </w:r>
      <w:r w:rsidRPr="005B65DF">
        <w:rPr>
          <w:rFonts w:ascii="Times New Roman" w:hAnsi="Times New Roman"/>
          <w:i/>
          <w:iCs/>
          <w:noProof/>
        </w:rPr>
        <w:t>136</w:t>
      </w:r>
      <w:r w:rsidRPr="005B65DF">
        <w:rPr>
          <w:rFonts w:ascii="Times New Roman" w:hAnsi="Times New Roman"/>
          <w:noProof/>
        </w:rPr>
        <w:t>(1), 272–283. https://doi.org/10.1121/1.4883361</w:t>
      </w:r>
    </w:p>
    <w:p w14:paraId="46269A5D"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Hunter, L. L., Ries, D. T., Schlauch, R. S., Levine, S. C., &amp; Ward, W. D. (1999). Safety and Clinical Performance of Acoustic Reflex Tests. </w:t>
      </w:r>
      <w:r w:rsidRPr="005B65DF">
        <w:rPr>
          <w:rFonts w:ascii="Times New Roman" w:hAnsi="Times New Roman"/>
          <w:i/>
          <w:iCs/>
          <w:noProof/>
        </w:rPr>
        <w:t>Ear and Hearing</w:t>
      </w:r>
      <w:r w:rsidRPr="005B65DF">
        <w:rPr>
          <w:rFonts w:ascii="Times New Roman" w:hAnsi="Times New Roman"/>
          <w:noProof/>
        </w:rPr>
        <w:t xml:space="preserve">, </w:t>
      </w:r>
      <w:r w:rsidRPr="005B65DF">
        <w:rPr>
          <w:rFonts w:ascii="Times New Roman" w:hAnsi="Times New Roman"/>
          <w:i/>
          <w:iCs/>
          <w:noProof/>
        </w:rPr>
        <w:t>20</w:t>
      </w:r>
      <w:r w:rsidRPr="005B65DF">
        <w:rPr>
          <w:rFonts w:ascii="Times New Roman" w:hAnsi="Times New Roman"/>
          <w:noProof/>
        </w:rPr>
        <w:t>(6), 506–514. https://doi.org/10613388</w:t>
      </w:r>
    </w:p>
    <w:p w14:paraId="51FCC66A"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Jacob-Corteletti, L. C. B., Duarte, J. L., Zucki, F., Mariotto, L. D. F., Lauris, J. R. P., &amp; </w:t>
      </w:r>
      <w:r w:rsidRPr="005B65DF">
        <w:rPr>
          <w:rFonts w:ascii="Times New Roman" w:hAnsi="Times New Roman"/>
          <w:noProof/>
        </w:rPr>
        <w:lastRenderedPageBreak/>
        <w:t xml:space="preserve">Alvarenga, K. de F. (2015). Acoustic reflex on newborns: the influence of the 226 and 1,000 Hz probes. </w:t>
      </w:r>
      <w:r w:rsidRPr="005B65DF">
        <w:rPr>
          <w:rFonts w:ascii="Times New Roman" w:hAnsi="Times New Roman"/>
          <w:i/>
          <w:iCs/>
          <w:noProof/>
        </w:rPr>
        <w:t>CoDAS</w:t>
      </w:r>
      <w:r w:rsidRPr="005B65DF">
        <w:rPr>
          <w:rFonts w:ascii="Times New Roman" w:hAnsi="Times New Roman"/>
          <w:noProof/>
        </w:rPr>
        <w:t xml:space="preserve">, </w:t>
      </w:r>
      <w:r w:rsidRPr="005B65DF">
        <w:rPr>
          <w:rFonts w:ascii="Times New Roman" w:hAnsi="Times New Roman"/>
          <w:i/>
          <w:iCs/>
          <w:noProof/>
        </w:rPr>
        <w:t>27</w:t>
      </w:r>
      <w:r w:rsidRPr="005B65DF">
        <w:rPr>
          <w:rFonts w:ascii="Times New Roman" w:hAnsi="Times New Roman"/>
          <w:noProof/>
        </w:rPr>
        <w:t>(3), 223–229. https://doi.org/10.1590/2317-1782/20152014117</w:t>
      </w:r>
    </w:p>
    <w:p w14:paraId="6954A82C"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Keppler, H., Dhooge, I., &amp; Vinck, B. (2014). Hearing in young adults . Part II : The effects of recreational noise exposure, </w:t>
      </w:r>
      <w:r w:rsidRPr="005B65DF">
        <w:rPr>
          <w:rFonts w:ascii="Times New Roman" w:hAnsi="Times New Roman"/>
          <w:i/>
          <w:iCs/>
          <w:noProof/>
        </w:rPr>
        <w:t>17</w:t>
      </w:r>
      <w:r w:rsidRPr="005B65DF">
        <w:rPr>
          <w:rFonts w:ascii="Times New Roman" w:hAnsi="Times New Roman"/>
          <w:noProof/>
        </w:rPr>
        <w:t>(78). https://doi.org/10.4103/1463-</w:t>
      </w:r>
    </w:p>
    <w:p w14:paraId="6FC48DC0"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Kobosko, J., Jedrzejczak, W. W., Pilka, E., Pankowska, A., &amp; Skarzynski, H. (2015). Satisfaction With Cochlear Implants in Postlingually Deaf Adults and Its Nonaudiological Predictors: Psychological Distress, Coping Strategies, and Self-Esteem. </w:t>
      </w:r>
      <w:r w:rsidRPr="005B65DF">
        <w:rPr>
          <w:rFonts w:ascii="Times New Roman" w:hAnsi="Times New Roman"/>
          <w:i/>
          <w:iCs/>
          <w:noProof/>
        </w:rPr>
        <w:t>Ear and Hearing</w:t>
      </w:r>
      <w:r w:rsidRPr="005B65DF">
        <w:rPr>
          <w:rFonts w:ascii="Times New Roman" w:hAnsi="Times New Roman"/>
          <w:noProof/>
        </w:rPr>
        <w:t>. https://doi.org/10.1097/AUD.0000000000000179</w:t>
      </w:r>
    </w:p>
    <w:p w14:paraId="627F02EC"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Leckness, K., Nakmali, D., &amp; Gan, R. Z. (2018). Computational Modeling of Blast Wave Transmission Through Human Ear. </w:t>
      </w:r>
      <w:r w:rsidRPr="005B65DF">
        <w:rPr>
          <w:rFonts w:ascii="Times New Roman" w:hAnsi="Times New Roman"/>
          <w:i/>
          <w:iCs/>
          <w:noProof/>
        </w:rPr>
        <w:t>Military Medicine</w:t>
      </w:r>
      <w:r w:rsidRPr="005B65DF">
        <w:rPr>
          <w:rFonts w:ascii="Times New Roman" w:hAnsi="Times New Roman"/>
          <w:noProof/>
        </w:rPr>
        <w:t xml:space="preserve">, </w:t>
      </w:r>
      <w:r w:rsidRPr="005B65DF">
        <w:rPr>
          <w:rFonts w:ascii="Times New Roman" w:hAnsi="Times New Roman"/>
          <w:i/>
          <w:iCs/>
          <w:noProof/>
        </w:rPr>
        <w:t>183</w:t>
      </w:r>
      <w:r w:rsidRPr="005B65DF">
        <w:rPr>
          <w:rFonts w:ascii="Times New Roman" w:hAnsi="Times New Roman"/>
          <w:noProof/>
        </w:rPr>
        <w:t>, 262–268. https://doi.org/10.1093/milmed/usx226</w:t>
      </w:r>
    </w:p>
    <w:p w14:paraId="3DA00175"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Lima, J. P., Ariga, S., Velasco, I., &amp; Schochat, E. (2012). Effect of the ketamine/xylazine anesthetic on the auditory brainstem response of adult gerbils. </w:t>
      </w:r>
      <w:r w:rsidRPr="005B65DF">
        <w:rPr>
          <w:rFonts w:ascii="Times New Roman" w:hAnsi="Times New Roman"/>
          <w:i/>
          <w:iCs/>
          <w:noProof/>
        </w:rPr>
        <w:t>Brazilian Journal of Medical and Biological Research</w:t>
      </w:r>
      <w:r w:rsidRPr="005B65DF">
        <w:rPr>
          <w:rFonts w:ascii="Times New Roman" w:hAnsi="Times New Roman"/>
          <w:noProof/>
        </w:rPr>
        <w:t xml:space="preserve">, </w:t>
      </w:r>
      <w:r w:rsidRPr="005B65DF">
        <w:rPr>
          <w:rFonts w:ascii="Times New Roman" w:hAnsi="Times New Roman"/>
          <w:i/>
          <w:iCs/>
          <w:noProof/>
        </w:rPr>
        <w:t>45</w:t>
      </w:r>
      <w:r w:rsidRPr="005B65DF">
        <w:rPr>
          <w:rFonts w:ascii="Times New Roman" w:hAnsi="Times New Roman"/>
          <w:noProof/>
        </w:rPr>
        <w:t>(12), 1244–1247. https://doi.org/10.1590/S0100-879X2012007500144</w:t>
      </w:r>
    </w:p>
    <w:p w14:paraId="3E64CAA8"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Lou, Z., Lou, Z., Tang, Y., &amp; Xiao, J. (2016). The effect of ofloxacin otic drops on the regeneration of human traumatic tympanic membrane perforations. </w:t>
      </w:r>
      <w:r w:rsidRPr="005B65DF">
        <w:rPr>
          <w:rFonts w:ascii="Times New Roman" w:hAnsi="Times New Roman"/>
          <w:i/>
          <w:iCs/>
          <w:noProof/>
        </w:rPr>
        <w:t>Clinical Otolaryngology</w:t>
      </w:r>
      <w:r w:rsidRPr="005B65DF">
        <w:rPr>
          <w:rFonts w:ascii="Times New Roman" w:hAnsi="Times New Roman"/>
          <w:noProof/>
        </w:rPr>
        <w:t xml:space="preserve">, </w:t>
      </w:r>
      <w:r w:rsidRPr="005B65DF">
        <w:rPr>
          <w:rFonts w:ascii="Times New Roman" w:hAnsi="Times New Roman"/>
          <w:i/>
          <w:iCs/>
          <w:noProof/>
        </w:rPr>
        <w:t>41</w:t>
      </w:r>
      <w:r w:rsidRPr="005B65DF">
        <w:rPr>
          <w:rFonts w:ascii="Times New Roman" w:hAnsi="Times New Roman"/>
          <w:noProof/>
        </w:rPr>
        <w:t>(5), 564–570. https://doi.org/10.1111/coa.12564</w:t>
      </w:r>
    </w:p>
    <w:p w14:paraId="3BBF711D"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Mason, M. J. (2013). Of mice, moles and guinea pigs: Functional morphology of the middle ear in living mammals.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301</w:t>
      </w:r>
      <w:r w:rsidRPr="005B65DF">
        <w:rPr>
          <w:rFonts w:ascii="Times New Roman" w:hAnsi="Times New Roman"/>
          <w:noProof/>
        </w:rPr>
        <w:t>, 4–18. https://doi.org/10.1016/j.heares.2012.10.004</w:t>
      </w:r>
    </w:p>
    <w:p w14:paraId="3A633675"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McGregor, K. D., Flamme, G. A., Tasko, S. M., Deiters, K. K., Ahroon, W. A., Themann, C. L., &amp; Murphy, W. J. (2018). Acoustic reflexes are common but not pervasive: evidence using a </w:t>
      </w:r>
      <w:r w:rsidRPr="005B65DF">
        <w:rPr>
          <w:rFonts w:ascii="Times New Roman" w:hAnsi="Times New Roman"/>
          <w:noProof/>
        </w:rPr>
        <w:lastRenderedPageBreak/>
        <w:t xml:space="preserve">diagnostic middle ear analyser. </w:t>
      </w:r>
      <w:r w:rsidRPr="005B65DF">
        <w:rPr>
          <w:rFonts w:ascii="Times New Roman" w:hAnsi="Times New Roman"/>
          <w:i/>
          <w:iCs/>
          <w:noProof/>
        </w:rPr>
        <w:t>International Journal of Audiology</w:t>
      </w:r>
      <w:r w:rsidRPr="005B65DF">
        <w:rPr>
          <w:rFonts w:ascii="Times New Roman" w:hAnsi="Times New Roman"/>
          <w:noProof/>
        </w:rPr>
        <w:t xml:space="preserve">, </w:t>
      </w:r>
      <w:r w:rsidRPr="005B65DF">
        <w:rPr>
          <w:rFonts w:ascii="Times New Roman" w:hAnsi="Times New Roman"/>
          <w:i/>
          <w:iCs/>
          <w:noProof/>
        </w:rPr>
        <w:t>57</w:t>
      </w:r>
      <w:r w:rsidRPr="005B65DF">
        <w:rPr>
          <w:rFonts w:ascii="Times New Roman" w:hAnsi="Times New Roman"/>
          <w:noProof/>
        </w:rPr>
        <w:t>(February), S42–S50. https://doi.org/10.1080/14992027.2017.1416189</w:t>
      </w:r>
    </w:p>
    <w:p w14:paraId="0B2D06F1"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Millard, P. (2008). Chapter 6: Anaesthetic Procedures. In V. Aspinall (Ed.), </w:t>
      </w:r>
      <w:r w:rsidRPr="005B65DF">
        <w:rPr>
          <w:rFonts w:ascii="Times New Roman" w:hAnsi="Times New Roman"/>
          <w:i/>
          <w:iCs/>
          <w:noProof/>
        </w:rPr>
        <w:t>Clinical Procedures in Veterinary Nursing</w:t>
      </w:r>
      <w:r w:rsidRPr="005B65DF">
        <w:rPr>
          <w:rFonts w:ascii="Times New Roman" w:hAnsi="Times New Roman"/>
          <w:noProof/>
        </w:rPr>
        <w:t xml:space="preserve"> (Second, pp. 105–114). Elsevier Ltd.</w:t>
      </w:r>
    </w:p>
    <w:p w14:paraId="596FF642"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Morgan, D. E., Gilman, S., &amp; Dirks, D. D. (1977). Temporal integration at the ’’threshold’’ of the acoustic reflex. </w:t>
      </w:r>
      <w:r w:rsidRPr="005B65DF">
        <w:rPr>
          <w:rFonts w:ascii="Times New Roman" w:hAnsi="Times New Roman"/>
          <w:i/>
          <w:iCs/>
          <w:noProof/>
        </w:rPr>
        <w:t>The Journal of the Acoustical Society of America</w:t>
      </w:r>
      <w:r w:rsidRPr="005B65DF">
        <w:rPr>
          <w:rFonts w:ascii="Times New Roman" w:hAnsi="Times New Roman"/>
          <w:noProof/>
        </w:rPr>
        <w:t xml:space="preserve">, </w:t>
      </w:r>
      <w:r w:rsidRPr="005B65DF">
        <w:rPr>
          <w:rFonts w:ascii="Times New Roman" w:hAnsi="Times New Roman"/>
          <w:i/>
          <w:iCs/>
          <w:noProof/>
        </w:rPr>
        <w:t>62</w:t>
      </w:r>
      <w:r w:rsidRPr="005B65DF">
        <w:rPr>
          <w:rFonts w:ascii="Times New Roman" w:hAnsi="Times New Roman"/>
          <w:noProof/>
        </w:rPr>
        <w:t>(1), 168–176. https://doi.org/10.1121/1.381499</w:t>
      </w:r>
    </w:p>
    <w:p w14:paraId="37473059"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Moulin, A., Collet, L., &amp; Duclaux, R. (1993). Contralateral auditory stimulation alters acoustic distortion products in humans.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65</w:t>
      </w:r>
      <w:r w:rsidRPr="005B65DF">
        <w:rPr>
          <w:rFonts w:ascii="Times New Roman" w:hAnsi="Times New Roman"/>
          <w:noProof/>
        </w:rPr>
        <w:t>(1–2), 193–210. https://doi.org/10.1016/0378-5955(93)90213-K</w:t>
      </w:r>
    </w:p>
    <w:p w14:paraId="41168F2A"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Mukerji, S., Windsor, A. M., &amp; Lee, D. J. (2010). Auditory Brainstem Circuits That Mediate the Middle Ear Muscle Reflex. </w:t>
      </w:r>
      <w:r w:rsidRPr="005B65DF">
        <w:rPr>
          <w:rFonts w:ascii="Times New Roman" w:hAnsi="Times New Roman"/>
          <w:i/>
          <w:iCs/>
          <w:noProof/>
        </w:rPr>
        <w:t>Trends in Amplification</w:t>
      </w:r>
      <w:r w:rsidRPr="005B65DF">
        <w:rPr>
          <w:rFonts w:ascii="Times New Roman" w:hAnsi="Times New Roman"/>
          <w:noProof/>
        </w:rPr>
        <w:t xml:space="preserve">, </w:t>
      </w:r>
      <w:r w:rsidRPr="005B65DF">
        <w:rPr>
          <w:rFonts w:ascii="Times New Roman" w:hAnsi="Times New Roman"/>
          <w:i/>
          <w:iCs/>
          <w:noProof/>
        </w:rPr>
        <w:t>14</w:t>
      </w:r>
      <w:r w:rsidRPr="005B65DF">
        <w:rPr>
          <w:rFonts w:ascii="Times New Roman" w:hAnsi="Times New Roman"/>
          <w:noProof/>
        </w:rPr>
        <w:t>(3), 170–191. https://doi.org/10.1177/1084713810381771</w:t>
      </w:r>
    </w:p>
    <w:p w14:paraId="197F0704"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Murata, K., Ito, S., Horikawa, J., &amp; Minami, S. (1986). The acoustic middle ear muscle reflex in albino rats.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23</w:t>
      </w:r>
      <w:r w:rsidRPr="005B65DF">
        <w:rPr>
          <w:rFonts w:ascii="Times New Roman" w:hAnsi="Times New Roman"/>
          <w:noProof/>
        </w:rPr>
        <w:t>(2), 169–183. https://doi.org/10.1016/0378-5955(86)90014-6</w:t>
      </w:r>
    </w:p>
    <w:p w14:paraId="393CE63E"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Niemensivu, R., Manchaiah, V., Roine, R. P., Kentala, E., &amp; Sintonen, H. (2015). Health-related quality of life in adults with hearing impairment before and after hearing-aid rehabilitation in Finland. </w:t>
      </w:r>
      <w:r w:rsidRPr="005B65DF">
        <w:rPr>
          <w:rFonts w:ascii="Times New Roman" w:hAnsi="Times New Roman"/>
          <w:i/>
          <w:iCs/>
          <w:noProof/>
        </w:rPr>
        <w:t>International Journal of Audiology</w:t>
      </w:r>
      <w:r w:rsidRPr="005B65DF">
        <w:rPr>
          <w:rFonts w:ascii="Times New Roman" w:hAnsi="Times New Roman"/>
          <w:noProof/>
        </w:rPr>
        <w:t xml:space="preserve">, </w:t>
      </w:r>
      <w:r w:rsidRPr="005B65DF">
        <w:rPr>
          <w:rFonts w:ascii="Times New Roman" w:hAnsi="Times New Roman"/>
          <w:i/>
          <w:iCs/>
          <w:noProof/>
        </w:rPr>
        <w:t>2027</w:t>
      </w:r>
      <w:r w:rsidRPr="005B65DF">
        <w:rPr>
          <w:rFonts w:ascii="Times New Roman" w:hAnsi="Times New Roman"/>
          <w:noProof/>
        </w:rPr>
        <w:t>(November), 1–9. https://doi.org/10.3109/14992027.2015.1077400</w:t>
      </w:r>
    </w:p>
    <w:p w14:paraId="70599E6E"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Norris, T. W., Stelmachowicz, P., Bowling, C., &amp; Taylor, D. (1974). Latency Measures of the Acoustic Reflex: Normal Versus Sensorineural. </w:t>
      </w:r>
      <w:r w:rsidRPr="005B65DF">
        <w:rPr>
          <w:rFonts w:ascii="Times New Roman" w:hAnsi="Times New Roman"/>
          <w:i/>
          <w:iCs/>
          <w:noProof/>
        </w:rPr>
        <w:t>International Journal of Audiology</w:t>
      </w:r>
      <w:r w:rsidRPr="005B65DF">
        <w:rPr>
          <w:rFonts w:ascii="Times New Roman" w:hAnsi="Times New Roman"/>
          <w:noProof/>
        </w:rPr>
        <w:t xml:space="preserve">, </w:t>
      </w:r>
      <w:r w:rsidRPr="005B65DF">
        <w:rPr>
          <w:rFonts w:ascii="Times New Roman" w:hAnsi="Times New Roman"/>
          <w:i/>
          <w:iCs/>
          <w:noProof/>
        </w:rPr>
        <w:t>13</w:t>
      </w:r>
      <w:r w:rsidRPr="005B65DF">
        <w:rPr>
          <w:rFonts w:ascii="Times New Roman" w:hAnsi="Times New Roman"/>
          <w:noProof/>
        </w:rPr>
        <w:t>(6), 464–469. https://doi.org/10.3109/00206097409071709</w:t>
      </w:r>
    </w:p>
    <w:p w14:paraId="391FCDDC"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lastRenderedPageBreak/>
        <w:t xml:space="preserve">Olusanya, B. O. (2015). Societal impact of bilirubin-induced hearing impairment in resource-limited nations. </w:t>
      </w:r>
      <w:r w:rsidRPr="005B65DF">
        <w:rPr>
          <w:rFonts w:ascii="Times New Roman" w:hAnsi="Times New Roman"/>
          <w:i/>
          <w:iCs/>
          <w:noProof/>
        </w:rPr>
        <w:t>Seminars in Fetal and Neonatal Medicine</w:t>
      </w:r>
      <w:r w:rsidRPr="005B65DF">
        <w:rPr>
          <w:rFonts w:ascii="Times New Roman" w:hAnsi="Times New Roman"/>
          <w:noProof/>
        </w:rPr>
        <w:t xml:space="preserve">, </w:t>
      </w:r>
      <w:r w:rsidRPr="005B65DF">
        <w:rPr>
          <w:rFonts w:ascii="Times New Roman" w:hAnsi="Times New Roman"/>
          <w:i/>
          <w:iCs/>
          <w:noProof/>
        </w:rPr>
        <w:t>20</w:t>
      </w:r>
      <w:r w:rsidRPr="005B65DF">
        <w:rPr>
          <w:rFonts w:ascii="Times New Roman" w:hAnsi="Times New Roman"/>
          <w:noProof/>
        </w:rPr>
        <w:t>(1), 58–63. https://doi.org/10.1016/j.siny.2014.12.009</w:t>
      </w:r>
    </w:p>
    <w:p w14:paraId="142939FB"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OSHA. (2008). Standards – 29 CFR Part 1910.95—Occupational noise exposure. </w:t>
      </w:r>
      <w:r w:rsidRPr="005B65DF">
        <w:rPr>
          <w:rFonts w:ascii="Times New Roman" w:hAnsi="Times New Roman"/>
          <w:i/>
          <w:iCs/>
          <w:noProof/>
        </w:rPr>
        <w:t>Retrieved from Https://Www.Osha.Gov/Laws-Regs/Regulations/Standardnumber/1910/1910.95</w:t>
      </w:r>
      <w:r w:rsidRPr="005B65DF">
        <w:rPr>
          <w:rFonts w:ascii="Times New Roman" w:hAnsi="Times New Roman"/>
          <w:noProof/>
        </w:rPr>
        <w:t>.</w:t>
      </w:r>
    </w:p>
    <w:p w14:paraId="0CA2097C"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Pérez-Villa, Y. E., Mena-Ramírez, M. E., Chamlati Aguirre, L. E., Mora-Magaña, I., &amp; Gutiérrez-Farfán, I. S. (2014). Diagnostic Utility of the Acoustic Reflex in Predicting Hearing in Paediatric Populations. </w:t>
      </w:r>
      <w:r w:rsidRPr="005B65DF">
        <w:rPr>
          <w:rFonts w:ascii="Times New Roman" w:hAnsi="Times New Roman"/>
          <w:i/>
          <w:iCs/>
          <w:noProof/>
        </w:rPr>
        <w:t>Acta Otorrinolaringológica Española</w:t>
      </w:r>
      <w:r w:rsidRPr="005B65DF">
        <w:rPr>
          <w:rFonts w:ascii="Times New Roman" w:hAnsi="Times New Roman"/>
          <w:noProof/>
        </w:rPr>
        <w:t xml:space="preserve">, </w:t>
      </w:r>
      <w:r w:rsidRPr="005B65DF">
        <w:rPr>
          <w:rFonts w:ascii="Times New Roman" w:hAnsi="Times New Roman"/>
          <w:i/>
          <w:iCs/>
          <w:noProof/>
        </w:rPr>
        <w:t>65</w:t>
      </w:r>
      <w:r w:rsidRPr="005B65DF">
        <w:rPr>
          <w:rFonts w:ascii="Times New Roman" w:hAnsi="Times New Roman"/>
          <w:noProof/>
        </w:rPr>
        <w:t>(6), 332–338. https://doi.org/10.1016/j.otorri.2014.02.010</w:t>
      </w:r>
    </w:p>
    <w:p w14:paraId="3F528F79"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Pilz, P. K. D., Ostwald, J., Kreiter,  a., &amp; Schnitzler, H. U. (1997). Effect of the middle ear reflex on sound transmission to the inner ear of rat.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105</w:t>
      </w:r>
      <w:r w:rsidRPr="005B65DF">
        <w:rPr>
          <w:rFonts w:ascii="Times New Roman" w:hAnsi="Times New Roman"/>
          <w:noProof/>
        </w:rPr>
        <w:t>(1–2), 171–182. https://doi.org/10.1016/S0378-5955(96)00206-7</w:t>
      </w:r>
    </w:p>
    <w:p w14:paraId="5D56DBFD"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Platt, R. S., Hajduk, E. A., Hulliger, M., &amp; Easton, P. A. (1998). A modified Bessel filter for amplitude demodulation of respiratory electromyograms. </w:t>
      </w:r>
      <w:r w:rsidRPr="005B65DF">
        <w:rPr>
          <w:rFonts w:ascii="Times New Roman" w:hAnsi="Times New Roman"/>
          <w:i/>
          <w:iCs/>
          <w:noProof/>
        </w:rPr>
        <w:t>Journal of Applied Physiology</w:t>
      </w:r>
      <w:r w:rsidRPr="005B65DF">
        <w:rPr>
          <w:rFonts w:ascii="Times New Roman" w:hAnsi="Times New Roman"/>
          <w:noProof/>
        </w:rPr>
        <w:t xml:space="preserve">, </w:t>
      </w:r>
      <w:r w:rsidRPr="005B65DF">
        <w:rPr>
          <w:rFonts w:ascii="Times New Roman" w:hAnsi="Times New Roman"/>
          <w:i/>
          <w:iCs/>
          <w:noProof/>
        </w:rPr>
        <w:t>84</w:t>
      </w:r>
      <w:r w:rsidRPr="005B65DF">
        <w:rPr>
          <w:rFonts w:ascii="Times New Roman" w:hAnsi="Times New Roman"/>
          <w:noProof/>
        </w:rPr>
        <w:t>(1), 378–388. https://doi.org/10.1152/jappl.1998.84.1.378</w:t>
      </w:r>
    </w:p>
    <w:p w14:paraId="68425A3D"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Puria, S., &amp; Steele, C. (2010). Tympanic-membrane and malleus-incus-complex co-adaptations for high-frequency hearing in mammals.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263</w:t>
      </w:r>
      <w:r w:rsidRPr="005B65DF">
        <w:rPr>
          <w:rFonts w:ascii="Times New Roman" w:hAnsi="Times New Roman"/>
          <w:noProof/>
        </w:rPr>
        <w:t>(1–2), 183–190. https://doi.org/10.1016/j.heares.2009.10.013</w:t>
      </w:r>
    </w:p>
    <w:p w14:paraId="548CD47D"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Richard Fish, Peggy J. Danneman, Marilyn Brown, A. K. (Ed.). (2011). </w:t>
      </w:r>
      <w:r w:rsidRPr="005B65DF">
        <w:rPr>
          <w:rFonts w:ascii="Times New Roman" w:hAnsi="Times New Roman"/>
          <w:i/>
          <w:iCs/>
          <w:noProof/>
        </w:rPr>
        <w:t>Anesthesia and Analgesia in Laboratory Animals</w:t>
      </w:r>
      <w:r w:rsidRPr="005B65DF">
        <w:rPr>
          <w:rFonts w:ascii="Times New Roman" w:hAnsi="Times New Roman"/>
          <w:noProof/>
        </w:rPr>
        <w:t xml:space="preserve"> (2nd ed.). Academic Press. https://doi.org/0080559832</w:t>
      </w:r>
    </w:p>
    <w:p w14:paraId="39C0A2B1"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Rosenstock, L. (1998). Criteria for a recommended standard: occupational noise exposure. </w:t>
      </w:r>
      <w:r w:rsidRPr="005B65DF">
        <w:rPr>
          <w:rFonts w:ascii="Times New Roman" w:hAnsi="Times New Roman"/>
          <w:i/>
          <w:iCs/>
          <w:noProof/>
        </w:rPr>
        <w:t>National Institute for Occupational Safety and Health.</w:t>
      </w:r>
      <w:r w:rsidRPr="005B65DF">
        <w:rPr>
          <w:rFonts w:ascii="Times New Roman" w:hAnsi="Times New Roman"/>
          <w:noProof/>
        </w:rPr>
        <w:t xml:space="preserve"> https://doi.org/No. 98-126</w:t>
      </w:r>
    </w:p>
    <w:p w14:paraId="2E2E2DA1"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Ruebhausen, M. R., Brozoski, T. J., &amp; Bauer, C. A. (2012). A comparison of the effects of </w:t>
      </w:r>
      <w:r w:rsidRPr="005B65DF">
        <w:rPr>
          <w:rFonts w:ascii="Times New Roman" w:hAnsi="Times New Roman"/>
          <w:noProof/>
        </w:rPr>
        <w:lastRenderedPageBreak/>
        <w:t xml:space="preserve">isoflurane and ketamine anesthesia on auditory brainstem response (ABR) thresholds in rats.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287</w:t>
      </w:r>
      <w:r w:rsidRPr="005B65DF">
        <w:rPr>
          <w:rFonts w:ascii="Times New Roman" w:hAnsi="Times New Roman"/>
          <w:noProof/>
        </w:rPr>
        <w:t>(1–2), 25–29. https://doi.org/10.1016/j.heares.2012.04.005</w:t>
      </w:r>
    </w:p>
    <w:p w14:paraId="3C993E59"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Rybalko, N., Chumak, T., Bureš, Z., Popelář, J., Šuta, D., &amp; Syka, J. (2015). Development of the acoustic startle response in rats and its change after early acoustic trauma. </w:t>
      </w:r>
      <w:r w:rsidRPr="005B65DF">
        <w:rPr>
          <w:rFonts w:ascii="Times New Roman" w:hAnsi="Times New Roman"/>
          <w:i/>
          <w:iCs/>
          <w:noProof/>
        </w:rPr>
        <w:t>Behavioural Brain Research</w:t>
      </w:r>
      <w:r w:rsidRPr="005B65DF">
        <w:rPr>
          <w:rFonts w:ascii="Times New Roman" w:hAnsi="Times New Roman"/>
          <w:noProof/>
        </w:rPr>
        <w:t xml:space="preserve">, </w:t>
      </w:r>
      <w:r w:rsidRPr="005B65DF">
        <w:rPr>
          <w:rFonts w:ascii="Times New Roman" w:hAnsi="Times New Roman"/>
          <w:i/>
          <w:iCs/>
          <w:noProof/>
        </w:rPr>
        <w:t>286</w:t>
      </w:r>
      <w:r w:rsidRPr="005B65DF">
        <w:rPr>
          <w:rFonts w:ascii="Times New Roman" w:hAnsi="Times New Roman"/>
          <w:noProof/>
        </w:rPr>
        <w:t>, 212–221. https://doi.org/10.1016/j.bbr.2015.02.046</w:t>
      </w:r>
    </w:p>
    <w:p w14:paraId="5DF9B366"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S Rajaratnam, B. (2014). A Comparison of EMG Signals from Surface and Fine-Wire Electrodes During Shoulder Abduction. </w:t>
      </w:r>
      <w:r w:rsidRPr="005B65DF">
        <w:rPr>
          <w:rFonts w:ascii="Times New Roman" w:hAnsi="Times New Roman"/>
          <w:i/>
          <w:iCs/>
          <w:noProof/>
        </w:rPr>
        <w:t>International Journal of Physical Medicine &amp; Rehabilitation</w:t>
      </w:r>
      <w:r w:rsidRPr="005B65DF">
        <w:rPr>
          <w:rFonts w:ascii="Times New Roman" w:hAnsi="Times New Roman"/>
          <w:noProof/>
        </w:rPr>
        <w:t xml:space="preserve">, </w:t>
      </w:r>
      <w:r w:rsidRPr="005B65DF">
        <w:rPr>
          <w:rFonts w:ascii="Times New Roman" w:hAnsi="Times New Roman"/>
          <w:i/>
          <w:iCs/>
          <w:noProof/>
        </w:rPr>
        <w:t>02</w:t>
      </w:r>
      <w:r w:rsidRPr="005B65DF">
        <w:rPr>
          <w:rFonts w:ascii="Times New Roman" w:hAnsi="Times New Roman"/>
          <w:noProof/>
        </w:rPr>
        <w:t>(04). https://doi.org/10.4172/2329-9096.1000206</w:t>
      </w:r>
    </w:p>
    <w:p w14:paraId="4F642C71"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Saunders, G., &amp; Griest, S. (2009). Hearing loss in veterans and the need for hearing loss prevention programs. </w:t>
      </w:r>
      <w:r w:rsidRPr="005B65DF">
        <w:rPr>
          <w:rFonts w:ascii="Times New Roman" w:hAnsi="Times New Roman"/>
          <w:i/>
          <w:iCs/>
          <w:noProof/>
        </w:rPr>
        <w:t>Noise and Health</w:t>
      </w:r>
      <w:r w:rsidRPr="005B65DF">
        <w:rPr>
          <w:rFonts w:ascii="Times New Roman" w:hAnsi="Times New Roman"/>
          <w:noProof/>
        </w:rPr>
        <w:t xml:space="preserve">, </w:t>
      </w:r>
      <w:r w:rsidRPr="005B65DF">
        <w:rPr>
          <w:rFonts w:ascii="Times New Roman" w:hAnsi="Times New Roman"/>
          <w:i/>
          <w:iCs/>
          <w:noProof/>
        </w:rPr>
        <w:t>11</w:t>
      </w:r>
      <w:r w:rsidRPr="005B65DF">
        <w:rPr>
          <w:rFonts w:ascii="Times New Roman" w:hAnsi="Times New Roman"/>
          <w:noProof/>
        </w:rPr>
        <w:t>(42), 14. https://doi.org/10.4103/1463-1741.45308</w:t>
      </w:r>
    </w:p>
    <w:p w14:paraId="5109C377"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Schairer, K. S., Feeney, M. P., &amp; Sanford, C. A. (2013). Acoustic Reflex Measurement. </w:t>
      </w:r>
      <w:r w:rsidRPr="005B65DF">
        <w:rPr>
          <w:rFonts w:ascii="Times New Roman" w:hAnsi="Times New Roman"/>
          <w:i/>
          <w:iCs/>
          <w:noProof/>
        </w:rPr>
        <w:t>Ear and Hearing</w:t>
      </w:r>
      <w:r w:rsidRPr="005B65DF">
        <w:rPr>
          <w:rFonts w:ascii="Times New Roman" w:hAnsi="Times New Roman"/>
          <w:noProof/>
        </w:rPr>
        <w:t xml:space="preserve">, </w:t>
      </w:r>
      <w:r w:rsidRPr="005B65DF">
        <w:rPr>
          <w:rFonts w:ascii="Times New Roman" w:hAnsi="Times New Roman"/>
          <w:i/>
          <w:iCs/>
          <w:noProof/>
        </w:rPr>
        <w:t>34</w:t>
      </w:r>
      <w:r w:rsidRPr="005B65DF">
        <w:rPr>
          <w:rFonts w:ascii="Times New Roman" w:hAnsi="Times New Roman"/>
          <w:noProof/>
        </w:rPr>
        <w:t>, 43s–47s. https://doi.org/10.1097/AUD.0b013e31829c70d9</w:t>
      </w:r>
    </w:p>
    <w:p w14:paraId="7E9C92F4"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Seethapathy, J., Boominathan, P., Uppunda, A. K., &amp; Ninan, B. (2018). Auditory brainstem response in very preterm, moderately preterm and late preterm infants. </w:t>
      </w:r>
      <w:r w:rsidRPr="005B65DF">
        <w:rPr>
          <w:rFonts w:ascii="Times New Roman" w:hAnsi="Times New Roman"/>
          <w:i/>
          <w:iCs/>
          <w:noProof/>
        </w:rPr>
        <w:t>International Journal of Pediatric Otorhinolaryngology</w:t>
      </w:r>
      <w:r w:rsidRPr="005B65DF">
        <w:rPr>
          <w:rFonts w:ascii="Times New Roman" w:hAnsi="Times New Roman"/>
          <w:noProof/>
        </w:rPr>
        <w:t xml:space="preserve">, </w:t>
      </w:r>
      <w:r w:rsidRPr="005B65DF">
        <w:rPr>
          <w:rFonts w:ascii="Times New Roman" w:hAnsi="Times New Roman"/>
          <w:i/>
          <w:iCs/>
          <w:noProof/>
        </w:rPr>
        <w:t>111</w:t>
      </w:r>
      <w:r w:rsidRPr="005B65DF">
        <w:rPr>
          <w:rFonts w:ascii="Times New Roman" w:hAnsi="Times New Roman"/>
          <w:noProof/>
        </w:rPr>
        <w:t>(June), 119–127. https://doi.org/10.1016/j.ijporl.2018.06.006</w:t>
      </w:r>
    </w:p>
    <w:p w14:paraId="57BE9BF7"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Shivashankar, N., Satishchandra, P., Shashikala, H. R., &amp; Gore, M. (2003). Primary auditory neuropathy - an enigma. </w:t>
      </w:r>
      <w:r w:rsidRPr="005B65DF">
        <w:rPr>
          <w:rFonts w:ascii="Times New Roman" w:hAnsi="Times New Roman"/>
          <w:i/>
          <w:iCs/>
          <w:noProof/>
        </w:rPr>
        <w:t>Acta Neurologica Scandinavica</w:t>
      </w:r>
      <w:r w:rsidRPr="005B65DF">
        <w:rPr>
          <w:rFonts w:ascii="Times New Roman" w:hAnsi="Times New Roman"/>
          <w:noProof/>
        </w:rPr>
        <w:t xml:space="preserve">, </w:t>
      </w:r>
      <w:r w:rsidRPr="005B65DF">
        <w:rPr>
          <w:rFonts w:ascii="Times New Roman" w:hAnsi="Times New Roman"/>
          <w:i/>
          <w:iCs/>
          <w:noProof/>
        </w:rPr>
        <w:t>108</w:t>
      </w:r>
      <w:r w:rsidRPr="005B65DF">
        <w:rPr>
          <w:rFonts w:ascii="Times New Roman" w:hAnsi="Times New Roman"/>
          <w:noProof/>
        </w:rPr>
        <w:t>(2), 130–135. https://doi.org/10.1034/j.1600-0404.2003.00104.x</w:t>
      </w:r>
    </w:p>
    <w:p w14:paraId="4672405A"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Smith, M. E., &amp; Monroe, J. D. (2016). Causes and Consequences of Sensory Hair Cell Damage and Recovery in Fishes (pp. 393–417). https://doi.org/10.1007/978-3-319-21059-9_17</w:t>
      </w:r>
    </w:p>
    <w:p w14:paraId="281B8C92"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Smith, P. E. (2015). Temporary threshold shift produced by exposure to high-frequency noise. </w:t>
      </w:r>
      <w:r w:rsidRPr="005B65DF">
        <w:rPr>
          <w:rFonts w:ascii="Times New Roman" w:hAnsi="Times New Roman"/>
          <w:i/>
          <w:iCs/>
          <w:noProof/>
        </w:rPr>
        <w:lastRenderedPageBreak/>
        <w:t>American Industrial Hygiene Association Journal</w:t>
      </w:r>
      <w:r w:rsidRPr="005B65DF">
        <w:rPr>
          <w:rFonts w:ascii="Times New Roman" w:hAnsi="Times New Roman"/>
          <w:noProof/>
        </w:rPr>
        <w:t xml:space="preserve">, </w:t>
      </w:r>
      <w:r w:rsidRPr="005B65DF">
        <w:rPr>
          <w:rFonts w:ascii="Times New Roman" w:hAnsi="Times New Roman"/>
          <w:i/>
          <w:iCs/>
          <w:noProof/>
        </w:rPr>
        <w:t>28</w:t>
      </w:r>
      <w:r w:rsidRPr="005B65DF">
        <w:rPr>
          <w:rFonts w:ascii="Times New Roman" w:hAnsi="Times New Roman"/>
          <w:noProof/>
        </w:rPr>
        <w:t>(5), 447–451. https://doi.org/10.1080/00028896709342663</w:t>
      </w:r>
    </w:p>
    <w:p w14:paraId="43EC88A4"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Sogebi, O. A. (2015). Middle ear impedance studies in elderly patients implications on age-related hearing loss. </w:t>
      </w:r>
      <w:r w:rsidRPr="005B65DF">
        <w:rPr>
          <w:rFonts w:ascii="Times New Roman" w:hAnsi="Times New Roman"/>
          <w:i/>
          <w:iCs/>
          <w:noProof/>
        </w:rPr>
        <w:t>Brazilian Journal of Otorhinolaryngology</w:t>
      </w:r>
      <w:r w:rsidRPr="005B65DF">
        <w:rPr>
          <w:rFonts w:ascii="Times New Roman" w:hAnsi="Times New Roman"/>
          <w:noProof/>
        </w:rPr>
        <w:t xml:space="preserve">, </w:t>
      </w:r>
      <w:r w:rsidRPr="005B65DF">
        <w:rPr>
          <w:rFonts w:ascii="Times New Roman" w:hAnsi="Times New Roman"/>
          <w:i/>
          <w:iCs/>
          <w:noProof/>
        </w:rPr>
        <w:t>81</w:t>
      </w:r>
      <w:r w:rsidRPr="005B65DF">
        <w:rPr>
          <w:rFonts w:ascii="Times New Roman" w:hAnsi="Times New Roman"/>
          <w:noProof/>
        </w:rPr>
        <w:t>(2), 133–140. https://doi.org/10.1016/j.bjorl.2014.09.007</w:t>
      </w:r>
    </w:p>
    <w:p w14:paraId="6442DFFB"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Syka, J., &amp; Popelář, J. (1980). Hearing threshold shifts from prolonged exposure to noise in guinea pigs. </w:t>
      </w:r>
      <w:r w:rsidRPr="005B65DF">
        <w:rPr>
          <w:rFonts w:ascii="Times New Roman" w:hAnsi="Times New Roman"/>
          <w:i/>
          <w:iCs/>
          <w:noProof/>
        </w:rPr>
        <w:t>Hearing Research</w:t>
      </w:r>
      <w:r w:rsidRPr="005B65DF">
        <w:rPr>
          <w:rFonts w:ascii="Times New Roman" w:hAnsi="Times New Roman"/>
          <w:noProof/>
        </w:rPr>
        <w:t xml:space="preserve">, </w:t>
      </w:r>
      <w:r w:rsidRPr="005B65DF">
        <w:rPr>
          <w:rFonts w:ascii="Times New Roman" w:hAnsi="Times New Roman"/>
          <w:i/>
          <w:iCs/>
          <w:noProof/>
        </w:rPr>
        <w:t>3</w:t>
      </w:r>
      <w:r w:rsidRPr="005B65DF">
        <w:rPr>
          <w:rFonts w:ascii="Times New Roman" w:hAnsi="Times New Roman"/>
          <w:noProof/>
        </w:rPr>
        <w:t>(3), 205–213. https://doi.org/10.1016/0378-5955(80)90047-7</w:t>
      </w:r>
    </w:p>
    <w:p w14:paraId="7497894E"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Tak, S. W., &amp; Calvert, G. M. (2008). Hearing difficulty attributable to employment by industry and occupation: An analysis of the National Health Interview Survey - United States, 1997 to 2003. </w:t>
      </w:r>
      <w:r w:rsidRPr="005B65DF">
        <w:rPr>
          <w:rFonts w:ascii="Times New Roman" w:hAnsi="Times New Roman"/>
          <w:i/>
          <w:iCs/>
          <w:noProof/>
        </w:rPr>
        <w:t>Journal of Occupational and Environmental Medicine</w:t>
      </w:r>
      <w:r w:rsidRPr="005B65DF">
        <w:rPr>
          <w:rFonts w:ascii="Times New Roman" w:hAnsi="Times New Roman"/>
          <w:noProof/>
        </w:rPr>
        <w:t xml:space="preserve">, </w:t>
      </w:r>
      <w:r w:rsidRPr="005B65DF">
        <w:rPr>
          <w:rFonts w:ascii="Times New Roman" w:hAnsi="Times New Roman"/>
          <w:i/>
          <w:iCs/>
          <w:noProof/>
        </w:rPr>
        <w:t>50</w:t>
      </w:r>
      <w:r w:rsidRPr="005B65DF">
        <w:rPr>
          <w:rFonts w:ascii="Times New Roman" w:hAnsi="Times New Roman"/>
          <w:noProof/>
        </w:rPr>
        <w:t>(1), 46–56. https://doi.org/10.1097/JOM.0b013e3181579316</w:t>
      </w:r>
    </w:p>
    <w:p w14:paraId="747B6F77"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Teig, E. (1972). Tension and contraction time of motor units of the middle ear muscles in the cat. </w:t>
      </w:r>
      <w:r w:rsidRPr="005B65DF">
        <w:rPr>
          <w:rFonts w:ascii="Times New Roman" w:hAnsi="Times New Roman"/>
          <w:i/>
          <w:iCs/>
          <w:noProof/>
        </w:rPr>
        <w:t>Acta Physiologica Scandinavica</w:t>
      </w:r>
      <w:r w:rsidRPr="005B65DF">
        <w:rPr>
          <w:rFonts w:ascii="Times New Roman" w:hAnsi="Times New Roman"/>
          <w:noProof/>
        </w:rPr>
        <w:t xml:space="preserve">, </w:t>
      </w:r>
      <w:r w:rsidRPr="005B65DF">
        <w:rPr>
          <w:rFonts w:ascii="Times New Roman" w:hAnsi="Times New Roman"/>
          <w:i/>
          <w:iCs/>
          <w:noProof/>
        </w:rPr>
        <w:t>84</w:t>
      </w:r>
      <w:r w:rsidRPr="005B65DF">
        <w:rPr>
          <w:rFonts w:ascii="Times New Roman" w:hAnsi="Times New Roman"/>
          <w:noProof/>
        </w:rPr>
        <w:t>(1), 11–21.</w:t>
      </w:r>
    </w:p>
    <w:p w14:paraId="3E702B6E"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Terkildsen, K. (1960). The Intra-Aural Muscle Reflexes in Normal Persons and in Workers Exposed to Intense Industrial Noise. </w:t>
      </w:r>
      <w:r w:rsidRPr="005B65DF">
        <w:rPr>
          <w:rFonts w:ascii="Times New Roman" w:hAnsi="Times New Roman"/>
          <w:i/>
          <w:iCs/>
          <w:noProof/>
        </w:rPr>
        <w:t>Acta Oto-Laryngologica</w:t>
      </w:r>
      <w:r w:rsidRPr="005B65DF">
        <w:rPr>
          <w:rFonts w:ascii="Times New Roman" w:hAnsi="Times New Roman"/>
          <w:noProof/>
        </w:rPr>
        <w:t xml:space="preserve">, </w:t>
      </w:r>
      <w:r w:rsidRPr="005B65DF">
        <w:rPr>
          <w:rFonts w:ascii="Times New Roman" w:hAnsi="Times New Roman"/>
          <w:i/>
          <w:iCs/>
          <w:noProof/>
        </w:rPr>
        <w:t>52</w:t>
      </w:r>
      <w:r w:rsidRPr="005B65DF">
        <w:rPr>
          <w:rFonts w:ascii="Times New Roman" w:hAnsi="Times New Roman"/>
          <w:noProof/>
        </w:rPr>
        <w:t>(1–6), 384–396. https://doi.org/10.3109/00016486009123168</w:t>
      </w:r>
    </w:p>
    <w:p w14:paraId="703EF6E5"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Vertes, D., Axelsson,  a, &amp; Lipscomb, D. M. (1979). Some vascular effects of noise exposure in the chinchilla cochlea. </w:t>
      </w:r>
      <w:r w:rsidRPr="005B65DF">
        <w:rPr>
          <w:rFonts w:ascii="Times New Roman" w:hAnsi="Times New Roman"/>
          <w:i/>
          <w:iCs/>
          <w:noProof/>
        </w:rPr>
        <w:t>Archives of Oto-Rhino-Laryngology</w:t>
      </w:r>
      <w:r w:rsidRPr="005B65DF">
        <w:rPr>
          <w:rFonts w:ascii="Times New Roman" w:hAnsi="Times New Roman"/>
          <w:noProof/>
        </w:rPr>
        <w:t xml:space="preserve">, </w:t>
      </w:r>
      <w:r w:rsidRPr="005B65DF">
        <w:rPr>
          <w:rFonts w:ascii="Times New Roman" w:hAnsi="Times New Roman"/>
          <w:i/>
          <w:iCs/>
          <w:noProof/>
        </w:rPr>
        <w:t>224</w:t>
      </w:r>
      <w:r w:rsidRPr="005B65DF">
        <w:rPr>
          <w:rFonts w:ascii="Times New Roman" w:hAnsi="Times New Roman"/>
          <w:noProof/>
        </w:rPr>
        <w:t>(1–2), 97–101. https://doi.org/10.1007/BF00455230</w:t>
      </w:r>
    </w:p>
    <w:p w14:paraId="3A92AA86"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Warmuth, R., Behrens, M., Behrens, M., Dahl, R., Ehrt, K., Pau, H. W., &amp; Salomon, R. (2014). Automatic Detection of the Electrical Elicited Stapedius Reflex by Evaluation of Its Electromyographic Signals. </w:t>
      </w:r>
      <w:r w:rsidRPr="005B65DF">
        <w:rPr>
          <w:rFonts w:ascii="Times New Roman" w:hAnsi="Times New Roman"/>
          <w:i/>
          <w:iCs/>
          <w:noProof/>
        </w:rPr>
        <w:t>Engineering</w:t>
      </w:r>
      <w:r w:rsidRPr="005B65DF">
        <w:rPr>
          <w:rFonts w:ascii="Times New Roman" w:hAnsi="Times New Roman"/>
          <w:noProof/>
        </w:rPr>
        <w:t xml:space="preserve">, </w:t>
      </w:r>
      <w:r w:rsidRPr="005B65DF">
        <w:rPr>
          <w:rFonts w:ascii="Times New Roman" w:hAnsi="Times New Roman"/>
          <w:i/>
          <w:iCs/>
          <w:noProof/>
        </w:rPr>
        <w:t>06</w:t>
      </w:r>
      <w:r w:rsidRPr="005B65DF">
        <w:rPr>
          <w:rFonts w:ascii="Times New Roman" w:hAnsi="Times New Roman"/>
          <w:noProof/>
        </w:rPr>
        <w:t xml:space="preserve">(04), 169–176. </w:t>
      </w:r>
      <w:r w:rsidRPr="005B65DF">
        <w:rPr>
          <w:rFonts w:ascii="Times New Roman" w:hAnsi="Times New Roman"/>
          <w:noProof/>
        </w:rPr>
        <w:lastRenderedPageBreak/>
        <w:t>https://doi.org/10.4236/eng.2014.64020</w:t>
      </w:r>
    </w:p>
    <w:p w14:paraId="27A4AFEC"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Wolter, N. E., Harrison, R. V., &amp; James, A. L. (2014). Separating the contributions of olivocochlear and middle ear muscle reflexes in modulation of distortion product otoacoustic emission levels. </w:t>
      </w:r>
      <w:r w:rsidRPr="005B65DF">
        <w:rPr>
          <w:rFonts w:ascii="Times New Roman" w:hAnsi="Times New Roman"/>
          <w:i/>
          <w:iCs/>
          <w:noProof/>
        </w:rPr>
        <w:t>Audiology and Neurotology</w:t>
      </w:r>
      <w:r w:rsidRPr="005B65DF">
        <w:rPr>
          <w:rFonts w:ascii="Times New Roman" w:hAnsi="Times New Roman"/>
          <w:noProof/>
        </w:rPr>
        <w:t xml:space="preserve">, </w:t>
      </w:r>
      <w:r w:rsidRPr="005B65DF">
        <w:rPr>
          <w:rFonts w:ascii="Times New Roman" w:hAnsi="Times New Roman"/>
          <w:i/>
          <w:iCs/>
          <w:noProof/>
        </w:rPr>
        <w:t>19</w:t>
      </w:r>
      <w:r w:rsidRPr="005B65DF">
        <w:rPr>
          <w:rFonts w:ascii="Times New Roman" w:hAnsi="Times New Roman"/>
          <w:noProof/>
        </w:rPr>
        <w:t>(1), 41–48. https://doi.org/10.1159/000356174</w:t>
      </w:r>
    </w:p>
    <w:p w14:paraId="73FDB105"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World Health Organization (WHO). (2009). </w:t>
      </w:r>
      <w:r w:rsidRPr="005B65DF">
        <w:rPr>
          <w:rFonts w:ascii="Times New Roman" w:hAnsi="Times New Roman"/>
          <w:i/>
          <w:iCs/>
          <w:noProof/>
        </w:rPr>
        <w:t>Newborn and infant hearing screening</w:t>
      </w:r>
      <w:r w:rsidRPr="005B65DF">
        <w:rPr>
          <w:rFonts w:ascii="Times New Roman" w:hAnsi="Times New Roman"/>
          <w:noProof/>
        </w:rPr>
        <w:t xml:space="preserve">. </w:t>
      </w:r>
      <w:r w:rsidRPr="005B65DF">
        <w:rPr>
          <w:rFonts w:ascii="Times New Roman" w:hAnsi="Times New Roman"/>
          <w:i/>
          <w:iCs/>
          <w:noProof/>
        </w:rPr>
        <w:t>WHO Library Cataloguing-in-Publication Data</w:t>
      </w:r>
      <w:r w:rsidRPr="005B65DF">
        <w:rPr>
          <w:rFonts w:ascii="Times New Roman" w:hAnsi="Times New Roman"/>
          <w:noProof/>
        </w:rPr>
        <w:t>.</w:t>
      </w:r>
    </w:p>
    <w:p w14:paraId="667D072C" w14:textId="77777777" w:rsidR="009D4264" w:rsidRPr="005B65DF" w:rsidRDefault="009D4264" w:rsidP="009D4264">
      <w:pPr>
        <w:widowControl w:val="0"/>
        <w:autoSpaceDE w:val="0"/>
        <w:autoSpaceDN w:val="0"/>
        <w:adjustRightInd w:val="0"/>
        <w:ind w:left="480" w:hanging="480"/>
        <w:rPr>
          <w:rFonts w:ascii="Times New Roman" w:hAnsi="Times New Roman"/>
          <w:noProof/>
        </w:rPr>
      </w:pPr>
      <w:r w:rsidRPr="005B65DF">
        <w:rPr>
          <w:rFonts w:ascii="Times New Roman" w:hAnsi="Times New Roman"/>
          <w:noProof/>
        </w:rPr>
        <w:t xml:space="preserve">Zhao, Y., &amp; Wang, Z. G. (2015). Blast-induced traumatic brain injury: A new trend of blast injury research. </w:t>
      </w:r>
      <w:r w:rsidRPr="005B65DF">
        <w:rPr>
          <w:rFonts w:ascii="Times New Roman" w:hAnsi="Times New Roman"/>
          <w:i/>
          <w:iCs/>
          <w:noProof/>
        </w:rPr>
        <w:t>Chinese Journal of Traumatology - English Edition</w:t>
      </w:r>
      <w:r w:rsidRPr="005B65DF">
        <w:rPr>
          <w:rFonts w:ascii="Times New Roman" w:hAnsi="Times New Roman"/>
          <w:noProof/>
        </w:rPr>
        <w:t xml:space="preserve">, </w:t>
      </w:r>
      <w:r w:rsidRPr="005B65DF">
        <w:rPr>
          <w:rFonts w:ascii="Times New Roman" w:hAnsi="Times New Roman"/>
          <w:i/>
          <w:iCs/>
          <w:noProof/>
        </w:rPr>
        <w:t>18</w:t>
      </w:r>
      <w:r w:rsidRPr="005B65DF">
        <w:rPr>
          <w:rFonts w:ascii="Times New Roman" w:hAnsi="Times New Roman"/>
          <w:noProof/>
        </w:rPr>
        <w:t>(4), 201–203. https://doi.org/10.1016/j.cjtee.2015.10.002</w:t>
      </w:r>
    </w:p>
    <w:p w14:paraId="14BED9E1" w14:textId="77777777" w:rsidR="00AA0B13" w:rsidRPr="005B65DF" w:rsidRDefault="0035104F" w:rsidP="0035104F">
      <w:pPr>
        <w:ind w:firstLine="0"/>
      </w:pPr>
      <w:r w:rsidRPr="005B65DF">
        <w:fldChar w:fldCharType="end"/>
      </w:r>
    </w:p>
    <w:p w14:paraId="1A1A82DF" w14:textId="77777777" w:rsidR="00DB7A64" w:rsidRPr="005B65DF" w:rsidRDefault="00DB7A64" w:rsidP="0035104F">
      <w:pPr>
        <w:ind w:firstLine="0"/>
      </w:pPr>
    </w:p>
    <w:p w14:paraId="7ACCD6F5" w14:textId="1F5F7DAD" w:rsidR="00DB7A64" w:rsidRPr="005B65DF" w:rsidRDefault="00DB7A64">
      <w:pPr>
        <w:spacing w:line="240" w:lineRule="auto"/>
        <w:ind w:firstLine="0"/>
      </w:pPr>
      <w:r w:rsidRPr="005B65DF">
        <w:br w:type="page"/>
      </w:r>
    </w:p>
    <w:p w14:paraId="1D081091" w14:textId="2254C68A" w:rsidR="00D87012" w:rsidRDefault="00D87012" w:rsidP="00D87012">
      <w:pPr>
        <w:pStyle w:val="Heading1"/>
        <w:numPr>
          <w:ilvl w:val="0"/>
          <w:numId w:val="0"/>
        </w:numPr>
      </w:pPr>
      <w:bookmarkStart w:id="110" w:name="_Toc185947"/>
      <w:r>
        <w:lastRenderedPageBreak/>
        <w:t>Appendix A: List of Acronyms</w:t>
      </w:r>
      <w:bookmarkEnd w:id="110"/>
    </w:p>
    <w:tbl>
      <w:tblPr>
        <w:tblStyle w:val="TableGrid"/>
        <w:tblW w:w="0" w:type="auto"/>
        <w:tblLook w:val="04A0" w:firstRow="1" w:lastRow="0" w:firstColumn="1" w:lastColumn="0" w:noHBand="0" w:noVBand="1"/>
      </w:tblPr>
      <w:tblGrid>
        <w:gridCol w:w="2358"/>
        <w:gridCol w:w="4950"/>
      </w:tblGrid>
      <w:tr w:rsidR="00D87012" w14:paraId="29EEF4B6" w14:textId="77777777" w:rsidTr="00D87012">
        <w:tc>
          <w:tcPr>
            <w:tcW w:w="2358" w:type="dxa"/>
          </w:tcPr>
          <w:p w14:paraId="5970554E" w14:textId="77777777" w:rsidR="00D87012" w:rsidRDefault="00D87012" w:rsidP="00D87012">
            <w:pPr>
              <w:ind w:firstLine="0"/>
            </w:pPr>
            <w:r>
              <w:t>MEMR</w:t>
            </w:r>
          </w:p>
        </w:tc>
        <w:tc>
          <w:tcPr>
            <w:tcW w:w="4950" w:type="dxa"/>
          </w:tcPr>
          <w:p w14:paraId="458567E1" w14:textId="77777777" w:rsidR="00D87012" w:rsidRDefault="00D87012" w:rsidP="00D87012">
            <w:pPr>
              <w:ind w:firstLine="0"/>
            </w:pPr>
            <w:r>
              <w:t>Middle ear muscle reflex</w:t>
            </w:r>
          </w:p>
        </w:tc>
      </w:tr>
      <w:tr w:rsidR="00D87012" w14:paraId="20DAE534" w14:textId="77777777" w:rsidTr="00D87012">
        <w:tc>
          <w:tcPr>
            <w:tcW w:w="2358" w:type="dxa"/>
          </w:tcPr>
          <w:p w14:paraId="4F2EB904" w14:textId="77777777" w:rsidR="00D87012" w:rsidRDefault="00D87012" w:rsidP="00D87012">
            <w:pPr>
              <w:ind w:firstLine="0"/>
            </w:pPr>
            <w:r>
              <w:t>ART</w:t>
            </w:r>
          </w:p>
        </w:tc>
        <w:tc>
          <w:tcPr>
            <w:tcW w:w="4950" w:type="dxa"/>
          </w:tcPr>
          <w:p w14:paraId="4E7CB28F" w14:textId="77777777" w:rsidR="00D87012" w:rsidRDefault="00D87012" w:rsidP="00D87012">
            <w:pPr>
              <w:ind w:firstLine="0"/>
            </w:pPr>
            <w:r>
              <w:t>Acoustic reflex threshold</w:t>
            </w:r>
          </w:p>
        </w:tc>
      </w:tr>
      <w:tr w:rsidR="00D87012" w14:paraId="1EC3227C" w14:textId="77777777" w:rsidTr="00D87012">
        <w:tc>
          <w:tcPr>
            <w:tcW w:w="2358" w:type="dxa"/>
          </w:tcPr>
          <w:p w14:paraId="0897B9C9" w14:textId="77777777" w:rsidR="00D87012" w:rsidRDefault="00D87012" w:rsidP="00D87012">
            <w:pPr>
              <w:ind w:firstLine="0"/>
            </w:pPr>
            <w:r>
              <w:t>EMG</w:t>
            </w:r>
          </w:p>
        </w:tc>
        <w:tc>
          <w:tcPr>
            <w:tcW w:w="4950" w:type="dxa"/>
          </w:tcPr>
          <w:p w14:paraId="3FBF08D8" w14:textId="77777777" w:rsidR="00D87012" w:rsidRDefault="00D87012" w:rsidP="00D87012">
            <w:pPr>
              <w:ind w:firstLine="0"/>
            </w:pPr>
            <w:r>
              <w:t>Electromyography</w:t>
            </w:r>
          </w:p>
        </w:tc>
      </w:tr>
      <w:tr w:rsidR="00D87012" w14:paraId="15FCAB07" w14:textId="77777777" w:rsidTr="00D87012">
        <w:tc>
          <w:tcPr>
            <w:tcW w:w="2358" w:type="dxa"/>
          </w:tcPr>
          <w:p w14:paraId="3F0EA49F" w14:textId="77777777" w:rsidR="00D87012" w:rsidRDefault="00D87012" w:rsidP="00D87012">
            <w:pPr>
              <w:ind w:firstLine="0"/>
            </w:pPr>
            <w:r>
              <w:t>TTS</w:t>
            </w:r>
          </w:p>
        </w:tc>
        <w:tc>
          <w:tcPr>
            <w:tcW w:w="4950" w:type="dxa"/>
          </w:tcPr>
          <w:p w14:paraId="2FCE3CBB" w14:textId="77777777" w:rsidR="00D87012" w:rsidRDefault="00D87012" w:rsidP="00D87012">
            <w:pPr>
              <w:ind w:firstLine="0"/>
            </w:pPr>
            <w:r>
              <w:t>Temporary threshold shift</w:t>
            </w:r>
          </w:p>
        </w:tc>
      </w:tr>
      <w:tr w:rsidR="00D87012" w14:paraId="65862470" w14:textId="77777777" w:rsidTr="00D87012">
        <w:tc>
          <w:tcPr>
            <w:tcW w:w="2358" w:type="dxa"/>
          </w:tcPr>
          <w:p w14:paraId="1939DDE6" w14:textId="77777777" w:rsidR="00D87012" w:rsidRDefault="00D87012" w:rsidP="00D87012">
            <w:pPr>
              <w:ind w:firstLine="0"/>
            </w:pPr>
            <w:r>
              <w:t>PTS</w:t>
            </w:r>
          </w:p>
        </w:tc>
        <w:tc>
          <w:tcPr>
            <w:tcW w:w="4950" w:type="dxa"/>
          </w:tcPr>
          <w:p w14:paraId="5C02766D" w14:textId="77777777" w:rsidR="00D87012" w:rsidRDefault="00D87012" w:rsidP="00D87012">
            <w:pPr>
              <w:ind w:firstLine="0"/>
            </w:pPr>
            <w:r>
              <w:t>Permanent threshold shift</w:t>
            </w:r>
          </w:p>
        </w:tc>
      </w:tr>
      <w:tr w:rsidR="00D87012" w14:paraId="541F2D09" w14:textId="77777777" w:rsidTr="00D87012">
        <w:tc>
          <w:tcPr>
            <w:tcW w:w="2358" w:type="dxa"/>
          </w:tcPr>
          <w:p w14:paraId="6630CBA7" w14:textId="77777777" w:rsidR="00D87012" w:rsidRDefault="00D87012" w:rsidP="00D87012">
            <w:pPr>
              <w:ind w:firstLine="0"/>
            </w:pPr>
            <w:r>
              <w:t>OSHA</w:t>
            </w:r>
          </w:p>
        </w:tc>
        <w:tc>
          <w:tcPr>
            <w:tcW w:w="4950" w:type="dxa"/>
          </w:tcPr>
          <w:p w14:paraId="7901C63E" w14:textId="77777777" w:rsidR="00D87012" w:rsidRDefault="00D87012" w:rsidP="00D87012">
            <w:pPr>
              <w:ind w:firstLine="0"/>
            </w:pPr>
            <w:r>
              <w:t>Occupational Safety and Health Administration</w:t>
            </w:r>
          </w:p>
        </w:tc>
      </w:tr>
      <w:tr w:rsidR="00D87012" w14:paraId="442E317E" w14:textId="77777777" w:rsidTr="00D87012">
        <w:tc>
          <w:tcPr>
            <w:tcW w:w="2358" w:type="dxa"/>
          </w:tcPr>
          <w:p w14:paraId="4B0F9D7E" w14:textId="77777777" w:rsidR="00D87012" w:rsidRDefault="00D87012" w:rsidP="00D87012">
            <w:pPr>
              <w:ind w:firstLine="0"/>
            </w:pPr>
            <w:r>
              <w:t>ABR</w:t>
            </w:r>
          </w:p>
        </w:tc>
        <w:tc>
          <w:tcPr>
            <w:tcW w:w="4950" w:type="dxa"/>
          </w:tcPr>
          <w:p w14:paraId="3119C1D7" w14:textId="77777777" w:rsidR="00D87012" w:rsidRDefault="00D87012" w:rsidP="00D87012">
            <w:pPr>
              <w:ind w:firstLine="0"/>
            </w:pPr>
            <w:r>
              <w:t>Auditory brainstem response</w:t>
            </w:r>
          </w:p>
        </w:tc>
      </w:tr>
      <w:tr w:rsidR="00D87012" w14:paraId="3959DD39" w14:textId="77777777" w:rsidTr="00D87012">
        <w:tc>
          <w:tcPr>
            <w:tcW w:w="2358" w:type="dxa"/>
          </w:tcPr>
          <w:p w14:paraId="3B2D8730" w14:textId="77777777" w:rsidR="00D87012" w:rsidRDefault="00D87012" w:rsidP="00D87012">
            <w:pPr>
              <w:ind w:firstLine="0"/>
            </w:pPr>
            <w:r>
              <w:t>IM</w:t>
            </w:r>
          </w:p>
        </w:tc>
        <w:tc>
          <w:tcPr>
            <w:tcW w:w="4950" w:type="dxa"/>
          </w:tcPr>
          <w:p w14:paraId="5CA8232A" w14:textId="77777777" w:rsidR="00D87012" w:rsidRDefault="00D87012" w:rsidP="00D87012">
            <w:pPr>
              <w:spacing w:line="240" w:lineRule="auto"/>
              <w:ind w:firstLine="0"/>
            </w:pPr>
            <w:r>
              <w:t>Intramuscular</w:t>
            </w:r>
          </w:p>
        </w:tc>
      </w:tr>
      <w:tr w:rsidR="00D87012" w14:paraId="6EF5C321" w14:textId="77777777" w:rsidTr="00D87012">
        <w:tc>
          <w:tcPr>
            <w:tcW w:w="2358" w:type="dxa"/>
          </w:tcPr>
          <w:p w14:paraId="47889AD0" w14:textId="77777777" w:rsidR="00D87012" w:rsidRDefault="00D87012" w:rsidP="00D87012">
            <w:pPr>
              <w:ind w:firstLine="0"/>
            </w:pPr>
            <w:r>
              <w:t>DPOAE</w:t>
            </w:r>
          </w:p>
        </w:tc>
        <w:tc>
          <w:tcPr>
            <w:tcW w:w="4950" w:type="dxa"/>
          </w:tcPr>
          <w:p w14:paraId="5EA805DC" w14:textId="77777777" w:rsidR="00D87012" w:rsidRDefault="00D87012" w:rsidP="00D87012">
            <w:pPr>
              <w:spacing w:line="240" w:lineRule="auto"/>
              <w:ind w:firstLine="0"/>
            </w:pPr>
            <w:r>
              <w:t>Distortion product otoacoustic emission</w:t>
            </w:r>
          </w:p>
        </w:tc>
      </w:tr>
      <w:tr w:rsidR="00D87012" w14:paraId="43A7D8BF" w14:textId="77777777" w:rsidTr="00D87012">
        <w:tc>
          <w:tcPr>
            <w:tcW w:w="2358" w:type="dxa"/>
          </w:tcPr>
          <w:p w14:paraId="654BACA4" w14:textId="77777777" w:rsidR="00D87012" w:rsidRDefault="00D87012" w:rsidP="00D87012">
            <w:pPr>
              <w:ind w:firstLine="0"/>
            </w:pPr>
            <w:r>
              <w:t>LDV</w:t>
            </w:r>
          </w:p>
        </w:tc>
        <w:tc>
          <w:tcPr>
            <w:tcW w:w="4950" w:type="dxa"/>
          </w:tcPr>
          <w:p w14:paraId="232AFFE6" w14:textId="77777777" w:rsidR="00D87012" w:rsidRDefault="00D87012" w:rsidP="00D87012">
            <w:pPr>
              <w:spacing w:line="240" w:lineRule="auto"/>
              <w:ind w:firstLine="0"/>
            </w:pPr>
            <w:r>
              <w:t>Laser Doppler vibrometry</w:t>
            </w:r>
          </w:p>
        </w:tc>
      </w:tr>
    </w:tbl>
    <w:p w14:paraId="1932E816" w14:textId="4D0759B3" w:rsidR="00D87012" w:rsidRDefault="00D87012" w:rsidP="00D87012"/>
    <w:p w14:paraId="2E08F9ED" w14:textId="2968C108" w:rsidR="00D87012" w:rsidRDefault="00D87012" w:rsidP="00D87012"/>
    <w:p w14:paraId="32C211C5" w14:textId="5A307F71" w:rsidR="00D87012" w:rsidRDefault="00D87012" w:rsidP="00D87012"/>
    <w:p w14:paraId="1195F9D4" w14:textId="419E0372" w:rsidR="00D87012" w:rsidRDefault="00D87012" w:rsidP="00D87012"/>
    <w:p w14:paraId="65F7068D" w14:textId="50C33CC4" w:rsidR="00D87012" w:rsidRDefault="00D87012" w:rsidP="00D87012"/>
    <w:p w14:paraId="6CFF1A78" w14:textId="11A763AF" w:rsidR="00D87012" w:rsidRDefault="00D87012" w:rsidP="00D87012"/>
    <w:p w14:paraId="5DA7EE3D" w14:textId="0E6B86CF" w:rsidR="00D87012" w:rsidRDefault="00D87012" w:rsidP="00D87012"/>
    <w:p w14:paraId="4E1F7536" w14:textId="27E0736F" w:rsidR="00D87012" w:rsidRDefault="00D87012" w:rsidP="00D87012"/>
    <w:p w14:paraId="68B9227E" w14:textId="216D2C51" w:rsidR="00D87012" w:rsidRDefault="00D87012" w:rsidP="00D87012"/>
    <w:p w14:paraId="7449F285" w14:textId="53E9C303" w:rsidR="00D87012" w:rsidRDefault="00D87012" w:rsidP="00D87012"/>
    <w:p w14:paraId="49EB3D1B" w14:textId="609407AD" w:rsidR="00D87012" w:rsidRDefault="00D87012" w:rsidP="00D87012"/>
    <w:p w14:paraId="29F77401" w14:textId="77777777" w:rsidR="00D87012" w:rsidRPr="00A34B78" w:rsidRDefault="00D87012" w:rsidP="00D87012"/>
    <w:p w14:paraId="2D651550" w14:textId="32F71C59" w:rsidR="00DB7A64" w:rsidRPr="005B65DF" w:rsidRDefault="00DB7A64" w:rsidP="00DB7A64">
      <w:pPr>
        <w:pStyle w:val="Heading1"/>
        <w:numPr>
          <w:ilvl w:val="0"/>
          <w:numId w:val="0"/>
        </w:numPr>
      </w:pPr>
      <w:bookmarkStart w:id="111" w:name="_Toc185948"/>
      <w:r w:rsidRPr="005B65DF">
        <w:lastRenderedPageBreak/>
        <w:t xml:space="preserve">Appendix </w:t>
      </w:r>
      <w:r w:rsidR="00D87012">
        <w:t>B</w:t>
      </w:r>
      <w:r w:rsidRPr="005B65DF">
        <w:t>: MATLAB Code</w:t>
      </w:r>
      <w:bookmarkEnd w:id="111"/>
    </w:p>
    <w:p w14:paraId="0B523C0A" w14:textId="77777777" w:rsidR="00DB7A64" w:rsidRPr="005B65DF" w:rsidRDefault="00DB7A64" w:rsidP="00B6485F">
      <w:pPr>
        <w:ind w:firstLine="0"/>
      </w:pPr>
      <w:r w:rsidRPr="005B65DF">
        <w:t>data = xlsread('data.xls');</w:t>
      </w:r>
    </w:p>
    <w:p w14:paraId="6CD60447" w14:textId="77777777" w:rsidR="00DB7A64" w:rsidRPr="005B65DF" w:rsidRDefault="00DB7A64" w:rsidP="00B6485F">
      <w:pPr>
        <w:ind w:firstLine="0"/>
      </w:pPr>
      <w:r w:rsidRPr="005B65DF">
        <w:t>x = 21;  % 7 1k, 14 2k, 21 4k, 28 6k 7 50 8 60 ... 13 110</w:t>
      </w:r>
    </w:p>
    <w:p w14:paraId="696EFDEB" w14:textId="77777777" w:rsidR="00DB7A64" w:rsidRPr="005B65DF" w:rsidRDefault="00DB7A64" w:rsidP="00B6485F">
      <w:pPr>
        <w:ind w:firstLine="0"/>
      </w:pPr>
      <w:r w:rsidRPr="005B65DF">
        <w:t>analyze(:,1) = (1:3662)/(3662/150);</w:t>
      </w:r>
    </w:p>
    <w:p w14:paraId="62101063" w14:textId="77777777" w:rsidR="00DB7A64" w:rsidRPr="005B65DF" w:rsidRDefault="00DB7A64" w:rsidP="00B6485F">
      <w:pPr>
        <w:ind w:firstLine="0"/>
      </w:pPr>
      <w:r w:rsidRPr="005B65DF">
        <w:t>analyze(:,2) = data(:,x);</w:t>
      </w:r>
    </w:p>
    <w:p w14:paraId="1D519503" w14:textId="77777777" w:rsidR="00DB7A64" w:rsidRPr="005B65DF" w:rsidRDefault="00DB7A64" w:rsidP="00B6485F">
      <w:pPr>
        <w:ind w:firstLine="0"/>
      </w:pPr>
      <w:r w:rsidRPr="005B65DF">
        <w:t>analyze(:,3) = abs(analyze(:,2)-mean(analyze(:,2)));   %rectified, bias removed</w:t>
      </w:r>
    </w:p>
    <w:p w14:paraId="4EB60AAC" w14:textId="77777777" w:rsidR="00DB7A64" w:rsidRPr="005B65DF" w:rsidRDefault="00DB7A64" w:rsidP="00B6485F">
      <w:pPr>
        <w:ind w:firstLine="0"/>
      </w:pPr>
    </w:p>
    <w:p w14:paraId="29889527" w14:textId="522EC02B" w:rsidR="00B6485F" w:rsidRPr="005B65DF" w:rsidRDefault="00B6485F" w:rsidP="00B6485F">
      <w:pPr>
        <w:ind w:firstLine="0"/>
      </w:pPr>
      <w:r w:rsidRPr="005B65DF">
        <w:t>% paynter filter setup and application</w:t>
      </w:r>
    </w:p>
    <w:p w14:paraId="38C45402" w14:textId="2F76DAF7" w:rsidR="00DB7A64" w:rsidRPr="005B65DF" w:rsidRDefault="00DB7A64" w:rsidP="00B6485F">
      <w:pPr>
        <w:ind w:firstLine="0"/>
      </w:pPr>
      <w:r w:rsidRPr="005B65DF">
        <w:t>tau=400;</w:t>
      </w:r>
    </w:p>
    <w:p w14:paraId="5ED79D4D" w14:textId="7DBAF87D" w:rsidR="00DB7A64" w:rsidRPr="005B65DF" w:rsidRDefault="00DB7A64" w:rsidP="00B6485F">
      <w:pPr>
        <w:ind w:firstLine="0"/>
      </w:pPr>
      <w:r w:rsidRPr="005B65DF">
        <w:t>fs=24390;</w:t>
      </w:r>
    </w:p>
    <w:p w14:paraId="5E964F13" w14:textId="77777777" w:rsidR="00DB7A64" w:rsidRPr="005B65DF" w:rsidRDefault="00DB7A64" w:rsidP="00B6485F">
      <w:pPr>
        <w:ind w:firstLine="0"/>
      </w:pPr>
      <w:r w:rsidRPr="005B65DF">
        <w:t>[B,A]=paynter(tau,fs);</w:t>
      </w:r>
    </w:p>
    <w:p w14:paraId="4764648B" w14:textId="77777777" w:rsidR="00DB7A64" w:rsidRPr="005B65DF" w:rsidRDefault="00DB7A64" w:rsidP="00B6485F">
      <w:pPr>
        <w:ind w:firstLine="0"/>
      </w:pPr>
      <w:r w:rsidRPr="005B65DF">
        <w:t>filtered_signal = filter(B,A,analyze(:,3));</w:t>
      </w:r>
    </w:p>
    <w:p w14:paraId="7171FDC3" w14:textId="77777777" w:rsidR="00DB7A64" w:rsidRPr="005B65DF" w:rsidRDefault="00DB7A64" w:rsidP="00B6485F">
      <w:pPr>
        <w:ind w:firstLine="0"/>
      </w:pPr>
    </w:p>
    <w:p w14:paraId="3D2116CE" w14:textId="77777777" w:rsidR="00DB7A64" w:rsidRPr="005B65DF" w:rsidRDefault="00DB7A64" w:rsidP="00B6485F">
      <w:pPr>
        <w:ind w:firstLine="0"/>
      </w:pPr>
      <w:r w:rsidRPr="005B65DF">
        <w:t>subplot(3,1,1)</w:t>
      </w:r>
    </w:p>
    <w:p w14:paraId="3974A524" w14:textId="77777777" w:rsidR="00DB7A64" w:rsidRPr="005B65DF" w:rsidRDefault="00DB7A64" w:rsidP="00B6485F">
      <w:pPr>
        <w:ind w:firstLine="0"/>
      </w:pPr>
      <w:r w:rsidRPr="005B65DF">
        <w:t>plot(analyze(:,1),analyze(:,2));</w:t>
      </w:r>
    </w:p>
    <w:p w14:paraId="4AF03AC8" w14:textId="77777777" w:rsidR="00DB7A64" w:rsidRPr="005B65DF" w:rsidRDefault="00DB7A64" w:rsidP="00B6485F">
      <w:pPr>
        <w:ind w:firstLine="0"/>
      </w:pPr>
      <w:r w:rsidRPr="005B65DF">
        <w:t>subplot(3,1,2)</w:t>
      </w:r>
    </w:p>
    <w:p w14:paraId="7D0BE94A" w14:textId="77777777" w:rsidR="00DB7A64" w:rsidRPr="005B65DF" w:rsidRDefault="00DB7A64" w:rsidP="00B6485F">
      <w:pPr>
        <w:ind w:firstLine="0"/>
      </w:pPr>
      <w:r w:rsidRPr="005B65DF">
        <w:t>plot(analyze(:,1),analyze(:,3));</w:t>
      </w:r>
    </w:p>
    <w:p w14:paraId="4D01A588" w14:textId="77777777" w:rsidR="00DB7A64" w:rsidRPr="005B65DF" w:rsidRDefault="00DB7A64" w:rsidP="00B6485F">
      <w:pPr>
        <w:ind w:firstLine="0"/>
      </w:pPr>
      <w:r w:rsidRPr="005B65DF">
        <w:t>subplot(3,1,3)</w:t>
      </w:r>
    </w:p>
    <w:p w14:paraId="2788D313" w14:textId="533830BD" w:rsidR="00DB7A64" w:rsidRPr="00DB7A64" w:rsidRDefault="00DB7A64" w:rsidP="00B6485F">
      <w:pPr>
        <w:ind w:firstLine="0"/>
      </w:pPr>
      <w:r w:rsidRPr="005B65DF">
        <w:t>plot(analyze(:,1),filtered_signal)</w:t>
      </w:r>
    </w:p>
    <w:sectPr w:rsidR="00DB7A64" w:rsidRPr="00DB7A64" w:rsidSect="00183731">
      <w:footerReference w:type="default" r:id="rId6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15C32" w14:textId="77777777" w:rsidR="003B11A0" w:rsidRDefault="003B11A0" w:rsidP="008E1C26">
      <w:pPr>
        <w:spacing w:line="240" w:lineRule="auto"/>
      </w:pPr>
      <w:r>
        <w:separator/>
      </w:r>
    </w:p>
  </w:endnote>
  <w:endnote w:type="continuationSeparator" w:id="0">
    <w:p w14:paraId="77C1FA42" w14:textId="77777777" w:rsidR="003B11A0" w:rsidRDefault="003B11A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8A49E" w14:textId="77777777" w:rsidR="00D87012" w:rsidRDefault="00D87012" w:rsidP="008E1C26">
    <w:pPr>
      <w:pStyle w:val="Footer"/>
      <w:jc w:val="center"/>
    </w:pPr>
    <w:r>
      <w:fldChar w:fldCharType="begin"/>
    </w:r>
    <w:r>
      <w:instrText xml:space="preserve"> PAGE   \* MERGEFORMAT </w:instrText>
    </w:r>
    <w:r>
      <w:fldChar w:fldCharType="separate"/>
    </w:r>
    <w:r>
      <w:rPr>
        <w:noProof/>
      </w:rPr>
      <w:t>xv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7ABD4" w14:textId="77777777" w:rsidR="00D87012" w:rsidRDefault="00D87012" w:rsidP="008E1C26">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7C0B3" w14:textId="77777777" w:rsidR="003B11A0" w:rsidRDefault="003B11A0" w:rsidP="008E1C26">
      <w:pPr>
        <w:spacing w:line="240" w:lineRule="auto"/>
      </w:pPr>
      <w:r>
        <w:separator/>
      </w:r>
    </w:p>
  </w:footnote>
  <w:footnote w:type="continuationSeparator" w:id="0">
    <w:p w14:paraId="08A1738B" w14:textId="77777777" w:rsidR="003B11A0" w:rsidRDefault="003B11A0"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0057E"/>
    <w:multiLevelType w:val="multilevel"/>
    <w:tmpl w:val="2ECEE118"/>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
  </w:num>
  <w:num w:numId="5">
    <w:abstractNumId w:val="3"/>
  </w:num>
  <w:num w:numId="6">
    <w:abstractNumId w:val="4"/>
  </w:num>
  <w:num w:numId="7">
    <w:abstractNumId w:val="5"/>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1D2F"/>
    <w:rsid w:val="00003087"/>
    <w:rsid w:val="000062A1"/>
    <w:rsid w:val="00006BAA"/>
    <w:rsid w:val="00007F64"/>
    <w:rsid w:val="00011196"/>
    <w:rsid w:val="00014BD3"/>
    <w:rsid w:val="00015B5C"/>
    <w:rsid w:val="00021230"/>
    <w:rsid w:val="00021FFC"/>
    <w:rsid w:val="00025A12"/>
    <w:rsid w:val="0003074C"/>
    <w:rsid w:val="00031B96"/>
    <w:rsid w:val="00041B04"/>
    <w:rsid w:val="00044558"/>
    <w:rsid w:val="00045059"/>
    <w:rsid w:val="00047358"/>
    <w:rsid w:val="0005374D"/>
    <w:rsid w:val="00054148"/>
    <w:rsid w:val="000672D4"/>
    <w:rsid w:val="00076B36"/>
    <w:rsid w:val="00077A99"/>
    <w:rsid w:val="00077F0A"/>
    <w:rsid w:val="0008176F"/>
    <w:rsid w:val="00083833"/>
    <w:rsid w:val="00083CC3"/>
    <w:rsid w:val="000879FD"/>
    <w:rsid w:val="00091215"/>
    <w:rsid w:val="000979C9"/>
    <w:rsid w:val="000A1183"/>
    <w:rsid w:val="000B201D"/>
    <w:rsid w:val="000B3F24"/>
    <w:rsid w:val="000B7133"/>
    <w:rsid w:val="000C0E4F"/>
    <w:rsid w:val="000C18E6"/>
    <w:rsid w:val="000C24B8"/>
    <w:rsid w:val="000D3E70"/>
    <w:rsid w:val="000E0815"/>
    <w:rsid w:val="000E1AD8"/>
    <w:rsid w:val="000F49EB"/>
    <w:rsid w:val="000F5176"/>
    <w:rsid w:val="000F56FF"/>
    <w:rsid w:val="0010303C"/>
    <w:rsid w:val="00105162"/>
    <w:rsid w:val="00105BBB"/>
    <w:rsid w:val="001074DA"/>
    <w:rsid w:val="00111915"/>
    <w:rsid w:val="001135C4"/>
    <w:rsid w:val="00113D25"/>
    <w:rsid w:val="00114119"/>
    <w:rsid w:val="00116624"/>
    <w:rsid w:val="0012126B"/>
    <w:rsid w:val="00121911"/>
    <w:rsid w:val="00121BE5"/>
    <w:rsid w:val="00137C58"/>
    <w:rsid w:val="00144258"/>
    <w:rsid w:val="00145A07"/>
    <w:rsid w:val="001504BE"/>
    <w:rsid w:val="00157290"/>
    <w:rsid w:val="00163879"/>
    <w:rsid w:val="00166207"/>
    <w:rsid w:val="00171371"/>
    <w:rsid w:val="00172240"/>
    <w:rsid w:val="00172971"/>
    <w:rsid w:val="00176763"/>
    <w:rsid w:val="00183731"/>
    <w:rsid w:val="00183A35"/>
    <w:rsid w:val="00185B7E"/>
    <w:rsid w:val="00186408"/>
    <w:rsid w:val="00187513"/>
    <w:rsid w:val="00187691"/>
    <w:rsid w:val="001928C3"/>
    <w:rsid w:val="001946D6"/>
    <w:rsid w:val="0019478A"/>
    <w:rsid w:val="001A303C"/>
    <w:rsid w:val="001A3DDE"/>
    <w:rsid w:val="001A5BBE"/>
    <w:rsid w:val="001A5FED"/>
    <w:rsid w:val="001B12EF"/>
    <w:rsid w:val="001B521A"/>
    <w:rsid w:val="001C10A0"/>
    <w:rsid w:val="001C3B63"/>
    <w:rsid w:val="001C7D4B"/>
    <w:rsid w:val="001D0D28"/>
    <w:rsid w:val="001D1CFE"/>
    <w:rsid w:val="001D335F"/>
    <w:rsid w:val="001D5B83"/>
    <w:rsid w:val="001E442B"/>
    <w:rsid w:val="001E525B"/>
    <w:rsid w:val="001F0EE6"/>
    <w:rsid w:val="001F3D5D"/>
    <w:rsid w:val="00206EB3"/>
    <w:rsid w:val="002147D8"/>
    <w:rsid w:val="00216C1B"/>
    <w:rsid w:val="002266CD"/>
    <w:rsid w:val="00227893"/>
    <w:rsid w:val="002327F4"/>
    <w:rsid w:val="00234B40"/>
    <w:rsid w:val="0023517C"/>
    <w:rsid w:val="002434F6"/>
    <w:rsid w:val="00244C26"/>
    <w:rsid w:val="00247B6B"/>
    <w:rsid w:val="00247D31"/>
    <w:rsid w:val="00251BDB"/>
    <w:rsid w:val="0025377C"/>
    <w:rsid w:val="00257382"/>
    <w:rsid w:val="0025754A"/>
    <w:rsid w:val="0025769F"/>
    <w:rsid w:val="00260079"/>
    <w:rsid w:val="00260432"/>
    <w:rsid w:val="00260F8F"/>
    <w:rsid w:val="00260F9A"/>
    <w:rsid w:val="00261CE7"/>
    <w:rsid w:val="00263759"/>
    <w:rsid w:val="0026427F"/>
    <w:rsid w:val="0026519F"/>
    <w:rsid w:val="00271ED6"/>
    <w:rsid w:val="00273095"/>
    <w:rsid w:val="00274E2C"/>
    <w:rsid w:val="00284A38"/>
    <w:rsid w:val="002868B3"/>
    <w:rsid w:val="00286E47"/>
    <w:rsid w:val="002877E7"/>
    <w:rsid w:val="00291636"/>
    <w:rsid w:val="00291955"/>
    <w:rsid w:val="002935F2"/>
    <w:rsid w:val="002968AA"/>
    <w:rsid w:val="002A0FFA"/>
    <w:rsid w:val="002A3164"/>
    <w:rsid w:val="002A3B05"/>
    <w:rsid w:val="002B0E36"/>
    <w:rsid w:val="002B38BC"/>
    <w:rsid w:val="002B4D79"/>
    <w:rsid w:val="002C3F2A"/>
    <w:rsid w:val="002D6E20"/>
    <w:rsid w:val="002E157F"/>
    <w:rsid w:val="002E26C1"/>
    <w:rsid w:val="002F5BDB"/>
    <w:rsid w:val="002F6C1F"/>
    <w:rsid w:val="00300167"/>
    <w:rsid w:val="00304FD6"/>
    <w:rsid w:val="0030767B"/>
    <w:rsid w:val="00311029"/>
    <w:rsid w:val="00314F3F"/>
    <w:rsid w:val="00316832"/>
    <w:rsid w:val="003218D0"/>
    <w:rsid w:val="0032308A"/>
    <w:rsid w:val="003240AA"/>
    <w:rsid w:val="003303F5"/>
    <w:rsid w:val="00332BD7"/>
    <w:rsid w:val="00335F38"/>
    <w:rsid w:val="00336FC8"/>
    <w:rsid w:val="0033720B"/>
    <w:rsid w:val="003430B1"/>
    <w:rsid w:val="00343673"/>
    <w:rsid w:val="003444F5"/>
    <w:rsid w:val="003450B1"/>
    <w:rsid w:val="0035104F"/>
    <w:rsid w:val="003521C8"/>
    <w:rsid w:val="00352954"/>
    <w:rsid w:val="00352E39"/>
    <w:rsid w:val="00356F7D"/>
    <w:rsid w:val="0035794F"/>
    <w:rsid w:val="003607A8"/>
    <w:rsid w:val="003635D6"/>
    <w:rsid w:val="00364037"/>
    <w:rsid w:val="00375B4D"/>
    <w:rsid w:val="00385E9D"/>
    <w:rsid w:val="00386E26"/>
    <w:rsid w:val="00391B72"/>
    <w:rsid w:val="00391E41"/>
    <w:rsid w:val="00393159"/>
    <w:rsid w:val="00395E23"/>
    <w:rsid w:val="00396207"/>
    <w:rsid w:val="003A060D"/>
    <w:rsid w:val="003B0A2F"/>
    <w:rsid w:val="003B0AB8"/>
    <w:rsid w:val="003B11A0"/>
    <w:rsid w:val="003B16EC"/>
    <w:rsid w:val="003B2C8C"/>
    <w:rsid w:val="003B4001"/>
    <w:rsid w:val="003B6465"/>
    <w:rsid w:val="003B6FE5"/>
    <w:rsid w:val="003B73A8"/>
    <w:rsid w:val="003B7C2A"/>
    <w:rsid w:val="003C1784"/>
    <w:rsid w:val="003C18A5"/>
    <w:rsid w:val="003C4831"/>
    <w:rsid w:val="003C4870"/>
    <w:rsid w:val="003C4C46"/>
    <w:rsid w:val="003C5A99"/>
    <w:rsid w:val="003D0238"/>
    <w:rsid w:val="003D34F2"/>
    <w:rsid w:val="003D47D5"/>
    <w:rsid w:val="003D7625"/>
    <w:rsid w:val="003E10E6"/>
    <w:rsid w:val="003E22B5"/>
    <w:rsid w:val="003F0402"/>
    <w:rsid w:val="003F1533"/>
    <w:rsid w:val="003F7596"/>
    <w:rsid w:val="004049AC"/>
    <w:rsid w:val="00410F1D"/>
    <w:rsid w:val="00415ED9"/>
    <w:rsid w:val="0041758F"/>
    <w:rsid w:val="00417B58"/>
    <w:rsid w:val="00432A9D"/>
    <w:rsid w:val="00436694"/>
    <w:rsid w:val="004431F8"/>
    <w:rsid w:val="00447458"/>
    <w:rsid w:val="00461AA9"/>
    <w:rsid w:val="00466A16"/>
    <w:rsid w:val="00470795"/>
    <w:rsid w:val="004727FB"/>
    <w:rsid w:val="00472B7F"/>
    <w:rsid w:val="00472EF8"/>
    <w:rsid w:val="004732BB"/>
    <w:rsid w:val="00474FA1"/>
    <w:rsid w:val="00481191"/>
    <w:rsid w:val="00483139"/>
    <w:rsid w:val="0048492B"/>
    <w:rsid w:val="00486883"/>
    <w:rsid w:val="004916B5"/>
    <w:rsid w:val="00492B24"/>
    <w:rsid w:val="00493D9F"/>
    <w:rsid w:val="004A08AF"/>
    <w:rsid w:val="004A52B4"/>
    <w:rsid w:val="004A7222"/>
    <w:rsid w:val="004B2848"/>
    <w:rsid w:val="004B42CA"/>
    <w:rsid w:val="004B4DBB"/>
    <w:rsid w:val="004C0CF9"/>
    <w:rsid w:val="004C2D28"/>
    <w:rsid w:val="004C470C"/>
    <w:rsid w:val="004C4892"/>
    <w:rsid w:val="004C7308"/>
    <w:rsid w:val="004D5835"/>
    <w:rsid w:val="004E41F4"/>
    <w:rsid w:val="004E44CE"/>
    <w:rsid w:val="004E4AD2"/>
    <w:rsid w:val="004E5193"/>
    <w:rsid w:val="004E7D85"/>
    <w:rsid w:val="00501220"/>
    <w:rsid w:val="00503322"/>
    <w:rsid w:val="005033B8"/>
    <w:rsid w:val="005163FF"/>
    <w:rsid w:val="0052338B"/>
    <w:rsid w:val="00527497"/>
    <w:rsid w:val="005276AF"/>
    <w:rsid w:val="0053028C"/>
    <w:rsid w:val="00532FE9"/>
    <w:rsid w:val="005354E8"/>
    <w:rsid w:val="0054020C"/>
    <w:rsid w:val="00540477"/>
    <w:rsid w:val="005421C8"/>
    <w:rsid w:val="0055104B"/>
    <w:rsid w:val="005527E7"/>
    <w:rsid w:val="00552E35"/>
    <w:rsid w:val="00556332"/>
    <w:rsid w:val="00557A59"/>
    <w:rsid w:val="0056341D"/>
    <w:rsid w:val="00573C14"/>
    <w:rsid w:val="0057500C"/>
    <w:rsid w:val="0057623D"/>
    <w:rsid w:val="0057775C"/>
    <w:rsid w:val="00582EBC"/>
    <w:rsid w:val="00583C7E"/>
    <w:rsid w:val="005874C5"/>
    <w:rsid w:val="00591ED8"/>
    <w:rsid w:val="00594415"/>
    <w:rsid w:val="005A034B"/>
    <w:rsid w:val="005A19FF"/>
    <w:rsid w:val="005A2B79"/>
    <w:rsid w:val="005A3FE0"/>
    <w:rsid w:val="005B0705"/>
    <w:rsid w:val="005B16E2"/>
    <w:rsid w:val="005B533B"/>
    <w:rsid w:val="005B65DF"/>
    <w:rsid w:val="005C1FD3"/>
    <w:rsid w:val="005C2195"/>
    <w:rsid w:val="005C5EE0"/>
    <w:rsid w:val="005C67D8"/>
    <w:rsid w:val="005E3726"/>
    <w:rsid w:val="005E5CCB"/>
    <w:rsid w:val="005E64CF"/>
    <w:rsid w:val="005F54C4"/>
    <w:rsid w:val="006010A2"/>
    <w:rsid w:val="006071B2"/>
    <w:rsid w:val="006167FB"/>
    <w:rsid w:val="006249F5"/>
    <w:rsid w:val="006272E7"/>
    <w:rsid w:val="006273C0"/>
    <w:rsid w:val="00633C74"/>
    <w:rsid w:val="00645A8F"/>
    <w:rsid w:val="00647814"/>
    <w:rsid w:val="00651517"/>
    <w:rsid w:val="00653C73"/>
    <w:rsid w:val="00655A39"/>
    <w:rsid w:val="00661071"/>
    <w:rsid w:val="00661C13"/>
    <w:rsid w:val="00663725"/>
    <w:rsid w:val="006728B8"/>
    <w:rsid w:val="00672BBF"/>
    <w:rsid w:val="00682344"/>
    <w:rsid w:val="00683FB9"/>
    <w:rsid w:val="00684DB8"/>
    <w:rsid w:val="006905C5"/>
    <w:rsid w:val="0069221B"/>
    <w:rsid w:val="0069549B"/>
    <w:rsid w:val="006965BB"/>
    <w:rsid w:val="006A1ADB"/>
    <w:rsid w:val="006A6340"/>
    <w:rsid w:val="006A6F6C"/>
    <w:rsid w:val="006A779C"/>
    <w:rsid w:val="006B1D41"/>
    <w:rsid w:val="006B1F8B"/>
    <w:rsid w:val="006B3196"/>
    <w:rsid w:val="006B4721"/>
    <w:rsid w:val="006C1E6A"/>
    <w:rsid w:val="006C7BBF"/>
    <w:rsid w:val="006D1B98"/>
    <w:rsid w:val="006D390C"/>
    <w:rsid w:val="006D485C"/>
    <w:rsid w:val="006E6C83"/>
    <w:rsid w:val="006F10CE"/>
    <w:rsid w:val="006F313C"/>
    <w:rsid w:val="006F401C"/>
    <w:rsid w:val="006F5529"/>
    <w:rsid w:val="006F5CC0"/>
    <w:rsid w:val="006F6E06"/>
    <w:rsid w:val="0070017B"/>
    <w:rsid w:val="00705086"/>
    <w:rsid w:val="0070778E"/>
    <w:rsid w:val="00720002"/>
    <w:rsid w:val="00720FA8"/>
    <w:rsid w:val="007217FE"/>
    <w:rsid w:val="0072190B"/>
    <w:rsid w:val="007225BE"/>
    <w:rsid w:val="007247B0"/>
    <w:rsid w:val="00730CD8"/>
    <w:rsid w:val="00730F0A"/>
    <w:rsid w:val="00740ECF"/>
    <w:rsid w:val="00741833"/>
    <w:rsid w:val="00745834"/>
    <w:rsid w:val="00746300"/>
    <w:rsid w:val="00746E16"/>
    <w:rsid w:val="00753DB8"/>
    <w:rsid w:val="007559B1"/>
    <w:rsid w:val="00756CB6"/>
    <w:rsid w:val="00761FDB"/>
    <w:rsid w:val="0076487B"/>
    <w:rsid w:val="007739FB"/>
    <w:rsid w:val="00775701"/>
    <w:rsid w:val="00775AAB"/>
    <w:rsid w:val="00776A2E"/>
    <w:rsid w:val="007771CE"/>
    <w:rsid w:val="00784056"/>
    <w:rsid w:val="00784171"/>
    <w:rsid w:val="00784FD4"/>
    <w:rsid w:val="007864D2"/>
    <w:rsid w:val="0078679A"/>
    <w:rsid w:val="007912B4"/>
    <w:rsid w:val="0079133B"/>
    <w:rsid w:val="007963E9"/>
    <w:rsid w:val="007A6FB1"/>
    <w:rsid w:val="007A7866"/>
    <w:rsid w:val="007B67B3"/>
    <w:rsid w:val="007B6B12"/>
    <w:rsid w:val="007C104E"/>
    <w:rsid w:val="007C7A0E"/>
    <w:rsid w:val="007D1941"/>
    <w:rsid w:val="007E37C5"/>
    <w:rsid w:val="007F2648"/>
    <w:rsid w:val="008106E1"/>
    <w:rsid w:val="00813A34"/>
    <w:rsid w:val="00817673"/>
    <w:rsid w:val="0082106A"/>
    <w:rsid w:val="008253D8"/>
    <w:rsid w:val="0082601C"/>
    <w:rsid w:val="008264BE"/>
    <w:rsid w:val="00835283"/>
    <w:rsid w:val="00836EA2"/>
    <w:rsid w:val="00841129"/>
    <w:rsid w:val="00841698"/>
    <w:rsid w:val="00841821"/>
    <w:rsid w:val="00842183"/>
    <w:rsid w:val="00845926"/>
    <w:rsid w:val="00855EA1"/>
    <w:rsid w:val="00866C4E"/>
    <w:rsid w:val="00871DC5"/>
    <w:rsid w:val="00871EB3"/>
    <w:rsid w:val="0088207F"/>
    <w:rsid w:val="00883993"/>
    <w:rsid w:val="00890412"/>
    <w:rsid w:val="0089235C"/>
    <w:rsid w:val="0089253C"/>
    <w:rsid w:val="008978FE"/>
    <w:rsid w:val="008A150D"/>
    <w:rsid w:val="008A1EE9"/>
    <w:rsid w:val="008A42D8"/>
    <w:rsid w:val="008A4C91"/>
    <w:rsid w:val="008A4F22"/>
    <w:rsid w:val="008B3E93"/>
    <w:rsid w:val="008B7D68"/>
    <w:rsid w:val="008C27FE"/>
    <w:rsid w:val="008C4D41"/>
    <w:rsid w:val="008E1C26"/>
    <w:rsid w:val="008E2352"/>
    <w:rsid w:val="008F1822"/>
    <w:rsid w:val="008F2345"/>
    <w:rsid w:val="008F7A76"/>
    <w:rsid w:val="00900E12"/>
    <w:rsid w:val="00901026"/>
    <w:rsid w:val="00901AF8"/>
    <w:rsid w:val="0091189A"/>
    <w:rsid w:val="00913168"/>
    <w:rsid w:val="00917021"/>
    <w:rsid w:val="00917D6C"/>
    <w:rsid w:val="009213FA"/>
    <w:rsid w:val="009245C5"/>
    <w:rsid w:val="0092501D"/>
    <w:rsid w:val="00931893"/>
    <w:rsid w:val="00931BB1"/>
    <w:rsid w:val="0093266D"/>
    <w:rsid w:val="009350B6"/>
    <w:rsid w:val="00952BBC"/>
    <w:rsid w:val="00956FD0"/>
    <w:rsid w:val="00957373"/>
    <w:rsid w:val="00957707"/>
    <w:rsid w:val="009606AD"/>
    <w:rsid w:val="009609A2"/>
    <w:rsid w:val="009635C4"/>
    <w:rsid w:val="00965CD4"/>
    <w:rsid w:val="009671ED"/>
    <w:rsid w:val="00971CE8"/>
    <w:rsid w:val="00972E80"/>
    <w:rsid w:val="009741E0"/>
    <w:rsid w:val="00976BD6"/>
    <w:rsid w:val="00981E4A"/>
    <w:rsid w:val="009834FD"/>
    <w:rsid w:val="009835A5"/>
    <w:rsid w:val="00990F73"/>
    <w:rsid w:val="00992C28"/>
    <w:rsid w:val="00996FC3"/>
    <w:rsid w:val="00997AAB"/>
    <w:rsid w:val="009A1894"/>
    <w:rsid w:val="009A2B95"/>
    <w:rsid w:val="009A2C8A"/>
    <w:rsid w:val="009A75C5"/>
    <w:rsid w:val="009B0399"/>
    <w:rsid w:val="009B137E"/>
    <w:rsid w:val="009B3C55"/>
    <w:rsid w:val="009B430A"/>
    <w:rsid w:val="009B49FC"/>
    <w:rsid w:val="009B66EF"/>
    <w:rsid w:val="009C5C49"/>
    <w:rsid w:val="009C71C3"/>
    <w:rsid w:val="009D4264"/>
    <w:rsid w:val="009D66ED"/>
    <w:rsid w:val="009E396E"/>
    <w:rsid w:val="009F0071"/>
    <w:rsid w:val="009F6338"/>
    <w:rsid w:val="00A006A9"/>
    <w:rsid w:val="00A0094B"/>
    <w:rsid w:val="00A02A61"/>
    <w:rsid w:val="00A03846"/>
    <w:rsid w:val="00A05C8F"/>
    <w:rsid w:val="00A076FE"/>
    <w:rsid w:val="00A1591F"/>
    <w:rsid w:val="00A168F4"/>
    <w:rsid w:val="00A1795B"/>
    <w:rsid w:val="00A27F14"/>
    <w:rsid w:val="00A34B78"/>
    <w:rsid w:val="00A36220"/>
    <w:rsid w:val="00A36FDE"/>
    <w:rsid w:val="00A460F3"/>
    <w:rsid w:val="00A50007"/>
    <w:rsid w:val="00A523B9"/>
    <w:rsid w:val="00A53E9F"/>
    <w:rsid w:val="00A5626C"/>
    <w:rsid w:val="00A66248"/>
    <w:rsid w:val="00A7434A"/>
    <w:rsid w:val="00A77093"/>
    <w:rsid w:val="00A771B1"/>
    <w:rsid w:val="00A77361"/>
    <w:rsid w:val="00A82147"/>
    <w:rsid w:val="00A90527"/>
    <w:rsid w:val="00A96BFD"/>
    <w:rsid w:val="00AA0958"/>
    <w:rsid w:val="00AA097A"/>
    <w:rsid w:val="00AA0B13"/>
    <w:rsid w:val="00AA1B3B"/>
    <w:rsid w:val="00AB1D30"/>
    <w:rsid w:val="00AB4295"/>
    <w:rsid w:val="00AB5359"/>
    <w:rsid w:val="00AB544C"/>
    <w:rsid w:val="00AB6D20"/>
    <w:rsid w:val="00AC133F"/>
    <w:rsid w:val="00AC5B40"/>
    <w:rsid w:val="00AC5E50"/>
    <w:rsid w:val="00AC64D7"/>
    <w:rsid w:val="00AC6B91"/>
    <w:rsid w:val="00AD0C72"/>
    <w:rsid w:val="00AD2463"/>
    <w:rsid w:val="00AE26A7"/>
    <w:rsid w:val="00AF0BB2"/>
    <w:rsid w:val="00AF6E7E"/>
    <w:rsid w:val="00B02DDC"/>
    <w:rsid w:val="00B07D86"/>
    <w:rsid w:val="00B1329A"/>
    <w:rsid w:val="00B1653B"/>
    <w:rsid w:val="00B17F14"/>
    <w:rsid w:val="00B224CD"/>
    <w:rsid w:val="00B25DEE"/>
    <w:rsid w:val="00B26394"/>
    <w:rsid w:val="00B270FE"/>
    <w:rsid w:val="00B342CA"/>
    <w:rsid w:val="00B36426"/>
    <w:rsid w:val="00B36517"/>
    <w:rsid w:val="00B36B66"/>
    <w:rsid w:val="00B42792"/>
    <w:rsid w:val="00B5705E"/>
    <w:rsid w:val="00B630EA"/>
    <w:rsid w:val="00B6485F"/>
    <w:rsid w:val="00B7401C"/>
    <w:rsid w:val="00B74180"/>
    <w:rsid w:val="00B84FDC"/>
    <w:rsid w:val="00B905E2"/>
    <w:rsid w:val="00B9413E"/>
    <w:rsid w:val="00B96B27"/>
    <w:rsid w:val="00B9723D"/>
    <w:rsid w:val="00B9733B"/>
    <w:rsid w:val="00BA1A3A"/>
    <w:rsid w:val="00BA39B2"/>
    <w:rsid w:val="00BA508E"/>
    <w:rsid w:val="00BA5B8F"/>
    <w:rsid w:val="00BA657F"/>
    <w:rsid w:val="00BA66E7"/>
    <w:rsid w:val="00BA75DB"/>
    <w:rsid w:val="00BB0263"/>
    <w:rsid w:val="00BB3F72"/>
    <w:rsid w:val="00BB50E5"/>
    <w:rsid w:val="00BB5BB2"/>
    <w:rsid w:val="00BB678C"/>
    <w:rsid w:val="00BC4879"/>
    <w:rsid w:val="00BD0423"/>
    <w:rsid w:val="00BD1142"/>
    <w:rsid w:val="00BD45C8"/>
    <w:rsid w:val="00BE00FF"/>
    <w:rsid w:val="00BE2C3E"/>
    <w:rsid w:val="00BE56EA"/>
    <w:rsid w:val="00BE5A5E"/>
    <w:rsid w:val="00BF1C12"/>
    <w:rsid w:val="00BF5934"/>
    <w:rsid w:val="00BF6998"/>
    <w:rsid w:val="00C020B0"/>
    <w:rsid w:val="00C16C66"/>
    <w:rsid w:val="00C20A7B"/>
    <w:rsid w:val="00C312C1"/>
    <w:rsid w:val="00C31E2A"/>
    <w:rsid w:val="00C3745C"/>
    <w:rsid w:val="00C400FC"/>
    <w:rsid w:val="00C4062A"/>
    <w:rsid w:val="00C4344B"/>
    <w:rsid w:val="00C45817"/>
    <w:rsid w:val="00C479C8"/>
    <w:rsid w:val="00C512AC"/>
    <w:rsid w:val="00C54100"/>
    <w:rsid w:val="00C56AFE"/>
    <w:rsid w:val="00C63C23"/>
    <w:rsid w:val="00C64AF0"/>
    <w:rsid w:val="00C6764C"/>
    <w:rsid w:val="00C70351"/>
    <w:rsid w:val="00C710EE"/>
    <w:rsid w:val="00C72242"/>
    <w:rsid w:val="00C774DB"/>
    <w:rsid w:val="00C8326D"/>
    <w:rsid w:val="00C83F57"/>
    <w:rsid w:val="00C8505D"/>
    <w:rsid w:val="00C92079"/>
    <w:rsid w:val="00C96A6C"/>
    <w:rsid w:val="00CA3128"/>
    <w:rsid w:val="00CA336F"/>
    <w:rsid w:val="00CA498F"/>
    <w:rsid w:val="00CA768A"/>
    <w:rsid w:val="00CC04E8"/>
    <w:rsid w:val="00CC7E26"/>
    <w:rsid w:val="00CD1B5A"/>
    <w:rsid w:val="00CD6DAB"/>
    <w:rsid w:val="00CE0884"/>
    <w:rsid w:val="00CE62F2"/>
    <w:rsid w:val="00CF4361"/>
    <w:rsid w:val="00CF6690"/>
    <w:rsid w:val="00CF6F10"/>
    <w:rsid w:val="00D02995"/>
    <w:rsid w:val="00D047D8"/>
    <w:rsid w:val="00D05944"/>
    <w:rsid w:val="00D07AF1"/>
    <w:rsid w:val="00D1472A"/>
    <w:rsid w:val="00D211A1"/>
    <w:rsid w:val="00D21F65"/>
    <w:rsid w:val="00D22EE3"/>
    <w:rsid w:val="00D244B4"/>
    <w:rsid w:val="00D2752C"/>
    <w:rsid w:val="00D323D6"/>
    <w:rsid w:val="00D46B34"/>
    <w:rsid w:val="00D46BC8"/>
    <w:rsid w:val="00D53E4D"/>
    <w:rsid w:val="00D54F29"/>
    <w:rsid w:val="00D60C05"/>
    <w:rsid w:val="00D6395A"/>
    <w:rsid w:val="00D65384"/>
    <w:rsid w:val="00D65CC5"/>
    <w:rsid w:val="00D70F92"/>
    <w:rsid w:val="00D74587"/>
    <w:rsid w:val="00D75B66"/>
    <w:rsid w:val="00D7659C"/>
    <w:rsid w:val="00D76CEF"/>
    <w:rsid w:val="00D825A8"/>
    <w:rsid w:val="00D83227"/>
    <w:rsid w:val="00D83DB2"/>
    <w:rsid w:val="00D87012"/>
    <w:rsid w:val="00D876E4"/>
    <w:rsid w:val="00D9028B"/>
    <w:rsid w:val="00D939F7"/>
    <w:rsid w:val="00D9410F"/>
    <w:rsid w:val="00D947E0"/>
    <w:rsid w:val="00D94A72"/>
    <w:rsid w:val="00D97CFA"/>
    <w:rsid w:val="00DA02BF"/>
    <w:rsid w:val="00DA1614"/>
    <w:rsid w:val="00DA1971"/>
    <w:rsid w:val="00DB1BD7"/>
    <w:rsid w:val="00DB57AB"/>
    <w:rsid w:val="00DB664C"/>
    <w:rsid w:val="00DB7A64"/>
    <w:rsid w:val="00DC0EF7"/>
    <w:rsid w:val="00DC414B"/>
    <w:rsid w:val="00DC6749"/>
    <w:rsid w:val="00DC7AA7"/>
    <w:rsid w:val="00DD484C"/>
    <w:rsid w:val="00DD75BA"/>
    <w:rsid w:val="00DE1EF7"/>
    <w:rsid w:val="00DE2D91"/>
    <w:rsid w:val="00DE4F49"/>
    <w:rsid w:val="00DE5013"/>
    <w:rsid w:val="00DE50F8"/>
    <w:rsid w:val="00DF02F5"/>
    <w:rsid w:val="00DF07C8"/>
    <w:rsid w:val="00DF46BB"/>
    <w:rsid w:val="00DF4B88"/>
    <w:rsid w:val="00E01826"/>
    <w:rsid w:val="00E02B37"/>
    <w:rsid w:val="00E0501B"/>
    <w:rsid w:val="00E0754D"/>
    <w:rsid w:val="00E11D2F"/>
    <w:rsid w:val="00E132A1"/>
    <w:rsid w:val="00E13E4C"/>
    <w:rsid w:val="00E17608"/>
    <w:rsid w:val="00E20B9A"/>
    <w:rsid w:val="00E229D3"/>
    <w:rsid w:val="00E23EDF"/>
    <w:rsid w:val="00E241C5"/>
    <w:rsid w:val="00E252B0"/>
    <w:rsid w:val="00E25E9C"/>
    <w:rsid w:val="00E30DA2"/>
    <w:rsid w:val="00E43785"/>
    <w:rsid w:val="00E44A01"/>
    <w:rsid w:val="00E453E8"/>
    <w:rsid w:val="00E50519"/>
    <w:rsid w:val="00E51C25"/>
    <w:rsid w:val="00E53D7E"/>
    <w:rsid w:val="00E5537D"/>
    <w:rsid w:val="00E553B0"/>
    <w:rsid w:val="00E55D79"/>
    <w:rsid w:val="00E628DF"/>
    <w:rsid w:val="00E63E44"/>
    <w:rsid w:val="00E70BB8"/>
    <w:rsid w:val="00E77477"/>
    <w:rsid w:val="00E806F2"/>
    <w:rsid w:val="00E871DD"/>
    <w:rsid w:val="00EA13D9"/>
    <w:rsid w:val="00EA7E4F"/>
    <w:rsid w:val="00EB2467"/>
    <w:rsid w:val="00ED06E5"/>
    <w:rsid w:val="00ED144C"/>
    <w:rsid w:val="00ED1BF3"/>
    <w:rsid w:val="00ED3AD3"/>
    <w:rsid w:val="00ED645C"/>
    <w:rsid w:val="00ED6F0B"/>
    <w:rsid w:val="00EE09A7"/>
    <w:rsid w:val="00EE1461"/>
    <w:rsid w:val="00EE1901"/>
    <w:rsid w:val="00EE3797"/>
    <w:rsid w:val="00EE6C64"/>
    <w:rsid w:val="00EE7918"/>
    <w:rsid w:val="00EF29A9"/>
    <w:rsid w:val="00F01BA5"/>
    <w:rsid w:val="00F01DF5"/>
    <w:rsid w:val="00F0277F"/>
    <w:rsid w:val="00F0745F"/>
    <w:rsid w:val="00F17BA3"/>
    <w:rsid w:val="00F201E8"/>
    <w:rsid w:val="00F20222"/>
    <w:rsid w:val="00F262E9"/>
    <w:rsid w:val="00F27248"/>
    <w:rsid w:val="00F3023F"/>
    <w:rsid w:val="00F367BC"/>
    <w:rsid w:val="00F36CFE"/>
    <w:rsid w:val="00F37F46"/>
    <w:rsid w:val="00F40C4E"/>
    <w:rsid w:val="00F4314F"/>
    <w:rsid w:val="00F44511"/>
    <w:rsid w:val="00F460A6"/>
    <w:rsid w:val="00F46A49"/>
    <w:rsid w:val="00F46EB7"/>
    <w:rsid w:val="00F7122D"/>
    <w:rsid w:val="00F7354D"/>
    <w:rsid w:val="00F73A47"/>
    <w:rsid w:val="00F76A97"/>
    <w:rsid w:val="00F8498C"/>
    <w:rsid w:val="00F84C4E"/>
    <w:rsid w:val="00F854B3"/>
    <w:rsid w:val="00F875D0"/>
    <w:rsid w:val="00F93475"/>
    <w:rsid w:val="00FA2425"/>
    <w:rsid w:val="00FA2B06"/>
    <w:rsid w:val="00FA37B5"/>
    <w:rsid w:val="00FA59BB"/>
    <w:rsid w:val="00FA68C2"/>
    <w:rsid w:val="00FB150C"/>
    <w:rsid w:val="00FB2479"/>
    <w:rsid w:val="00FB2645"/>
    <w:rsid w:val="00FB5287"/>
    <w:rsid w:val="00FB5801"/>
    <w:rsid w:val="00FC3CCD"/>
    <w:rsid w:val="00FC6A58"/>
    <w:rsid w:val="00FC70C6"/>
    <w:rsid w:val="00FD2EE5"/>
    <w:rsid w:val="00FD31E2"/>
    <w:rsid w:val="00FD6142"/>
    <w:rsid w:val="00FE1B47"/>
    <w:rsid w:val="00FE3659"/>
    <w:rsid w:val="00FE398F"/>
    <w:rsid w:val="00FE5310"/>
    <w:rsid w:val="00FF0B83"/>
    <w:rsid w:val="00FF0F0F"/>
    <w:rsid w:val="00FF2CF6"/>
    <w:rsid w:val="00FF3ABC"/>
    <w:rsid w:val="00FF6D43"/>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C64D3"/>
  <w15:docId w15:val="{7539D3AE-528B-40FE-B47B-ACC9468D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04F"/>
    <w:pPr>
      <w:spacing w:line="480" w:lineRule="auto"/>
      <w:ind w:firstLine="720"/>
    </w:pPr>
    <w:rPr>
      <w:rFonts w:asciiTheme="minorHAnsi" w:hAnsiTheme="minorHAnsi"/>
      <w:sz w:val="24"/>
      <w:szCs w:val="24"/>
      <w:lang w:bidi="en-US"/>
    </w:rPr>
  </w:style>
  <w:style w:type="paragraph" w:styleId="Heading1">
    <w:name w:val="heading 1"/>
    <w:next w:val="Normal"/>
    <w:link w:val="Heading1Char"/>
    <w:autoRedefine/>
    <w:uiPriority w:val="9"/>
    <w:qFormat/>
    <w:rsid w:val="00A02A61"/>
    <w:pPr>
      <w:numPr>
        <w:numId w:val="9"/>
      </w:num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C7308"/>
    <w:pPr>
      <w:keepNext/>
      <w:numPr>
        <w:ilvl w:val="1"/>
        <w:numId w:val="9"/>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6427F"/>
    <w:pPr>
      <w:keepNext/>
      <w:numPr>
        <w:ilvl w:val="2"/>
        <w:numId w:val="9"/>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9"/>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9"/>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9"/>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9"/>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9"/>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9"/>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A6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C730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26427F"/>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C2D28"/>
    <w:pPr>
      <w:tabs>
        <w:tab w:val="right" w:leader="dot" w:pos="9360"/>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customStyle="1" w:styleId="TableGrid1">
    <w:name w:val="Table Grid1"/>
    <w:basedOn w:val="TableNormal"/>
    <w:next w:val="TableGrid"/>
    <w:uiPriority w:val="39"/>
    <w:rsid w:val="0095737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1533"/>
    <w:rPr>
      <w:sz w:val="16"/>
      <w:szCs w:val="16"/>
    </w:rPr>
  </w:style>
  <w:style w:type="paragraph" w:styleId="CommentText">
    <w:name w:val="annotation text"/>
    <w:basedOn w:val="Normal"/>
    <w:link w:val="CommentTextChar"/>
    <w:uiPriority w:val="99"/>
    <w:semiHidden/>
    <w:unhideWhenUsed/>
    <w:rsid w:val="003F1533"/>
    <w:pPr>
      <w:spacing w:line="240" w:lineRule="auto"/>
    </w:pPr>
    <w:rPr>
      <w:sz w:val="20"/>
      <w:szCs w:val="20"/>
    </w:rPr>
  </w:style>
  <w:style w:type="character" w:customStyle="1" w:styleId="CommentTextChar">
    <w:name w:val="Comment Text Char"/>
    <w:basedOn w:val="DefaultParagraphFont"/>
    <w:link w:val="CommentText"/>
    <w:uiPriority w:val="99"/>
    <w:semiHidden/>
    <w:rsid w:val="003F1533"/>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3F1533"/>
    <w:rPr>
      <w:b/>
      <w:bCs/>
    </w:rPr>
  </w:style>
  <w:style w:type="character" w:customStyle="1" w:styleId="CommentSubjectChar">
    <w:name w:val="Comment Subject Char"/>
    <w:basedOn w:val="CommentTextChar"/>
    <w:link w:val="CommentSubject"/>
    <w:uiPriority w:val="99"/>
    <w:semiHidden/>
    <w:rsid w:val="003F1533"/>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58386">
      <w:bodyDiv w:val="1"/>
      <w:marLeft w:val="0"/>
      <w:marRight w:val="0"/>
      <w:marTop w:val="0"/>
      <w:marBottom w:val="0"/>
      <w:divBdr>
        <w:top w:val="none" w:sz="0" w:space="0" w:color="auto"/>
        <w:left w:val="none" w:sz="0" w:space="0" w:color="auto"/>
        <w:bottom w:val="none" w:sz="0" w:space="0" w:color="auto"/>
        <w:right w:val="none" w:sz="0" w:space="0" w:color="auto"/>
      </w:divBdr>
      <w:divsChild>
        <w:div w:id="165171179">
          <w:marLeft w:val="0"/>
          <w:marRight w:val="0"/>
          <w:marTop w:val="0"/>
          <w:marBottom w:val="0"/>
          <w:divBdr>
            <w:top w:val="none" w:sz="0" w:space="0" w:color="auto"/>
            <w:left w:val="none" w:sz="0" w:space="0" w:color="auto"/>
            <w:bottom w:val="none" w:sz="0" w:space="0" w:color="auto"/>
            <w:right w:val="none" w:sz="0" w:space="0" w:color="auto"/>
          </w:divBdr>
        </w:div>
        <w:div w:id="1325401862">
          <w:marLeft w:val="0"/>
          <w:marRight w:val="0"/>
          <w:marTop w:val="0"/>
          <w:marBottom w:val="0"/>
          <w:divBdr>
            <w:top w:val="none" w:sz="0" w:space="0" w:color="auto"/>
            <w:left w:val="none" w:sz="0" w:space="0" w:color="auto"/>
            <w:bottom w:val="none" w:sz="0" w:space="0" w:color="auto"/>
            <w:right w:val="none" w:sz="0" w:space="0" w:color="auto"/>
          </w:divBdr>
        </w:div>
      </w:divsChild>
    </w:div>
    <w:div w:id="344402139">
      <w:bodyDiv w:val="1"/>
      <w:marLeft w:val="0"/>
      <w:marRight w:val="0"/>
      <w:marTop w:val="0"/>
      <w:marBottom w:val="0"/>
      <w:divBdr>
        <w:top w:val="none" w:sz="0" w:space="0" w:color="auto"/>
        <w:left w:val="none" w:sz="0" w:space="0" w:color="auto"/>
        <w:bottom w:val="none" w:sz="0" w:space="0" w:color="auto"/>
        <w:right w:val="none" w:sz="0" w:space="0" w:color="auto"/>
      </w:divBdr>
    </w:div>
    <w:div w:id="627659636">
      <w:bodyDiv w:val="1"/>
      <w:marLeft w:val="0"/>
      <w:marRight w:val="0"/>
      <w:marTop w:val="0"/>
      <w:marBottom w:val="0"/>
      <w:divBdr>
        <w:top w:val="none" w:sz="0" w:space="0" w:color="auto"/>
        <w:left w:val="none" w:sz="0" w:space="0" w:color="auto"/>
        <w:bottom w:val="none" w:sz="0" w:space="0" w:color="auto"/>
        <w:right w:val="none" w:sz="0" w:space="0" w:color="auto"/>
      </w:divBdr>
      <w:divsChild>
        <w:div w:id="251202405">
          <w:marLeft w:val="144"/>
          <w:marRight w:val="0"/>
          <w:marTop w:val="240"/>
          <w:marBottom w:val="40"/>
          <w:divBdr>
            <w:top w:val="none" w:sz="0" w:space="0" w:color="auto"/>
            <w:left w:val="none" w:sz="0" w:space="0" w:color="auto"/>
            <w:bottom w:val="none" w:sz="0" w:space="0" w:color="auto"/>
            <w:right w:val="none" w:sz="0" w:space="0" w:color="auto"/>
          </w:divBdr>
        </w:div>
      </w:divsChild>
    </w:div>
    <w:div w:id="810824461">
      <w:bodyDiv w:val="1"/>
      <w:marLeft w:val="0"/>
      <w:marRight w:val="0"/>
      <w:marTop w:val="0"/>
      <w:marBottom w:val="0"/>
      <w:divBdr>
        <w:top w:val="none" w:sz="0" w:space="0" w:color="auto"/>
        <w:left w:val="none" w:sz="0" w:space="0" w:color="auto"/>
        <w:bottom w:val="none" w:sz="0" w:space="0" w:color="auto"/>
        <w:right w:val="none" w:sz="0" w:space="0" w:color="auto"/>
      </w:divBdr>
    </w:div>
    <w:div w:id="98855997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05734252">
      <w:bodyDiv w:val="1"/>
      <w:marLeft w:val="0"/>
      <w:marRight w:val="0"/>
      <w:marTop w:val="0"/>
      <w:marBottom w:val="0"/>
      <w:divBdr>
        <w:top w:val="none" w:sz="0" w:space="0" w:color="auto"/>
        <w:left w:val="none" w:sz="0" w:space="0" w:color="auto"/>
        <w:bottom w:val="none" w:sz="0" w:space="0" w:color="auto"/>
        <w:right w:val="none" w:sz="0" w:space="0" w:color="auto"/>
      </w:divBdr>
    </w:div>
    <w:div w:id="1224834831">
      <w:bodyDiv w:val="1"/>
      <w:marLeft w:val="0"/>
      <w:marRight w:val="0"/>
      <w:marTop w:val="0"/>
      <w:marBottom w:val="0"/>
      <w:divBdr>
        <w:top w:val="none" w:sz="0" w:space="0" w:color="auto"/>
        <w:left w:val="none" w:sz="0" w:space="0" w:color="auto"/>
        <w:bottom w:val="none" w:sz="0" w:space="0" w:color="auto"/>
        <w:right w:val="none" w:sz="0" w:space="0" w:color="auto"/>
      </w:divBdr>
    </w:div>
    <w:div w:id="1675448532">
      <w:bodyDiv w:val="1"/>
      <w:marLeft w:val="0"/>
      <w:marRight w:val="0"/>
      <w:marTop w:val="0"/>
      <w:marBottom w:val="0"/>
      <w:divBdr>
        <w:top w:val="none" w:sz="0" w:space="0" w:color="auto"/>
        <w:left w:val="none" w:sz="0" w:space="0" w:color="auto"/>
        <w:bottom w:val="none" w:sz="0" w:space="0" w:color="auto"/>
        <w:right w:val="none" w:sz="0" w:space="0" w:color="auto"/>
      </w:divBdr>
    </w:div>
    <w:div w:id="1683437729">
      <w:bodyDiv w:val="1"/>
      <w:marLeft w:val="0"/>
      <w:marRight w:val="0"/>
      <w:marTop w:val="0"/>
      <w:marBottom w:val="0"/>
      <w:divBdr>
        <w:top w:val="none" w:sz="0" w:space="0" w:color="auto"/>
        <w:left w:val="none" w:sz="0" w:space="0" w:color="auto"/>
        <w:bottom w:val="none" w:sz="0" w:space="0" w:color="auto"/>
        <w:right w:val="none" w:sz="0" w:space="0" w:color="auto"/>
      </w:divBdr>
    </w:div>
    <w:div w:id="1961296584">
      <w:bodyDiv w:val="1"/>
      <w:marLeft w:val="0"/>
      <w:marRight w:val="0"/>
      <w:marTop w:val="0"/>
      <w:marBottom w:val="0"/>
      <w:divBdr>
        <w:top w:val="none" w:sz="0" w:space="0" w:color="auto"/>
        <w:left w:val="none" w:sz="0" w:space="0" w:color="auto"/>
        <w:bottom w:val="none" w:sz="0" w:space="0" w:color="auto"/>
        <w:right w:val="none" w:sz="0" w:space="0" w:color="auto"/>
      </w:divBdr>
    </w:div>
    <w:div w:id="206551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file:///C:\Users\Zach\Dropbox\Chillas\Grad\Dissertation\2019_Yokell_Zachary_Dissertation_rejected.docx" TargetMode="External"/><Relationship Id="rId34" Type="http://schemas.openxmlformats.org/officeDocument/2006/relationships/image" Target="media/image9.emf"/><Relationship Id="rId42" Type="http://schemas.openxmlformats.org/officeDocument/2006/relationships/image" Target="media/image14.wmf"/><Relationship Id="rId47" Type="http://schemas.openxmlformats.org/officeDocument/2006/relationships/image" Target="media/image19.emf"/><Relationship Id="rId50" Type="http://schemas.openxmlformats.org/officeDocument/2006/relationships/image" Target="media/image21.emf"/><Relationship Id="rId55" Type="http://schemas.openxmlformats.org/officeDocument/2006/relationships/image" Target="media/image26.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Zach\Dropbox\Chillas\Grad\Dissertation\2019_Yokell_Zachary_Dissertation_rejected.docx" TargetMode="External"/><Relationship Id="rId29" Type="http://schemas.openxmlformats.org/officeDocument/2006/relationships/image" Target="media/image5.png"/><Relationship Id="rId11" Type="http://schemas.openxmlformats.org/officeDocument/2006/relationships/hyperlink" Target="file:///C:\Users\Zach\Dropbox\Chillas\Grad\Dissertation\2019_Yokell_Zachary_Dissertation_rejected.docx" TargetMode="External"/><Relationship Id="rId24" Type="http://schemas.openxmlformats.org/officeDocument/2006/relationships/footer" Target="footer1.xml"/><Relationship Id="rId32" Type="http://schemas.openxmlformats.org/officeDocument/2006/relationships/image" Target="media/image8.emf"/><Relationship Id="rId37" Type="http://schemas.openxmlformats.org/officeDocument/2006/relationships/oleObject" Target="embeddings/oleObject3.bin"/><Relationship Id="rId40" Type="http://schemas.openxmlformats.org/officeDocument/2006/relationships/image" Target="media/image13.emf"/><Relationship Id="rId45" Type="http://schemas.openxmlformats.org/officeDocument/2006/relationships/image" Target="media/image17.wmf"/><Relationship Id="rId53" Type="http://schemas.openxmlformats.org/officeDocument/2006/relationships/image" Target="media/image24.png"/><Relationship Id="rId58" Type="http://schemas.openxmlformats.org/officeDocument/2006/relationships/image" Target="media/image29.emf"/><Relationship Id="rId5" Type="http://schemas.openxmlformats.org/officeDocument/2006/relationships/webSettings" Target="webSettings.xml"/><Relationship Id="rId61" Type="http://schemas.openxmlformats.org/officeDocument/2006/relationships/oleObject" Target="embeddings/oleObject7.bin"/><Relationship Id="rId19" Type="http://schemas.openxmlformats.org/officeDocument/2006/relationships/hyperlink" Target="file:///C:\Users\Zach\Dropbox\Chillas\Grad\Dissertation\2019_Yokell_Zachary_Dissertation_rejected.docx" TargetMode="External"/><Relationship Id="rId14" Type="http://schemas.openxmlformats.org/officeDocument/2006/relationships/hyperlink" Target="file:///C:\Users\Zach\Dropbox\Chillas\Grad\Dissertation\2019_Yokell_Zachary_Dissertation_rejected.docx" TargetMode="External"/><Relationship Id="rId22" Type="http://schemas.openxmlformats.org/officeDocument/2006/relationships/hyperlink" Target="file:///C:\Users\Zach\Dropbox\Chillas\Grad\Dissertation\2019_Yokell_Zachary_Dissertation_rejected.docx"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oleObject" Target="embeddings/oleObject2.bin"/><Relationship Id="rId43" Type="http://schemas.openxmlformats.org/officeDocument/2006/relationships/image" Target="media/image15.wmf"/><Relationship Id="rId48" Type="http://schemas.openxmlformats.org/officeDocument/2006/relationships/oleObject" Target="embeddings/oleObject5.bin"/><Relationship Id="rId56" Type="http://schemas.openxmlformats.org/officeDocument/2006/relationships/image" Target="media/image27.emf"/><Relationship Id="rId64" Type="http://schemas.openxmlformats.org/officeDocument/2006/relationships/glossaryDocument" Target="glossary/document.xml"/><Relationship Id="rId8" Type="http://schemas.openxmlformats.org/officeDocument/2006/relationships/hyperlink" Target="file:///C:\Users\Zach\Dropbox\Chillas\Grad\Dissertation\2019_Yokell_Zachary_Dissertation_rejected.docx" TargetMode="External"/><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hyperlink" Target="file:///C:\Users\Zach\Dropbox\Chillas\Grad\Dissertation\2019_Yokell_Zachary_Dissertation_rejected.docx" TargetMode="External"/><Relationship Id="rId17" Type="http://schemas.openxmlformats.org/officeDocument/2006/relationships/hyperlink" Target="file:///C:\Users\Zach\Dropbox\Chillas\Grad\Dissertation\2019_Yokell_Zachary_Dissertation_rejected.docx" TargetMode="External"/><Relationship Id="rId25" Type="http://schemas.openxmlformats.org/officeDocument/2006/relationships/image" Target="media/image1.png"/><Relationship Id="rId33" Type="http://schemas.openxmlformats.org/officeDocument/2006/relationships/oleObject" Target="embeddings/oleObject1.bin"/><Relationship Id="rId38" Type="http://schemas.openxmlformats.org/officeDocument/2006/relationships/image" Target="media/image11.png"/><Relationship Id="rId46" Type="http://schemas.openxmlformats.org/officeDocument/2006/relationships/image" Target="media/image18.wmf"/><Relationship Id="rId59" Type="http://schemas.openxmlformats.org/officeDocument/2006/relationships/oleObject" Target="embeddings/oleObject6.bin"/><Relationship Id="rId20" Type="http://schemas.openxmlformats.org/officeDocument/2006/relationships/hyperlink" Target="file:///C:\Users\Zach\Dropbox\Chillas\Grad\Dissertation\2019_Yokell_Zachary_Dissertation_rejected.docx" TargetMode="External"/><Relationship Id="rId41" Type="http://schemas.openxmlformats.org/officeDocument/2006/relationships/oleObject" Target="embeddings/oleObject4.bin"/><Relationship Id="rId54" Type="http://schemas.openxmlformats.org/officeDocument/2006/relationships/image" Target="media/image25.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Zach\Dropbox\Chillas\Grad\Dissertation\2019_Yokell_Zachary_Dissertation_rejected.docx" TargetMode="External"/><Relationship Id="rId23" Type="http://schemas.openxmlformats.org/officeDocument/2006/relationships/hyperlink" Target="file:///C:\Users\Zach\Dropbox\Chillas\Grad\Dissertation\2019_Yokell_Zachary_Dissertation_rejected.docx" TargetMode="External"/><Relationship Id="rId28" Type="http://schemas.openxmlformats.org/officeDocument/2006/relationships/image" Target="media/image4.png"/><Relationship Id="rId36" Type="http://schemas.openxmlformats.org/officeDocument/2006/relationships/image" Target="media/image10.emf"/><Relationship Id="rId49" Type="http://schemas.openxmlformats.org/officeDocument/2006/relationships/image" Target="media/image20.png"/><Relationship Id="rId57" Type="http://schemas.openxmlformats.org/officeDocument/2006/relationships/image" Target="media/image28.wmf"/><Relationship Id="rId10" Type="http://schemas.openxmlformats.org/officeDocument/2006/relationships/hyperlink" Target="file:///C:\Users\Zach\Dropbox\Chillas\Grad\Dissertation\2019_Yokell_Zachary_Dissertation_rejected.docx" TargetMode="External"/><Relationship Id="rId31" Type="http://schemas.openxmlformats.org/officeDocument/2006/relationships/image" Target="media/image7.png"/><Relationship Id="rId44" Type="http://schemas.openxmlformats.org/officeDocument/2006/relationships/image" Target="media/image16.wmf"/><Relationship Id="rId52" Type="http://schemas.openxmlformats.org/officeDocument/2006/relationships/image" Target="media/image23.png"/><Relationship Id="rId60" Type="http://schemas.openxmlformats.org/officeDocument/2006/relationships/image" Target="media/image30.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Zach\Dropbox\Chillas\Grad\Dissertation\2019_Yokell_Zachary_Dissertation_rejected.docx" TargetMode="External"/><Relationship Id="rId13" Type="http://schemas.openxmlformats.org/officeDocument/2006/relationships/hyperlink" Target="file:///C:\Users\Zach\Dropbox\Chillas\Grad\Dissertation\2019_Yokell_Zachary_Dissertation_rejected.docx" TargetMode="External"/><Relationship Id="rId18" Type="http://schemas.openxmlformats.org/officeDocument/2006/relationships/hyperlink" Target="file:///C:\Users\Zach\Dropbox\Chillas\Grad\Dissertation\2019_Yokell_Zachary_Dissertation_rejected.docx" TargetMode="External"/><Relationship Id="rId39"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131ACD"/>
    <w:rsid w:val="00140FB5"/>
    <w:rsid w:val="0015246B"/>
    <w:rsid w:val="00176CCC"/>
    <w:rsid w:val="00190672"/>
    <w:rsid w:val="001B2B89"/>
    <w:rsid w:val="001E1A0C"/>
    <w:rsid w:val="001E612B"/>
    <w:rsid w:val="001F5040"/>
    <w:rsid w:val="00207B67"/>
    <w:rsid w:val="00210169"/>
    <w:rsid w:val="00250B9F"/>
    <w:rsid w:val="00270124"/>
    <w:rsid w:val="00276951"/>
    <w:rsid w:val="00293081"/>
    <w:rsid w:val="00295239"/>
    <w:rsid w:val="002A6051"/>
    <w:rsid w:val="002D3515"/>
    <w:rsid w:val="00393B31"/>
    <w:rsid w:val="003C5E70"/>
    <w:rsid w:val="003C5ED4"/>
    <w:rsid w:val="00455578"/>
    <w:rsid w:val="00464B36"/>
    <w:rsid w:val="004950C2"/>
    <w:rsid w:val="004D2601"/>
    <w:rsid w:val="004F1D02"/>
    <w:rsid w:val="00500A7A"/>
    <w:rsid w:val="005021E1"/>
    <w:rsid w:val="00520E04"/>
    <w:rsid w:val="00536A7B"/>
    <w:rsid w:val="00572AB3"/>
    <w:rsid w:val="005844EF"/>
    <w:rsid w:val="005902A4"/>
    <w:rsid w:val="005A0A46"/>
    <w:rsid w:val="005A11E9"/>
    <w:rsid w:val="005C3C71"/>
    <w:rsid w:val="00603BB0"/>
    <w:rsid w:val="006B53FA"/>
    <w:rsid w:val="006C568F"/>
    <w:rsid w:val="006D6508"/>
    <w:rsid w:val="006F7B66"/>
    <w:rsid w:val="00720EF7"/>
    <w:rsid w:val="00787914"/>
    <w:rsid w:val="007A04BC"/>
    <w:rsid w:val="00832AAC"/>
    <w:rsid w:val="00875ABD"/>
    <w:rsid w:val="008B1D08"/>
    <w:rsid w:val="008E6A33"/>
    <w:rsid w:val="009B68FA"/>
    <w:rsid w:val="00A072C2"/>
    <w:rsid w:val="00A343F1"/>
    <w:rsid w:val="00A413DA"/>
    <w:rsid w:val="00AE33A0"/>
    <w:rsid w:val="00B209AA"/>
    <w:rsid w:val="00B46CD3"/>
    <w:rsid w:val="00B66CF8"/>
    <w:rsid w:val="00B96DEB"/>
    <w:rsid w:val="00BB4459"/>
    <w:rsid w:val="00BC5308"/>
    <w:rsid w:val="00C738D6"/>
    <w:rsid w:val="00C97DE8"/>
    <w:rsid w:val="00CA39D2"/>
    <w:rsid w:val="00CA67A0"/>
    <w:rsid w:val="00CF2330"/>
    <w:rsid w:val="00D629F7"/>
    <w:rsid w:val="00D72530"/>
    <w:rsid w:val="00D85F76"/>
    <w:rsid w:val="00DB7759"/>
    <w:rsid w:val="00DD6093"/>
    <w:rsid w:val="00E00EC9"/>
    <w:rsid w:val="00E144A3"/>
    <w:rsid w:val="00E5170A"/>
    <w:rsid w:val="00EC4EDF"/>
    <w:rsid w:val="00EF14E5"/>
    <w:rsid w:val="00F03F0C"/>
    <w:rsid w:val="00F063EF"/>
    <w:rsid w:val="00F36779"/>
    <w:rsid w:val="00F40112"/>
    <w:rsid w:val="00F56014"/>
    <w:rsid w:val="00F80430"/>
    <w:rsid w:val="00F854BC"/>
    <w:rsid w:val="00FC3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0E04"/>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F22C1-5817-4AFB-94AA-0F68E248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44850</Words>
  <Characters>255649</Characters>
  <Application>Microsoft Office Word</Application>
  <DocSecurity>0</DocSecurity>
  <Lines>2130</Lines>
  <Paragraphs>599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299900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Zach Yokell</dc:creator>
  <cp:keywords/>
  <dc:description/>
  <cp:lastModifiedBy>Zach Yokell</cp:lastModifiedBy>
  <cp:revision>4</cp:revision>
  <cp:lastPrinted>2019-02-04T21:18:00Z</cp:lastPrinted>
  <dcterms:created xsi:type="dcterms:W3CDTF">2019-02-04T21:18:00Z</dcterms:created>
  <dcterms:modified xsi:type="dcterms:W3CDTF">2019-02-04T21:19:00Z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http://csl.mendeley.com/styles/445436871/APA-et-al-above3</vt:lpwstr>
  </property>
  <property fmtid="{D5CDD505-2E9C-101B-9397-08002B2CF9AE}" pid="5" name="Mendeley Recent Style Name 1_1">
    <vt:lpwstr>American Psychological Association 6th edition - Zach Yokell</vt:lpwstr>
  </property>
  <property fmtid="{D5CDD505-2E9C-101B-9397-08002B2CF9AE}" pid="6" name="Mendeley Recent Style Id 2_1">
    <vt:lpwstr>http://csl.mendeley.com/styles/445436871/apa</vt:lpwstr>
  </property>
  <property fmtid="{D5CDD505-2E9C-101B-9397-08002B2CF9AE}" pid="7" name="Mendeley Recent Style Name 2_1">
    <vt:lpwstr>American Psychological Association 6th edition - Zach Yokell</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http://www.zotero.org/styles/hearing-research</vt:lpwstr>
  </property>
  <property fmtid="{D5CDD505-2E9C-101B-9397-08002B2CF9AE}" pid="13" name="Mendeley Recent Style Name 5_1">
    <vt:lpwstr>Hearing Research</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b5166b8d-fb25-3a17-a118-aefdfb71eecd</vt:lpwstr>
  </property>
  <property fmtid="{D5CDD505-2E9C-101B-9397-08002B2CF9AE}" pid="24" name="Mendeley Citation Style_1">
    <vt:lpwstr>http://csl.mendeley.com/styles/445436871/APA-et-al-above3</vt:lpwstr>
  </property>
</Properties>
</file>