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null)" ContentType="image/x-em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23A69" w14:textId="77777777" w:rsidR="000B0A0E" w:rsidRDefault="000B0A0E" w:rsidP="0099599F">
      <w:pPr>
        <w:rPr>
          <w:szCs w:val="32"/>
          <w:lang w:bidi="en-US"/>
        </w:rPr>
      </w:pPr>
    </w:p>
    <w:sdt>
      <w:sdtPr>
        <w:rPr>
          <w:caps/>
          <w:szCs w:val="32"/>
          <w:lang w:bidi="en-US"/>
        </w:rPr>
        <w:id w:val="30091833"/>
        <w:lock w:val="contentLocked"/>
        <w:placeholder>
          <w:docPart w:val="22E80507EE43DC4B8F1306D7B9DCB00C"/>
        </w:placeholder>
        <w:group/>
      </w:sdtPr>
      <w:sdtContent>
        <w:p w14:paraId="1367AB0F" w14:textId="77777777" w:rsidR="000B0A0E" w:rsidRPr="006E7F82" w:rsidRDefault="000B0A0E" w:rsidP="0099599F">
          <w:pPr>
            <w:jc w:val="center"/>
            <w:rPr>
              <w:caps/>
              <w:szCs w:val="32"/>
              <w:lang w:bidi="en-US"/>
            </w:rPr>
          </w:pPr>
          <w:r w:rsidRPr="006E7F82">
            <w:rPr>
              <w:caps/>
              <w:szCs w:val="32"/>
              <w:lang w:bidi="en-US"/>
            </w:rPr>
            <w:t>University of Oklahoma</w:t>
          </w:r>
        </w:p>
        <w:p w14:paraId="0B1A1AEB" w14:textId="77777777" w:rsidR="000B0A0E" w:rsidRPr="006E7F82" w:rsidRDefault="000B0A0E" w:rsidP="0099599F">
          <w:pPr>
            <w:jc w:val="center"/>
            <w:rPr>
              <w:caps/>
              <w:szCs w:val="32"/>
              <w:lang w:bidi="en-US"/>
            </w:rPr>
          </w:pPr>
        </w:p>
        <w:p w14:paraId="03877341" w14:textId="77777777" w:rsidR="000B0A0E" w:rsidRPr="006E7F82" w:rsidRDefault="000B0A0E" w:rsidP="0099599F">
          <w:pPr>
            <w:jc w:val="center"/>
            <w:rPr>
              <w:caps/>
              <w:szCs w:val="32"/>
              <w:lang w:bidi="en-US"/>
            </w:rPr>
          </w:pPr>
          <w:r w:rsidRPr="006E7F82">
            <w:rPr>
              <w:caps/>
              <w:szCs w:val="32"/>
              <w:lang w:bidi="en-US"/>
            </w:rPr>
            <w:t>Graduate College</w:t>
          </w:r>
        </w:p>
      </w:sdtContent>
    </w:sdt>
    <w:p w14:paraId="7E5D3BD5" w14:textId="77777777" w:rsidR="000B0A0E" w:rsidRPr="006E7F82" w:rsidRDefault="000B0A0E" w:rsidP="0099599F">
      <w:pPr>
        <w:jc w:val="center"/>
        <w:rPr>
          <w:caps/>
          <w:szCs w:val="32"/>
          <w:lang w:bidi="en-US"/>
        </w:rPr>
      </w:pPr>
    </w:p>
    <w:p w14:paraId="59CD558F" w14:textId="77777777" w:rsidR="000B0A0E" w:rsidRPr="006E7F82" w:rsidRDefault="000B0A0E" w:rsidP="0099599F">
      <w:pPr>
        <w:jc w:val="center"/>
        <w:rPr>
          <w:caps/>
          <w:szCs w:val="32"/>
          <w:lang w:bidi="en-US"/>
        </w:rPr>
      </w:pPr>
    </w:p>
    <w:p w14:paraId="35584077" w14:textId="77777777" w:rsidR="000B0A0E" w:rsidRPr="006E7F82" w:rsidRDefault="000B0A0E" w:rsidP="0099599F">
      <w:pPr>
        <w:jc w:val="center"/>
        <w:rPr>
          <w:caps/>
          <w:szCs w:val="32"/>
          <w:lang w:bidi="en-US"/>
        </w:rPr>
      </w:pPr>
    </w:p>
    <w:p w14:paraId="15ADF631" w14:textId="77777777" w:rsidR="000B0A0E" w:rsidRPr="006E7F82" w:rsidRDefault="000B0A0E" w:rsidP="0099599F">
      <w:pPr>
        <w:jc w:val="center"/>
        <w:rPr>
          <w:caps/>
          <w:szCs w:val="32"/>
          <w:lang w:bidi="en-US"/>
        </w:rPr>
      </w:pPr>
    </w:p>
    <w:p w14:paraId="4DCA6AED" w14:textId="77777777" w:rsidR="000B0A0E" w:rsidRPr="006E7F82" w:rsidRDefault="000B0A0E" w:rsidP="0099599F">
      <w:pPr>
        <w:jc w:val="center"/>
        <w:rPr>
          <w:caps/>
          <w:szCs w:val="32"/>
          <w:lang w:bidi="en-US"/>
        </w:rPr>
      </w:pPr>
    </w:p>
    <w:p w14:paraId="6974D79E" w14:textId="77777777" w:rsidR="000B0A0E" w:rsidRPr="006E7F82" w:rsidRDefault="000B0A0E" w:rsidP="0099599F">
      <w:pPr>
        <w:jc w:val="center"/>
        <w:rPr>
          <w:caps/>
          <w:szCs w:val="32"/>
          <w:lang w:bidi="en-US"/>
        </w:rPr>
      </w:pPr>
    </w:p>
    <w:p w14:paraId="4280BA37" w14:textId="77777777" w:rsidR="000B0A0E" w:rsidRPr="006E7F82" w:rsidRDefault="000B0A0E" w:rsidP="0099599F">
      <w:pPr>
        <w:jc w:val="center"/>
        <w:rPr>
          <w:caps/>
          <w:szCs w:val="32"/>
          <w:lang w:bidi="en-US"/>
        </w:rPr>
      </w:pPr>
    </w:p>
    <w:sdt>
      <w:sdtPr>
        <w:rPr>
          <w:caps/>
          <w:szCs w:val="32"/>
          <w:lang w:bidi="en-US"/>
        </w:rPr>
        <w:alias w:val="Click to enter dissertation title"/>
        <w:tag w:val="Click to enter dissertation title"/>
        <w:id w:val="30091832"/>
        <w:placeholder>
          <w:docPart w:val="22E80507EE43DC4B8F1306D7B9DCB00C"/>
        </w:placeholder>
      </w:sdtPr>
      <w:sdtContent>
        <w:p w14:paraId="5F74A672" w14:textId="77777777" w:rsidR="000B0A0E" w:rsidRPr="006E7F82" w:rsidRDefault="000B0A0E" w:rsidP="0099599F">
          <w:pPr>
            <w:spacing w:line="480" w:lineRule="auto"/>
            <w:jc w:val="center"/>
            <w:rPr>
              <w:caps/>
              <w:szCs w:val="32"/>
              <w:lang w:bidi="en-US"/>
            </w:rPr>
          </w:pPr>
          <w:r w:rsidRPr="006E7F82">
            <w:rPr>
              <w:caps/>
              <w:szCs w:val="32"/>
              <w:lang w:bidi="en-US"/>
            </w:rPr>
            <w:t>RELATIONSHIP OF HELP-SEEKING BEHAVIORS AND ACADEMIC PERFORMANCE IN FIRST YEAR PHYSICIAN ASSISTANT AND DENTAL STUDENTS</w:t>
          </w:r>
        </w:p>
      </w:sdtContent>
    </w:sdt>
    <w:p w14:paraId="192254C9" w14:textId="77777777" w:rsidR="000B0A0E" w:rsidRPr="006E7F82" w:rsidRDefault="000B0A0E" w:rsidP="0099599F">
      <w:pPr>
        <w:jc w:val="center"/>
        <w:rPr>
          <w:caps/>
          <w:szCs w:val="32"/>
          <w:lang w:bidi="en-US"/>
        </w:rPr>
      </w:pPr>
    </w:p>
    <w:p w14:paraId="551B4FAD" w14:textId="77777777" w:rsidR="000B0A0E" w:rsidRPr="006E7F82" w:rsidRDefault="000B0A0E" w:rsidP="0099599F">
      <w:pPr>
        <w:jc w:val="center"/>
        <w:rPr>
          <w:caps/>
          <w:szCs w:val="32"/>
          <w:lang w:bidi="en-US"/>
        </w:rPr>
      </w:pPr>
    </w:p>
    <w:p w14:paraId="13CC8395" w14:textId="77777777" w:rsidR="000B0A0E" w:rsidRPr="006E7F82" w:rsidRDefault="000B0A0E" w:rsidP="0099599F">
      <w:pPr>
        <w:jc w:val="center"/>
        <w:rPr>
          <w:caps/>
          <w:szCs w:val="32"/>
          <w:lang w:bidi="en-US"/>
        </w:rPr>
      </w:pPr>
    </w:p>
    <w:p w14:paraId="27E0958A" w14:textId="77777777" w:rsidR="000B0A0E" w:rsidRPr="006E7F82" w:rsidRDefault="000B0A0E" w:rsidP="0099599F">
      <w:pPr>
        <w:jc w:val="center"/>
        <w:rPr>
          <w:caps/>
          <w:szCs w:val="32"/>
          <w:lang w:bidi="en-US"/>
        </w:rPr>
      </w:pPr>
    </w:p>
    <w:p w14:paraId="6DD5A1A0" w14:textId="77777777" w:rsidR="000B0A0E" w:rsidRPr="006E7F82" w:rsidRDefault="000B0A0E" w:rsidP="0099599F">
      <w:pPr>
        <w:jc w:val="center"/>
        <w:rPr>
          <w:caps/>
          <w:szCs w:val="32"/>
          <w:lang w:bidi="en-US"/>
        </w:rPr>
      </w:pPr>
    </w:p>
    <w:p w14:paraId="37A676CE" w14:textId="77777777" w:rsidR="000B0A0E" w:rsidRPr="006E7F82" w:rsidRDefault="000B0A0E" w:rsidP="0099599F">
      <w:pPr>
        <w:jc w:val="center"/>
        <w:rPr>
          <w:caps/>
          <w:szCs w:val="32"/>
          <w:lang w:bidi="en-US"/>
        </w:rPr>
      </w:pPr>
    </w:p>
    <w:p w14:paraId="08288419" w14:textId="77777777" w:rsidR="000B0A0E" w:rsidRPr="006E7F82" w:rsidRDefault="000B0A0E" w:rsidP="0099599F">
      <w:pPr>
        <w:jc w:val="center"/>
        <w:rPr>
          <w:caps/>
          <w:szCs w:val="32"/>
          <w:lang w:bidi="en-US"/>
        </w:rPr>
      </w:pPr>
      <w:sdt>
        <w:sdtPr>
          <w:rPr>
            <w:caps/>
            <w:szCs w:val="32"/>
            <w:lang w:bidi="en-US"/>
          </w:rPr>
          <w:id w:val="11707817"/>
          <w:lock w:val="contentLocked"/>
          <w:placeholder>
            <w:docPart w:val="22E80507EE43DC4B8F1306D7B9DCB00C"/>
          </w:placeholder>
          <w:group/>
        </w:sdtPr>
        <w:sdtContent>
          <w:r w:rsidRPr="006E7F82">
            <w:rPr>
              <w:caps/>
              <w:szCs w:val="32"/>
              <w:lang w:bidi="en-US"/>
            </w:rPr>
            <w:t>A</w:t>
          </w:r>
        </w:sdtContent>
      </w:sdt>
      <w:r w:rsidRPr="006E7F82">
        <w:rPr>
          <w:caps/>
          <w:szCs w:val="32"/>
          <w:lang w:bidi="en-US"/>
        </w:rPr>
        <w:t xml:space="preserve"> </w:t>
      </w:r>
      <w:sdt>
        <w:sdtPr>
          <w:rPr>
            <w:caps/>
            <w:szCs w:val="32"/>
            <w:lang w:bidi="en-US"/>
          </w:rPr>
          <w:alias w:val="D.M.A. candidates use &quot;document,&quot; all others use &quot;dissertation&quot;"/>
          <w:tag w:val="D.M.A. candidates use &quot;document,&quot; all others use &quot;dissertation&quot;"/>
          <w:id w:val="11707811"/>
          <w:placeholder>
            <w:docPart w:val="11D0AB2E19219E469D1D3BAE831F6DE9"/>
          </w:placeholder>
          <w:dropDownList>
            <w:listItem w:displayText="[Dissertation/Document]" w:value="[Dissertation/Document]"/>
            <w:listItem w:displayText="Dissertation" w:value="Dissertation"/>
            <w:listItem w:displayText="Document" w:value="Document"/>
          </w:dropDownList>
        </w:sdtPr>
        <w:sdtContent>
          <w:r w:rsidRPr="006E7F82">
            <w:rPr>
              <w:caps/>
              <w:szCs w:val="32"/>
              <w:lang w:bidi="en-US"/>
            </w:rPr>
            <w:t>Dissertation</w:t>
          </w:r>
        </w:sdtContent>
      </w:sdt>
    </w:p>
    <w:p w14:paraId="15605C98" w14:textId="77777777" w:rsidR="000B0A0E" w:rsidRPr="006E7F82" w:rsidRDefault="000B0A0E" w:rsidP="0099599F">
      <w:pPr>
        <w:jc w:val="center"/>
        <w:rPr>
          <w:caps/>
          <w:szCs w:val="32"/>
          <w:lang w:bidi="en-US"/>
        </w:rPr>
      </w:pPr>
    </w:p>
    <w:sdt>
      <w:sdtPr>
        <w:rPr>
          <w:caps/>
          <w:szCs w:val="32"/>
          <w:lang w:bidi="en-US"/>
        </w:rPr>
        <w:id w:val="11707818"/>
        <w:lock w:val="contentLocked"/>
        <w:placeholder>
          <w:docPart w:val="22E80507EE43DC4B8F1306D7B9DCB00C"/>
        </w:placeholder>
        <w:group/>
      </w:sdtPr>
      <w:sdtEndPr>
        <w:rPr>
          <w:caps w:val="0"/>
        </w:rPr>
      </w:sdtEndPr>
      <w:sdtContent>
        <w:p w14:paraId="2CCCFED3" w14:textId="77777777" w:rsidR="000B0A0E" w:rsidRPr="006E7F82" w:rsidRDefault="000B0A0E" w:rsidP="0099599F">
          <w:pPr>
            <w:jc w:val="center"/>
            <w:rPr>
              <w:caps/>
              <w:szCs w:val="32"/>
              <w:lang w:bidi="en-US"/>
            </w:rPr>
          </w:pPr>
          <w:r w:rsidRPr="006E7F82">
            <w:rPr>
              <w:caps/>
              <w:szCs w:val="32"/>
              <w:lang w:bidi="en-US"/>
            </w:rPr>
            <w:t>submitted to the Graduate Faculty</w:t>
          </w:r>
        </w:p>
        <w:p w14:paraId="4F58A2B1" w14:textId="77777777" w:rsidR="000B0A0E" w:rsidRPr="006E7F82" w:rsidRDefault="000B0A0E" w:rsidP="0099599F">
          <w:pPr>
            <w:jc w:val="center"/>
            <w:rPr>
              <w:szCs w:val="32"/>
              <w:lang w:bidi="en-US"/>
            </w:rPr>
          </w:pPr>
        </w:p>
        <w:p w14:paraId="1666496E" w14:textId="77777777" w:rsidR="000B0A0E" w:rsidRPr="006E7F82" w:rsidRDefault="000B0A0E" w:rsidP="0099599F">
          <w:pPr>
            <w:jc w:val="center"/>
            <w:rPr>
              <w:szCs w:val="32"/>
              <w:lang w:bidi="en-US"/>
            </w:rPr>
          </w:pPr>
          <w:r w:rsidRPr="006E7F82">
            <w:rPr>
              <w:szCs w:val="32"/>
              <w:lang w:bidi="en-US"/>
            </w:rPr>
            <w:t>in partial fulfillment of the requirements for the</w:t>
          </w:r>
        </w:p>
        <w:p w14:paraId="6D1BAE5D" w14:textId="77777777" w:rsidR="000B0A0E" w:rsidRPr="006E7F82" w:rsidRDefault="000B0A0E" w:rsidP="0099599F">
          <w:pPr>
            <w:jc w:val="center"/>
            <w:rPr>
              <w:szCs w:val="32"/>
              <w:lang w:bidi="en-US"/>
            </w:rPr>
          </w:pPr>
        </w:p>
        <w:p w14:paraId="59FD28D5" w14:textId="77777777" w:rsidR="000B0A0E" w:rsidRPr="006E7F82" w:rsidRDefault="000B0A0E" w:rsidP="0099599F">
          <w:pPr>
            <w:jc w:val="center"/>
            <w:rPr>
              <w:szCs w:val="32"/>
              <w:lang w:bidi="en-US"/>
            </w:rPr>
          </w:pPr>
          <w:r w:rsidRPr="006E7F82">
            <w:rPr>
              <w:szCs w:val="32"/>
              <w:lang w:bidi="en-US"/>
            </w:rPr>
            <w:t>Degree of</w:t>
          </w:r>
        </w:p>
      </w:sdtContent>
    </w:sdt>
    <w:p w14:paraId="601467BE" w14:textId="77777777" w:rsidR="000B0A0E" w:rsidRPr="006E7F82" w:rsidRDefault="000B0A0E" w:rsidP="0099599F">
      <w:pPr>
        <w:jc w:val="center"/>
        <w:rPr>
          <w:szCs w:val="32"/>
          <w:lang w:bidi="en-US"/>
        </w:rPr>
      </w:pPr>
    </w:p>
    <w:sdt>
      <w:sdtPr>
        <w:rPr>
          <w:caps/>
          <w:szCs w:val="32"/>
          <w:lang w:bidi="en-US"/>
        </w:rPr>
        <w:alias w:val="Select the exact name of your degree"/>
        <w:tag w:val="Exact name of your degree in ALL CAPS"/>
        <w:id w:val="8173860"/>
        <w:placeholder>
          <w:docPart w:val="72E56DEFF15E5F43BEC18675653C5425"/>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09DCC13D" w14:textId="77777777" w:rsidR="000B0A0E" w:rsidRPr="006E7F82" w:rsidRDefault="000B0A0E" w:rsidP="0099599F">
          <w:pPr>
            <w:spacing w:line="480" w:lineRule="auto"/>
            <w:jc w:val="center"/>
            <w:rPr>
              <w:caps/>
              <w:szCs w:val="32"/>
              <w:lang w:bidi="en-US"/>
            </w:rPr>
          </w:pPr>
          <w:r w:rsidRPr="006E7F82">
            <w:rPr>
              <w:caps/>
              <w:szCs w:val="32"/>
              <w:lang w:bidi="en-US"/>
            </w:rPr>
            <w:t>Doctor of Philosophy</w:t>
          </w:r>
        </w:p>
      </w:sdtContent>
    </w:sdt>
    <w:p w14:paraId="74EDF322" w14:textId="77777777" w:rsidR="000B0A0E" w:rsidRPr="006E7F82" w:rsidRDefault="000B0A0E" w:rsidP="0099599F">
      <w:pPr>
        <w:jc w:val="center"/>
        <w:rPr>
          <w:szCs w:val="32"/>
          <w:lang w:bidi="en-US"/>
        </w:rPr>
      </w:pPr>
    </w:p>
    <w:p w14:paraId="67956579" w14:textId="77777777" w:rsidR="000B0A0E" w:rsidRPr="006E7F82" w:rsidRDefault="000B0A0E" w:rsidP="0099599F">
      <w:pPr>
        <w:jc w:val="center"/>
        <w:rPr>
          <w:szCs w:val="32"/>
          <w:lang w:bidi="en-US"/>
        </w:rPr>
      </w:pPr>
    </w:p>
    <w:p w14:paraId="6962B230" w14:textId="77777777" w:rsidR="000B0A0E" w:rsidRPr="006E7F82" w:rsidRDefault="000B0A0E" w:rsidP="0099599F">
      <w:pPr>
        <w:jc w:val="center"/>
        <w:rPr>
          <w:szCs w:val="32"/>
          <w:lang w:bidi="en-US"/>
        </w:rPr>
      </w:pPr>
    </w:p>
    <w:p w14:paraId="0A5AD679" w14:textId="77777777" w:rsidR="000B0A0E" w:rsidRPr="006E7F82" w:rsidRDefault="000B0A0E" w:rsidP="0099599F">
      <w:pPr>
        <w:rPr>
          <w:szCs w:val="32"/>
          <w:lang w:bidi="en-US"/>
        </w:rPr>
      </w:pPr>
    </w:p>
    <w:p w14:paraId="59E29D2C" w14:textId="77777777" w:rsidR="000B0A0E" w:rsidRPr="006E7F82" w:rsidRDefault="000B0A0E" w:rsidP="0099599F">
      <w:pPr>
        <w:jc w:val="center"/>
        <w:rPr>
          <w:szCs w:val="32"/>
          <w:lang w:bidi="en-US"/>
        </w:rPr>
      </w:pPr>
    </w:p>
    <w:p w14:paraId="65B48A2F" w14:textId="77777777" w:rsidR="000B0A0E" w:rsidRPr="006E7F82" w:rsidRDefault="000B0A0E" w:rsidP="0099599F">
      <w:pPr>
        <w:jc w:val="center"/>
        <w:rPr>
          <w:szCs w:val="32"/>
          <w:lang w:bidi="en-US"/>
        </w:rPr>
      </w:pPr>
    </w:p>
    <w:p w14:paraId="5A2607D0" w14:textId="77777777" w:rsidR="000B0A0E" w:rsidRPr="006E7F82" w:rsidRDefault="000B0A0E" w:rsidP="0099599F">
      <w:pPr>
        <w:jc w:val="center"/>
        <w:rPr>
          <w:szCs w:val="32"/>
          <w:lang w:bidi="en-US"/>
        </w:rPr>
      </w:pPr>
    </w:p>
    <w:p w14:paraId="00068F22" w14:textId="77777777" w:rsidR="000B0A0E" w:rsidRPr="006E7F82" w:rsidRDefault="000B0A0E" w:rsidP="0099599F">
      <w:pPr>
        <w:jc w:val="center"/>
        <w:rPr>
          <w:szCs w:val="32"/>
          <w:lang w:bidi="en-US"/>
        </w:rPr>
      </w:pPr>
      <w:r w:rsidRPr="006E7F82">
        <w:rPr>
          <w:szCs w:val="32"/>
          <w:lang w:bidi="en-US"/>
        </w:rPr>
        <w:t>By</w:t>
      </w:r>
    </w:p>
    <w:p w14:paraId="16ADB34B" w14:textId="77777777" w:rsidR="000B0A0E" w:rsidRPr="006E7F82" w:rsidRDefault="000B0A0E" w:rsidP="0099599F">
      <w:pPr>
        <w:jc w:val="center"/>
        <w:rPr>
          <w:szCs w:val="32"/>
          <w:lang w:bidi="en-US"/>
        </w:rPr>
      </w:pPr>
    </w:p>
    <w:sdt>
      <w:sdtPr>
        <w:rPr>
          <w:caps/>
          <w:szCs w:val="32"/>
          <w:lang w:bidi="en-US"/>
        </w:rPr>
        <w:alias w:val="Click to enter your name (must match University records)"/>
        <w:tag w:val="Click to enter your name (must match University records)"/>
        <w:id w:val="24310776"/>
        <w:placeholder>
          <w:docPart w:val="94FA08F3946366438AF40CD60DDDFB18"/>
        </w:placeholder>
      </w:sdtPr>
      <w:sdtContent>
        <w:p w14:paraId="20C3F09B" w14:textId="77777777" w:rsidR="000B0A0E" w:rsidRPr="006E7F82" w:rsidRDefault="000B0A0E" w:rsidP="0099599F">
          <w:pPr>
            <w:jc w:val="center"/>
            <w:rPr>
              <w:caps/>
              <w:szCs w:val="32"/>
              <w:lang w:bidi="en-US"/>
            </w:rPr>
          </w:pPr>
          <w:r w:rsidRPr="006E7F82">
            <w:rPr>
              <w:caps/>
              <w:szCs w:val="32"/>
              <w:lang w:bidi="en-US"/>
            </w:rPr>
            <w:t>aMY SUSANNE THIESSEN</w:t>
          </w:r>
        </w:p>
      </w:sdtContent>
    </w:sdt>
    <w:sdt>
      <w:sdtPr>
        <w:rPr>
          <w:szCs w:val="32"/>
          <w:lang w:bidi="en-US"/>
        </w:rPr>
        <w:id w:val="30091838"/>
        <w:lock w:val="contentLocked"/>
        <w:placeholder>
          <w:docPart w:val="22E80507EE43DC4B8F1306D7B9DCB00C"/>
        </w:placeholder>
        <w:group/>
      </w:sdtPr>
      <w:sdtContent>
        <w:p w14:paraId="17F23FD3" w14:textId="77777777" w:rsidR="000B0A0E" w:rsidRPr="006E7F82" w:rsidRDefault="000B0A0E" w:rsidP="0099599F">
          <w:pPr>
            <w:jc w:val="center"/>
            <w:rPr>
              <w:szCs w:val="32"/>
              <w:lang w:bidi="en-US"/>
            </w:rPr>
          </w:pPr>
          <w:r w:rsidRPr="006E7F82">
            <w:rPr>
              <w:szCs w:val="32"/>
              <w:lang w:bidi="en-US"/>
            </w:rPr>
            <w:t xml:space="preserve"> Norman, Oklahoma</w:t>
          </w:r>
        </w:p>
      </w:sdtContent>
    </w:sdt>
    <w:sdt>
      <w:sdtPr>
        <w:rPr>
          <w:szCs w:val="32"/>
          <w:lang w:bidi="en-US"/>
        </w:rPr>
        <w:alias w:val="Click to enter the year you are depositing the thesis"/>
        <w:tag w:val="Click to enter the year you are depositing the thesis"/>
        <w:id w:val="30091842"/>
        <w:placeholder>
          <w:docPart w:val="22E80507EE43DC4B8F1306D7B9DCB00C"/>
        </w:placeholder>
      </w:sdtPr>
      <w:sdtContent>
        <w:p w14:paraId="438736ED" w14:textId="77777777" w:rsidR="000B0A0E" w:rsidRPr="006E7F82" w:rsidRDefault="000B0A0E" w:rsidP="0099599F">
          <w:pPr>
            <w:jc w:val="center"/>
            <w:rPr>
              <w:szCs w:val="32"/>
              <w:lang w:bidi="en-US"/>
            </w:rPr>
          </w:pPr>
          <w:r w:rsidRPr="006E7F82">
            <w:rPr>
              <w:szCs w:val="32"/>
              <w:lang w:bidi="en-US"/>
            </w:rPr>
            <w:t>2018</w:t>
          </w:r>
        </w:p>
      </w:sdtContent>
    </w:sdt>
    <w:p w14:paraId="3553018F" w14:textId="77777777" w:rsidR="000B0A0E" w:rsidRDefault="000B0A0E" w:rsidP="0099599F">
      <w:pPr>
        <w:jc w:val="center"/>
        <w:rPr>
          <w:szCs w:val="32"/>
          <w:lang w:bidi="en-US"/>
        </w:rPr>
      </w:pPr>
    </w:p>
    <w:p w14:paraId="4C6F8E29" w14:textId="77777777" w:rsidR="000B0A0E" w:rsidRDefault="000B0A0E" w:rsidP="0099599F">
      <w:pPr>
        <w:rPr>
          <w:szCs w:val="32"/>
          <w:lang w:bidi="en-US"/>
        </w:rPr>
      </w:pPr>
    </w:p>
    <w:p w14:paraId="6EAD921C" w14:textId="77777777" w:rsidR="000B0A0E" w:rsidRDefault="000B0A0E" w:rsidP="0099599F">
      <w:pPr>
        <w:jc w:val="center"/>
        <w:rPr>
          <w:szCs w:val="32"/>
          <w:lang w:bidi="en-US"/>
        </w:rPr>
      </w:pPr>
    </w:p>
    <w:p w14:paraId="13CB2680" w14:textId="77777777" w:rsidR="000B0A0E" w:rsidRPr="00144E08" w:rsidRDefault="000B0A0E" w:rsidP="0099599F">
      <w:pPr>
        <w:jc w:val="center"/>
        <w:rPr>
          <w:szCs w:val="32"/>
          <w:lang w:bidi="en-US"/>
        </w:rPr>
      </w:pPr>
    </w:p>
    <w:sdt>
      <w:sdtPr>
        <w:rPr>
          <w:caps/>
          <w:szCs w:val="32"/>
          <w:lang w:bidi="en-US"/>
        </w:rPr>
        <w:alias w:val="Click to enter dissertation title"/>
        <w:tag w:val="Click to enter dissertation title"/>
        <w:id w:val="30091843"/>
        <w:placeholder>
          <w:docPart w:val="E4152F7999055249BC0049741EB137DD"/>
        </w:placeholder>
      </w:sdtPr>
      <w:sdtContent>
        <w:p w14:paraId="7390A662" w14:textId="77777777" w:rsidR="000B0A0E" w:rsidRPr="00144E08" w:rsidRDefault="000B0A0E" w:rsidP="0099599F">
          <w:pPr>
            <w:jc w:val="center"/>
            <w:rPr>
              <w:caps/>
              <w:szCs w:val="32"/>
              <w:lang w:bidi="en-US"/>
            </w:rPr>
          </w:pPr>
          <w:r>
            <w:rPr>
              <w:caps/>
              <w:szCs w:val="32"/>
              <w:lang w:bidi="en-US"/>
            </w:rPr>
            <w:t>RELATIONSHIP OF HELP-SEEKING BEHAVIORS AND ACADEMIC PERFORMANCE IN FIRST YEAR PHYSICAIN ASSISTANT AND DENTAL STUDENTS</w:t>
          </w:r>
        </w:p>
      </w:sdtContent>
    </w:sdt>
    <w:p w14:paraId="0F4BEC0D" w14:textId="77777777" w:rsidR="000B0A0E" w:rsidRPr="00144E08" w:rsidRDefault="000B0A0E" w:rsidP="0099599F">
      <w:pPr>
        <w:jc w:val="center"/>
        <w:rPr>
          <w:caps/>
          <w:szCs w:val="32"/>
          <w:lang w:bidi="en-US"/>
        </w:rPr>
      </w:pPr>
    </w:p>
    <w:p w14:paraId="6EAB584E" w14:textId="77777777" w:rsidR="000B0A0E" w:rsidRPr="00144E08" w:rsidRDefault="000B0A0E" w:rsidP="0099599F">
      <w:pPr>
        <w:jc w:val="center"/>
        <w:rPr>
          <w:caps/>
          <w:szCs w:val="32"/>
          <w:lang w:bidi="en-US"/>
        </w:rPr>
      </w:pPr>
    </w:p>
    <w:p w14:paraId="3E67A145" w14:textId="77777777" w:rsidR="000B0A0E" w:rsidRPr="00144E08" w:rsidRDefault="000B0A0E" w:rsidP="0099599F">
      <w:pPr>
        <w:jc w:val="center"/>
        <w:rPr>
          <w:caps/>
          <w:szCs w:val="32"/>
          <w:lang w:bidi="en-US"/>
        </w:rPr>
      </w:pPr>
      <w:sdt>
        <w:sdtPr>
          <w:rPr>
            <w:caps/>
            <w:szCs w:val="32"/>
            <w:lang w:bidi="en-US"/>
          </w:rPr>
          <w:id w:val="11707828"/>
          <w:lock w:val="contentLocked"/>
          <w:placeholder>
            <w:docPart w:val="E4152F7999055249BC0049741EB137DD"/>
          </w:placeholder>
          <w:group/>
        </w:sdtPr>
        <w:sdtContent>
          <w:r w:rsidRPr="00144E08">
            <w:rPr>
              <w:caps/>
              <w:szCs w:val="32"/>
              <w:lang w:bidi="en-US"/>
            </w:rPr>
            <w:t>A</w:t>
          </w:r>
        </w:sdtContent>
      </w:sdt>
      <w:r w:rsidRPr="00144E08">
        <w:rPr>
          <w:caps/>
          <w:szCs w:val="32"/>
          <w:lang w:bidi="en-US"/>
        </w:rPr>
        <w:t xml:space="preserve"> </w:t>
      </w:r>
      <w:sdt>
        <w:sdtPr>
          <w:rPr>
            <w:caps/>
            <w:szCs w:val="32"/>
            <w:lang w:bidi="en-US"/>
          </w:rPr>
          <w:alias w:val="D.M.A. candidates use &quot;document,&quot; all others use &quot;dissertation&quot;"/>
          <w:tag w:val="D.M.A. candidates use &quot;document,&quot; all others use &quot;dissertation&quot;"/>
          <w:id w:val="11707821"/>
          <w:placeholder>
            <w:docPart w:val="7F36835D0AFEE34289DA93786E3CCE74"/>
          </w:placeholder>
          <w:dropDownList>
            <w:listItem w:displayText="[Dissertation/Document]" w:value="[Dissertation/Document]"/>
            <w:listItem w:displayText="Dissertation" w:value="Dissertation"/>
            <w:listItem w:displayText="Document" w:value="Document"/>
          </w:dropDownList>
        </w:sdtPr>
        <w:sdtContent>
          <w:r w:rsidRPr="00144E08">
            <w:rPr>
              <w:caps/>
              <w:szCs w:val="32"/>
              <w:lang w:bidi="en-US"/>
            </w:rPr>
            <w:t>Dissertation</w:t>
          </w:r>
        </w:sdtContent>
      </w:sdt>
      <w:sdt>
        <w:sdtPr>
          <w:rPr>
            <w:caps/>
            <w:szCs w:val="32"/>
            <w:lang w:bidi="en-US"/>
          </w:rPr>
          <w:id w:val="11707829"/>
          <w:lock w:val="contentLocked"/>
          <w:placeholder>
            <w:docPart w:val="E4152F7999055249BC0049741EB137DD"/>
          </w:placeholder>
          <w:group/>
        </w:sdtPr>
        <w:sdtContent>
          <w:r w:rsidRPr="00144E08">
            <w:rPr>
              <w:caps/>
              <w:szCs w:val="32"/>
              <w:lang w:bidi="en-US"/>
            </w:rPr>
            <w:t xml:space="preserve"> approved for the</w:t>
          </w:r>
        </w:sdtContent>
      </w:sdt>
    </w:p>
    <w:sdt>
      <w:sdtPr>
        <w:rPr>
          <w:caps/>
          <w:szCs w:val="32"/>
          <w:lang w:bidi="en-US"/>
        </w:rPr>
        <w:alias w:val="Select the exact name of your academic unit"/>
        <w:tag w:val="Exact name of your academic unit in ALL CAPS"/>
        <w:id w:val="8173889"/>
        <w:placeholder>
          <w:docPart w:val="EDDBCFEBA5BE0D42A0F0AF6194801A4D"/>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28A2B480" w14:textId="77777777" w:rsidR="000B0A0E" w:rsidRPr="00144E08" w:rsidRDefault="000B0A0E" w:rsidP="0099599F">
          <w:pPr>
            <w:jc w:val="center"/>
            <w:rPr>
              <w:caps/>
              <w:szCs w:val="32"/>
              <w:lang w:bidi="en-US"/>
            </w:rPr>
          </w:pPr>
          <w:r>
            <w:rPr>
              <w:caps/>
              <w:szCs w:val="32"/>
              <w:lang w:bidi="en-US"/>
            </w:rPr>
            <w:t>Department of Instructional Leadership and Academic Curriculum</w:t>
          </w:r>
        </w:p>
      </w:sdtContent>
    </w:sdt>
    <w:p w14:paraId="04F36394" w14:textId="77777777" w:rsidR="000B0A0E" w:rsidRPr="00144E08" w:rsidRDefault="000B0A0E" w:rsidP="0099599F">
      <w:pPr>
        <w:jc w:val="center"/>
        <w:rPr>
          <w:caps/>
          <w:szCs w:val="32"/>
          <w:lang w:bidi="en-US"/>
        </w:rPr>
      </w:pPr>
    </w:p>
    <w:p w14:paraId="083FC66A" w14:textId="77777777" w:rsidR="000B0A0E" w:rsidRPr="00144E08" w:rsidRDefault="000B0A0E" w:rsidP="0099599F">
      <w:pPr>
        <w:jc w:val="center"/>
        <w:rPr>
          <w:caps/>
          <w:szCs w:val="32"/>
          <w:lang w:bidi="en-US"/>
        </w:rPr>
      </w:pPr>
    </w:p>
    <w:p w14:paraId="11AB72FA" w14:textId="77777777" w:rsidR="000B0A0E" w:rsidRPr="00144E08" w:rsidRDefault="000B0A0E" w:rsidP="0099599F">
      <w:pPr>
        <w:jc w:val="center"/>
        <w:rPr>
          <w:caps/>
          <w:szCs w:val="32"/>
          <w:lang w:bidi="en-US"/>
        </w:rPr>
      </w:pPr>
    </w:p>
    <w:p w14:paraId="7966A993" w14:textId="77777777" w:rsidR="000B0A0E" w:rsidRPr="00144E08" w:rsidRDefault="000B0A0E" w:rsidP="0099599F">
      <w:pPr>
        <w:jc w:val="center"/>
        <w:rPr>
          <w:caps/>
          <w:szCs w:val="32"/>
          <w:lang w:bidi="en-US"/>
        </w:rPr>
      </w:pPr>
    </w:p>
    <w:p w14:paraId="7284548D" w14:textId="77777777" w:rsidR="000B0A0E" w:rsidRPr="00144E08" w:rsidRDefault="000B0A0E" w:rsidP="0099599F">
      <w:pPr>
        <w:jc w:val="center"/>
        <w:rPr>
          <w:caps/>
          <w:szCs w:val="32"/>
          <w:lang w:bidi="en-US"/>
        </w:rPr>
      </w:pPr>
    </w:p>
    <w:p w14:paraId="59AC91A5" w14:textId="77777777" w:rsidR="000B0A0E" w:rsidRPr="00144E08" w:rsidRDefault="000B0A0E" w:rsidP="0099599F">
      <w:pPr>
        <w:jc w:val="center"/>
        <w:rPr>
          <w:caps/>
          <w:szCs w:val="32"/>
          <w:lang w:bidi="en-US"/>
        </w:rPr>
      </w:pPr>
    </w:p>
    <w:p w14:paraId="4C5C3A7C" w14:textId="77777777" w:rsidR="000B0A0E" w:rsidRPr="00144E08" w:rsidRDefault="000B0A0E" w:rsidP="0099599F">
      <w:pPr>
        <w:jc w:val="center"/>
        <w:rPr>
          <w:caps/>
          <w:szCs w:val="32"/>
          <w:lang w:bidi="en-US"/>
        </w:rPr>
      </w:pPr>
    </w:p>
    <w:p w14:paraId="093C9532" w14:textId="77777777" w:rsidR="000B0A0E" w:rsidRPr="00144E08" w:rsidRDefault="000B0A0E" w:rsidP="0099599F">
      <w:pPr>
        <w:jc w:val="center"/>
        <w:rPr>
          <w:caps/>
          <w:szCs w:val="32"/>
          <w:lang w:bidi="en-US"/>
        </w:rPr>
      </w:pPr>
    </w:p>
    <w:sdt>
      <w:sdtPr>
        <w:rPr>
          <w:caps/>
          <w:color w:val="808080"/>
          <w:szCs w:val="32"/>
          <w:lang w:bidi="en-US"/>
        </w:rPr>
        <w:id w:val="30091876"/>
        <w:lock w:val="contentLocked"/>
        <w:placeholder>
          <w:docPart w:val="E4152F7999055249BC0049741EB137DD"/>
        </w:placeholder>
        <w:group/>
      </w:sdtPr>
      <w:sdtContent>
        <w:p w14:paraId="74345316" w14:textId="77777777" w:rsidR="000B0A0E" w:rsidRPr="00144E08" w:rsidRDefault="000B0A0E" w:rsidP="0099599F">
          <w:pPr>
            <w:jc w:val="center"/>
            <w:rPr>
              <w:caps/>
              <w:szCs w:val="32"/>
              <w:lang w:bidi="en-US"/>
            </w:rPr>
          </w:pPr>
          <w:r w:rsidRPr="00144E08">
            <w:rPr>
              <w:caps/>
              <w:szCs w:val="32"/>
              <w:lang w:bidi="en-US"/>
            </w:rPr>
            <w:t>By</w:t>
          </w:r>
        </w:p>
      </w:sdtContent>
    </w:sdt>
    <w:p w14:paraId="16646E7A" w14:textId="77777777" w:rsidR="000B0A0E" w:rsidRPr="00144E08" w:rsidRDefault="000B0A0E" w:rsidP="0099599F">
      <w:pPr>
        <w:jc w:val="center"/>
        <w:rPr>
          <w:szCs w:val="32"/>
          <w:lang w:bidi="en-US"/>
        </w:rPr>
      </w:pPr>
    </w:p>
    <w:p w14:paraId="25EEFEFC" w14:textId="77777777" w:rsidR="000B0A0E" w:rsidRPr="00144E08" w:rsidRDefault="000B0A0E" w:rsidP="0099599F">
      <w:pPr>
        <w:jc w:val="center"/>
        <w:rPr>
          <w:szCs w:val="32"/>
          <w:lang w:bidi="en-US"/>
        </w:rPr>
      </w:pPr>
    </w:p>
    <w:p w14:paraId="5CB8DA05" w14:textId="77777777" w:rsidR="000B0A0E" w:rsidRPr="00144E08" w:rsidRDefault="000B0A0E" w:rsidP="0099599F">
      <w:pPr>
        <w:jc w:val="center"/>
        <w:rPr>
          <w:szCs w:val="32"/>
          <w:lang w:bidi="en-US"/>
        </w:rPr>
      </w:pPr>
    </w:p>
    <w:p w14:paraId="3A90CECE" w14:textId="77777777" w:rsidR="000B0A0E" w:rsidRPr="00144E08" w:rsidRDefault="000B0A0E" w:rsidP="0099599F">
      <w:pPr>
        <w:jc w:val="right"/>
        <w:rPr>
          <w:szCs w:val="32"/>
          <w:lang w:bidi="en-US"/>
        </w:rPr>
      </w:pPr>
      <w:r w:rsidRPr="00144E08">
        <w:rPr>
          <w:szCs w:val="32"/>
          <w:lang w:bidi="en-US"/>
        </w:rPr>
        <w:tab/>
      </w:r>
      <w:r w:rsidRPr="00144E08">
        <w:rPr>
          <w:szCs w:val="32"/>
          <w:lang w:bidi="en-US"/>
        </w:rPr>
        <w:tab/>
      </w:r>
      <w:r w:rsidRPr="00144E08">
        <w:rPr>
          <w:szCs w:val="32"/>
          <w:lang w:bidi="en-US"/>
        </w:rPr>
        <w:tab/>
      </w:r>
      <w:r w:rsidRPr="00144E08">
        <w:rPr>
          <w:szCs w:val="32"/>
          <w:lang w:bidi="en-US"/>
        </w:rPr>
        <w:tab/>
        <w:t>______________________________</w:t>
      </w:r>
    </w:p>
    <w:p w14:paraId="605A7845" w14:textId="77777777" w:rsidR="000B0A0E" w:rsidRPr="00144E08" w:rsidRDefault="000B0A0E" w:rsidP="0099599F">
      <w:pPr>
        <w:jc w:val="right"/>
        <w:rPr>
          <w:szCs w:val="32"/>
          <w:lang w:bidi="en-US"/>
        </w:rPr>
      </w:pPr>
      <w:sdt>
        <w:sdtPr>
          <w:rPr>
            <w:szCs w:val="32"/>
            <w:lang w:bidi="en-US"/>
          </w:rPr>
          <w:id w:val="2462164"/>
          <w:lock w:val="contentLocked"/>
          <w:placeholder>
            <w:docPart w:val="E4152F7999055249BC0049741EB137DD"/>
          </w:placeholder>
          <w:group/>
        </w:sdtPr>
        <w:sdtContent>
          <w:sdt>
            <w:sdtPr>
              <w:rPr>
                <w:szCs w:val="32"/>
                <w:lang w:bidi="en-US"/>
              </w:rPr>
              <w:id w:val="11707793"/>
              <w:lock w:val="contentLocked"/>
              <w:placeholder>
                <w:docPart w:val="E4152F7999055249BC0049741EB137DD"/>
              </w:placeholder>
              <w:group/>
            </w:sdtPr>
            <w:sdtContent>
              <w:r w:rsidRPr="00144E08">
                <w:rPr>
                  <w:szCs w:val="32"/>
                  <w:lang w:bidi="en-US"/>
                </w:rPr>
                <w:t>Dr.</w:t>
              </w:r>
            </w:sdtContent>
          </w:sdt>
        </w:sdtContent>
      </w:sdt>
      <w:r w:rsidRPr="00144E08">
        <w:rPr>
          <w:szCs w:val="32"/>
          <w:lang w:bidi="en-US"/>
        </w:rPr>
        <w:t xml:space="preserve"> </w:t>
      </w:r>
      <w:sdt>
        <w:sdtPr>
          <w:rPr>
            <w:szCs w:val="32"/>
            <w:lang w:bidi="en-US"/>
          </w:rPr>
          <w:alias w:val="Click to enter committee chair name"/>
          <w:tag w:val="committee chair"/>
          <w:id w:val="30091849"/>
          <w:placeholder>
            <w:docPart w:val="E4152F7999055249BC0049741EB137DD"/>
          </w:placeholder>
        </w:sdtPr>
        <w:sdtContent>
          <w:r>
            <w:rPr>
              <w:szCs w:val="32"/>
              <w:lang w:bidi="en-US"/>
            </w:rPr>
            <w:t>Lawrence Baines</w:t>
          </w:r>
        </w:sdtContent>
      </w:sdt>
      <w:r w:rsidRPr="00144E08">
        <w:rPr>
          <w:szCs w:val="32"/>
          <w:lang w:bidi="en-US"/>
        </w:rPr>
        <w:t>, Chair</w:t>
      </w:r>
    </w:p>
    <w:p w14:paraId="09C4DB31" w14:textId="77777777" w:rsidR="000B0A0E" w:rsidRPr="00144E08" w:rsidRDefault="000B0A0E" w:rsidP="0099599F">
      <w:pPr>
        <w:jc w:val="right"/>
        <w:rPr>
          <w:szCs w:val="32"/>
          <w:lang w:bidi="en-US"/>
        </w:rPr>
      </w:pPr>
    </w:p>
    <w:p w14:paraId="60199E65" w14:textId="77777777" w:rsidR="000B0A0E" w:rsidRPr="00144E08" w:rsidRDefault="000B0A0E" w:rsidP="0099599F">
      <w:pPr>
        <w:jc w:val="right"/>
        <w:rPr>
          <w:szCs w:val="32"/>
          <w:lang w:bidi="en-US"/>
        </w:rPr>
      </w:pPr>
    </w:p>
    <w:p w14:paraId="51DE805A" w14:textId="77777777" w:rsidR="000B0A0E" w:rsidRPr="00144E08" w:rsidRDefault="000B0A0E" w:rsidP="0099599F">
      <w:pPr>
        <w:jc w:val="right"/>
        <w:rPr>
          <w:szCs w:val="32"/>
          <w:lang w:bidi="en-US"/>
        </w:rPr>
      </w:pPr>
      <w:r w:rsidRPr="00144E08">
        <w:rPr>
          <w:szCs w:val="32"/>
          <w:lang w:bidi="en-US"/>
        </w:rPr>
        <w:t>______________________________</w:t>
      </w:r>
    </w:p>
    <w:p w14:paraId="5FEED99B" w14:textId="77777777" w:rsidR="000B0A0E" w:rsidRPr="00144E08" w:rsidRDefault="000B0A0E" w:rsidP="0099599F">
      <w:pPr>
        <w:jc w:val="right"/>
        <w:rPr>
          <w:szCs w:val="32"/>
          <w:lang w:bidi="en-US"/>
        </w:rPr>
      </w:pPr>
      <w:sdt>
        <w:sdtPr>
          <w:rPr>
            <w:szCs w:val="32"/>
            <w:lang w:bidi="en-US"/>
          </w:rPr>
          <w:alias w:val="Select the appropriate prefix"/>
          <w:tag w:val="Prefix"/>
          <w:id w:val="8173872"/>
          <w:placeholder>
            <w:docPart w:val="FB568A3C323E7A4EA6C58547ACD904D6"/>
          </w:placeholder>
          <w:dropDownList>
            <w:listItem w:displayText="[Prefix]" w:value="[Prefix]"/>
            <w:listItem w:displayText="Dr." w:value="Dr."/>
            <w:listItem w:displayText="Mr." w:value="Mr."/>
            <w:listItem w:displayText="Mrs." w:value="Mrs."/>
            <w:listItem w:displayText="Ms." w:value="Ms."/>
          </w:dropDownList>
        </w:sdtPr>
        <w:sdtContent>
          <w:r w:rsidRPr="00144E08">
            <w:rPr>
              <w:szCs w:val="32"/>
              <w:lang w:bidi="en-US"/>
            </w:rPr>
            <w:t>Dr.</w:t>
          </w:r>
        </w:sdtContent>
      </w:sdt>
      <w:r w:rsidRPr="00144E08">
        <w:rPr>
          <w:szCs w:val="32"/>
          <w:lang w:bidi="en-US"/>
        </w:rPr>
        <w:t xml:space="preserve"> </w:t>
      </w:r>
      <w:sdt>
        <w:sdtPr>
          <w:rPr>
            <w:szCs w:val="32"/>
            <w:lang w:bidi="en-US"/>
          </w:rPr>
          <w:alias w:val="Click to enter 2nd member name"/>
          <w:tag w:val="2nd member"/>
          <w:id w:val="30091850"/>
          <w:placeholder>
            <w:docPart w:val="AD78225E07D979489CCFF48A4E3ABE15"/>
          </w:placeholder>
        </w:sdtPr>
        <w:sdtContent>
          <w:r>
            <w:rPr>
              <w:szCs w:val="32"/>
              <w:lang w:bidi="en-US"/>
            </w:rPr>
            <w:t>Nancy Halliday</w:t>
          </w:r>
          <w:r w:rsidRPr="00144E08">
            <w:rPr>
              <w:szCs w:val="32"/>
              <w:lang w:bidi="en-US"/>
            </w:rPr>
            <w:t>, Co-Chair</w:t>
          </w:r>
        </w:sdtContent>
      </w:sdt>
    </w:p>
    <w:p w14:paraId="691EF223" w14:textId="77777777" w:rsidR="000B0A0E" w:rsidRPr="00144E08" w:rsidRDefault="000B0A0E" w:rsidP="0099599F">
      <w:pPr>
        <w:jc w:val="right"/>
        <w:rPr>
          <w:szCs w:val="32"/>
          <w:lang w:bidi="en-US"/>
        </w:rPr>
      </w:pPr>
    </w:p>
    <w:p w14:paraId="633C18F5" w14:textId="77777777" w:rsidR="000B0A0E" w:rsidRPr="00144E08" w:rsidRDefault="000B0A0E" w:rsidP="0099599F">
      <w:pPr>
        <w:jc w:val="right"/>
        <w:rPr>
          <w:szCs w:val="32"/>
          <w:lang w:bidi="en-US"/>
        </w:rPr>
      </w:pPr>
    </w:p>
    <w:p w14:paraId="13964C98" w14:textId="77777777" w:rsidR="000B0A0E" w:rsidRPr="00144E08" w:rsidRDefault="000B0A0E" w:rsidP="0099599F">
      <w:pPr>
        <w:jc w:val="right"/>
        <w:rPr>
          <w:szCs w:val="32"/>
          <w:lang w:bidi="en-US"/>
        </w:rPr>
      </w:pPr>
      <w:r w:rsidRPr="00144E08">
        <w:rPr>
          <w:szCs w:val="32"/>
          <w:lang w:bidi="en-US"/>
        </w:rPr>
        <w:t>______________________________</w:t>
      </w:r>
    </w:p>
    <w:p w14:paraId="080511AE" w14:textId="77777777" w:rsidR="000B0A0E" w:rsidRPr="00144E08" w:rsidRDefault="000B0A0E" w:rsidP="0099599F">
      <w:pPr>
        <w:jc w:val="right"/>
        <w:rPr>
          <w:szCs w:val="32"/>
          <w:lang w:bidi="en-US"/>
        </w:rPr>
      </w:pPr>
      <w:sdt>
        <w:sdtPr>
          <w:rPr>
            <w:szCs w:val="32"/>
            <w:lang w:bidi="en-US"/>
          </w:rPr>
          <w:alias w:val="Select the appropriate prefix"/>
          <w:tag w:val="Prefix"/>
          <w:id w:val="30091851"/>
          <w:placeholder>
            <w:docPart w:val="9EAFCFF10D8ED248AADC013E657EFF66"/>
          </w:placeholder>
          <w:dropDownList>
            <w:listItem w:displayText="[Prefix]" w:value="[Prefix]"/>
            <w:listItem w:displayText="Dr." w:value="Dr."/>
            <w:listItem w:displayText="Mr." w:value="Mr."/>
            <w:listItem w:displayText="Mrs." w:value="Mrs."/>
            <w:listItem w:displayText="Ms." w:value="Ms."/>
          </w:dropDownList>
        </w:sdtPr>
        <w:sdtContent>
          <w:r w:rsidRPr="00144E08">
            <w:rPr>
              <w:szCs w:val="32"/>
              <w:lang w:bidi="en-US"/>
            </w:rPr>
            <w:t>Dr.</w:t>
          </w:r>
        </w:sdtContent>
      </w:sdt>
      <w:r w:rsidRPr="00144E08">
        <w:rPr>
          <w:szCs w:val="32"/>
          <w:lang w:bidi="en-US"/>
        </w:rPr>
        <w:t xml:space="preserve"> </w:t>
      </w:r>
      <w:sdt>
        <w:sdtPr>
          <w:rPr>
            <w:szCs w:val="32"/>
            <w:lang w:bidi="en-US"/>
          </w:rPr>
          <w:alias w:val="Click to enter 3rd member name"/>
          <w:tag w:val="3rd member"/>
          <w:id w:val="30091852"/>
          <w:placeholder>
            <w:docPart w:val="E9CC648FED5DAC4299EAA9B6D2500EAB"/>
          </w:placeholder>
        </w:sdtPr>
        <w:sdtContent>
          <w:r>
            <w:rPr>
              <w:szCs w:val="32"/>
              <w:lang w:bidi="en-US"/>
            </w:rPr>
            <w:t>Gregg Garn</w:t>
          </w:r>
        </w:sdtContent>
      </w:sdt>
    </w:p>
    <w:p w14:paraId="4583E500" w14:textId="77777777" w:rsidR="000B0A0E" w:rsidRPr="00144E08" w:rsidRDefault="000B0A0E" w:rsidP="0099599F">
      <w:pPr>
        <w:jc w:val="right"/>
        <w:rPr>
          <w:szCs w:val="32"/>
          <w:lang w:bidi="en-US"/>
        </w:rPr>
      </w:pPr>
    </w:p>
    <w:p w14:paraId="6FF511F4" w14:textId="77777777" w:rsidR="000B0A0E" w:rsidRPr="00144E08" w:rsidRDefault="000B0A0E" w:rsidP="0099599F">
      <w:pPr>
        <w:jc w:val="right"/>
        <w:rPr>
          <w:szCs w:val="32"/>
          <w:lang w:bidi="en-US"/>
        </w:rPr>
      </w:pPr>
    </w:p>
    <w:p w14:paraId="27BEBF7E" w14:textId="77777777" w:rsidR="000B0A0E" w:rsidRPr="00144E08" w:rsidRDefault="000B0A0E" w:rsidP="0099599F">
      <w:pPr>
        <w:jc w:val="right"/>
        <w:rPr>
          <w:szCs w:val="32"/>
          <w:lang w:bidi="en-US"/>
        </w:rPr>
      </w:pPr>
      <w:r w:rsidRPr="00144E08">
        <w:rPr>
          <w:szCs w:val="32"/>
          <w:lang w:bidi="en-US"/>
        </w:rPr>
        <w:t>______________________________</w:t>
      </w:r>
    </w:p>
    <w:p w14:paraId="5BC5165E" w14:textId="77777777" w:rsidR="000B0A0E" w:rsidRPr="00144E08" w:rsidRDefault="000B0A0E" w:rsidP="0099599F">
      <w:pPr>
        <w:jc w:val="right"/>
        <w:rPr>
          <w:szCs w:val="32"/>
          <w:lang w:bidi="en-US"/>
        </w:rPr>
      </w:pPr>
      <w:sdt>
        <w:sdtPr>
          <w:rPr>
            <w:szCs w:val="32"/>
            <w:lang w:bidi="en-US"/>
          </w:rPr>
          <w:alias w:val="Select the appropriate prefix"/>
          <w:tag w:val="Prefix"/>
          <w:id w:val="30091854"/>
          <w:placeholder>
            <w:docPart w:val="06642DF57B41CE4DAC9686F3FF1BB427"/>
          </w:placeholder>
          <w:dropDownList>
            <w:listItem w:displayText="[Prefix]" w:value="[Prefix]"/>
            <w:listItem w:displayText="Dr." w:value="Dr."/>
            <w:listItem w:displayText="Mr." w:value="Mr."/>
            <w:listItem w:displayText="Mrs." w:value="Mrs."/>
            <w:listItem w:displayText="Ms." w:value="Ms."/>
          </w:dropDownList>
        </w:sdtPr>
        <w:sdtContent>
          <w:r w:rsidRPr="00144E08">
            <w:rPr>
              <w:szCs w:val="32"/>
              <w:lang w:bidi="en-US"/>
            </w:rPr>
            <w:t>Dr.</w:t>
          </w:r>
        </w:sdtContent>
      </w:sdt>
      <w:r w:rsidRPr="00144E08">
        <w:rPr>
          <w:szCs w:val="32"/>
          <w:lang w:bidi="en-US"/>
        </w:rPr>
        <w:t xml:space="preserve"> </w:t>
      </w:r>
      <w:sdt>
        <w:sdtPr>
          <w:rPr>
            <w:szCs w:val="32"/>
            <w:lang w:bidi="en-US"/>
          </w:rPr>
          <w:alias w:val="Click to enter 4th member name"/>
          <w:tag w:val="4th member"/>
          <w:id w:val="30091855"/>
          <w:placeholder>
            <w:docPart w:val="D857D1E723E0EA4FA5BDF24015E884AA"/>
          </w:placeholder>
        </w:sdtPr>
        <w:sdtContent>
          <w:r>
            <w:rPr>
              <w:szCs w:val="32"/>
              <w:lang w:bidi="en-US"/>
            </w:rPr>
            <w:t>Sara Beach</w:t>
          </w:r>
        </w:sdtContent>
      </w:sdt>
    </w:p>
    <w:p w14:paraId="32F80CEF" w14:textId="77777777" w:rsidR="000B0A0E" w:rsidRPr="00144E08" w:rsidRDefault="000B0A0E" w:rsidP="0099599F">
      <w:pPr>
        <w:jc w:val="right"/>
        <w:rPr>
          <w:szCs w:val="32"/>
          <w:lang w:bidi="en-US"/>
        </w:rPr>
      </w:pPr>
    </w:p>
    <w:p w14:paraId="7114FF2B" w14:textId="77777777" w:rsidR="000B0A0E" w:rsidRPr="00144E08" w:rsidRDefault="000B0A0E" w:rsidP="0099599F">
      <w:pPr>
        <w:jc w:val="right"/>
        <w:rPr>
          <w:szCs w:val="32"/>
          <w:lang w:bidi="en-US"/>
        </w:rPr>
      </w:pPr>
    </w:p>
    <w:p w14:paraId="4D8E065D" w14:textId="77777777" w:rsidR="000B0A0E" w:rsidRPr="00144E08" w:rsidRDefault="000B0A0E" w:rsidP="0099599F">
      <w:pPr>
        <w:jc w:val="right"/>
        <w:rPr>
          <w:szCs w:val="32"/>
          <w:lang w:bidi="en-US"/>
        </w:rPr>
      </w:pPr>
      <w:r w:rsidRPr="00144E08">
        <w:rPr>
          <w:szCs w:val="32"/>
          <w:lang w:bidi="en-US"/>
        </w:rPr>
        <w:t>______________________________</w:t>
      </w:r>
    </w:p>
    <w:p w14:paraId="5C96ED6F" w14:textId="77777777" w:rsidR="000B0A0E" w:rsidRPr="00144E08" w:rsidRDefault="000B0A0E" w:rsidP="0099599F">
      <w:pPr>
        <w:jc w:val="right"/>
        <w:rPr>
          <w:szCs w:val="32"/>
          <w:lang w:bidi="en-US"/>
        </w:rPr>
      </w:pPr>
      <w:sdt>
        <w:sdtPr>
          <w:rPr>
            <w:szCs w:val="32"/>
            <w:lang w:bidi="en-US"/>
          </w:rPr>
          <w:alias w:val="Select the appropriate prefix"/>
          <w:tag w:val="Prefix"/>
          <w:id w:val="11707803"/>
          <w:placeholder>
            <w:docPart w:val="9D4AD39051835B4495C057D1BC20B75E"/>
          </w:placeholder>
          <w:dropDownList>
            <w:listItem w:displayText="[Prefix]" w:value="[Prefix]"/>
            <w:listItem w:displayText="Dr." w:value="Dr."/>
            <w:listItem w:displayText="Mr." w:value="Mr."/>
            <w:listItem w:displayText="Mrs." w:value="Mrs."/>
            <w:listItem w:displayText="Ms." w:value="Ms."/>
          </w:dropDownList>
        </w:sdtPr>
        <w:sdtContent>
          <w:r w:rsidRPr="00144E08">
            <w:rPr>
              <w:szCs w:val="32"/>
              <w:lang w:bidi="en-US"/>
            </w:rPr>
            <w:t>Dr.</w:t>
          </w:r>
        </w:sdtContent>
      </w:sdt>
      <w:r w:rsidRPr="00144E08">
        <w:rPr>
          <w:szCs w:val="32"/>
          <w:lang w:bidi="en-US"/>
        </w:rPr>
        <w:t xml:space="preserve"> </w:t>
      </w:r>
      <w:sdt>
        <w:sdtPr>
          <w:rPr>
            <w:szCs w:val="32"/>
            <w:lang w:bidi="en-US"/>
          </w:rPr>
          <w:alias w:val="Click to enter 5th member name"/>
          <w:tag w:val="5th member"/>
          <w:id w:val="11707804"/>
          <w:placeholder>
            <w:docPart w:val="4F5D6E0A5DED0A4FA8D4E4167B965A7E"/>
          </w:placeholder>
        </w:sdtPr>
        <w:sdtContent>
          <w:r>
            <w:rPr>
              <w:szCs w:val="32"/>
              <w:lang w:bidi="en-US"/>
            </w:rPr>
            <w:t>Daniel O’Donoghue</w:t>
          </w:r>
        </w:sdtContent>
      </w:sdt>
    </w:p>
    <w:p w14:paraId="251F9863" w14:textId="77777777" w:rsidR="000B0A0E" w:rsidRPr="00144E08" w:rsidRDefault="000B0A0E" w:rsidP="0099599F">
      <w:pPr>
        <w:jc w:val="right"/>
        <w:rPr>
          <w:szCs w:val="32"/>
          <w:lang w:bidi="en-US"/>
        </w:rPr>
      </w:pPr>
    </w:p>
    <w:p w14:paraId="4825D85E" w14:textId="77777777" w:rsidR="000B0A0E" w:rsidRPr="00144E08" w:rsidRDefault="000B0A0E" w:rsidP="0099599F">
      <w:pPr>
        <w:jc w:val="right"/>
        <w:rPr>
          <w:szCs w:val="32"/>
          <w:lang w:bidi="en-US"/>
        </w:rPr>
      </w:pPr>
    </w:p>
    <w:p w14:paraId="6EEA7625" w14:textId="77777777" w:rsidR="000B0A0E" w:rsidRPr="00144E08" w:rsidRDefault="000B0A0E" w:rsidP="0099599F">
      <w:pPr>
        <w:jc w:val="right"/>
        <w:rPr>
          <w:szCs w:val="32"/>
          <w:lang w:bidi="en-US"/>
        </w:rPr>
      </w:pPr>
      <w:r w:rsidRPr="00144E08">
        <w:rPr>
          <w:szCs w:val="32"/>
          <w:lang w:bidi="en-US"/>
        </w:rPr>
        <w:t>______________________________</w:t>
      </w:r>
    </w:p>
    <w:p w14:paraId="33C36E24" w14:textId="77777777" w:rsidR="000B0A0E" w:rsidRPr="00144E08" w:rsidRDefault="000B0A0E" w:rsidP="0099599F">
      <w:pPr>
        <w:jc w:val="right"/>
        <w:rPr>
          <w:szCs w:val="32"/>
          <w:lang w:bidi="en-US"/>
        </w:rPr>
      </w:pPr>
      <w:sdt>
        <w:sdtPr>
          <w:rPr>
            <w:szCs w:val="32"/>
            <w:lang w:bidi="en-US"/>
          </w:rPr>
          <w:alias w:val="Select the appropriate prefix"/>
          <w:tag w:val="Prefix"/>
          <w:id w:val="30091857"/>
          <w:placeholder>
            <w:docPart w:val="6D101AD1830F0B4E916826016F7398FF"/>
          </w:placeholder>
          <w:dropDownList>
            <w:listItem w:displayText="[Prefix]" w:value="[Prefix]"/>
            <w:listItem w:displayText="Dr." w:value="Dr."/>
            <w:listItem w:displayText="Mr." w:value="Mr."/>
            <w:listItem w:displayText="Mrs." w:value="Mrs."/>
            <w:listItem w:displayText="Ms." w:value="Ms."/>
          </w:dropDownList>
        </w:sdtPr>
        <w:sdtContent>
          <w:r w:rsidRPr="00144E08">
            <w:rPr>
              <w:szCs w:val="32"/>
              <w:lang w:bidi="en-US"/>
            </w:rPr>
            <w:t>Dr.</w:t>
          </w:r>
        </w:sdtContent>
      </w:sdt>
      <w:r w:rsidRPr="00144E08">
        <w:rPr>
          <w:szCs w:val="32"/>
          <w:lang w:bidi="en-US"/>
        </w:rPr>
        <w:t xml:space="preserve"> </w:t>
      </w:r>
      <w:sdt>
        <w:sdtPr>
          <w:rPr>
            <w:szCs w:val="32"/>
            <w:lang w:bidi="en-US"/>
          </w:rPr>
          <w:alias w:val="Click to enter 6th member name, if applicable"/>
          <w:tag w:val="6th member"/>
          <w:id w:val="30091858"/>
          <w:placeholder>
            <w:docPart w:val="A8F1BAECE2F5BD419F6864830A283996"/>
          </w:placeholder>
        </w:sdtPr>
        <w:sdtContent>
          <w:r>
            <w:rPr>
              <w:szCs w:val="32"/>
              <w:lang w:bidi="en-US"/>
            </w:rPr>
            <w:t>Stacy Reeder</w:t>
          </w:r>
        </w:sdtContent>
      </w:sdt>
    </w:p>
    <w:p w14:paraId="27DDB217" w14:textId="77777777" w:rsidR="00C75996" w:rsidRPr="00B417BF" w:rsidRDefault="00C75996" w:rsidP="00C75996">
      <w:pPr>
        <w:jc w:val="center"/>
        <w:outlineLvl w:val="0"/>
        <w:rPr>
          <w:rFonts w:asciiTheme="minorHAnsi" w:hAnsiTheme="minorHAnsi"/>
          <w:sz w:val="28"/>
          <w:szCs w:val="28"/>
        </w:rPr>
      </w:pPr>
    </w:p>
    <w:p w14:paraId="386CB1A7" w14:textId="77777777" w:rsidR="0084650D" w:rsidRPr="00B417BF" w:rsidRDefault="0084650D" w:rsidP="00D37C82">
      <w:pPr>
        <w:spacing w:line="480" w:lineRule="auto"/>
        <w:jc w:val="center"/>
        <w:outlineLvl w:val="0"/>
        <w:rPr>
          <w:rFonts w:asciiTheme="minorHAnsi" w:hAnsiTheme="minorHAnsi"/>
          <w:b/>
          <w:sz w:val="28"/>
          <w:szCs w:val="28"/>
        </w:rPr>
      </w:pPr>
    </w:p>
    <w:p w14:paraId="32E0554B" w14:textId="7291E28A" w:rsidR="00C75996" w:rsidRPr="00B417BF" w:rsidRDefault="00C75996" w:rsidP="00C75996">
      <w:pPr>
        <w:spacing w:line="480" w:lineRule="auto"/>
        <w:outlineLvl w:val="0"/>
        <w:rPr>
          <w:rFonts w:asciiTheme="minorHAnsi" w:hAnsiTheme="minorHAnsi"/>
          <w:b/>
        </w:rPr>
      </w:pPr>
    </w:p>
    <w:p w14:paraId="01328046" w14:textId="77777777" w:rsidR="00C75996" w:rsidRPr="00B417BF" w:rsidRDefault="00C75996" w:rsidP="00C75996">
      <w:pPr>
        <w:spacing w:line="480" w:lineRule="auto"/>
        <w:outlineLvl w:val="0"/>
        <w:rPr>
          <w:rFonts w:asciiTheme="minorHAnsi" w:hAnsiTheme="minorHAnsi"/>
          <w:b/>
        </w:rPr>
      </w:pPr>
    </w:p>
    <w:p w14:paraId="1BB79368" w14:textId="77777777" w:rsidR="00C75996" w:rsidRPr="00B417BF" w:rsidRDefault="00C75996" w:rsidP="00C75996">
      <w:pPr>
        <w:spacing w:line="480" w:lineRule="auto"/>
        <w:outlineLvl w:val="0"/>
        <w:rPr>
          <w:rFonts w:asciiTheme="minorHAnsi" w:hAnsiTheme="minorHAnsi"/>
          <w:b/>
        </w:rPr>
      </w:pPr>
    </w:p>
    <w:p w14:paraId="21819732" w14:textId="77777777" w:rsidR="00C75996" w:rsidRPr="00B417BF" w:rsidRDefault="00C75996" w:rsidP="00C75996">
      <w:pPr>
        <w:spacing w:line="480" w:lineRule="auto"/>
        <w:outlineLvl w:val="0"/>
        <w:rPr>
          <w:rFonts w:asciiTheme="minorHAnsi" w:hAnsiTheme="minorHAnsi"/>
          <w:b/>
        </w:rPr>
      </w:pPr>
    </w:p>
    <w:p w14:paraId="16157494" w14:textId="77777777" w:rsidR="00C75996" w:rsidRPr="00B417BF" w:rsidRDefault="00C75996" w:rsidP="00C75996">
      <w:pPr>
        <w:spacing w:line="480" w:lineRule="auto"/>
        <w:outlineLvl w:val="0"/>
        <w:rPr>
          <w:rFonts w:asciiTheme="minorHAnsi" w:hAnsiTheme="minorHAnsi"/>
          <w:b/>
        </w:rPr>
      </w:pPr>
    </w:p>
    <w:p w14:paraId="604A4EAC" w14:textId="77777777" w:rsidR="00C75996" w:rsidRPr="00B417BF" w:rsidRDefault="00C75996" w:rsidP="00C75996">
      <w:pPr>
        <w:spacing w:line="480" w:lineRule="auto"/>
        <w:outlineLvl w:val="0"/>
        <w:rPr>
          <w:rFonts w:asciiTheme="minorHAnsi" w:hAnsiTheme="minorHAnsi"/>
          <w:b/>
        </w:rPr>
      </w:pPr>
    </w:p>
    <w:p w14:paraId="5F77B5AA" w14:textId="77777777" w:rsidR="00C75996" w:rsidRPr="00B417BF" w:rsidRDefault="00C75996" w:rsidP="00C75996">
      <w:pPr>
        <w:spacing w:line="480" w:lineRule="auto"/>
        <w:outlineLvl w:val="0"/>
        <w:rPr>
          <w:rFonts w:asciiTheme="minorHAnsi" w:hAnsiTheme="minorHAnsi"/>
          <w:b/>
        </w:rPr>
      </w:pPr>
    </w:p>
    <w:p w14:paraId="08D20554" w14:textId="77777777" w:rsidR="00C75996" w:rsidRPr="00B417BF" w:rsidRDefault="00C75996" w:rsidP="00C75996">
      <w:pPr>
        <w:spacing w:line="480" w:lineRule="auto"/>
        <w:outlineLvl w:val="0"/>
        <w:rPr>
          <w:rFonts w:asciiTheme="minorHAnsi" w:hAnsiTheme="minorHAnsi"/>
          <w:b/>
        </w:rPr>
      </w:pPr>
    </w:p>
    <w:p w14:paraId="68202758" w14:textId="77777777" w:rsidR="00C75996" w:rsidRPr="00B417BF" w:rsidRDefault="00C75996" w:rsidP="00C75996">
      <w:pPr>
        <w:spacing w:line="480" w:lineRule="auto"/>
        <w:outlineLvl w:val="0"/>
        <w:rPr>
          <w:rFonts w:asciiTheme="minorHAnsi" w:hAnsiTheme="minorHAnsi"/>
          <w:b/>
        </w:rPr>
      </w:pPr>
    </w:p>
    <w:p w14:paraId="68963425" w14:textId="77777777" w:rsidR="00C75996" w:rsidRPr="00B417BF" w:rsidRDefault="00C75996" w:rsidP="00C75996">
      <w:pPr>
        <w:spacing w:line="480" w:lineRule="auto"/>
        <w:outlineLvl w:val="0"/>
        <w:rPr>
          <w:rFonts w:asciiTheme="minorHAnsi" w:hAnsiTheme="minorHAnsi"/>
          <w:b/>
        </w:rPr>
      </w:pPr>
    </w:p>
    <w:p w14:paraId="7C67462F" w14:textId="77777777" w:rsidR="00C75996" w:rsidRPr="00B417BF" w:rsidRDefault="00C75996" w:rsidP="00C75996">
      <w:pPr>
        <w:spacing w:line="480" w:lineRule="auto"/>
        <w:outlineLvl w:val="0"/>
        <w:rPr>
          <w:rFonts w:asciiTheme="minorHAnsi" w:hAnsiTheme="minorHAnsi"/>
          <w:b/>
        </w:rPr>
      </w:pPr>
    </w:p>
    <w:p w14:paraId="0FF673DB" w14:textId="77777777" w:rsidR="00C75996" w:rsidRPr="00B417BF" w:rsidRDefault="00C75996" w:rsidP="00C75996">
      <w:pPr>
        <w:spacing w:line="480" w:lineRule="auto"/>
        <w:outlineLvl w:val="0"/>
        <w:rPr>
          <w:rFonts w:asciiTheme="minorHAnsi" w:hAnsiTheme="minorHAnsi"/>
          <w:b/>
        </w:rPr>
      </w:pPr>
    </w:p>
    <w:p w14:paraId="042FED48" w14:textId="77777777" w:rsidR="00C75996" w:rsidRPr="00B417BF" w:rsidRDefault="00C75996" w:rsidP="00C75996">
      <w:pPr>
        <w:spacing w:line="480" w:lineRule="auto"/>
        <w:outlineLvl w:val="0"/>
        <w:rPr>
          <w:rFonts w:asciiTheme="minorHAnsi" w:hAnsiTheme="minorHAnsi"/>
          <w:b/>
        </w:rPr>
      </w:pPr>
    </w:p>
    <w:p w14:paraId="6F4B45B5" w14:textId="77777777" w:rsidR="00C75996" w:rsidRPr="00B417BF" w:rsidRDefault="00C75996" w:rsidP="00C75996">
      <w:pPr>
        <w:spacing w:line="480" w:lineRule="auto"/>
        <w:outlineLvl w:val="0"/>
        <w:rPr>
          <w:rFonts w:asciiTheme="minorHAnsi" w:hAnsiTheme="minorHAnsi"/>
          <w:b/>
        </w:rPr>
      </w:pPr>
    </w:p>
    <w:p w14:paraId="5C8B7733" w14:textId="77777777" w:rsidR="00C75996" w:rsidRPr="00B417BF" w:rsidRDefault="00C75996" w:rsidP="00C75996">
      <w:pPr>
        <w:spacing w:line="480" w:lineRule="auto"/>
        <w:outlineLvl w:val="0"/>
        <w:rPr>
          <w:rFonts w:asciiTheme="minorHAnsi" w:hAnsiTheme="minorHAnsi"/>
          <w:b/>
        </w:rPr>
      </w:pPr>
    </w:p>
    <w:p w14:paraId="64ECC4B5" w14:textId="77777777" w:rsidR="00C75996" w:rsidRPr="00B417BF" w:rsidRDefault="00C75996" w:rsidP="00C75996">
      <w:pPr>
        <w:spacing w:line="480" w:lineRule="auto"/>
        <w:outlineLvl w:val="0"/>
        <w:rPr>
          <w:rFonts w:asciiTheme="minorHAnsi" w:hAnsiTheme="minorHAnsi"/>
          <w:b/>
        </w:rPr>
      </w:pPr>
    </w:p>
    <w:p w14:paraId="2E42F7F0" w14:textId="3AB6F233" w:rsidR="00C75996" w:rsidRPr="00B417BF" w:rsidRDefault="00C75996" w:rsidP="00C75996">
      <w:pPr>
        <w:spacing w:line="480" w:lineRule="auto"/>
        <w:outlineLvl w:val="0"/>
        <w:rPr>
          <w:rFonts w:asciiTheme="minorHAnsi" w:hAnsiTheme="minorHAnsi"/>
          <w:b/>
        </w:rPr>
      </w:pPr>
      <w:bookmarkStart w:id="0" w:name="_GoBack"/>
      <w:bookmarkEnd w:id="0"/>
    </w:p>
    <w:p w14:paraId="476572B7" w14:textId="77777777" w:rsidR="00C75996" w:rsidRPr="00B417BF" w:rsidRDefault="00C75996" w:rsidP="00C75996">
      <w:pPr>
        <w:spacing w:line="480" w:lineRule="auto"/>
        <w:outlineLvl w:val="0"/>
        <w:rPr>
          <w:rFonts w:asciiTheme="minorHAnsi" w:hAnsiTheme="minorHAnsi"/>
          <w:b/>
        </w:rPr>
      </w:pPr>
    </w:p>
    <w:p w14:paraId="738A9B7F" w14:textId="77777777" w:rsidR="00C75996" w:rsidRPr="00B417BF" w:rsidRDefault="00C75996" w:rsidP="00C75996">
      <w:pPr>
        <w:spacing w:line="480" w:lineRule="auto"/>
        <w:outlineLvl w:val="0"/>
        <w:rPr>
          <w:rFonts w:asciiTheme="minorHAnsi" w:hAnsiTheme="minorHAnsi"/>
          <w:b/>
        </w:rPr>
      </w:pPr>
    </w:p>
    <w:p w14:paraId="2F4B6A69" w14:textId="61ACBC0C" w:rsidR="00C75996" w:rsidRPr="00B417BF" w:rsidRDefault="00C75996" w:rsidP="00C75996">
      <w:pPr>
        <w:spacing w:line="480" w:lineRule="auto"/>
        <w:outlineLvl w:val="0"/>
        <w:rPr>
          <w:rFonts w:asciiTheme="minorHAnsi" w:hAnsiTheme="minorHAnsi"/>
          <w:b/>
        </w:rPr>
      </w:pPr>
    </w:p>
    <w:p w14:paraId="2E17204D" w14:textId="08EBB321" w:rsidR="00C75996" w:rsidRPr="00D6078D" w:rsidRDefault="00C75996" w:rsidP="00C75996">
      <w:pPr>
        <w:jc w:val="center"/>
        <w:outlineLvl w:val="0"/>
        <w:rPr>
          <w:rFonts w:asciiTheme="minorHAnsi" w:hAnsiTheme="minorHAnsi"/>
        </w:rPr>
      </w:pPr>
      <w:r w:rsidRPr="00D6078D">
        <w:rPr>
          <w:rFonts w:asciiTheme="minorHAnsi" w:hAnsiTheme="minorHAnsi"/>
          <w:b/>
        </w:rPr>
        <w:t xml:space="preserve">© </w:t>
      </w:r>
      <w:r w:rsidRPr="00D6078D">
        <w:rPr>
          <w:rFonts w:asciiTheme="minorHAnsi" w:hAnsiTheme="minorHAnsi"/>
        </w:rPr>
        <w:t xml:space="preserve">Copyright by </w:t>
      </w:r>
      <w:r w:rsidR="00D6078D">
        <w:rPr>
          <w:rFonts w:asciiTheme="minorHAnsi" w:hAnsiTheme="minorHAnsi"/>
        </w:rPr>
        <w:t>AMY SUSANNE THIESSEN</w:t>
      </w:r>
      <w:r w:rsidRPr="00D6078D">
        <w:rPr>
          <w:rFonts w:asciiTheme="minorHAnsi" w:hAnsiTheme="minorHAnsi"/>
          <w:sz w:val="22"/>
        </w:rPr>
        <w:t xml:space="preserve"> </w:t>
      </w:r>
      <w:r w:rsidRPr="00D6078D">
        <w:rPr>
          <w:rFonts w:asciiTheme="minorHAnsi" w:hAnsiTheme="minorHAnsi"/>
        </w:rPr>
        <w:t>2018</w:t>
      </w:r>
    </w:p>
    <w:p w14:paraId="4123FCD7" w14:textId="13FABB05" w:rsidR="00C75996" w:rsidRPr="00B417BF" w:rsidRDefault="00C75996" w:rsidP="00C75996">
      <w:pPr>
        <w:jc w:val="center"/>
        <w:outlineLvl w:val="0"/>
        <w:rPr>
          <w:rFonts w:asciiTheme="minorHAnsi" w:hAnsiTheme="minorHAnsi"/>
        </w:rPr>
      </w:pPr>
      <w:r w:rsidRPr="00D6078D">
        <w:rPr>
          <w:rFonts w:asciiTheme="minorHAnsi" w:hAnsiTheme="minorHAnsi"/>
        </w:rPr>
        <w:t>All Rights Reserved</w:t>
      </w:r>
      <w:r w:rsidR="009C6C75">
        <w:rPr>
          <w:rFonts w:asciiTheme="minorHAnsi" w:hAnsiTheme="minorHAnsi"/>
        </w:rPr>
        <w:t>.</w:t>
      </w:r>
    </w:p>
    <w:p w14:paraId="56274CA5" w14:textId="77777777" w:rsidR="00FA5977" w:rsidRDefault="00031F87" w:rsidP="00FF376F">
      <w:pPr>
        <w:spacing w:line="480" w:lineRule="auto"/>
        <w:outlineLvl w:val="0"/>
        <w:rPr>
          <w:rFonts w:asciiTheme="minorHAnsi" w:hAnsiTheme="minorHAnsi"/>
          <w:b/>
        </w:rPr>
        <w:sectPr w:rsidR="00FA5977" w:rsidSect="00FA5977">
          <w:footerReference w:type="even" r:id="rId8"/>
          <w:footerReference w:type="default" r:id="rId9"/>
          <w:pgSz w:w="12240" w:h="15840"/>
          <w:pgMar w:top="1440" w:right="1440" w:bottom="1440" w:left="2448" w:header="720" w:footer="720" w:gutter="0"/>
          <w:pgNumType w:fmt="lowerRoman"/>
          <w:cols w:space="720"/>
          <w:titlePg/>
          <w:docGrid w:linePitch="360"/>
        </w:sectPr>
      </w:pPr>
      <w:r w:rsidRPr="00B417BF">
        <w:rPr>
          <w:rFonts w:asciiTheme="minorHAnsi" w:hAnsiTheme="minorHAnsi"/>
          <w:b/>
        </w:rPr>
        <w:br w:type="page"/>
      </w:r>
    </w:p>
    <w:p w14:paraId="5D2612FD" w14:textId="4777B353" w:rsidR="00031F87" w:rsidRPr="00B417BF" w:rsidRDefault="00031F87" w:rsidP="00FF376F">
      <w:pPr>
        <w:spacing w:line="480" w:lineRule="auto"/>
        <w:outlineLvl w:val="0"/>
        <w:rPr>
          <w:rFonts w:asciiTheme="minorHAnsi" w:hAnsiTheme="minorHAnsi"/>
          <w:b/>
        </w:rPr>
      </w:pPr>
    </w:p>
    <w:p w14:paraId="32065603" w14:textId="0DC2D52A" w:rsidR="00031F87" w:rsidRDefault="00031F87" w:rsidP="00031F87">
      <w:pPr>
        <w:jc w:val="center"/>
        <w:rPr>
          <w:rFonts w:asciiTheme="minorHAnsi" w:hAnsiTheme="minorHAnsi"/>
          <w:b/>
        </w:rPr>
      </w:pPr>
      <w:r w:rsidRPr="00B417BF">
        <w:rPr>
          <w:rFonts w:asciiTheme="minorHAnsi" w:hAnsiTheme="minorHAnsi"/>
          <w:b/>
        </w:rPr>
        <w:t>Acknowledgements</w:t>
      </w:r>
    </w:p>
    <w:p w14:paraId="0678655B" w14:textId="4B00800E" w:rsidR="00F32156" w:rsidRDefault="00F32156" w:rsidP="00031F87">
      <w:pPr>
        <w:jc w:val="center"/>
        <w:rPr>
          <w:rFonts w:asciiTheme="minorHAnsi" w:hAnsiTheme="minorHAnsi"/>
          <w:b/>
        </w:rPr>
      </w:pPr>
    </w:p>
    <w:p w14:paraId="6D3D673C" w14:textId="77777777" w:rsidR="003F2BF8" w:rsidRDefault="003F2BF8" w:rsidP="00031F87">
      <w:pPr>
        <w:jc w:val="center"/>
        <w:rPr>
          <w:rFonts w:asciiTheme="minorHAnsi" w:hAnsiTheme="minorHAnsi"/>
          <w:b/>
        </w:rPr>
      </w:pPr>
    </w:p>
    <w:p w14:paraId="71FAA26C" w14:textId="291232FC" w:rsidR="001427C3" w:rsidRDefault="00F32156" w:rsidP="003F2BF8">
      <w:pPr>
        <w:spacing w:line="480" w:lineRule="auto"/>
        <w:rPr>
          <w:rFonts w:asciiTheme="minorHAnsi" w:hAnsiTheme="minorHAnsi"/>
        </w:rPr>
      </w:pPr>
      <w:r>
        <w:rPr>
          <w:rFonts w:asciiTheme="minorHAnsi" w:hAnsiTheme="minorHAnsi"/>
        </w:rPr>
        <w:t xml:space="preserve">This project has been </w:t>
      </w:r>
      <w:r w:rsidR="00303D4C">
        <w:rPr>
          <w:rFonts w:asciiTheme="minorHAnsi" w:hAnsiTheme="minorHAnsi"/>
        </w:rPr>
        <w:t>both a</w:t>
      </w:r>
      <w:r w:rsidR="003F2BF8">
        <w:rPr>
          <w:rFonts w:asciiTheme="minorHAnsi" w:hAnsiTheme="minorHAnsi"/>
        </w:rPr>
        <w:t xml:space="preserve"> </w:t>
      </w:r>
      <w:r w:rsidR="00C6704E">
        <w:rPr>
          <w:rFonts w:asciiTheme="minorHAnsi" w:hAnsiTheme="minorHAnsi"/>
        </w:rPr>
        <w:t>personal</w:t>
      </w:r>
      <w:r w:rsidR="003F2BF8">
        <w:rPr>
          <w:rFonts w:asciiTheme="minorHAnsi" w:hAnsiTheme="minorHAnsi"/>
        </w:rPr>
        <w:t xml:space="preserve"> journey and a venture into the workings of academia.  </w:t>
      </w:r>
      <w:r w:rsidR="001427C3">
        <w:rPr>
          <w:rFonts w:asciiTheme="minorHAnsi" w:hAnsiTheme="minorHAnsi"/>
        </w:rPr>
        <w:t xml:space="preserve">Along the way, I have compiled a list of requirements that both enabled this project and will, no doubt, carry me into my next </w:t>
      </w:r>
      <w:r w:rsidR="00D32051">
        <w:rPr>
          <w:rFonts w:asciiTheme="minorHAnsi" w:hAnsiTheme="minorHAnsi"/>
        </w:rPr>
        <w:t>ad</w:t>
      </w:r>
      <w:r w:rsidR="001427C3">
        <w:rPr>
          <w:rFonts w:asciiTheme="minorHAnsi" w:hAnsiTheme="minorHAnsi"/>
        </w:rPr>
        <w:t>venture.</w:t>
      </w:r>
    </w:p>
    <w:p w14:paraId="38661D69" w14:textId="6710013E" w:rsidR="001427C3" w:rsidRDefault="001427C3" w:rsidP="001427C3">
      <w:pPr>
        <w:pStyle w:val="ListParagraph"/>
        <w:numPr>
          <w:ilvl w:val="0"/>
          <w:numId w:val="15"/>
        </w:numPr>
        <w:spacing w:line="480" w:lineRule="auto"/>
      </w:pPr>
      <w:r>
        <w:t xml:space="preserve">Family.  My children endured and supported me from the beginning.  I have a fourth grade Mother’s Day picture stating my daughter’s pride that I would be a doctor someday.  My absent-minded son </w:t>
      </w:r>
      <w:r w:rsidR="00D32051">
        <w:t>asks me almost every evening how my project is coming</w:t>
      </w:r>
      <w:r>
        <w:t>.  Nothing makes me grateful like their simple dinners on the table when I come home.</w:t>
      </w:r>
      <w:r w:rsidR="00CA6C5B">
        <w:t xml:space="preserve">  Siblings have listed to endless rants</w:t>
      </w:r>
      <w:r w:rsidR="001A195A">
        <w:t xml:space="preserve"> and opened their homes for family gatherings when I lacked the energy</w:t>
      </w:r>
      <w:r w:rsidR="00CA6C5B">
        <w:t xml:space="preserve">.  </w:t>
      </w:r>
      <w:r w:rsidR="0062015E">
        <w:t>My p</w:t>
      </w:r>
      <w:r w:rsidR="00CA6C5B">
        <w:t xml:space="preserve">arents have planned summer adventures for </w:t>
      </w:r>
      <w:r w:rsidR="00885349">
        <w:t>grandchildren</w:t>
      </w:r>
      <w:r w:rsidR="00CA6C5B">
        <w:t xml:space="preserve"> with enthusiasm and amazing amounts of energy.</w:t>
      </w:r>
      <w:r w:rsidR="001A195A">
        <w:t xml:space="preserve"> </w:t>
      </w:r>
    </w:p>
    <w:p w14:paraId="365DF124" w14:textId="12A28A7F" w:rsidR="001427C3" w:rsidRDefault="001427C3" w:rsidP="001427C3">
      <w:pPr>
        <w:pStyle w:val="ListParagraph"/>
        <w:numPr>
          <w:ilvl w:val="0"/>
          <w:numId w:val="15"/>
        </w:numPr>
        <w:spacing w:line="480" w:lineRule="auto"/>
      </w:pPr>
      <w:r>
        <w:t xml:space="preserve">Friends.  The best friends don’t hesitate to see your frustrations, struggles, and </w:t>
      </w:r>
      <w:r w:rsidR="00CA6C5B">
        <w:t>successes.  They know when a glass of wine or beer over fried food is needed.  Friends have made sure I am healthy in body, mind, and soul even if it means meeting for</w:t>
      </w:r>
      <w:r w:rsidR="00C6704E">
        <w:t xml:space="preserve"> work</w:t>
      </w:r>
      <w:r w:rsidR="0036523F">
        <w:t>outs at</w:t>
      </w:r>
      <w:r w:rsidR="00CA6C5B">
        <w:t xml:space="preserve"> 0700 on Sunday.</w:t>
      </w:r>
      <w:r w:rsidR="0036523F">
        <w:t xml:space="preserve">  Sharing our struggles together rem</w:t>
      </w:r>
      <w:r w:rsidR="0062015E">
        <w:t>inds me to also strive for empathy, compassion, and service.  The journey towards a doctorate is, ultimately, only a part of who I am and the person I strive to be.  The relationships that nurture me are reminders that humanity is the true measure of my success.</w:t>
      </w:r>
    </w:p>
    <w:p w14:paraId="76EB9F55" w14:textId="38639B5F" w:rsidR="00CA6C5B" w:rsidRDefault="00CA6C5B" w:rsidP="001427C3">
      <w:pPr>
        <w:pStyle w:val="ListParagraph"/>
        <w:numPr>
          <w:ilvl w:val="0"/>
          <w:numId w:val="15"/>
        </w:numPr>
        <w:spacing w:line="480" w:lineRule="auto"/>
      </w:pPr>
      <w:r>
        <w:t xml:space="preserve">Coffee.  </w:t>
      </w:r>
      <w:r w:rsidR="005C3819">
        <w:t xml:space="preserve">Coffee has been called the drink of the Gods.  While I am not sure it was what Jesus drank while discussing life with the disciples, its magical </w:t>
      </w:r>
      <w:r w:rsidR="005C3819">
        <w:lastRenderedPageBreak/>
        <w:t xml:space="preserve">power is </w:t>
      </w:r>
      <w:r w:rsidR="002E6792">
        <w:t>the vice that carried me though</w:t>
      </w:r>
      <w:r w:rsidR="005C3819">
        <w:t xml:space="preserve"> articles, drafts, assignments, and class commutes.  Coffee has </w:t>
      </w:r>
      <w:r w:rsidR="0036523F">
        <w:t>given me a place to nurture my relationship with Kelley</w:t>
      </w:r>
      <w:r w:rsidR="005C3819">
        <w:t>.</w:t>
      </w:r>
      <w:r w:rsidR="0036523F">
        <w:t xml:space="preserve">  Intentionally making time for a cup together reminds me how grateful I am for a steady, unflappable presence ready to help in any way h</w:t>
      </w:r>
      <w:r w:rsidR="00D32051">
        <w:t>e</w:t>
      </w:r>
      <w:r w:rsidR="0036523F">
        <w:t xml:space="preserve"> can.</w:t>
      </w:r>
      <w:r w:rsidR="005C3819">
        <w:t xml:space="preserve">  </w:t>
      </w:r>
      <w:r w:rsidR="0036523F">
        <w:t>Also, t</w:t>
      </w:r>
      <w:r w:rsidR="005C3819">
        <w:t xml:space="preserve">wo-dollar coffee is the price of admission to the Red Cup for a day of studying without ever a stern look to give up the corner table.  </w:t>
      </w:r>
    </w:p>
    <w:p w14:paraId="01EB066D" w14:textId="2C1AC218" w:rsidR="00D32051" w:rsidRDefault="005C3819" w:rsidP="00D32051">
      <w:pPr>
        <w:pStyle w:val="ListParagraph"/>
        <w:numPr>
          <w:ilvl w:val="0"/>
          <w:numId w:val="15"/>
        </w:numPr>
        <w:spacing w:line="480" w:lineRule="auto"/>
      </w:pPr>
      <w:r>
        <w:t xml:space="preserve">iPhone Hotspot.  </w:t>
      </w:r>
      <w:r w:rsidR="0036523F">
        <w:t>I have r</w:t>
      </w:r>
      <w:r>
        <w:t xml:space="preserve">eference manager access wherever in the world I am.  </w:t>
      </w:r>
      <w:r w:rsidR="0049067E">
        <w:t>Admittedly, I</w:t>
      </w:r>
      <w:r w:rsidR="00885349">
        <w:t>nternet access is a privilege for me.  On-demand internet access has also removed my excuses and ability to procrastinate.  Without questioning, my parents followed me through family phone plans and new technology supporting my first-world crutch.</w:t>
      </w:r>
      <w:r w:rsidR="0062015E">
        <w:t xml:space="preserve">  Learning to keep up with my technology whims has never been a complaint.</w:t>
      </w:r>
    </w:p>
    <w:p w14:paraId="1994EC1C" w14:textId="0DA6D5A4" w:rsidR="0049067E" w:rsidRDefault="00FE1C2B" w:rsidP="00D32051">
      <w:pPr>
        <w:pStyle w:val="ListParagraph"/>
        <w:numPr>
          <w:ilvl w:val="0"/>
          <w:numId w:val="15"/>
        </w:numPr>
        <w:spacing w:line="480" w:lineRule="auto"/>
      </w:pPr>
      <w:r>
        <w:t>Vision</w:t>
      </w:r>
      <w:r w:rsidR="00A819FE">
        <w:t xml:space="preserve">.  This dissertation is the product of people that could see beyond the boundaries of “we can’t do that,” and “that doesn’t exist.”  The ILAC Bio-Med program came </w:t>
      </w:r>
      <w:r w:rsidR="000E2946">
        <w:t>into being</w:t>
      </w:r>
      <w:r w:rsidR="00A819FE">
        <w:t xml:space="preserve"> when academic leaders found a way to bring together two campuses and form an inter</w:t>
      </w:r>
      <w:r w:rsidR="00564AC9">
        <w:t>disciplinary team committed to the education of</w:t>
      </w:r>
      <w:r w:rsidR="00A819FE">
        <w:t xml:space="preserve"> health sciences students.</w:t>
      </w:r>
      <w:r w:rsidR="00564AC9">
        <w:t xml:space="preserve">  </w:t>
      </w:r>
      <w:r w:rsidR="00A819FE">
        <w:t xml:space="preserve"> </w:t>
      </w:r>
      <w:r w:rsidR="00564AC9">
        <w:t>For the last several years, my committee, professors, administrative personnel, and graduate colleges have supported a program that straddle</w:t>
      </w:r>
      <w:r w:rsidR="00EC4D2B">
        <w:t xml:space="preserve">s the </w:t>
      </w:r>
      <w:r w:rsidR="00564AC9">
        <w:t>Norman and OUHSC campuses.  Expert educators from both medical and education perspective</w:t>
      </w:r>
      <w:r w:rsidR="002E6792">
        <w:t>s have steered me along—albeit</w:t>
      </w:r>
      <w:r w:rsidR="00564AC9">
        <w:t xml:space="preserve"> sometimes with raised eyebrows about how this was </w:t>
      </w:r>
      <w:r w:rsidR="002E6792">
        <w:t>would</w:t>
      </w:r>
      <w:r w:rsidR="00564AC9">
        <w:t xml:space="preserve"> end.  Both Dr. Baines and Dr.</w:t>
      </w:r>
      <w:r>
        <w:t xml:space="preserve"> Halliday fielded many unforeseen logistical crises that could have easily ended this </w:t>
      </w:r>
      <w:r>
        <w:lastRenderedPageBreak/>
        <w:t>project.  Both also remained curious and thoughtful as to how best to move through this new program.  Without vision and leadership, even my best intentions would have quickly sputtered out.</w:t>
      </w:r>
    </w:p>
    <w:p w14:paraId="5F1F07F4" w14:textId="77777777" w:rsidR="00846A1B" w:rsidRDefault="00846A1B" w:rsidP="00846A1B">
      <w:pPr>
        <w:spacing w:line="480" w:lineRule="auto"/>
        <w:rPr>
          <w:rFonts w:asciiTheme="minorHAnsi" w:hAnsiTheme="minorHAnsi"/>
        </w:rPr>
      </w:pPr>
    </w:p>
    <w:p w14:paraId="157A05D1" w14:textId="0CE4B877" w:rsidR="00846A1B" w:rsidRPr="00846A1B" w:rsidRDefault="00846A1B" w:rsidP="00846A1B">
      <w:pPr>
        <w:spacing w:line="480" w:lineRule="auto"/>
        <w:rPr>
          <w:rFonts w:asciiTheme="minorHAnsi" w:hAnsiTheme="minorHAnsi"/>
        </w:rPr>
      </w:pPr>
      <w:r>
        <w:rPr>
          <w:rFonts w:asciiTheme="minorHAnsi" w:hAnsiTheme="minorHAnsi"/>
        </w:rPr>
        <w:t>While there were countless small things helping me along, these were the mainstays of my success.  If it helps you, please feel free to use the items from my list—</w:t>
      </w:r>
      <w:r w:rsidR="00B100DF">
        <w:rPr>
          <w:rFonts w:asciiTheme="minorHAnsi" w:hAnsiTheme="minorHAnsi"/>
        </w:rPr>
        <w:t>just be prepared to arm wrestle for that last cup of coffee.</w:t>
      </w:r>
    </w:p>
    <w:p w14:paraId="62C0D89B" w14:textId="67ABFE61" w:rsidR="00D32051" w:rsidRDefault="00D32051" w:rsidP="00D32051">
      <w:pPr>
        <w:spacing w:line="480" w:lineRule="auto"/>
      </w:pPr>
    </w:p>
    <w:p w14:paraId="4C4ACF4A" w14:textId="77777777" w:rsidR="00846A1B" w:rsidRDefault="00846A1B" w:rsidP="00D32051">
      <w:pPr>
        <w:spacing w:line="480" w:lineRule="auto"/>
      </w:pPr>
    </w:p>
    <w:p w14:paraId="2C30D8AE" w14:textId="77777777" w:rsidR="0036523F" w:rsidRPr="001427C3" w:rsidRDefault="0036523F" w:rsidP="001A195A">
      <w:pPr>
        <w:spacing w:line="480" w:lineRule="auto"/>
        <w:ind w:left="360"/>
      </w:pPr>
    </w:p>
    <w:p w14:paraId="52A501A7" w14:textId="1F3D4441" w:rsidR="00031F87" w:rsidRPr="00B417BF" w:rsidRDefault="00031F87">
      <w:pPr>
        <w:rPr>
          <w:rFonts w:asciiTheme="minorHAnsi" w:hAnsiTheme="minorHAnsi"/>
          <w:b/>
        </w:rPr>
      </w:pPr>
      <w:r w:rsidRPr="00B417BF">
        <w:rPr>
          <w:rFonts w:asciiTheme="minorHAnsi" w:hAnsiTheme="minorHAnsi"/>
          <w:b/>
        </w:rPr>
        <w:br w:type="page"/>
      </w:r>
    </w:p>
    <w:p w14:paraId="07D59083" w14:textId="77777777" w:rsidR="00FA004E" w:rsidRPr="00B417BF" w:rsidRDefault="00FA004E" w:rsidP="00FA004E">
      <w:pPr>
        <w:rPr>
          <w:rFonts w:asciiTheme="minorHAnsi" w:hAnsiTheme="minorHAnsi"/>
          <w:b/>
        </w:rPr>
      </w:pPr>
    </w:p>
    <w:p w14:paraId="18B35B3D" w14:textId="77777777" w:rsidR="00FA004E" w:rsidRPr="00B417BF" w:rsidRDefault="00FA004E" w:rsidP="00031F87">
      <w:pPr>
        <w:jc w:val="center"/>
        <w:outlineLvl w:val="0"/>
        <w:rPr>
          <w:rFonts w:asciiTheme="minorHAnsi" w:hAnsiTheme="minorHAnsi"/>
          <w:b/>
        </w:rPr>
      </w:pPr>
      <w:r w:rsidRPr="00B417BF">
        <w:rPr>
          <w:rFonts w:asciiTheme="minorHAnsi" w:hAnsiTheme="minorHAnsi"/>
          <w:b/>
        </w:rPr>
        <w:t>Table of Contents</w:t>
      </w:r>
    </w:p>
    <w:p w14:paraId="33BFF925" w14:textId="77777777" w:rsidR="00FA004E" w:rsidRPr="00B417BF" w:rsidRDefault="00FA004E" w:rsidP="00031F87">
      <w:pPr>
        <w:jc w:val="center"/>
        <w:rPr>
          <w:rFonts w:asciiTheme="minorHAnsi" w:hAnsiTheme="minorHAnsi"/>
          <w:b/>
        </w:rPr>
      </w:pPr>
    </w:p>
    <w:p w14:paraId="66C5CCF1" w14:textId="77777777" w:rsidR="00FA004E" w:rsidRPr="00B417BF" w:rsidRDefault="00FA004E" w:rsidP="00FA004E">
      <w:pPr>
        <w:rPr>
          <w:rFonts w:asciiTheme="minorHAnsi" w:hAnsiTheme="minorHAnsi"/>
          <w:b/>
        </w:rPr>
      </w:pPr>
    </w:p>
    <w:p w14:paraId="59570DC3" w14:textId="015A6F12" w:rsidR="001973D3" w:rsidRDefault="0050642D" w:rsidP="0050642D">
      <w:pPr>
        <w:jc w:val="right"/>
        <w:outlineLvl w:val="0"/>
        <w:rPr>
          <w:rFonts w:asciiTheme="minorHAnsi" w:hAnsiTheme="minorHAnsi"/>
          <w:b/>
        </w:rPr>
      </w:pPr>
      <w:r>
        <w:rPr>
          <w:rFonts w:asciiTheme="minorHAnsi" w:hAnsiTheme="minorHAnsi"/>
          <w:b/>
        </w:rPr>
        <w:t>Abstract…………</w:t>
      </w:r>
      <w:r w:rsidR="00C67BAC">
        <w:rPr>
          <w:rFonts w:asciiTheme="minorHAnsi" w:hAnsiTheme="minorHAnsi"/>
          <w:b/>
        </w:rPr>
        <w:t>.</w:t>
      </w:r>
      <w:r>
        <w:rPr>
          <w:rFonts w:asciiTheme="minorHAnsi" w:hAnsiTheme="minorHAnsi"/>
          <w:b/>
        </w:rPr>
        <w:t>……………</w:t>
      </w:r>
      <w:r w:rsidR="00390EE7">
        <w:rPr>
          <w:rFonts w:asciiTheme="minorHAnsi" w:hAnsiTheme="minorHAnsi"/>
          <w:b/>
        </w:rPr>
        <w:t>…………………………………………………</w:t>
      </w:r>
      <w:r w:rsidR="006C5061">
        <w:rPr>
          <w:rFonts w:asciiTheme="minorHAnsi" w:hAnsiTheme="minorHAnsi"/>
          <w:b/>
        </w:rPr>
        <w:t>..</w:t>
      </w:r>
      <w:r w:rsidR="00390EE7">
        <w:rPr>
          <w:rFonts w:asciiTheme="minorHAnsi" w:hAnsiTheme="minorHAnsi"/>
          <w:b/>
        </w:rPr>
        <w:t>…………………………iv</w:t>
      </w:r>
    </w:p>
    <w:p w14:paraId="3F2DEBA6" w14:textId="77777777" w:rsidR="001973D3" w:rsidRDefault="001973D3" w:rsidP="0050642D">
      <w:pPr>
        <w:jc w:val="right"/>
        <w:outlineLvl w:val="0"/>
        <w:rPr>
          <w:rFonts w:asciiTheme="minorHAnsi" w:hAnsiTheme="minorHAnsi"/>
          <w:b/>
        </w:rPr>
      </w:pPr>
    </w:p>
    <w:p w14:paraId="755856B1" w14:textId="7AD4E85F" w:rsidR="00BB3B8D" w:rsidRDefault="00BB3B8D" w:rsidP="0050642D">
      <w:pPr>
        <w:jc w:val="right"/>
        <w:outlineLvl w:val="0"/>
        <w:rPr>
          <w:rFonts w:asciiTheme="minorHAnsi" w:hAnsiTheme="minorHAnsi"/>
          <w:b/>
        </w:rPr>
      </w:pPr>
      <w:r>
        <w:rPr>
          <w:rFonts w:asciiTheme="minorHAnsi" w:hAnsiTheme="minorHAnsi"/>
          <w:b/>
        </w:rPr>
        <w:t>Chapter 1: Introduction</w:t>
      </w:r>
      <w:r w:rsidR="0050642D">
        <w:rPr>
          <w:rFonts w:asciiTheme="minorHAnsi" w:hAnsiTheme="minorHAnsi"/>
          <w:b/>
        </w:rPr>
        <w:t>…………………………………………………………………………...….1</w:t>
      </w:r>
    </w:p>
    <w:p w14:paraId="4C4A6A46" w14:textId="290BA0F7" w:rsidR="00BB3B8D" w:rsidRDefault="00BB3B8D" w:rsidP="0050642D">
      <w:pPr>
        <w:jc w:val="right"/>
        <w:outlineLvl w:val="0"/>
        <w:rPr>
          <w:rFonts w:asciiTheme="minorHAnsi" w:hAnsiTheme="minorHAnsi"/>
          <w:b/>
        </w:rPr>
      </w:pPr>
      <w:r>
        <w:rPr>
          <w:rFonts w:asciiTheme="minorHAnsi" w:hAnsiTheme="minorHAnsi"/>
          <w:b/>
        </w:rPr>
        <w:t>Background</w:t>
      </w:r>
      <w:r w:rsidR="0050642D">
        <w:rPr>
          <w:rFonts w:asciiTheme="minorHAnsi" w:hAnsiTheme="minorHAnsi"/>
          <w:b/>
        </w:rPr>
        <w:t>…………………………………………………………………………………………………3</w:t>
      </w:r>
    </w:p>
    <w:p w14:paraId="345FFACC" w14:textId="15523CEE" w:rsidR="00BB3B8D" w:rsidRDefault="00BB3B8D" w:rsidP="00BB6130">
      <w:pPr>
        <w:jc w:val="center"/>
        <w:outlineLvl w:val="0"/>
        <w:rPr>
          <w:rFonts w:asciiTheme="minorHAnsi" w:hAnsiTheme="minorHAnsi"/>
          <w:b/>
        </w:rPr>
      </w:pPr>
      <w:r>
        <w:rPr>
          <w:rFonts w:asciiTheme="minorHAnsi" w:hAnsiTheme="minorHAnsi"/>
          <w:b/>
        </w:rPr>
        <w:t>Purpose</w:t>
      </w:r>
      <w:r w:rsidR="00D23DFE">
        <w:rPr>
          <w:rFonts w:asciiTheme="minorHAnsi" w:hAnsiTheme="minorHAnsi"/>
          <w:b/>
        </w:rPr>
        <w:t>……………………………………………………………………………………</w:t>
      </w:r>
      <w:r w:rsidR="00D454B1">
        <w:rPr>
          <w:rFonts w:asciiTheme="minorHAnsi" w:hAnsiTheme="minorHAnsi"/>
          <w:b/>
        </w:rPr>
        <w:t>………..………..5</w:t>
      </w:r>
    </w:p>
    <w:p w14:paraId="3F725754" w14:textId="7DE1B8A3" w:rsidR="00BB3B8D" w:rsidRDefault="00BB3B8D" w:rsidP="00BB6130">
      <w:pPr>
        <w:jc w:val="center"/>
        <w:outlineLvl w:val="0"/>
        <w:rPr>
          <w:rFonts w:asciiTheme="minorHAnsi" w:hAnsiTheme="minorHAnsi"/>
          <w:b/>
        </w:rPr>
      </w:pPr>
      <w:r>
        <w:rPr>
          <w:rFonts w:asciiTheme="minorHAnsi" w:hAnsiTheme="minorHAnsi"/>
          <w:b/>
        </w:rPr>
        <w:t>Problem Statement</w:t>
      </w:r>
      <w:r w:rsidR="00D23DFE">
        <w:rPr>
          <w:rFonts w:asciiTheme="minorHAnsi" w:hAnsiTheme="minorHAnsi"/>
          <w:b/>
        </w:rPr>
        <w:t>…………………………………………………………………………….……….7</w:t>
      </w:r>
    </w:p>
    <w:p w14:paraId="3D8362AF" w14:textId="77777777" w:rsidR="00BB3B8D" w:rsidRDefault="00BB3B8D" w:rsidP="0050642D">
      <w:pPr>
        <w:jc w:val="right"/>
        <w:outlineLvl w:val="0"/>
        <w:rPr>
          <w:rFonts w:asciiTheme="minorHAnsi" w:hAnsiTheme="minorHAnsi"/>
          <w:b/>
        </w:rPr>
      </w:pPr>
    </w:p>
    <w:p w14:paraId="2D2CDDFE" w14:textId="10404D5B" w:rsidR="00BB3B8D" w:rsidRDefault="00BB3B8D" w:rsidP="00BB6130">
      <w:pPr>
        <w:jc w:val="center"/>
        <w:outlineLvl w:val="0"/>
        <w:rPr>
          <w:rFonts w:asciiTheme="minorHAnsi" w:hAnsiTheme="minorHAnsi"/>
          <w:b/>
        </w:rPr>
      </w:pPr>
      <w:r>
        <w:rPr>
          <w:rFonts w:asciiTheme="minorHAnsi" w:hAnsiTheme="minorHAnsi"/>
          <w:b/>
        </w:rPr>
        <w:t>Chapter 2: Literature Review</w:t>
      </w:r>
      <w:r w:rsidR="007A14B3">
        <w:rPr>
          <w:rFonts w:asciiTheme="minorHAnsi" w:hAnsiTheme="minorHAnsi"/>
          <w:b/>
        </w:rPr>
        <w:t>……………………………………………………………………...8</w:t>
      </w:r>
    </w:p>
    <w:p w14:paraId="68E37F73" w14:textId="58609542" w:rsidR="00BB3B8D" w:rsidRDefault="00BB3B8D" w:rsidP="0050642D">
      <w:pPr>
        <w:jc w:val="right"/>
        <w:outlineLvl w:val="0"/>
        <w:rPr>
          <w:rFonts w:asciiTheme="minorHAnsi" w:hAnsiTheme="minorHAnsi"/>
          <w:b/>
        </w:rPr>
      </w:pPr>
      <w:r>
        <w:rPr>
          <w:rFonts w:asciiTheme="minorHAnsi" w:hAnsiTheme="minorHAnsi"/>
          <w:b/>
        </w:rPr>
        <w:t>Educational Background</w:t>
      </w:r>
      <w:r w:rsidR="00D23DFE">
        <w:rPr>
          <w:rFonts w:asciiTheme="minorHAnsi" w:hAnsiTheme="minorHAnsi"/>
          <w:b/>
        </w:rPr>
        <w:t>………</w:t>
      </w:r>
      <w:r w:rsidR="00C67BAC">
        <w:rPr>
          <w:rFonts w:asciiTheme="minorHAnsi" w:hAnsiTheme="minorHAnsi"/>
          <w:b/>
        </w:rPr>
        <w:t>……</w:t>
      </w:r>
      <w:r w:rsidR="000D18F4">
        <w:rPr>
          <w:rFonts w:asciiTheme="minorHAnsi" w:hAnsiTheme="minorHAnsi"/>
          <w:b/>
        </w:rPr>
        <w:t>…………………………</w:t>
      </w:r>
      <w:r w:rsidR="00D23DFE">
        <w:rPr>
          <w:rFonts w:asciiTheme="minorHAnsi" w:hAnsiTheme="minorHAnsi"/>
          <w:b/>
        </w:rPr>
        <w:t>……………………………………..</w:t>
      </w:r>
      <w:r w:rsidR="007A14B3">
        <w:rPr>
          <w:rFonts w:asciiTheme="minorHAnsi" w:hAnsiTheme="minorHAnsi"/>
          <w:b/>
        </w:rPr>
        <w:t>8</w:t>
      </w:r>
    </w:p>
    <w:p w14:paraId="0C4ADEAB" w14:textId="5D20E657" w:rsidR="00804EF9" w:rsidRDefault="00804EF9" w:rsidP="0050642D">
      <w:pPr>
        <w:jc w:val="right"/>
        <w:outlineLvl w:val="0"/>
        <w:rPr>
          <w:rFonts w:asciiTheme="minorHAnsi" w:hAnsiTheme="minorHAnsi"/>
          <w:b/>
        </w:rPr>
      </w:pPr>
      <w:r>
        <w:rPr>
          <w:rFonts w:asciiTheme="minorHAnsi" w:hAnsiTheme="minorHAnsi"/>
          <w:b/>
        </w:rPr>
        <w:t>Factors Contributing to Underperformance</w:t>
      </w:r>
      <w:r w:rsidR="00390EE7">
        <w:rPr>
          <w:rFonts w:asciiTheme="minorHAnsi" w:hAnsiTheme="minorHAnsi"/>
          <w:b/>
        </w:rPr>
        <w:t>……………………………………………...15</w:t>
      </w:r>
    </w:p>
    <w:p w14:paraId="20397096" w14:textId="56A0EDED" w:rsidR="00BB3B8D" w:rsidRDefault="00BB3B8D" w:rsidP="0050642D">
      <w:pPr>
        <w:jc w:val="right"/>
        <w:outlineLvl w:val="0"/>
        <w:rPr>
          <w:rFonts w:asciiTheme="minorHAnsi" w:hAnsiTheme="minorHAnsi"/>
          <w:b/>
        </w:rPr>
      </w:pPr>
    </w:p>
    <w:p w14:paraId="76D48937" w14:textId="62B0079B" w:rsidR="00BB3B8D" w:rsidRDefault="00BB3B8D" w:rsidP="00390EE7">
      <w:pPr>
        <w:jc w:val="right"/>
        <w:outlineLvl w:val="0"/>
        <w:rPr>
          <w:rFonts w:asciiTheme="minorHAnsi" w:hAnsiTheme="minorHAnsi"/>
          <w:b/>
        </w:rPr>
      </w:pPr>
      <w:r>
        <w:rPr>
          <w:rFonts w:asciiTheme="minorHAnsi" w:hAnsiTheme="minorHAnsi"/>
          <w:b/>
        </w:rPr>
        <w:t>Chapter 3: Methods</w:t>
      </w:r>
      <w:r w:rsidR="00D23DFE">
        <w:rPr>
          <w:rFonts w:asciiTheme="minorHAnsi" w:hAnsiTheme="minorHAnsi"/>
          <w:b/>
        </w:rPr>
        <w:t>……</w:t>
      </w:r>
      <w:r w:rsidR="007A14B3">
        <w:rPr>
          <w:rFonts w:asciiTheme="minorHAnsi" w:hAnsiTheme="minorHAnsi"/>
          <w:b/>
        </w:rPr>
        <w:t>..</w:t>
      </w:r>
      <w:r w:rsidR="00D23DFE">
        <w:rPr>
          <w:rFonts w:asciiTheme="minorHAnsi" w:hAnsiTheme="minorHAnsi"/>
          <w:b/>
        </w:rPr>
        <w:t>……………………………………</w:t>
      </w:r>
      <w:r w:rsidR="00903CCD">
        <w:rPr>
          <w:rFonts w:asciiTheme="minorHAnsi" w:hAnsiTheme="minorHAnsi"/>
          <w:b/>
        </w:rPr>
        <w:t>…</w:t>
      </w:r>
      <w:r w:rsidR="006A2099">
        <w:rPr>
          <w:rFonts w:asciiTheme="minorHAnsi" w:hAnsiTheme="minorHAnsi"/>
          <w:b/>
        </w:rPr>
        <w:t>..</w:t>
      </w:r>
      <w:r w:rsidR="00903CCD">
        <w:rPr>
          <w:rFonts w:asciiTheme="minorHAnsi" w:hAnsiTheme="minorHAnsi"/>
          <w:b/>
        </w:rPr>
        <w:t>……</w:t>
      </w:r>
      <w:r w:rsidR="00D23DFE">
        <w:rPr>
          <w:rFonts w:asciiTheme="minorHAnsi" w:hAnsiTheme="minorHAnsi"/>
          <w:b/>
        </w:rPr>
        <w:t>……………</w:t>
      </w:r>
      <w:r w:rsidR="007A14B3">
        <w:rPr>
          <w:rFonts w:asciiTheme="minorHAnsi" w:hAnsiTheme="minorHAnsi"/>
          <w:b/>
        </w:rPr>
        <w:t>……</w:t>
      </w:r>
      <w:r w:rsidR="00390EE7">
        <w:rPr>
          <w:rFonts w:asciiTheme="minorHAnsi" w:hAnsiTheme="minorHAnsi"/>
          <w:b/>
        </w:rPr>
        <w:t>..</w:t>
      </w:r>
      <w:r w:rsidR="00804EF9">
        <w:rPr>
          <w:rFonts w:asciiTheme="minorHAnsi" w:hAnsiTheme="minorHAnsi"/>
          <w:b/>
        </w:rPr>
        <w:t>…………</w:t>
      </w:r>
      <w:r w:rsidR="00A94DAB">
        <w:rPr>
          <w:rFonts w:asciiTheme="minorHAnsi" w:hAnsiTheme="minorHAnsi"/>
          <w:b/>
        </w:rPr>
        <w:t>2</w:t>
      </w:r>
      <w:r w:rsidR="00804EF9">
        <w:rPr>
          <w:rFonts w:asciiTheme="minorHAnsi" w:hAnsiTheme="minorHAnsi"/>
          <w:b/>
        </w:rPr>
        <w:t>7</w:t>
      </w:r>
    </w:p>
    <w:p w14:paraId="1B97F7F3" w14:textId="486E79AC" w:rsidR="00804EF9" w:rsidRDefault="00804EF9" w:rsidP="00390EE7">
      <w:pPr>
        <w:jc w:val="right"/>
        <w:outlineLvl w:val="0"/>
        <w:rPr>
          <w:rFonts w:asciiTheme="minorHAnsi" w:hAnsiTheme="minorHAnsi"/>
          <w:b/>
        </w:rPr>
      </w:pPr>
      <w:r>
        <w:rPr>
          <w:rFonts w:asciiTheme="minorHAnsi" w:hAnsiTheme="minorHAnsi"/>
          <w:b/>
        </w:rPr>
        <w:t>Survey Design Overview…………………………………………</w:t>
      </w:r>
      <w:r w:rsidR="00390EE7">
        <w:rPr>
          <w:rFonts w:asciiTheme="minorHAnsi" w:hAnsiTheme="minorHAnsi"/>
          <w:b/>
        </w:rPr>
        <w:t>……………………….</w:t>
      </w:r>
      <w:r>
        <w:rPr>
          <w:rFonts w:asciiTheme="minorHAnsi" w:hAnsiTheme="minorHAnsi"/>
          <w:b/>
        </w:rPr>
        <w:t>………..</w:t>
      </w:r>
      <w:r w:rsidR="00390EE7">
        <w:rPr>
          <w:rFonts w:asciiTheme="minorHAnsi" w:hAnsiTheme="minorHAnsi"/>
          <w:b/>
        </w:rPr>
        <w:t>27</w:t>
      </w:r>
    </w:p>
    <w:p w14:paraId="30C06E4D" w14:textId="50FAA443" w:rsidR="00804EF9" w:rsidRDefault="00804EF9" w:rsidP="00390EE7">
      <w:pPr>
        <w:jc w:val="right"/>
        <w:outlineLvl w:val="0"/>
        <w:rPr>
          <w:rFonts w:asciiTheme="minorHAnsi" w:hAnsiTheme="minorHAnsi"/>
          <w:b/>
        </w:rPr>
      </w:pPr>
      <w:r>
        <w:rPr>
          <w:rFonts w:asciiTheme="minorHAnsi" w:hAnsiTheme="minorHAnsi"/>
          <w:b/>
        </w:rPr>
        <w:t>Strengths of Design………………………………………………</w:t>
      </w:r>
      <w:r w:rsidR="00390EE7">
        <w:rPr>
          <w:rFonts w:asciiTheme="minorHAnsi" w:hAnsiTheme="minorHAnsi"/>
          <w:b/>
        </w:rPr>
        <w:t>………………………..</w:t>
      </w:r>
      <w:r>
        <w:rPr>
          <w:rFonts w:asciiTheme="minorHAnsi" w:hAnsiTheme="minorHAnsi"/>
          <w:b/>
        </w:rPr>
        <w:t>………….</w:t>
      </w:r>
      <w:r w:rsidR="00390EE7">
        <w:rPr>
          <w:rFonts w:asciiTheme="minorHAnsi" w:hAnsiTheme="minorHAnsi"/>
          <w:b/>
        </w:rPr>
        <w:t>36</w:t>
      </w:r>
    </w:p>
    <w:p w14:paraId="68F80881" w14:textId="3AA77EFF" w:rsidR="00804EF9" w:rsidRDefault="00804EF9" w:rsidP="00390EE7">
      <w:pPr>
        <w:jc w:val="right"/>
        <w:outlineLvl w:val="0"/>
        <w:rPr>
          <w:rFonts w:asciiTheme="minorHAnsi" w:hAnsiTheme="minorHAnsi"/>
          <w:b/>
        </w:rPr>
      </w:pPr>
      <w:r>
        <w:rPr>
          <w:rFonts w:asciiTheme="minorHAnsi" w:hAnsiTheme="minorHAnsi"/>
          <w:b/>
        </w:rPr>
        <w:t>Potential Design Problems…………………………………………………</w:t>
      </w:r>
      <w:r w:rsidR="00390EE7">
        <w:rPr>
          <w:rFonts w:asciiTheme="minorHAnsi" w:hAnsiTheme="minorHAnsi"/>
          <w:b/>
        </w:rPr>
        <w:t>…………..</w:t>
      </w:r>
      <w:r>
        <w:rPr>
          <w:rFonts w:asciiTheme="minorHAnsi" w:hAnsiTheme="minorHAnsi"/>
          <w:b/>
        </w:rPr>
        <w:t>…………</w:t>
      </w:r>
      <w:r w:rsidR="00390EE7">
        <w:rPr>
          <w:rFonts w:asciiTheme="minorHAnsi" w:hAnsiTheme="minorHAnsi"/>
          <w:b/>
        </w:rPr>
        <w:t>38</w:t>
      </w:r>
    </w:p>
    <w:p w14:paraId="36D852F8" w14:textId="23F3BE93" w:rsidR="00BB3B8D" w:rsidRDefault="00BB3B8D" w:rsidP="0050642D">
      <w:pPr>
        <w:jc w:val="right"/>
        <w:outlineLvl w:val="0"/>
        <w:rPr>
          <w:rFonts w:asciiTheme="minorHAnsi" w:hAnsiTheme="minorHAnsi"/>
          <w:b/>
        </w:rPr>
      </w:pPr>
    </w:p>
    <w:p w14:paraId="58E2D602" w14:textId="651CBD7E" w:rsidR="00BB3B8D" w:rsidRDefault="00BB3B8D" w:rsidP="00390EE7">
      <w:pPr>
        <w:jc w:val="right"/>
        <w:outlineLvl w:val="0"/>
        <w:rPr>
          <w:rFonts w:asciiTheme="minorHAnsi" w:hAnsiTheme="minorHAnsi"/>
          <w:b/>
        </w:rPr>
      </w:pPr>
      <w:r>
        <w:rPr>
          <w:rFonts w:asciiTheme="minorHAnsi" w:hAnsiTheme="minorHAnsi"/>
          <w:b/>
        </w:rPr>
        <w:t>Chapter 4: Results</w:t>
      </w:r>
      <w:r w:rsidR="007A14B3">
        <w:rPr>
          <w:rFonts w:asciiTheme="minorHAnsi" w:hAnsiTheme="minorHAnsi"/>
          <w:b/>
        </w:rPr>
        <w:t xml:space="preserve"> &amp; Discussion</w:t>
      </w:r>
      <w:r w:rsidR="00D23DFE">
        <w:rPr>
          <w:rFonts w:asciiTheme="minorHAnsi" w:hAnsiTheme="minorHAnsi"/>
          <w:b/>
        </w:rPr>
        <w:t>………………</w:t>
      </w:r>
      <w:r w:rsidR="000D18F4">
        <w:rPr>
          <w:rFonts w:asciiTheme="minorHAnsi" w:hAnsiTheme="minorHAnsi"/>
          <w:b/>
        </w:rPr>
        <w:t>..</w:t>
      </w:r>
      <w:r w:rsidR="00903CCD">
        <w:rPr>
          <w:rFonts w:asciiTheme="minorHAnsi" w:hAnsiTheme="minorHAnsi"/>
          <w:b/>
        </w:rPr>
        <w:t>………</w:t>
      </w:r>
      <w:r w:rsidR="00D23DFE">
        <w:rPr>
          <w:rFonts w:asciiTheme="minorHAnsi" w:hAnsiTheme="minorHAnsi"/>
          <w:b/>
        </w:rPr>
        <w:t>………………………………………</w:t>
      </w:r>
      <w:r w:rsidR="00A94DAB">
        <w:rPr>
          <w:rFonts w:asciiTheme="minorHAnsi" w:hAnsiTheme="minorHAnsi"/>
          <w:b/>
        </w:rPr>
        <w:t>40</w:t>
      </w:r>
    </w:p>
    <w:p w14:paraId="7F5EDE75" w14:textId="3496356C" w:rsidR="00993F27" w:rsidRDefault="00993F27" w:rsidP="00390EE7">
      <w:pPr>
        <w:jc w:val="right"/>
        <w:outlineLvl w:val="0"/>
        <w:rPr>
          <w:rFonts w:asciiTheme="minorHAnsi" w:hAnsiTheme="minorHAnsi"/>
          <w:b/>
        </w:rPr>
      </w:pPr>
      <w:r>
        <w:rPr>
          <w:rFonts w:asciiTheme="minorHAnsi" w:hAnsiTheme="minorHAnsi"/>
          <w:b/>
        </w:rPr>
        <w:t>Problem Analysis…………………………………………………</w:t>
      </w:r>
      <w:r w:rsidR="00390EE7">
        <w:rPr>
          <w:rFonts w:asciiTheme="minorHAnsi" w:hAnsiTheme="minorHAnsi"/>
          <w:b/>
        </w:rPr>
        <w:t>…………………………</w:t>
      </w:r>
      <w:r>
        <w:rPr>
          <w:rFonts w:asciiTheme="minorHAnsi" w:hAnsiTheme="minorHAnsi"/>
          <w:b/>
        </w:rPr>
        <w:t>…………</w:t>
      </w:r>
      <w:r w:rsidR="00390EE7">
        <w:rPr>
          <w:rFonts w:asciiTheme="minorHAnsi" w:hAnsiTheme="minorHAnsi"/>
          <w:b/>
        </w:rPr>
        <w:t>41</w:t>
      </w:r>
    </w:p>
    <w:p w14:paraId="6C8B93EE" w14:textId="5DE9E757" w:rsidR="001973D3" w:rsidRDefault="001E6C28" w:rsidP="00390EE7">
      <w:pPr>
        <w:jc w:val="right"/>
        <w:outlineLvl w:val="0"/>
        <w:rPr>
          <w:rFonts w:asciiTheme="minorHAnsi" w:hAnsiTheme="minorHAnsi"/>
          <w:b/>
        </w:rPr>
      </w:pPr>
      <w:r>
        <w:rPr>
          <w:rFonts w:asciiTheme="minorHAnsi" w:hAnsiTheme="minorHAnsi"/>
          <w:b/>
        </w:rPr>
        <w:t>Problem Discussion</w:t>
      </w:r>
      <w:r w:rsidR="00903CCD">
        <w:rPr>
          <w:rFonts w:asciiTheme="minorHAnsi" w:hAnsiTheme="minorHAnsi"/>
          <w:b/>
        </w:rPr>
        <w:t>……</w:t>
      </w:r>
      <w:r w:rsidR="00D23DFE">
        <w:rPr>
          <w:rFonts w:asciiTheme="minorHAnsi" w:hAnsiTheme="minorHAnsi"/>
          <w:b/>
        </w:rPr>
        <w:t>……………………</w:t>
      </w:r>
      <w:r w:rsidR="00903CCD">
        <w:rPr>
          <w:rFonts w:asciiTheme="minorHAnsi" w:hAnsiTheme="minorHAnsi"/>
          <w:b/>
        </w:rPr>
        <w:t>..</w:t>
      </w:r>
      <w:r w:rsidR="00D23DFE">
        <w:rPr>
          <w:rFonts w:asciiTheme="minorHAnsi" w:hAnsiTheme="minorHAnsi"/>
          <w:b/>
        </w:rPr>
        <w:t>…</w:t>
      </w:r>
      <w:r w:rsidR="00903CCD">
        <w:rPr>
          <w:rFonts w:asciiTheme="minorHAnsi" w:hAnsiTheme="minorHAnsi"/>
          <w:b/>
        </w:rPr>
        <w:t>…</w:t>
      </w:r>
      <w:r>
        <w:rPr>
          <w:rFonts w:asciiTheme="minorHAnsi" w:hAnsiTheme="minorHAnsi"/>
          <w:b/>
        </w:rPr>
        <w:t>…………………………</w:t>
      </w:r>
      <w:r w:rsidR="00D23DFE">
        <w:rPr>
          <w:rFonts w:asciiTheme="minorHAnsi" w:hAnsiTheme="minorHAnsi"/>
          <w:b/>
        </w:rPr>
        <w:t>………………………</w:t>
      </w:r>
      <w:r w:rsidR="00390EE7">
        <w:rPr>
          <w:rFonts w:asciiTheme="minorHAnsi" w:hAnsiTheme="minorHAnsi"/>
          <w:b/>
        </w:rPr>
        <w:t>44</w:t>
      </w:r>
      <w:r w:rsidR="001973D3" w:rsidRPr="001973D3">
        <w:rPr>
          <w:rFonts w:asciiTheme="minorHAnsi" w:hAnsiTheme="minorHAnsi"/>
          <w:b/>
        </w:rPr>
        <w:t xml:space="preserve"> </w:t>
      </w:r>
    </w:p>
    <w:p w14:paraId="65F4164D" w14:textId="2EE856FD" w:rsidR="001973D3" w:rsidRDefault="001973D3" w:rsidP="00390EE7">
      <w:pPr>
        <w:jc w:val="right"/>
        <w:outlineLvl w:val="0"/>
        <w:rPr>
          <w:rFonts w:asciiTheme="minorHAnsi" w:hAnsiTheme="minorHAnsi"/>
          <w:b/>
        </w:rPr>
      </w:pPr>
    </w:p>
    <w:p w14:paraId="6882F4C6" w14:textId="649788C7" w:rsidR="00D454B1" w:rsidRDefault="000D18F4" w:rsidP="00390EE7">
      <w:pPr>
        <w:jc w:val="right"/>
        <w:outlineLvl w:val="0"/>
        <w:rPr>
          <w:rFonts w:asciiTheme="minorHAnsi" w:hAnsiTheme="minorHAnsi"/>
          <w:b/>
        </w:rPr>
      </w:pPr>
      <w:r>
        <w:rPr>
          <w:rFonts w:asciiTheme="minorHAnsi" w:hAnsiTheme="minorHAnsi"/>
          <w:b/>
        </w:rPr>
        <w:t>Chapter 5</w:t>
      </w:r>
      <w:r w:rsidR="00903CCD">
        <w:rPr>
          <w:rFonts w:asciiTheme="minorHAnsi" w:hAnsiTheme="minorHAnsi"/>
          <w:b/>
        </w:rPr>
        <w:t>: Conclusion…</w:t>
      </w:r>
      <w:r w:rsidR="00D23DFE">
        <w:rPr>
          <w:rFonts w:asciiTheme="minorHAnsi" w:hAnsiTheme="minorHAnsi"/>
          <w:b/>
        </w:rPr>
        <w:t>……………………</w:t>
      </w:r>
      <w:r w:rsidR="00903CCD">
        <w:rPr>
          <w:rFonts w:asciiTheme="minorHAnsi" w:hAnsiTheme="minorHAnsi"/>
          <w:b/>
        </w:rPr>
        <w:t>……</w:t>
      </w:r>
      <w:r w:rsidR="00D23DFE">
        <w:rPr>
          <w:rFonts w:asciiTheme="minorHAnsi" w:hAnsiTheme="minorHAnsi"/>
          <w:b/>
        </w:rPr>
        <w:t>………………………………</w:t>
      </w:r>
      <w:r w:rsidR="00903CCD">
        <w:rPr>
          <w:rFonts w:asciiTheme="minorHAnsi" w:hAnsiTheme="minorHAnsi"/>
          <w:b/>
        </w:rPr>
        <w:t>………</w:t>
      </w:r>
      <w:r w:rsidR="00CD2FF7">
        <w:rPr>
          <w:rFonts w:asciiTheme="minorHAnsi" w:hAnsiTheme="minorHAnsi"/>
          <w:b/>
        </w:rPr>
        <w:t>…………</w:t>
      </w:r>
      <w:r w:rsidR="00D23DFE">
        <w:rPr>
          <w:rFonts w:asciiTheme="minorHAnsi" w:hAnsiTheme="minorHAnsi"/>
          <w:b/>
        </w:rPr>
        <w:t>.</w:t>
      </w:r>
      <w:r w:rsidR="005A156E">
        <w:rPr>
          <w:rFonts w:asciiTheme="minorHAnsi" w:hAnsiTheme="minorHAnsi"/>
          <w:b/>
        </w:rPr>
        <w:t>55</w:t>
      </w:r>
    </w:p>
    <w:p w14:paraId="03AFA9D3" w14:textId="596557C0" w:rsidR="0092332E" w:rsidRDefault="0092332E" w:rsidP="00390EE7">
      <w:pPr>
        <w:jc w:val="right"/>
        <w:outlineLvl w:val="0"/>
        <w:rPr>
          <w:rFonts w:asciiTheme="minorHAnsi" w:hAnsiTheme="minorHAnsi"/>
          <w:b/>
        </w:rPr>
      </w:pPr>
      <w:r>
        <w:rPr>
          <w:rFonts w:asciiTheme="minorHAnsi" w:hAnsiTheme="minorHAnsi"/>
          <w:b/>
        </w:rPr>
        <w:t>Summation of Qualitative Analysis……………………………………………………………56</w:t>
      </w:r>
    </w:p>
    <w:p w14:paraId="462E3D94" w14:textId="54244140" w:rsidR="00BB3B8D" w:rsidRDefault="00D454B1" w:rsidP="00390EE7">
      <w:pPr>
        <w:jc w:val="right"/>
        <w:outlineLvl w:val="0"/>
        <w:rPr>
          <w:rFonts w:asciiTheme="minorHAnsi" w:hAnsiTheme="minorHAnsi"/>
          <w:b/>
        </w:rPr>
      </w:pPr>
      <w:r>
        <w:rPr>
          <w:rFonts w:asciiTheme="minorHAnsi" w:hAnsiTheme="minorHAnsi"/>
          <w:b/>
        </w:rPr>
        <w:t>Effectiveness of Intervent</w:t>
      </w:r>
      <w:r w:rsidR="005A156E">
        <w:rPr>
          <w:rFonts w:asciiTheme="minorHAnsi" w:hAnsiTheme="minorHAnsi"/>
          <w:b/>
        </w:rPr>
        <w:t>ion………………………………………………………………….…60</w:t>
      </w:r>
      <w:r>
        <w:rPr>
          <w:rFonts w:asciiTheme="minorHAnsi" w:hAnsiTheme="minorHAnsi"/>
          <w:b/>
        </w:rPr>
        <w:t xml:space="preserve"> </w:t>
      </w:r>
    </w:p>
    <w:p w14:paraId="62E96EE3" w14:textId="0FA99B73" w:rsidR="00D454B1" w:rsidRDefault="00D454B1" w:rsidP="00390EE7">
      <w:pPr>
        <w:jc w:val="right"/>
        <w:outlineLvl w:val="0"/>
        <w:rPr>
          <w:rFonts w:asciiTheme="minorHAnsi" w:hAnsiTheme="minorHAnsi"/>
          <w:b/>
        </w:rPr>
      </w:pPr>
      <w:r>
        <w:rPr>
          <w:rFonts w:asciiTheme="minorHAnsi" w:hAnsiTheme="minorHAnsi"/>
          <w:b/>
        </w:rPr>
        <w:t>Confounding Factors…………………...…………………………………………</w:t>
      </w:r>
      <w:r w:rsidR="005A156E">
        <w:rPr>
          <w:rFonts w:asciiTheme="minorHAnsi" w:hAnsiTheme="minorHAnsi"/>
          <w:b/>
        </w:rPr>
        <w:t>……………….…61</w:t>
      </w:r>
    </w:p>
    <w:p w14:paraId="25286228" w14:textId="776B276F" w:rsidR="00304DB5" w:rsidRDefault="00304DB5" w:rsidP="00390EE7">
      <w:pPr>
        <w:jc w:val="right"/>
        <w:outlineLvl w:val="0"/>
        <w:rPr>
          <w:rFonts w:asciiTheme="minorHAnsi" w:hAnsiTheme="minorHAnsi"/>
          <w:b/>
        </w:rPr>
      </w:pPr>
      <w:r>
        <w:rPr>
          <w:rFonts w:asciiTheme="minorHAnsi" w:hAnsiTheme="minorHAnsi"/>
          <w:b/>
        </w:rPr>
        <w:t>Future Implications…………………………………………………………………………………..</w:t>
      </w:r>
      <w:r w:rsidR="005A156E">
        <w:rPr>
          <w:rFonts w:asciiTheme="minorHAnsi" w:hAnsiTheme="minorHAnsi"/>
          <w:b/>
        </w:rPr>
        <w:t>66</w:t>
      </w:r>
    </w:p>
    <w:p w14:paraId="536F70CC" w14:textId="75472742" w:rsidR="001973D3" w:rsidRDefault="001973D3" w:rsidP="00390EE7">
      <w:pPr>
        <w:jc w:val="right"/>
        <w:outlineLvl w:val="0"/>
        <w:rPr>
          <w:rFonts w:asciiTheme="minorHAnsi" w:hAnsiTheme="minorHAnsi"/>
          <w:b/>
        </w:rPr>
      </w:pPr>
    </w:p>
    <w:p w14:paraId="45BA176C" w14:textId="6051B038" w:rsidR="001973D3" w:rsidRDefault="001973D3" w:rsidP="00390EE7">
      <w:pPr>
        <w:jc w:val="right"/>
        <w:outlineLvl w:val="0"/>
        <w:rPr>
          <w:rFonts w:asciiTheme="minorHAnsi" w:hAnsiTheme="minorHAnsi"/>
          <w:b/>
        </w:rPr>
      </w:pPr>
      <w:r>
        <w:rPr>
          <w:rFonts w:asciiTheme="minorHAnsi" w:hAnsiTheme="minorHAnsi"/>
          <w:b/>
        </w:rPr>
        <w:t>References:</w:t>
      </w:r>
      <w:r w:rsidR="00903CCD">
        <w:rPr>
          <w:rFonts w:asciiTheme="minorHAnsi" w:hAnsiTheme="minorHAnsi"/>
          <w:b/>
        </w:rPr>
        <w:t xml:space="preserve"> </w:t>
      </w:r>
      <w:r w:rsidR="00D23DFE">
        <w:rPr>
          <w:rFonts w:asciiTheme="minorHAnsi" w:hAnsiTheme="minorHAnsi"/>
          <w:b/>
        </w:rPr>
        <w:t>………………………</w:t>
      </w:r>
      <w:r w:rsidR="00903CCD">
        <w:rPr>
          <w:rFonts w:asciiTheme="minorHAnsi" w:hAnsiTheme="minorHAnsi"/>
          <w:b/>
        </w:rPr>
        <w:t>.</w:t>
      </w:r>
      <w:r w:rsidR="00D23DFE">
        <w:rPr>
          <w:rFonts w:asciiTheme="minorHAnsi" w:hAnsiTheme="minorHAnsi"/>
          <w:b/>
        </w:rPr>
        <w:t>…………………</w:t>
      </w:r>
      <w:r w:rsidR="00903CCD">
        <w:rPr>
          <w:rFonts w:asciiTheme="minorHAnsi" w:hAnsiTheme="minorHAnsi"/>
          <w:b/>
        </w:rPr>
        <w:t>……</w:t>
      </w:r>
      <w:r w:rsidR="00CD2FF7">
        <w:rPr>
          <w:rFonts w:asciiTheme="minorHAnsi" w:hAnsiTheme="minorHAnsi"/>
          <w:b/>
        </w:rPr>
        <w:t>…</w:t>
      </w:r>
      <w:r w:rsidR="000D18F4">
        <w:rPr>
          <w:rFonts w:asciiTheme="minorHAnsi" w:hAnsiTheme="minorHAnsi"/>
          <w:b/>
        </w:rPr>
        <w:t>..</w:t>
      </w:r>
      <w:r w:rsidR="005A156E">
        <w:rPr>
          <w:rFonts w:asciiTheme="minorHAnsi" w:hAnsiTheme="minorHAnsi"/>
          <w:b/>
        </w:rPr>
        <w:t>…………………………………….……74</w:t>
      </w:r>
    </w:p>
    <w:p w14:paraId="7371D9C4" w14:textId="77777777" w:rsidR="00BB6130" w:rsidRDefault="00BB6130" w:rsidP="00BB6130">
      <w:pPr>
        <w:outlineLvl w:val="0"/>
        <w:rPr>
          <w:rFonts w:asciiTheme="minorHAnsi" w:hAnsiTheme="minorHAnsi"/>
          <w:b/>
        </w:rPr>
      </w:pPr>
    </w:p>
    <w:p w14:paraId="683060C5" w14:textId="77777777" w:rsidR="009C6C75" w:rsidRDefault="009C6C75" w:rsidP="00BB6130">
      <w:pPr>
        <w:outlineLvl w:val="0"/>
        <w:rPr>
          <w:rFonts w:asciiTheme="minorHAnsi" w:hAnsiTheme="minorHAnsi"/>
          <w:b/>
        </w:rPr>
      </w:pPr>
      <w:r>
        <w:rPr>
          <w:rFonts w:asciiTheme="minorHAnsi" w:hAnsiTheme="minorHAnsi"/>
          <w:b/>
        </w:rPr>
        <w:t>Appendix</w:t>
      </w:r>
    </w:p>
    <w:p w14:paraId="19E01C89" w14:textId="2E226DD0" w:rsidR="00BB6130" w:rsidRDefault="009C6C75" w:rsidP="00BB6130">
      <w:pPr>
        <w:outlineLvl w:val="0"/>
        <w:rPr>
          <w:rFonts w:asciiTheme="minorHAnsi" w:hAnsiTheme="minorHAnsi"/>
          <w:b/>
        </w:rPr>
      </w:pPr>
      <w:r>
        <w:rPr>
          <w:rFonts w:asciiTheme="minorHAnsi" w:hAnsiTheme="minorHAnsi"/>
          <w:b/>
        </w:rPr>
        <w:t>Appendix A: F</w:t>
      </w:r>
      <w:r w:rsidR="00D23DFE">
        <w:rPr>
          <w:rFonts w:asciiTheme="minorHAnsi" w:hAnsiTheme="minorHAnsi"/>
          <w:b/>
        </w:rPr>
        <w:t>igures</w:t>
      </w:r>
      <w:r>
        <w:rPr>
          <w:rFonts w:asciiTheme="minorHAnsi" w:hAnsiTheme="minorHAnsi"/>
          <w:b/>
        </w:rPr>
        <w:t>……</w:t>
      </w:r>
      <w:r w:rsidR="006A2099">
        <w:rPr>
          <w:rFonts w:asciiTheme="minorHAnsi" w:hAnsiTheme="minorHAnsi"/>
          <w:b/>
        </w:rPr>
        <w:t>..</w:t>
      </w:r>
      <w:r w:rsidR="00903CCD">
        <w:rPr>
          <w:rFonts w:asciiTheme="minorHAnsi" w:hAnsiTheme="minorHAnsi"/>
          <w:b/>
        </w:rPr>
        <w:t>..</w:t>
      </w:r>
      <w:r w:rsidR="00D23DFE">
        <w:rPr>
          <w:rFonts w:asciiTheme="minorHAnsi" w:hAnsiTheme="minorHAnsi"/>
          <w:b/>
        </w:rPr>
        <w:t>………</w:t>
      </w:r>
      <w:r w:rsidR="00903CCD">
        <w:rPr>
          <w:rFonts w:asciiTheme="minorHAnsi" w:hAnsiTheme="minorHAnsi"/>
          <w:b/>
        </w:rPr>
        <w:t>……….</w:t>
      </w:r>
      <w:r w:rsidR="00D23DFE">
        <w:rPr>
          <w:rFonts w:asciiTheme="minorHAnsi" w:hAnsiTheme="minorHAnsi"/>
          <w:b/>
        </w:rPr>
        <w:t>…………</w:t>
      </w:r>
      <w:r w:rsidR="006A2099">
        <w:rPr>
          <w:rFonts w:asciiTheme="minorHAnsi" w:hAnsiTheme="minorHAnsi"/>
          <w:b/>
        </w:rPr>
        <w:t>.</w:t>
      </w:r>
      <w:r w:rsidR="00903CCD">
        <w:rPr>
          <w:rFonts w:asciiTheme="minorHAnsi" w:hAnsiTheme="minorHAnsi"/>
          <w:b/>
        </w:rPr>
        <w:t>…….</w:t>
      </w:r>
      <w:r w:rsidR="000D18F4">
        <w:rPr>
          <w:rFonts w:asciiTheme="minorHAnsi" w:hAnsiTheme="minorHAnsi"/>
          <w:b/>
        </w:rPr>
        <w:t>……</w:t>
      </w:r>
      <w:r w:rsidR="00D23DFE">
        <w:rPr>
          <w:rFonts w:asciiTheme="minorHAnsi" w:hAnsiTheme="minorHAnsi"/>
          <w:b/>
        </w:rPr>
        <w:t>…………………</w:t>
      </w:r>
      <w:r w:rsidR="00BB6130">
        <w:rPr>
          <w:rFonts w:asciiTheme="minorHAnsi" w:hAnsiTheme="minorHAnsi"/>
          <w:b/>
        </w:rPr>
        <w:t>.</w:t>
      </w:r>
      <w:r w:rsidR="00D23DFE">
        <w:rPr>
          <w:rFonts w:asciiTheme="minorHAnsi" w:hAnsiTheme="minorHAnsi"/>
          <w:b/>
        </w:rPr>
        <w:t>…………….</w:t>
      </w:r>
      <w:r w:rsidR="000D18F4">
        <w:rPr>
          <w:rFonts w:asciiTheme="minorHAnsi" w:hAnsiTheme="minorHAnsi"/>
          <w:b/>
        </w:rPr>
        <w:t>.</w:t>
      </w:r>
      <w:r w:rsidR="00D23DFE">
        <w:rPr>
          <w:rFonts w:asciiTheme="minorHAnsi" w:hAnsiTheme="minorHAnsi"/>
          <w:b/>
        </w:rPr>
        <w:t>.</w:t>
      </w:r>
      <w:r w:rsidR="005A156E">
        <w:rPr>
          <w:rFonts w:asciiTheme="minorHAnsi" w:hAnsiTheme="minorHAnsi"/>
          <w:b/>
        </w:rPr>
        <w:t>85</w:t>
      </w:r>
    </w:p>
    <w:p w14:paraId="24A77ADC" w14:textId="245EA8EC" w:rsidR="00D23DFE" w:rsidRPr="00B417BF" w:rsidRDefault="00D23DFE" w:rsidP="00BB6130">
      <w:pPr>
        <w:outlineLvl w:val="0"/>
        <w:rPr>
          <w:rFonts w:asciiTheme="minorHAnsi" w:hAnsiTheme="minorHAnsi"/>
          <w:b/>
        </w:rPr>
      </w:pPr>
      <w:r>
        <w:rPr>
          <w:rFonts w:asciiTheme="minorHAnsi" w:hAnsiTheme="minorHAnsi"/>
          <w:b/>
        </w:rPr>
        <w:t>Appendix</w:t>
      </w:r>
      <w:r w:rsidR="006A2099">
        <w:rPr>
          <w:rFonts w:asciiTheme="minorHAnsi" w:hAnsiTheme="minorHAnsi"/>
          <w:b/>
        </w:rPr>
        <w:t xml:space="preserve"> B..</w:t>
      </w:r>
      <w:r>
        <w:rPr>
          <w:rFonts w:asciiTheme="minorHAnsi" w:hAnsiTheme="minorHAnsi"/>
          <w:b/>
        </w:rPr>
        <w:t>……………………………………………………</w:t>
      </w:r>
      <w:r w:rsidR="00BB6130">
        <w:rPr>
          <w:rFonts w:asciiTheme="minorHAnsi" w:hAnsiTheme="minorHAnsi"/>
          <w:b/>
        </w:rPr>
        <w:t>.</w:t>
      </w:r>
      <w:r>
        <w:rPr>
          <w:rFonts w:asciiTheme="minorHAnsi" w:hAnsiTheme="minorHAnsi"/>
          <w:b/>
        </w:rPr>
        <w:t>………………………</w:t>
      </w:r>
      <w:r w:rsidR="00903CCD">
        <w:rPr>
          <w:rFonts w:asciiTheme="minorHAnsi" w:hAnsiTheme="minorHAnsi"/>
          <w:b/>
        </w:rPr>
        <w:t>…………</w:t>
      </w:r>
      <w:r w:rsidR="00CD2FF7">
        <w:rPr>
          <w:rFonts w:asciiTheme="minorHAnsi" w:hAnsiTheme="minorHAnsi"/>
          <w:b/>
        </w:rPr>
        <w:t>……</w:t>
      </w:r>
      <w:r w:rsidR="000D18F4">
        <w:rPr>
          <w:rFonts w:asciiTheme="minorHAnsi" w:hAnsiTheme="minorHAnsi"/>
          <w:b/>
        </w:rPr>
        <w:t>.</w:t>
      </w:r>
      <w:r>
        <w:rPr>
          <w:rFonts w:asciiTheme="minorHAnsi" w:hAnsiTheme="minorHAnsi"/>
          <w:b/>
        </w:rPr>
        <w:t>.</w:t>
      </w:r>
      <w:r w:rsidR="005A156E">
        <w:rPr>
          <w:rFonts w:asciiTheme="minorHAnsi" w:hAnsiTheme="minorHAnsi"/>
          <w:b/>
        </w:rPr>
        <w:t>97</w:t>
      </w:r>
    </w:p>
    <w:p w14:paraId="60495B3F" w14:textId="77777777" w:rsidR="009C6C75" w:rsidRDefault="00D37C82">
      <w:pPr>
        <w:rPr>
          <w:rFonts w:asciiTheme="minorHAnsi" w:hAnsiTheme="minorHAnsi"/>
          <w:b/>
        </w:rPr>
        <w:sectPr w:rsidR="009C6C75" w:rsidSect="00FA5977">
          <w:footerReference w:type="default" r:id="rId10"/>
          <w:pgSz w:w="12240" w:h="15840"/>
          <w:pgMar w:top="1440" w:right="1440" w:bottom="1440" w:left="2448" w:header="720" w:footer="720" w:gutter="0"/>
          <w:pgNumType w:fmt="lowerRoman" w:start="4"/>
          <w:cols w:space="720"/>
          <w:docGrid w:linePitch="360"/>
        </w:sectPr>
      </w:pPr>
      <w:r w:rsidRPr="00B417BF">
        <w:rPr>
          <w:rFonts w:asciiTheme="minorHAnsi" w:hAnsiTheme="minorHAnsi"/>
          <w:b/>
        </w:rPr>
        <w:br w:type="page"/>
      </w:r>
    </w:p>
    <w:p w14:paraId="33D8BBCD" w14:textId="49E48EDC" w:rsidR="00D37C82" w:rsidRPr="00B417BF" w:rsidRDefault="00D37C82">
      <w:pPr>
        <w:rPr>
          <w:rFonts w:asciiTheme="minorHAnsi" w:hAnsiTheme="minorHAnsi"/>
          <w:b/>
        </w:rPr>
      </w:pPr>
    </w:p>
    <w:p w14:paraId="161AF93F" w14:textId="77777777" w:rsidR="00FA004E" w:rsidRPr="00B417BF" w:rsidRDefault="00FA004E" w:rsidP="00FA004E">
      <w:pPr>
        <w:rPr>
          <w:rFonts w:asciiTheme="minorHAnsi" w:hAnsiTheme="minorHAnsi"/>
          <w:b/>
        </w:rPr>
      </w:pPr>
    </w:p>
    <w:p w14:paraId="1CA96451" w14:textId="77777777" w:rsidR="00FA004E" w:rsidRPr="00B417BF" w:rsidRDefault="00FA004E" w:rsidP="00031F87">
      <w:pPr>
        <w:jc w:val="center"/>
        <w:outlineLvl w:val="0"/>
        <w:rPr>
          <w:rFonts w:asciiTheme="minorHAnsi" w:hAnsiTheme="minorHAnsi"/>
          <w:b/>
        </w:rPr>
      </w:pPr>
      <w:r w:rsidRPr="00B417BF">
        <w:rPr>
          <w:rFonts w:asciiTheme="minorHAnsi" w:hAnsiTheme="minorHAnsi"/>
          <w:b/>
        </w:rPr>
        <w:t>Abstract</w:t>
      </w:r>
    </w:p>
    <w:p w14:paraId="297A3DC9" w14:textId="77777777" w:rsidR="00FA004E" w:rsidRPr="00B417BF" w:rsidRDefault="00FA004E" w:rsidP="00FA004E">
      <w:pPr>
        <w:rPr>
          <w:rFonts w:asciiTheme="minorHAnsi" w:hAnsiTheme="minorHAnsi"/>
          <w:b/>
        </w:rPr>
      </w:pPr>
    </w:p>
    <w:p w14:paraId="51A11100" w14:textId="77777777" w:rsidR="00FA004E" w:rsidRPr="00B417BF" w:rsidRDefault="00FA004E" w:rsidP="00FA004E">
      <w:pPr>
        <w:rPr>
          <w:rFonts w:asciiTheme="minorHAnsi" w:hAnsiTheme="minorHAnsi"/>
          <w:b/>
        </w:rPr>
      </w:pPr>
    </w:p>
    <w:p w14:paraId="4098F402" w14:textId="5139320A" w:rsidR="002A2342" w:rsidRPr="00740841" w:rsidRDefault="00C60E66" w:rsidP="00A077A0">
      <w:pPr>
        <w:spacing w:line="480" w:lineRule="auto"/>
        <w:rPr>
          <w:rFonts w:asciiTheme="minorHAnsi" w:hAnsiTheme="minorHAnsi"/>
        </w:rPr>
      </w:pPr>
      <w:r>
        <w:rPr>
          <w:rFonts w:asciiTheme="minorHAnsi" w:hAnsiTheme="minorHAnsi"/>
          <w:b/>
        </w:rPr>
        <w:t>Background:</w:t>
      </w:r>
      <w:r w:rsidR="00740841">
        <w:rPr>
          <w:rFonts w:asciiTheme="minorHAnsi" w:hAnsiTheme="minorHAnsi"/>
          <w:b/>
        </w:rPr>
        <w:t xml:space="preserve"> </w:t>
      </w:r>
      <w:r w:rsidR="002A2342" w:rsidRPr="00B417BF">
        <w:rPr>
          <w:rFonts w:asciiTheme="minorHAnsi" w:hAnsiTheme="minorHAnsi"/>
        </w:rPr>
        <w:t xml:space="preserve">Individual coping and stress management skills influence rates of burnout, substance abuse, and other untoward situations for medical professionals.  Ideally, underdeveloped coping mechanisms and at-risk behaviors are identified early in students’ </w:t>
      </w:r>
      <w:r w:rsidR="003371D5">
        <w:rPr>
          <w:rFonts w:asciiTheme="minorHAnsi" w:hAnsiTheme="minorHAnsi"/>
        </w:rPr>
        <w:t xml:space="preserve">professional </w:t>
      </w:r>
      <w:r w:rsidR="002A2342" w:rsidRPr="00B417BF">
        <w:rPr>
          <w:rFonts w:asciiTheme="minorHAnsi" w:hAnsiTheme="minorHAnsi"/>
        </w:rPr>
        <w:t>education.  Utilization of support se</w:t>
      </w:r>
      <w:r w:rsidR="003371D5">
        <w:rPr>
          <w:rFonts w:asciiTheme="minorHAnsi" w:hAnsiTheme="minorHAnsi"/>
        </w:rPr>
        <w:t>rvices and coping strategies have</w:t>
      </w:r>
      <w:r w:rsidR="002A2342" w:rsidRPr="00B417BF">
        <w:rPr>
          <w:rFonts w:asciiTheme="minorHAnsi" w:hAnsiTheme="minorHAnsi"/>
        </w:rPr>
        <w:t xml:space="preserve"> been shown to correlate with academic success in undergraduate and graduate education.  </w:t>
      </w:r>
      <w:r w:rsidR="00FF376F">
        <w:rPr>
          <w:rFonts w:asciiTheme="minorHAnsi" w:hAnsiTheme="minorHAnsi"/>
        </w:rPr>
        <w:t xml:space="preserve">Data regarding coping strategies, academic performance, and </w:t>
      </w:r>
      <w:r w:rsidR="002E6792">
        <w:rPr>
          <w:rFonts w:asciiTheme="minorHAnsi" w:hAnsiTheme="minorHAnsi"/>
        </w:rPr>
        <w:t>help-seeking</w:t>
      </w:r>
      <w:r w:rsidR="00FF376F">
        <w:rPr>
          <w:rFonts w:asciiTheme="minorHAnsi" w:hAnsiTheme="minorHAnsi"/>
        </w:rPr>
        <w:t xml:space="preserve"> behaviors is scant in the</w:t>
      </w:r>
      <w:r w:rsidR="002A2342" w:rsidRPr="00B417BF">
        <w:rPr>
          <w:rFonts w:asciiTheme="minorHAnsi" w:hAnsiTheme="minorHAnsi"/>
        </w:rPr>
        <w:t xml:space="preserve"> P</w:t>
      </w:r>
      <w:r w:rsidR="00C6704E">
        <w:rPr>
          <w:rFonts w:asciiTheme="minorHAnsi" w:hAnsiTheme="minorHAnsi"/>
        </w:rPr>
        <w:t>hysician Assistant (PA)</w:t>
      </w:r>
      <w:r w:rsidR="002A2342" w:rsidRPr="00B417BF">
        <w:rPr>
          <w:rFonts w:asciiTheme="minorHAnsi" w:hAnsiTheme="minorHAnsi"/>
        </w:rPr>
        <w:t xml:space="preserve"> </w:t>
      </w:r>
      <w:r w:rsidR="00FF376F">
        <w:rPr>
          <w:rFonts w:asciiTheme="minorHAnsi" w:hAnsiTheme="minorHAnsi"/>
        </w:rPr>
        <w:t>and Dental student literature.</w:t>
      </w:r>
      <w:r w:rsidR="002A2342" w:rsidRPr="00B417BF">
        <w:rPr>
          <w:rFonts w:asciiTheme="minorHAnsi" w:hAnsiTheme="minorHAnsi"/>
        </w:rPr>
        <w:t xml:space="preserve"> </w:t>
      </w:r>
    </w:p>
    <w:p w14:paraId="4CA0556E" w14:textId="3DFA29B0" w:rsidR="008537E4" w:rsidRDefault="008537E4" w:rsidP="00A077A0">
      <w:pPr>
        <w:spacing w:line="480" w:lineRule="auto"/>
        <w:rPr>
          <w:rFonts w:asciiTheme="minorHAnsi" w:hAnsiTheme="minorHAnsi"/>
          <w:b/>
        </w:rPr>
      </w:pPr>
    </w:p>
    <w:p w14:paraId="25AE6F9A" w14:textId="3C56C6D1" w:rsidR="00C60E66" w:rsidRDefault="008537E4" w:rsidP="00A077A0">
      <w:pPr>
        <w:spacing w:line="480" w:lineRule="auto"/>
        <w:rPr>
          <w:rFonts w:asciiTheme="minorHAnsi" w:hAnsiTheme="minorHAnsi"/>
        </w:rPr>
      </w:pPr>
      <w:r>
        <w:rPr>
          <w:rFonts w:asciiTheme="minorHAnsi" w:hAnsiTheme="minorHAnsi"/>
          <w:b/>
        </w:rPr>
        <w:t>Purpose:</w:t>
      </w:r>
      <w:r w:rsidR="00C60E66">
        <w:rPr>
          <w:rFonts w:asciiTheme="minorHAnsi" w:hAnsiTheme="minorHAnsi"/>
          <w:b/>
        </w:rPr>
        <w:t xml:space="preserve"> </w:t>
      </w:r>
      <w:r w:rsidR="00C60E66" w:rsidRPr="00B417BF">
        <w:rPr>
          <w:rFonts w:asciiTheme="minorHAnsi" w:hAnsiTheme="minorHAnsi"/>
        </w:rPr>
        <w:t xml:space="preserve">A portion of </w:t>
      </w:r>
      <w:r w:rsidR="00C136DA">
        <w:rPr>
          <w:rFonts w:asciiTheme="minorHAnsi" w:hAnsiTheme="minorHAnsi"/>
        </w:rPr>
        <w:t>physician assistant (</w:t>
      </w:r>
      <w:r w:rsidR="00C60E66" w:rsidRPr="00B417BF">
        <w:rPr>
          <w:rFonts w:asciiTheme="minorHAnsi" w:hAnsiTheme="minorHAnsi"/>
        </w:rPr>
        <w:t>PA</w:t>
      </w:r>
      <w:r w:rsidR="00C136DA">
        <w:rPr>
          <w:rFonts w:asciiTheme="minorHAnsi" w:hAnsiTheme="minorHAnsi"/>
        </w:rPr>
        <w:t>)</w:t>
      </w:r>
      <w:r w:rsidR="00C60E66" w:rsidRPr="00B417BF">
        <w:rPr>
          <w:rFonts w:asciiTheme="minorHAnsi" w:hAnsiTheme="minorHAnsi"/>
        </w:rPr>
        <w:t xml:space="preserve"> and Dental students underperform academically.</w:t>
      </w:r>
      <w:r w:rsidR="002A2342">
        <w:rPr>
          <w:rFonts w:asciiTheme="minorHAnsi" w:hAnsiTheme="minorHAnsi"/>
        </w:rPr>
        <w:t xml:space="preserve">  This</w:t>
      </w:r>
      <w:r w:rsidR="00C60E66" w:rsidRPr="00B417BF">
        <w:rPr>
          <w:rFonts w:asciiTheme="minorHAnsi" w:hAnsiTheme="minorHAnsi"/>
        </w:rPr>
        <w:t xml:space="preserve"> study is designed to answer questions by the review of the related literature and </w:t>
      </w:r>
      <w:r w:rsidR="002E6792">
        <w:rPr>
          <w:rFonts w:asciiTheme="minorHAnsi" w:hAnsiTheme="minorHAnsi"/>
        </w:rPr>
        <w:t>analysis</w:t>
      </w:r>
      <w:r w:rsidR="00C60E66" w:rsidRPr="00B417BF">
        <w:rPr>
          <w:rFonts w:asciiTheme="minorHAnsi" w:hAnsiTheme="minorHAnsi"/>
        </w:rPr>
        <w:t xml:space="preserve"> of coping and support strategies in </w:t>
      </w:r>
      <w:r w:rsidR="002E6792">
        <w:rPr>
          <w:rFonts w:asciiTheme="minorHAnsi" w:hAnsiTheme="minorHAnsi"/>
        </w:rPr>
        <w:t>minimally competent, barely passing</w:t>
      </w:r>
      <w:r w:rsidR="00D811DD">
        <w:rPr>
          <w:rFonts w:asciiTheme="minorHAnsi" w:hAnsiTheme="minorHAnsi"/>
        </w:rPr>
        <w:t xml:space="preserve"> students</w:t>
      </w:r>
      <w:r w:rsidR="00C136DA">
        <w:rPr>
          <w:rFonts w:asciiTheme="minorHAnsi" w:hAnsiTheme="minorHAnsi"/>
        </w:rPr>
        <w:t xml:space="preserve"> (MCBP</w:t>
      </w:r>
      <w:r w:rsidR="00D811DD">
        <w:rPr>
          <w:rFonts w:asciiTheme="minorHAnsi" w:hAnsiTheme="minorHAnsi"/>
        </w:rPr>
        <w:t>s</w:t>
      </w:r>
      <w:r w:rsidR="00C136DA">
        <w:rPr>
          <w:rFonts w:asciiTheme="minorHAnsi" w:hAnsiTheme="minorHAnsi"/>
        </w:rPr>
        <w:t>)</w:t>
      </w:r>
      <w:r w:rsidR="00C60E66" w:rsidRPr="00B417BF">
        <w:rPr>
          <w:rFonts w:asciiTheme="minorHAnsi" w:hAnsiTheme="minorHAnsi"/>
        </w:rPr>
        <w:t xml:space="preserve"> first year PA and Dental students.</w:t>
      </w:r>
    </w:p>
    <w:p w14:paraId="0428E68F" w14:textId="77777777" w:rsidR="007D108D" w:rsidRDefault="007D108D" w:rsidP="00A077A0">
      <w:pPr>
        <w:spacing w:line="480" w:lineRule="auto"/>
        <w:rPr>
          <w:rFonts w:asciiTheme="minorHAnsi" w:hAnsiTheme="minorHAnsi"/>
        </w:rPr>
      </w:pPr>
    </w:p>
    <w:p w14:paraId="5D18110E" w14:textId="6920C279" w:rsidR="00C136DA" w:rsidRPr="00B417BF" w:rsidRDefault="00C136DA" w:rsidP="00A077A0">
      <w:pPr>
        <w:spacing w:line="480" w:lineRule="auto"/>
        <w:rPr>
          <w:rFonts w:asciiTheme="minorHAnsi" w:hAnsiTheme="minorHAnsi"/>
        </w:rPr>
      </w:pPr>
      <w:r w:rsidRPr="00B417BF">
        <w:rPr>
          <w:rFonts w:asciiTheme="minorHAnsi" w:hAnsiTheme="minorHAnsi"/>
        </w:rPr>
        <w:t xml:space="preserve">The following research questions </w:t>
      </w:r>
      <w:r w:rsidR="002E6792">
        <w:rPr>
          <w:rFonts w:asciiTheme="minorHAnsi" w:hAnsiTheme="minorHAnsi"/>
        </w:rPr>
        <w:t>are</w:t>
      </w:r>
      <w:r>
        <w:rPr>
          <w:rFonts w:asciiTheme="minorHAnsi" w:hAnsiTheme="minorHAnsi"/>
        </w:rPr>
        <w:t xml:space="preserve"> </w:t>
      </w:r>
      <w:r w:rsidRPr="00B417BF">
        <w:rPr>
          <w:rFonts w:asciiTheme="minorHAnsi" w:hAnsiTheme="minorHAnsi"/>
        </w:rPr>
        <w:t>the focus of this study:</w:t>
      </w:r>
    </w:p>
    <w:p w14:paraId="7F531F19" w14:textId="77777777" w:rsidR="00C136DA" w:rsidRPr="00B417BF" w:rsidRDefault="00C136DA" w:rsidP="00A077A0">
      <w:pPr>
        <w:pStyle w:val="ListParagraph"/>
        <w:numPr>
          <w:ilvl w:val="0"/>
          <w:numId w:val="1"/>
        </w:numPr>
        <w:spacing w:line="480" w:lineRule="auto"/>
      </w:pPr>
      <w:r w:rsidRPr="00B417BF">
        <w:t>What are the coping mechanisms and support services used by first year PA and Dental students?</w:t>
      </w:r>
    </w:p>
    <w:p w14:paraId="32DCFA31" w14:textId="77777777" w:rsidR="00C136DA" w:rsidRPr="00B417BF" w:rsidRDefault="00C136DA" w:rsidP="00A077A0">
      <w:pPr>
        <w:pStyle w:val="ListParagraph"/>
        <w:numPr>
          <w:ilvl w:val="0"/>
          <w:numId w:val="1"/>
        </w:numPr>
        <w:spacing w:line="480" w:lineRule="auto"/>
      </w:pPr>
      <w:r w:rsidRPr="00B417BF">
        <w:t>What is the relationship between coping mechanisms and academic performance among first year PA and Dental students?</w:t>
      </w:r>
    </w:p>
    <w:p w14:paraId="0F26B812" w14:textId="77777777" w:rsidR="00D811DD" w:rsidRPr="00B417BF" w:rsidRDefault="00D811DD" w:rsidP="00D811DD">
      <w:pPr>
        <w:pStyle w:val="ListParagraph"/>
        <w:numPr>
          <w:ilvl w:val="0"/>
          <w:numId w:val="1"/>
        </w:numPr>
        <w:spacing w:line="480" w:lineRule="auto"/>
      </w:pPr>
      <w:r w:rsidRPr="00B417BF">
        <w:lastRenderedPageBreak/>
        <w:t xml:space="preserve">What is the relationship between utilization of support services and academic performance among first year PA and Dental students? </w:t>
      </w:r>
    </w:p>
    <w:p w14:paraId="5B70388C" w14:textId="6482D126" w:rsidR="00D811DD" w:rsidRPr="00B417BF" w:rsidRDefault="00D811DD" w:rsidP="00D811DD">
      <w:pPr>
        <w:pStyle w:val="ListParagraph"/>
        <w:numPr>
          <w:ilvl w:val="0"/>
          <w:numId w:val="1"/>
        </w:numPr>
        <w:spacing w:line="480" w:lineRule="auto"/>
      </w:pPr>
      <w:r w:rsidRPr="00B417BF">
        <w:t xml:space="preserve">What are the coping mechanisms of </w:t>
      </w:r>
      <w:r w:rsidR="002E6792">
        <w:t>minimally competent, barely passing</w:t>
      </w:r>
      <w:r w:rsidR="00FF39C1">
        <w:t xml:space="preserve"> (MCBP</w:t>
      </w:r>
      <w:r w:rsidRPr="00B417BF">
        <w:t>) first year PA and Dental students?</w:t>
      </w:r>
    </w:p>
    <w:p w14:paraId="35CB8E1F" w14:textId="77777777" w:rsidR="00C136DA" w:rsidRPr="00B417BF" w:rsidRDefault="00C136DA" w:rsidP="00A077A0">
      <w:pPr>
        <w:spacing w:line="480" w:lineRule="auto"/>
        <w:rPr>
          <w:rFonts w:asciiTheme="minorHAnsi" w:hAnsiTheme="minorHAnsi"/>
        </w:rPr>
      </w:pPr>
    </w:p>
    <w:p w14:paraId="04FD6C48" w14:textId="28D1847C" w:rsidR="00C60E66" w:rsidRPr="00C60E66" w:rsidRDefault="00C60E66" w:rsidP="00A077A0">
      <w:pPr>
        <w:spacing w:line="480" w:lineRule="auto"/>
        <w:rPr>
          <w:rFonts w:asciiTheme="minorHAnsi" w:hAnsiTheme="minorHAnsi"/>
        </w:rPr>
      </w:pPr>
      <w:r>
        <w:rPr>
          <w:rFonts w:asciiTheme="minorHAnsi" w:hAnsiTheme="minorHAnsi"/>
          <w:b/>
        </w:rPr>
        <w:t xml:space="preserve">Methods: </w:t>
      </w:r>
      <w:r>
        <w:rPr>
          <w:rFonts w:asciiTheme="minorHAnsi" w:hAnsiTheme="minorHAnsi"/>
        </w:rPr>
        <w:t>Brief COPE and support service usage survey</w:t>
      </w:r>
      <w:r w:rsidR="002E6792">
        <w:rPr>
          <w:rFonts w:asciiTheme="minorHAnsi" w:hAnsiTheme="minorHAnsi"/>
        </w:rPr>
        <w:t>s</w:t>
      </w:r>
      <w:r>
        <w:rPr>
          <w:rFonts w:asciiTheme="minorHAnsi" w:hAnsiTheme="minorHAnsi"/>
        </w:rPr>
        <w:t xml:space="preserve"> </w:t>
      </w:r>
      <w:r w:rsidR="005619A1">
        <w:rPr>
          <w:rFonts w:asciiTheme="minorHAnsi" w:hAnsiTheme="minorHAnsi"/>
        </w:rPr>
        <w:t xml:space="preserve">were </w:t>
      </w:r>
      <w:r>
        <w:rPr>
          <w:rFonts w:asciiTheme="minorHAnsi" w:hAnsiTheme="minorHAnsi"/>
        </w:rPr>
        <w:t xml:space="preserve">administered </w:t>
      </w:r>
      <w:r w:rsidR="00D73881">
        <w:rPr>
          <w:rFonts w:asciiTheme="minorHAnsi" w:hAnsiTheme="minorHAnsi"/>
        </w:rPr>
        <w:t>online after each of three exams</w:t>
      </w:r>
      <w:r>
        <w:rPr>
          <w:rFonts w:asciiTheme="minorHAnsi" w:hAnsiTheme="minorHAnsi"/>
        </w:rPr>
        <w:t xml:space="preserve">.  </w:t>
      </w:r>
      <w:r w:rsidR="00FF376F">
        <w:rPr>
          <w:rFonts w:asciiTheme="minorHAnsi" w:hAnsiTheme="minorHAnsi"/>
        </w:rPr>
        <w:t>An o</w:t>
      </w:r>
      <w:r>
        <w:rPr>
          <w:rFonts w:asciiTheme="minorHAnsi" w:hAnsiTheme="minorHAnsi"/>
        </w:rPr>
        <w:t xml:space="preserve">nline </w:t>
      </w:r>
      <w:r w:rsidR="00EC4D2B">
        <w:rPr>
          <w:rFonts w:asciiTheme="minorHAnsi" w:hAnsiTheme="minorHAnsi"/>
        </w:rPr>
        <w:t xml:space="preserve">End </w:t>
      </w:r>
      <w:r w:rsidR="00FF376F">
        <w:rPr>
          <w:rFonts w:asciiTheme="minorHAnsi" w:hAnsiTheme="minorHAnsi"/>
        </w:rPr>
        <w:t>of Course Survey</w:t>
      </w:r>
      <w:r>
        <w:rPr>
          <w:rFonts w:asciiTheme="minorHAnsi" w:hAnsiTheme="minorHAnsi"/>
        </w:rPr>
        <w:t xml:space="preserve"> </w:t>
      </w:r>
      <w:r w:rsidR="00FF376F">
        <w:rPr>
          <w:rFonts w:asciiTheme="minorHAnsi" w:hAnsiTheme="minorHAnsi"/>
        </w:rPr>
        <w:t xml:space="preserve">was administered </w:t>
      </w:r>
      <w:r w:rsidR="001F6ACA">
        <w:rPr>
          <w:rFonts w:asciiTheme="minorHAnsi" w:hAnsiTheme="minorHAnsi"/>
        </w:rPr>
        <w:t xml:space="preserve">online </w:t>
      </w:r>
      <w:r w:rsidR="00D73881">
        <w:rPr>
          <w:rFonts w:asciiTheme="minorHAnsi" w:hAnsiTheme="minorHAnsi"/>
        </w:rPr>
        <w:t>for qualitative data collection.</w:t>
      </w:r>
      <w:r w:rsidR="00FF376F">
        <w:rPr>
          <w:rFonts w:asciiTheme="minorHAnsi" w:hAnsiTheme="minorHAnsi"/>
        </w:rPr>
        <w:t xml:space="preserve"> </w:t>
      </w:r>
      <w:r w:rsidR="00D73881">
        <w:rPr>
          <w:rFonts w:asciiTheme="minorHAnsi" w:hAnsiTheme="minorHAnsi"/>
        </w:rPr>
        <w:t>Control group</w:t>
      </w:r>
      <w:r w:rsidR="00FF376F">
        <w:rPr>
          <w:rFonts w:asciiTheme="minorHAnsi" w:hAnsiTheme="minorHAnsi"/>
        </w:rPr>
        <w:t xml:space="preserve"> received no intervention.  The </w:t>
      </w:r>
      <w:r w:rsidR="00D73881">
        <w:rPr>
          <w:rFonts w:asciiTheme="minorHAnsi" w:hAnsiTheme="minorHAnsi"/>
        </w:rPr>
        <w:t>experimental group</w:t>
      </w:r>
      <w:r w:rsidR="00FF376F">
        <w:rPr>
          <w:rFonts w:asciiTheme="minorHAnsi" w:hAnsiTheme="minorHAnsi"/>
        </w:rPr>
        <w:t xml:space="preserve"> received </w:t>
      </w:r>
      <w:r w:rsidR="00D73881">
        <w:rPr>
          <w:rFonts w:asciiTheme="minorHAnsi" w:hAnsiTheme="minorHAnsi"/>
        </w:rPr>
        <w:t xml:space="preserve">three additional </w:t>
      </w:r>
      <w:r w:rsidR="00FF376F">
        <w:rPr>
          <w:rFonts w:asciiTheme="minorHAnsi" w:hAnsiTheme="minorHAnsi"/>
        </w:rPr>
        <w:t xml:space="preserve">emails </w:t>
      </w:r>
      <w:r w:rsidR="00D811DD">
        <w:rPr>
          <w:rFonts w:asciiTheme="minorHAnsi" w:hAnsiTheme="minorHAnsi"/>
        </w:rPr>
        <w:t>containing</w:t>
      </w:r>
      <w:r w:rsidR="00FF376F">
        <w:rPr>
          <w:rFonts w:asciiTheme="minorHAnsi" w:hAnsiTheme="minorHAnsi"/>
        </w:rPr>
        <w:t xml:space="preserve"> information </w:t>
      </w:r>
      <w:r w:rsidR="003371D5">
        <w:rPr>
          <w:rFonts w:asciiTheme="minorHAnsi" w:hAnsiTheme="minorHAnsi"/>
        </w:rPr>
        <w:t xml:space="preserve">about </w:t>
      </w:r>
      <w:r w:rsidR="00FF376F">
        <w:rPr>
          <w:rFonts w:asciiTheme="minorHAnsi" w:hAnsiTheme="minorHAnsi"/>
        </w:rPr>
        <w:t>available support services.</w:t>
      </w:r>
    </w:p>
    <w:p w14:paraId="305CCF75" w14:textId="738F9B1C" w:rsidR="008537E4" w:rsidRDefault="008537E4" w:rsidP="00A077A0">
      <w:pPr>
        <w:spacing w:line="480" w:lineRule="auto"/>
        <w:rPr>
          <w:rFonts w:asciiTheme="minorHAnsi" w:hAnsiTheme="minorHAnsi"/>
          <w:b/>
        </w:rPr>
      </w:pPr>
    </w:p>
    <w:p w14:paraId="641D1FE9" w14:textId="2DBD525F" w:rsidR="008537E4" w:rsidRDefault="008537E4" w:rsidP="00A077A0">
      <w:pPr>
        <w:spacing w:line="480" w:lineRule="auto"/>
        <w:rPr>
          <w:rFonts w:asciiTheme="minorHAnsi" w:hAnsiTheme="minorHAnsi"/>
          <w:b/>
        </w:rPr>
      </w:pPr>
      <w:r>
        <w:rPr>
          <w:rFonts w:asciiTheme="minorHAnsi" w:hAnsiTheme="minorHAnsi"/>
          <w:b/>
        </w:rPr>
        <w:t>Results:</w:t>
      </w:r>
      <w:r w:rsidR="001F6ACA">
        <w:rPr>
          <w:rFonts w:asciiTheme="minorHAnsi" w:hAnsiTheme="minorHAnsi"/>
          <w:b/>
        </w:rPr>
        <w:t xml:space="preserve"> </w:t>
      </w:r>
    </w:p>
    <w:p w14:paraId="52C43823" w14:textId="234CE44E" w:rsidR="004269A6" w:rsidRPr="00A077A0" w:rsidRDefault="00A077A0" w:rsidP="00A077A0">
      <w:pPr>
        <w:spacing w:line="480" w:lineRule="auto"/>
      </w:pPr>
      <w:r w:rsidRPr="00A077A0">
        <w:rPr>
          <w:rFonts w:asciiTheme="minorHAnsi" w:hAnsiTheme="minorHAnsi"/>
        </w:rPr>
        <w:t>1.</w:t>
      </w:r>
      <w:r>
        <w:t xml:space="preserve"> </w:t>
      </w:r>
      <w:r w:rsidR="00D73881">
        <w:t>The control group</w:t>
      </w:r>
      <w:r w:rsidR="004269A6" w:rsidRPr="00A077A0">
        <w:t xml:space="preserve"> Brief COPE </w:t>
      </w:r>
      <w:r w:rsidR="00DC0C5F">
        <w:t>responses,</w:t>
      </w:r>
      <w:r w:rsidR="004269A6" w:rsidRPr="00A077A0">
        <w:t xml:space="preserve"> academic performanc</w:t>
      </w:r>
      <w:r w:rsidR="00DC0C5F">
        <w:t xml:space="preserve">e, </w:t>
      </w:r>
      <w:r w:rsidR="004269A6" w:rsidRPr="00A077A0">
        <w:t>and poor coping behaviors</w:t>
      </w:r>
      <w:r w:rsidR="00D73881">
        <w:t xml:space="preserve"> revealed s</w:t>
      </w:r>
      <w:r w:rsidR="00EF7C01">
        <w:t>elf-criticism</w:t>
      </w:r>
      <w:r w:rsidR="004269A6" w:rsidRPr="00A077A0">
        <w:t xml:space="preserve"> an</w:t>
      </w:r>
      <w:r w:rsidR="00D73881">
        <w:t>d blaming correlate</w:t>
      </w:r>
      <w:r w:rsidR="008D1855">
        <w:t>d</w:t>
      </w:r>
      <w:r w:rsidR="00D73881">
        <w:t xml:space="preserve"> </w:t>
      </w:r>
      <w:r w:rsidR="004269A6" w:rsidRPr="00A077A0">
        <w:t xml:space="preserve">with </w:t>
      </w:r>
      <w:r w:rsidR="00D73881">
        <w:t xml:space="preserve">poor </w:t>
      </w:r>
      <w:r w:rsidR="000A60CE">
        <w:t>exam</w:t>
      </w:r>
      <w:r w:rsidR="00D73881">
        <w:t xml:space="preserve"> </w:t>
      </w:r>
      <w:r w:rsidR="004269A6" w:rsidRPr="00A077A0">
        <w:t>grade</w:t>
      </w:r>
      <w:r w:rsidR="00D73881">
        <w:t>s</w:t>
      </w:r>
      <w:r w:rsidR="004269A6" w:rsidRPr="00A077A0">
        <w:t xml:space="preserve">.  Analysis of </w:t>
      </w:r>
      <w:r w:rsidR="00DC0C5F">
        <w:t xml:space="preserve">the </w:t>
      </w:r>
      <w:r w:rsidR="00D5095E">
        <w:t>experimental group</w:t>
      </w:r>
      <w:r w:rsidR="004269A6" w:rsidRPr="00A077A0">
        <w:t xml:space="preserve"> did not show strong relationships between Brief COPE items and academic performance.  </w:t>
      </w:r>
    </w:p>
    <w:p w14:paraId="56177565" w14:textId="77777777" w:rsidR="003371D5" w:rsidRDefault="003371D5" w:rsidP="00A077A0">
      <w:pPr>
        <w:spacing w:line="480" w:lineRule="auto"/>
        <w:rPr>
          <w:rFonts w:asciiTheme="minorHAnsi" w:hAnsiTheme="minorHAnsi"/>
        </w:rPr>
      </w:pPr>
    </w:p>
    <w:p w14:paraId="5A81142F" w14:textId="298F89C8" w:rsidR="00D5095E" w:rsidRDefault="00A077A0" w:rsidP="00A077A0">
      <w:pPr>
        <w:spacing w:line="480" w:lineRule="auto"/>
        <w:rPr>
          <w:rFonts w:asciiTheme="minorHAnsi" w:hAnsiTheme="minorHAnsi"/>
        </w:rPr>
      </w:pPr>
      <w:r>
        <w:rPr>
          <w:rFonts w:asciiTheme="minorHAnsi" w:hAnsiTheme="minorHAnsi"/>
        </w:rPr>
        <w:t xml:space="preserve">2. </w:t>
      </w:r>
      <w:r w:rsidR="004269A6" w:rsidRPr="00B417BF">
        <w:rPr>
          <w:rFonts w:asciiTheme="minorHAnsi" w:hAnsiTheme="minorHAnsi"/>
        </w:rPr>
        <w:t xml:space="preserve">The majority of students utilized support from family, peers, and upperclassmen. </w:t>
      </w:r>
      <w:r w:rsidR="003828F4">
        <w:rPr>
          <w:rFonts w:asciiTheme="minorHAnsi" w:hAnsiTheme="minorHAnsi"/>
        </w:rPr>
        <w:t>MCBPs</w:t>
      </w:r>
      <w:r w:rsidR="008D1855">
        <w:rPr>
          <w:rFonts w:asciiTheme="minorHAnsi" w:hAnsiTheme="minorHAnsi"/>
        </w:rPr>
        <w:t xml:space="preserve"> t</w:t>
      </w:r>
      <w:r w:rsidR="004269A6" w:rsidRPr="00B417BF">
        <w:rPr>
          <w:rFonts w:asciiTheme="minorHAnsi" w:hAnsiTheme="minorHAnsi"/>
        </w:rPr>
        <w:t xml:space="preserve">ended to use less tutoring and </w:t>
      </w:r>
      <w:r w:rsidR="008D1855">
        <w:rPr>
          <w:rFonts w:asciiTheme="minorHAnsi" w:hAnsiTheme="minorHAnsi"/>
        </w:rPr>
        <w:t xml:space="preserve">less </w:t>
      </w:r>
      <w:r w:rsidR="004269A6" w:rsidRPr="00B417BF">
        <w:rPr>
          <w:rFonts w:asciiTheme="minorHAnsi" w:hAnsiTheme="minorHAnsi"/>
        </w:rPr>
        <w:t>formal academic support than their higher pe</w:t>
      </w:r>
      <w:r w:rsidR="00DC0C5F">
        <w:rPr>
          <w:rFonts w:asciiTheme="minorHAnsi" w:hAnsiTheme="minorHAnsi"/>
        </w:rPr>
        <w:t>rforming peers.  Both groups have</w:t>
      </w:r>
      <w:r w:rsidR="004269A6" w:rsidRPr="00B417BF">
        <w:rPr>
          <w:rFonts w:asciiTheme="minorHAnsi" w:hAnsiTheme="minorHAnsi"/>
        </w:rPr>
        <w:t xml:space="preserve"> low percentages of students utilizing formal on-campus serv</w:t>
      </w:r>
      <w:r w:rsidR="004269A6">
        <w:rPr>
          <w:rFonts w:asciiTheme="minorHAnsi" w:hAnsiTheme="minorHAnsi"/>
        </w:rPr>
        <w:t xml:space="preserve">ices. </w:t>
      </w:r>
    </w:p>
    <w:p w14:paraId="61D173D4" w14:textId="77777777" w:rsidR="003371D5" w:rsidRDefault="003371D5" w:rsidP="00A077A0">
      <w:pPr>
        <w:spacing w:line="480" w:lineRule="auto"/>
        <w:rPr>
          <w:rFonts w:asciiTheme="minorHAnsi" w:hAnsiTheme="minorHAnsi"/>
        </w:rPr>
      </w:pPr>
    </w:p>
    <w:p w14:paraId="31FC9527" w14:textId="2E396B52" w:rsidR="004269A6" w:rsidRDefault="00D811DD" w:rsidP="00A077A0">
      <w:pPr>
        <w:spacing w:line="480" w:lineRule="auto"/>
      </w:pPr>
      <w:r>
        <w:rPr>
          <w:rFonts w:asciiTheme="minorHAnsi" w:hAnsiTheme="minorHAnsi"/>
        </w:rPr>
        <w:lastRenderedPageBreak/>
        <w:t>3</w:t>
      </w:r>
      <w:r w:rsidR="00A077A0">
        <w:rPr>
          <w:rFonts w:asciiTheme="minorHAnsi" w:hAnsiTheme="minorHAnsi"/>
        </w:rPr>
        <w:t xml:space="preserve">. </w:t>
      </w:r>
      <w:r w:rsidR="004269A6" w:rsidRPr="004269A6">
        <w:t xml:space="preserve">Both </w:t>
      </w:r>
      <w:r w:rsidR="00302E27">
        <w:t>experimental and control</w:t>
      </w:r>
      <w:r w:rsidR="00DC0C5F">
        <w:t xml:space="preserve"> groups utilized </w:t>
      </w:r>
      <w:r w:rsidR="004269A6" w:rsidRPr="004269A6">
        <w:t xml:space="preserve">non-academic support services at higher percentages than formal academic supports.  </w:t>
      </w:r>
      <w:r w:rsidR="003828F4">
        <w:t>MCBPs</w:t>
      </w:r>
      <w:r w:rsidR="004269A6" w:rsidRPr="004269A6">
        <w:t xml:space="preserve"> in </w:t>
      </w:r>
      <w:r w:rsidR="00302E27">
        <w:t>the experimental group</w:t>
      </w:r>
      <w:r w:rsidR="004269A6" w:rsidRPr="004269A6">
        <w:t xml:space="preserve"> </w:t>
      </w:r>
      <w:r w:rsidR="00DC0C5F">
        <w:t>utilize</w:t>
      </w:r>
      <w:r w:rsidR="004269A6" w:rsidRPr="004269A6">
        <w:t xml:space="preserve"> formal academic supports at much lower percentages than higher performing peers.  </w:t>
      </w:r>
    </w:p>
    <w:p w14:paraId="5900C6C2" w14:textId="77777777" w:rsidR="003371D5" w:rsidRDefault="003371D5" w:rsidP="00D811DD">
      <w:pPr>
        <w:spacing w:line="480" w:lineRule="auto"/>
        <w:rPr>
          <w:rFonts w:asciiTheme="minorHAnsi" w:hAnsiTheme="minorHAnsi"/>
        </w:rPr>
      </w:pPr>
    </w:p>
    <w:p w14:paraId="5887EADC" w14:textId="7E7F9629" w:rsidR="00D811DD" w:rsidRPr="00B417BF" w:rsidRDefault="00D811DD" w:rsidP="00D811DD">
      <w:pPr>
        <w:spacing w:line="480" w:lineRule="auto"/>
        <w:rPr>
          <w:rFonts w:asciiTheme="minorHAnsi" w:hAnsiTheme="minorHAnsi"/>
        </w:rPr>
      </w:pPr>
      <w:r>
        <w:rPr>
          <w:rFonts w:asciiTheme="minorHAnsi" w:hAnsiTheme="minorHAnsi"/>
        </w:rPr>
        <w:t xml:space="preserve">4. Self-criticism and self-blaming Brief COPE items </w:t>
      </w:r>
      <w:r w:rsidR="00DC0C5F">
        <w:rPr>
          <w:rFonts w:asciiTheme="minorHAnsi" w:hAnsiTheme="minorHAnsi"/>
        </w:rPr>
        <w:t>are</w:t>
      </w:r>
      <w:r>
        <w:rPr>
          <w:rFonts w:asciiTheme="minorHAnsi" w:hAnsiTheme="minorHAnsi"/>
        </w:rPr>
        <w:t xml:space="preserve"> seen in correlation with decreased exam grade performance. </w:t>
      </w:r>
      <w:r w:rsidRPr="00B417BF">
        <w:rPr>
          <w:rFonts w:asciiTheme="minorHAnsi" w:hAnsiTheme="minorHAnsi"/>
        </w:rPr>
        <w:t xml:space="preserve"> Differences in</w:t>
      </w:r>
      <w:r>
        <w:rPr>
          <w:rFonts w:asciiTheme="minorHAnsi" w:hAnsiTheme="minorHAnsi"/>
        </w:rPr>
        <w:t xml:space="preserve"> overall</w:t>
      </w:r>
      <w:r w:rsidRPr="00B417BF">
        <w:rPr>
          <w:rFonts w:asciiTheme="minorHAnsi" w:hAnsiTheme="minorHAnsi"/>
        </w:rPr>
        <w:t xml:space="preserve"> exam grades were not observed between the two groups.</w:t>
      </w:r>
    </w:p>
    <w:p w14:paraId="23143026" w14:textId="77777777" w:rsidR="00D811DD" w:rsidRPr="004269A6" w:rsidRDefault="00D811DD" w:rsidP="00A077A0">
      <w:pPr>
        <w:spacing w:line="480" w:lineRule="auto"/>
        <w:rPr>
          <w:rFonts w:asciiTheme="minorHAnsi" w:hAnsiTheme="minorHAnsi"/>
        </w:rPr>
      </w:pPr>
    </w:p>
    <w:p w14:paraId="11363AB4" w14:textId="2FBBCF3F" w:rsidR="004269A6" w:rsidRDefault="00302E27" w:rsidP="00A077A0">
      <w:pPr>
        <w:spacing w:line="480" w:lineRule="auto"/>
        <w:rPr>
          <w:rFonts w:asciiTheme="minorHAnsi" w:hAnsiTheme="minorHAnsi"/>
        </w:rPr>
      </w:pPr>
      <w:r>
        <w:rPr>
          <w:rFonts w:asciiTheme="minorHAnsi" w:hAnsiTheme="minorHAnsi"/>
        </w:rPr>
        <w:t>Control group</w:t>
      </w:r>
      <w:r w:rsidR="008236FC">
        <w:rPr>
          <w:rFonts w:asciiTheme="minorHAnsi" w:hAnsiTheme="minorHAnsi"/>
        </w:rPr>
        <w:t xml:space="preserve"> M</w:t>
      </w:r>
      <w:r w:rsidR="004269A6" w:rsidRPr="00B417BF">
        <w:rPr>
          <w:rFonts w:asciiTheme="minorHAnsi" w:hAnsiTheme="minorHAnsi"/>
        </w:rPr>
        <w:t>C</w:t>
      </w:r>
      <w:r w:rsidR="008236FC">
        <w:rPr>
          <w:rFonts w:asciiTheme="minorHAnsi" w:hAnsiTheme="minorHAnsi"/>
        </w:rPr>
        <w:t>BP</w:t>
      </w:r>
      <w:r w:rsidR="00DC0C5F">
        <w:rPr>
          <w:rFonts w:asciiTheme="minorHAnsi" w:hAnsiTheme="minorHAnsi"/>
        </w:rPr>
        <w:t>s report</w:t>
      </w:r>
      <w:r w:rsidR="004269A6" w:rsidRPr="00B417BF">
        <w:rPr>
          <w:rFonts w:asciiTheme="minorHAnsi" w:hAnsiTheme="minorHAnsi"/>
        </w:rPr>
        <w:t xml:space="preserve"> significant negative coping strategies of denial, self-blame, and disengagement.  </w:t>
      </w:r>
      <w:r w:rsidR="003828F4">
        <w:rPr>
          <w:rFonts w:asciiTheme="minorHAnsi" w:hAnsiTheme="minorHAnsi"/>
        </w:rPr>
        <w:t>MCBPs</w:t>
      </w:r>
      <w:r w:rsidR="004269A6" w:rsidRPr="00B417BF">
        <w:rPr>
          <w:rFonts w:asciiTheme="minorHAnsi" w:hAnsiTheme="minorHAnsi"/>
        </w:rPr>
        <w:t xml:space="preserve"> in </w:t>
      </w:r>
      <w:r w:rsidR="008D1855">
        <w:rPr>
          <w:rFonts w:asciiTheme="minorHAnsi" w:hAnsiTheme="minorHAnsi"/>
        </w:rPr>
        <w:t xml:space="preserve">the </w:t>
      </w:r>
      <w:r>
        <w:rPr>
          <w:rFonts w:asciiTheme="minorHAnsi" w:hAnsiTheme="minorHAnsi"/>
        </w:rPr>
        <w:t xml:space="preserve">experimental group </w:t>
      </w:r>
      <w:r w:rsidR="004269A6" w:rsidRPr="00B417BF">
        <w:rPr>
          <w:rFonts w:asciiTheme="minorHAnsi" w:hAnsiTheme="minorHAnsi"/>
        </w:rPr>
        <w:t xml:space="preserve">did not demonstrate </w:t>
      </w:r>
      <w:r w:rsidR="00DC0C5F">
        <w:rPr>
          <w:rFonts w:asciiTheme="minorHAnsi" w:hAnsiTheme="minorHAnsi"/>
        </w:rPr>
        <w:t>no</w:t>
      </w:r>
      <w:r w:rsidR="004269A6" w:rsidRPr="00B417BF">
        <w:rPr>
          <w:rFonts w:asciiTheme="minorHAnsi" w:hAnsiTheme="minorHAnsi"/>
        </w:rPr>
        <w:t xml:space="preserve"> significant trends in coping mechanisms. </w:t>
      </w:r>
      <w:r w:rsidR="00DC0C5F">
        <w:rPr>
          <w:rFonts w:asciiTheme="minorHAnsi" w:hAnsiTheme="minorHAnsi"/>
        </w:rPr>
        <w:t xml:space="preserve">The </w:t>
      </w:r>
      <w:r w:rsidR="004269A6" w:rsidRPr="00B417BF">
        <w:rPr>
          <w:rFonts w:asciiTheme="minorHAnsi" w:hAnsiTheme="minorHAnsi"/>
        </w:rPr>
        <w:t>small numbers of responses reporting self-blame</w:t>
      </w:r>
      <w:r w:rsidR="004269A6">
        <w:rPr>
          <w:rFonts w:asciiTheme="minorHAnsi" w:hAnsiTheme="minorHAnsi"/>
        </w:rPr>
        <w:t xml:space="preserve"> and anxiety</w:t>
      </w:r>
      <w:r w:rsidR="004269A6" w:rsidRPr="00B417BF">
        <w:rPr>
          <w:rFonts w:asciiTheme="minorHAnsi" w:hAnsiTheme="minorHAnsi"/>
        </w:rPr>
        <w:t xml:space="preserve"> in regard to</w:t>
      </w:r>
      <w:r w:rsidR="004269A6">
        <w:rPr>
          <w:rFonts w:asciiTheme="minorHAnsi" w:hAnsiTheme="minorHAnsi"/>
        </w:rPr>
        <w:t xml:space="preserve"> ineffective study skills</w:t>
      </w:r>
      <w:r w:rsidR="00DC0C5F">
        <w:rPr>
          <w:rFonts w:asciiTheme="minorHAnsi" w:hAnsiTheme="minorHAnsi"/>
        </w:rPr>
        <w:t xml:space="preserve"> somewhat limits the qualitative data.</w:t>
      </w:r>
    </w:p>
    <w:p w14:paraId="4A6FB03A" w14:textId="77777777" w:rsidR="003371D5" w:rsidRDefault="003371D5" w:rsidP="00A077A0">
      <w:pPr>
        <w:spacing w:line="480" w:lineRule="auto"/>
        <w:rPr>
          <w:rFonts w:asciiTheme="minorHAnsi" w:hAnsiTheme="minorHAnsi"/>
        </w:rPr>
      </w:pPr>
    </w:p>
    <w:p w14:paraId="0F3570CE" w14:textId="2B89698C" w:rsidR="008537E4" w:rsidRPr="00C60E66" w:rsidRDefault="003371D5" w:rsidP="00A077A0">
      <w:pPr>
        <w:spacing w:line="480" w:lineRule="auto"/>
        <w:rPr>
          <w:rFonts w:asciiTheme="minorHAnsi" w:hAnsiTheme="minorHAnsi"/>
        </w:rPr>
      </w:pPr>
      <w:r>
        <w:rPr>
          <w:rFonts w:asciiTheme="minorHAnsi" w:hAnsiTheme="minorHAnsi"/>
        </w:rPr>
        <w:t>No significant</w:t>
      </w:r>
      <w:r w:rsidR="00275DBD">
        <w:rPr>
          <w:rFonts w:asciiTheme="minorHAnsi" w:hAnsiTheme="minorHAnsi"/>
        </w:rPr>
        <w:t xml:space="preserve"> impact from the intervention of email providing information about support services </w:t>
      </w:r>
      <w:r w:rsidR="00CF240C">
        <w:rPr>
          <w:rFonts w:asciiTheme="minorHAnsi" w:hAnsiTheme="minorHAnsi"/>
        </w:rPr>
        <w:t>is</w:t>
      </w:r>
      <w:r w:rsidR="00275DBD">
        <w:rPr>
          <w:rFonts w:asciiTheme="minorHAnsi" w:hAnsiTheme="minorHAnsi"/>
        </w:rPr>
        <w:t xml:space="preserve"> seen in </w:t>
      </w:r>
      <w:r>
        <w:rPr>
          <w:rFonts w:asciiTheme="minorHAnsi" w:hAnsiTheme="minorHAnsi"/>
        </w:rPr>
        <w:t>exam scores,</w:t>
      </w:r>
      <w:r w:rsidR="00275DBD">
        <w:rPr>
          <w:rFonts w:asciiTheme="minorHAnsi" w:hAnsiTheme="minorHAnsi"/>
        </w:rPr>
        <w:t xml:space="preserve"> Brief COPE </w:t>
      </w:r>
      <w:r>
        <w:rPr>
          <w:rFonts w:asciiTheme="minorHAnsi" w:hAnsiTheme="minorHAnsi"/>
        </w:rPr>
        <w:t>responses,</w:t>
      </w:r>
      <w:r w:rsidR="00275DBD">
        <w:rPr>
          <w:rFonts w:asciiTheme="minorHAnsi" w:hAnsiTheme="minorHAnsi"/>
        </w:rPr>
        <w:t xml:space="preserve"> support service usage, or </w:t>
      </w:r>
      <w:r w:rsidR="00837922">
        <w:rPr>
          <w:rFonts w:asciiTheme="minorHAnsi" w:hAnsiTheme="minorHAnsi"/>
        </w:rPr>
        <w:t>End of Course Survey</w:t>
      </w:r>
      <w:r>
        <w:rPr>
          <w:rFonts w:asciiTheme="minorHAnsi" w:hAnsiTheme="minorHAnsi"/>
        </w:rPr>
        <w:t xml:space="preserve"> responses</w:t>
      </w:r>
      <w:r w:rsidR="00275DBD">
        <w:rPr>
          <w:rFonts w:asciiTheme="minorHAnsi" w:hAnsiTheme="minorHAnsi"/>
        </w:rPr>
        <w:t>.  This is consistent with</w:t>
      </w:r>
      <w:r w:rsidR="008D1855">
        <w:rPr>
          <w:rFonts w:asciiTheme="minorHAnsi" w:hAnsiTheme="minorHAnsi"/>
        </w:rPr>
        <w:t xml:space="preserve"> the</w:t>
      </w:r>
      <w:r w:rsidR="00275DBD">
        <w:rPr>
          <w:rFonts w:asciiTheme="minorHAnsi" w:hAnsiTheme="minorHAnsi"/>
        </w:rPr>
        <w:t xml:space="preserve"> literature.   </w:t>
      </w:r>
    </w:p>
    <w:p w14:paraId="26B74A08" w14:textId="3C989392" w:rsidR="008537E4" w:rsidRDefault="008537E4" w:rsidP="00A077A0">
      <w:pPr>
        <w:spacing w:line="480" w:lineRule="auto"/>
        <w:rPr>
          <w:rFonts w:asciiTheme="minorHAnsi" w:hAnsiTheme="minorHAnsi"/>
          <w:b/>
        </w:rPr>
      </w:pPr>
    </w:p>
    <w:p w14:paraId="44622061" w14:textId="04CCF697" w:rsidR="00C60E66" w:rsidRDefault="00C60E66" w:rsidP="00A077A0">
      <w:pPr>
        <w:spacing w:line="480" w:lineRule="auto"/>
        <w:rPr>
          <w:rFonts w:asciiTheme="minorHAnsi" w:hAnsiTheme="minorHAnsi"/>
          <w:b/>
        </w:rPr>
      </w:pPr>
      <w:r>
        <w:rPr>
          <w:rFonts w:asciiTheme="minorHAnsi" w:hAnsiTheme="minorHAnsi"/>
          <w:b/>
        </w:rPr>
        <w:t xml:space="preserve">Future Implications: </w:t>
      </w:r>
      <w:r w:rsidR="00653862">
        <w:rPr>
          <w:rFonts w:asciiTheme="minorHAnsi" w:hAnsiTheme="minorHAnsi"/>
        </w:rPr>
        <w:t>The</w:t>
      </w:r>
      <w:r w:rsidR="00EB5B71">
        <w:rPr>
          <w:rFonts w:asciiTheme="minorHAnsi" w:hAnsiTheme="minorHAnsi"/>
        </w:rPr>
        <w:t xml:space="preserve"> Brief COPE</w:t>
      </w:r>
      <w:r w:rsidR="00653862">
        <w:rPr>
          <w:rFonts w:asciiTheme="minorHAnsi" w:hAnsiTheme="minorHAnsi"/>
        </w:rPr>
        <w:t xml:space="preserve"> may have potential </w:t>
      </w:r>
      <w:r w:rsidR="00CF240C">
        <w:rPr>
          <w:rFonts w:asciiTheme="minorHAnsi" w:hAnsiTheme="minorHAnsi"/>
        </w:rPr>
        <w:t>use</w:t>
      </w:r>
      <w:r w:rsidR="00653862">
        <w:rPr>
          <w:rFonts w:asciiTheme="minorHAnsi" w:hAnsiTheme="minorHAnsi"/>
        </w:rPr>
        <w:t xml:space="preserve"> to identify poor </w:t>
      </w:r>
      <w:r w:rsidR="001F6ACA">
        <w:rPr>
          <w:rFonts w:asciiTheme="minorHAnsi" w:hAnsiTheme="minorHAnsi"/>
        </w:rPr>
        <w:t>coping</w:t>
      </w:r>
      <w:r w:rsidR="00653862">
        <w:rPr>
          <w:rFonts w:asciiTheme="minorHAnsi" w:hAnsiTheme="minorHAnsi"/>
        </w:rPr>
        <w:t xml:space="preserve"> </w:t>
      </w:r>
      <w:r w:rsidR="001F6ACA">
        <w:rPr>
          <w:rFonts w:asciiTheme="minorHAnsi" w:hAnsiTheme="minorHAnsi"/>
        </w:rPr>
        <w:t xml:space="preserve">strategies in </w:t>
      </w:r>
      <w:r w:rsidR="003C0371">
        <w:rPr>
          <w:rFonts w:asciiTheme="minorHAnsi" w:hAnsiTheme="minorHAnsi"/>
        </w:rPr>
        <w:t>MCBPs</w:t>
      </w:r>
      <w:r w:rsidR="001F6ACA">
        <w:rPr>
          <w:rFonts w:asciiTheme="minorHAnsi" w:hAnsiTheme="minorHAnsi"/>
        </w:rPr>
        <w:t>.  Student support service usage data can evaluate effectiveness of services and aid strategic planning.</w:t>
      </w:r>
      <w:r w:rsidR="00EB5B71">
        <w:rPr>
          <w:rFonts w:asciiTheme="minorHAnsi" w:hAnsiTheme="minorHAnsi"/>
        </w:rPr>
        <w:t xml:space="preserve"> Qualitative student feedback </w:t>
      </w:r>
      <w:r w:rsidR="001F6ACA">
        <w:rPr>
          <w:rFonts w:asciiTheme="minorHAnsi" w:hAnsiTheme="minorHAnsi"/>
        </w:rPr>
        <w:t>can be implemented for continued course</w:t>
      </w:r>
      <w:r w:rsidR="00275DBD">
        <w:rPr>
          <w:rFonts w:asciiTheme="minorHAnsi" w:hAnsiTheme="minorHAnsi"/>
        </w:rPr>
        <w:t xml:space="preserve"> and program</w:t>
      </w:r>
      <w:r w:rsidR="001F6ACA">
        <w:rPr>
          <w:rFonts w:asciiTheme="minorHAnsi" w:hAnsiTheme="minorHAnsi"/>
        </w:rPr>
        <w:t xml:space="preserve"> improvement.</w:t>
      </w:r>
    </w:p>
    <w:p w14:paraId="060F56DC" w14:textId="77777777" w:rsidR="00C60E66" w:rsidRPr="00C60E66" w:rsidRDefault="00C60E66" w:rsidP="00A077A0">
      <w:pPr>
        <w:spacing w:line="480" w:lineRule="auto"/>
        <w:rPr>
          <w:rFonts w:asciiTheme="minorHAnsi" w:hAnsiTheme="minorHAnsi"/>
          <w:b/>
        </w:rPr>
      </w:pPr>
    </w:p>
    <w:p w14:paraId="00BA7E70" w14:textId="563527A2" w:rsidR="00C60E66" w:rsidRDefault="008537E4" w:rsidP="00A077A0">
      <w:pPr>
        <w:spacing w:line="480" w:lineRule="auto"/>
        <w:rPr>
          <w:rFonts w:asciiTheme="minorHAnsi" w:hAnsiTheme="minorHAnsi"/>
          <w:b/>
        </w:rPr>
      </w:pPr>
      <w:r>
        <w:rPr>
          <w:rFonts w:asciiTheme="minorHAnsi" w:hAnsiTheme="minorHAnsi"/>
          <w:b/>
        </w:rPr>
        <w:t xml:space="preserve">Conclusion:  </w:t>
      </w:r>
      <w:r w:rsidR="00CF240C">
        <w:rPr>
          <w:rFonts w:asciiTheme="minorHAnsi" w:hAnsiTheme="minorHAnsi"/>
        </w:rPr>
        <w:t>E</w:t>
      </w:r>
      <w:r w:rsidR="008D1855">
        <w:rPr>
          <w:rFonts w:asciiTheme="minorHAnsi" w:hAnsiTheme="minorHAnsi"/>
        </w:rPr>
        <w:t xml:space="preserve">xperimental and control </w:t>
      </w:r>
      <w:r w:rsidR="001F6ACA">
        <w:rPr>
          <w:rFonts w:asciiTheme="minorHAnsi" w:hAnsiTheme="minorHAnsi"/>
        </w:rPr>
        <w:t>groups ha</w:t>
      </w:r>
      <w:r w:rsidR="00CF240C">
        <w:rPr>
          <w:rFonts w:asciiTheme="minorHAnsi" w:hAnsiTheme="minorHAnsi"/>
        </w:rPr>
        <w:t xml:space="preserve">ve </w:t>
      </w:r>
      <w:r w:rsidR="001F6ACA">
        <w:rPr>
          <w:rFonts w:asciiTheme="minorHAnsi" w:hAnsiTheme="minorHAnsi"/>
        </w:rPr>
        <w:t xml:space="preserve">similar academic performance, support service usage, and Brief COPE responses.  This is consistent with broader public health research </w:t>
      </w:r>
      <w:r w:rsidR="00CF240C">
        <w:rPr>
          <w:rFonts w:asciiTheme="minorHAnsi" w:hAnsiTheme="minorHAnsi"/>
        </w:rPr>
        <w:t>which finds</w:t>
      </w:r>
      <w:r w:rsidR="001F6ACA">
        <w:rPr>
          <w:rFonts w:asciiTheme="minorHAnsi" w:hAnsiTheme="minorHAnsi"/>
        </w:rPr>
        <w:t xml:space="preserve"> that an increase in educational efforts does not translate into behavioral changes. </w:t>
      </w:r>
      <w:r w:rsidR="004078FC">
        <w:rPr>
          <w:rFonts w:asciiTheme="minorHAnsi" w:hAnsiTheme="minorHAnsi"/>
        </w:rPr>
        <w:t xml:space="preserve"> </w:t>
      </w:r>
      <w:r w:rsidR="001F6ACA">
        <w:rPr>
          <w:rFonts w:asciiTheme="minorHAnsi" w:hAnsiTheme="minorHAnsi"/>
        </w:rPr>
        <w:t xml:space="preserve">In both groups, students with lower exam scores reported using fewer academic supports </w:t>
      </w:r>
      <w:r w:rsidR="003371D5">
        <w:rPr>
          <w:rFonts w:asciiTheme="minorHAnsi" w:hAnsiTheme="minorHAnsi"/>
        </w:rPr>
        <w:t>and</w:t>
      </w:r>
      <w:r w:rsidR="008D1855">
        <w:rPr>
          <w:rFonts w:asciiTheme="minorHAnsi" w:hAnsiTheme="minorHAnsi"/>
        </w:rPr>
        <w:t xml:space="preserve"> </w:t>
      </w:r>
      <w:r w:rsidR="003371D5">
        <w:rPr>
          <w:rFonts w:asciiTheme="minorHAnsi" w:hAnsiTheme="minorHAnsi"/>
        </w:rPr>
        <w:t>poor coping behaviors</w:t>
      </w:r>
      <w:r w:rsidR="001F6ACA">
        <w:rPr>
          <w:rFonts w:asciiTheme="minorHAnsi" w:hAnsiTheme="minorHAnsi"/>
        </w:rPr>
        <w:t xml:space="preserve">.  </w:t>
      </w:r>
    </w:p>
    <w:p w14:paraId="18259CA0" w14:textId="75F65A29" w:rsidR="00C60E66" w:rsidRDefault="00C60E66" w:rsidP="00A077A0">
      <w:pPr>
        <w:spacing w:line="480" w:lineRule="auto"/>
        <w:rPr>
          <w:rFonts w:asciiTheme="minorHAnsi" w:hAnsiTheme="minorHAnsi"/>
          <w:b/>
        </w:rPr>
      </w:pPr>
    </w:p>
    <w:p w14:paraId="06EDC9A7" w14:textId="55C965FB" w:rsidR="00C60E66" w:rsidRPr="00B417BF" w:rsidRDefault="00C60E66" w:rsidP="0050642D">
      <w:pPr>
        <w:rPr>
          <w:rFonts w:asciiTheme="minorHAnsi" w:hAnsiTheme="minorHAnsi"/>
          <w:b/>
        </w:rPr>
      </w:pPr>
      <w:r>
        <w:rPr>
          <w:rFonts w:asciiTheme="minorHAnsi" w:hAnsiTheme="minorHAnsi"/>
          <w:b/>
        </w:rPr>
        <w:t xml:space="preserve">Key words: Brief COPE, </w:t>
      </w:r>
      <w:r w:rsidR="0050642D">
        <w:rPr>
          <w:rFonts w:asciiTheme="minorHAnsi" w:hAnsiTheme="minorHAnsi"/>
          <w:b/>
        </w:rPr>
        <w:t>student services, Minimally Competent Barely Passing (MCBP), physician assistant student, dental student, education</w:t>
      </w:r>
    </w:p>
    <w:p w14:paraId="06987D36" w14:textId="77777777" w:rsidR="00FA004E" w:rsidRPr="00B417BF" w:rsidRDefault="00FA004E" w:rsidP="00FA004E">
      <w:pPr>
        <w:rPr>
          <w:rFonts w:asciiTheme="minorHAnsi" w:hAnsiTheme="minorHAnsi"/>
          <w:b/>
        </w:rPr>
      </w:pPr>
    </w:p>
    <w:p w14:paraId="23084747" w14:textId="77777777" w:rsidR="00FA004E" w:rsidRPr="00B417BF" w:rsidRDefault="00FA004E" w:rsidP="00FA004E">
      <w:pPr>
        <w:rPr>
          <w:rFonts w:asciiTheme="minorHAnsi" w:hAnsiTheme="minorHAnsi"/>
          <w:b/>
        </w:rPr>
        <w:sectPr w:rsidR="00FA004E" w:rsidRPr="00B417BF" w:rsidSect="007374D4">
          <w:type w:val="continuous"/>
          <w:pgSz w:w="12240" w:h="15840"/>
          <w:pgMar w:top="1440" w:right="1440" w:bottom="1440" w:left="2448" w:header="720" w:footer="720" w:gutter="0"/>
          <w:pgNumType w:fmt="lowerRoman"/>
          <w:cols w:space="720"/>
          <w:docGrid w:linePitch="360"/>
        </w:sectPr>
      </w:pPr>
    </w:p>
    <w:p w14:paraId="0FA32D49" w14:textId="68F9D95D" w:rsidR="00FA004E" w:rsidRPr="00B417BF" w:rsidRDefault="00FA004E" w:rsidP="00FA004E">
      <w:pPr>
        <w:rPr>
          <w:rFonts w:asciiTheme="minorHAnsi" w:hAnsiTheme="minorHAnsi"/>
          <w:b/>
        </w:rPr>
      </w:pPr>
    </w:p>
    <w:p w14:paraId="020D0FBB" w14:textId="77777777" w:rsidR="00FA004E" w:rsidRPr="00B417BF" w:rsidRDefault="00FA004E" w:rsidP="00FA004E">
      <w:pPr>
        <w:spacing w:line="480" w:lineRule="auto"/>
        <w:rPr>
          <w:rFonts w:asciiTheme="minorHAnsi" w:hAnsiTheme="minorHAnsi"/>
          <w:b/>
        </w:rPr>
      </w:pPr>
    </w:p>
    <w:p w14:paraId="4A2133FA" w14:textId="77777777" w:rsidR="00FA004E" w:rsidRPr="00B417BF" w:rsidRDefault="00FA004E" w:rsidP="00370897">
      <w:pPr>
        <w:spacing w:line="480" w:lineRule="auto"/>
        <w:jc w:val="center"/>
        <w:outlineLvl w:val="0"/>
        <w:rPr>
          <w:rFonts w:asciiTheme="minorHAnsi" w:hAnsiTheme="minorHAnsi"/>
          <w:b/>
        </w:rPr>
      </w:pPr>
      <w:r w:rsidRPr="00B417BF">
        <w:rPr>
          <w:rFonts w:asciiTheme="minorHAnsi" w:hAnsiTheme="minorHAnsi"/>
          <w:b/>
        </w:rPr>
        <w:t>Chapter 1</w:t>
      </w:r>
    </w:p>
    <w:p w14:paraId="76D3DCC1" w14:textId="759E63F7" w:rsidR="00FA004E" w:rsidRPr="00B417BF" w:rsidRDefault="00FA004E" w:rsidP="00FA004E">
      <w:pPr>
        <w:spacing w:line="480" w:lineRule="auto"/>
        <w:rPr>
          <w:rFonts w:asciiTheme="minorHAnsi" w:hAnsiTheme="minorHAnsi"/>
          <w:b/>
        </w:rPr>
      </w:pPr>
    </w:p>
    <w:p w14:paraId="38C8CE47" w14:textId="02B3A26A" w:rsidR="00FA004E" w:rsidRPr="00B417BF" w:rsidRDefault="00FA004E" w:rsidP="00FA004E">
      <w:pPr>
        <w:spacing w:line="480" w:lineRule="auto"/>
        <w:rPr>
          <w:rFonts w:asciiTheme="minorHAnsi" w:hAnsiTheme="minorHAnsi"/>
        </w:rPr>
      </w:pPr>
      <w:r w:rsidRPr="00B417BF">
        <w:rPr>
          <w:rFonts w:asciiTheme="minorHAnsi" w:hAnsiTheme="minorHAnsi"/>
        </w:rPr>
        <w:t xml:space="preserve">Education research to find predictors of struggling students has focused on the </w:t>
      </w:r>
      <w:r w:rsidR="00CF240C">
        <w:rPr>
          <w:rFonts w:asciiTheme="minorHAnsi" w:hAnsiTheme="minorHAnsi"/>
        </w:rPr>
        <w:t>K-12 education</w:t>
      </w:r>
      <w:r w:rsidRPr="00B417BF">
        <w:rPr>
          <w:rFonts w:asciiTheme="minorHAnsi" w:hAnsiTheme="minorHAnsi"/>
        </w:rPr>
        <w:t xml:space="preserve"> systems and undergraduate environment</w:t>
      </w:r>
      <w:r w:rsidR="009751E1">
        <w:rPr>
          <w:rFonts w:asciiTheme="minorHAnsi" w:hAnsiTheme="minorHAnsi"/>
        </w:rPr>
        <w:t>.</w:t>
      </w:r>
      <w:r w:rsidRPr="00B417BF">
        <w:rPr>
          <w:rFonts w:asciiTheme="minorHAnsi" w:hAnsiTheme="minorHAnsi"/>
        </w:rPr>
        <w:fldChar w:fldCharType="begin"/>
      </w:r>
      <w:r w:rsidR="002C6551">
        <w:rPr>
          <w:rFonts w:asciiTheme="minorHAnsi" w:hAnsiTheme="minorHAnsi"/>
        </w:rPr>
        <w:instrText xml:space="preserve"> ADDIN ZOTERO_ITEM CSL_CITATION {"citationID":"1brg8m98at","properties":{"formattedCitation":"\\super 1\\nosupersub{}","plainCitation":"1","noteIndex":0},"citationItems":[{"id":"LTQK2Tdj/DMowANmf","uris":["http://zotero.org/users/1143701/items/ZENUM6DK"],"uri":["http://zotero.org/users/1143701/items/ZENUM6DK"],"itemData":{"id":386,"type":"article-journal","title":"Underachievement Among College Students","container-title":"Journal of Advanced Academics","page":"274-294","volume":"20","issue":"2","source":"joa.sagepub.com","abstract":"Many high-achieving students do not question their academic success. They do well and are content with the study skills they have developed to ensure that they achieve their goals. However, these students, whose high schools considered them achievers, experience difficulties and sometimes failure in situations where they had previously experienced success. Using a sample of college freshmen who had earned academic warnings or had been placed on academic probation, this research examined each individual and his or her causes of underachievement. Participants attributed their high school successes to minor efforts. Not needing to do much to earn the success they wanted, these students were never taught, nor ever taught themselves, how to work through challenging issues. When these participants encountered challenging coursework in college, they were unprepared to deal with it. Additionally, several other aspects of participants’ experiences contributed to their college underachievement: inadequate study skills, poor time management, and internal versus external motivation. Participants felt that the intervention that would best reverse college underachievement was improving their own attitudes and behaviors. Through counseling and other means, gifted students need to learn how to motivate themselves to work when grades do not come easily. Colleges should be aware that even their high-achieving applicants may lack the skills necessary to succeed. In addition to offering study skills courses to underachieving students, colleges should include preemptive strategies for all incoming freshmen, including motivational and time management strategies.","DOI":"10.1177/1932202X0902000204","ISSN":"1932-202X, 2162-9536","journalAbbreviation":"Journal of Advanced Academics","language":"en","author":[{"family":"Balduf","given":"Megan"}],"issued":{"date-parts":[["2009",2,1]]},"accessed":{"date-parts":[["2015",2,9]]}}}],"schema":"https://github.com/citation-style-language/schema/raw/master/csl-citation.json"} </w:instrText>
      </w:r>
      <w:r w:rsidRPr="00B417BF">
        <w:rPr>
          <w:rFonts w:asciiTheme="minorHAnsi" w:hAnsiTheme="minorHAnsi"/>
        </w:rPr>
        <w:fldChar w:fldCharType="separate"/>
      </w:r>
      <w:r w:rsidR="002F2356" w:rsidRPr="002F2356">
        <w:rPr>
          <w:rFonts w:ascii="Cambria" w:hAnsiTheme="minorHAnsi"/>
          <w:vertAlign w:val="superscript"/>
        </w:rPr>
        <w:t>1</w:t>
      </w:r>
      <w:r w:rsidRPr="00B417BF">
        <w:rPr>
          <w:rFonts w:asciiTheme="minorHAnsi" w:hAnsiTheme="minorHAnsi"/>
        </w:rPr>
        <w:fldChar w:fldCharType="end"/>
      </w:r>
      <w:r w:rsidRPr="00B417BF">
        <w:rPr>
          <w:rFonts w:asciiTheme="minorHAnsi" w:hAnsiTheme="minorHAnsi"/>
        </w:rPr>
        <w:t xml:space="preserve"> </w:t>
      </w:r>
      <w:r w:rsidR="007363D1">
        <w:rPr>
          <w:rFonts w:asciiTheme="minorHAnsi" w:hAnsiTheme="minorHAnsi"/>
        </w:rPr>
        <w:t xml:space="preserve"> </w:t>
      </w:r>
      <w:r w:rsidRPr="00B417BF">
        <w:rPr>
          <w:rFonts w:asciiTheme="minorHAnsi" w:hAnsiTheme="minorHAnsi"/>
        </w:rPr>
        <w:t xml:space="preserve">However, </w:t>
      </w:r>
      <w:r w:rsidR="007363D1">
        <w:rPr>
          <w:rFonts w:asciiTheme="minorHAnsi" w:hAnsiTheme="minorHAnsi"/>
        </w:rPr>
        <w:t>this</w:t>
      </w:r>
      <w:r w:rsidR="00F33301">
        <w:rPr>
          <w:rFonts w:asciiTheme="minorHAnsi" w:hAnsiTheme="minorHAnsi"/>
        </w:rPr>
        <w:t xml:space="preserve"> issue </w:t>
      </w:r>
      <w:r w:rsidR="00EF7C01">
        <w:rPr>
          <w:rFonts w:asciiTheme="minorHAnsi" w:hAnsiTheme="minorHAnsi"/>
        </w:rPr>
        <w:t xml:space="preserve">needs </w:t>
      </w:r>
      <w:r w:rsidR="00F33301">
        <w:rPr>
          <w:rFonts w:asciiTheme="minorHAnsi" w:hAnsiTheme="minorHAnsi"/>
        </w:rPr>
        <w:t xml:space="preserve">to </w:t>
      </w:r>
      <w:r w:rsidRPr="00B417BF">
        <w:rPr>
          <w:rFonts w:asciiTheme="minorHAnsi" w:hAnsiTheme="minorHAnsi"/>
        </w:rPr>
        <w:t xml:space="preserve">be addressed at all levels of education.   </w:t>
      </w:r>
      <w:r w:rsidR="003B5408" w:rsidRPr="00B417BF">
        <w:rPr>
          <w:rFonts w:asciiTheme="minorHAnsi" w:hAnsiTheme="minorHAnsi"/>
        </w:rPr>
        <w:t>Because PA a</w:t>
      </w:r>
      <w:r w:rsidR="0039254A">
        <w:rPr>
          <w:rFonts w:asciiTheme="minorHAnsi" w:hAnsiTheme="minorHAnsi"/>
        </w:rPr>
        <w:t>n</w:t>
      </w:r>
      <w:r w:rsidR="003B5408" w:rsidRPr="00B417BF">
        <w:rPr>
          <w:rFonts w:asciiTheme="minorHAnsi" w:hAnsiTheme="minorHAnsi"/>
        </w:rPr>
        <w:t>d dental programs require high academic performance and passing marks on final board exams, early identification of struggling students could be advantageous for both faculty and student.  Once contributing factors for poor performance are identified, support could be offered to students who struggle academically.</w:t>
      </w:r>
    </w:p>
    <w:p w14:paraId="0A9E3E81" w14:textId="77777777" w:rsidR="00FA004E" w:rsidRPr="00B417BF" w:rsidRDefault="00FA004E" w:rsidP="00FA004E">
      <w:pPr>
        <w:spacing w:line="480" w:lineRule="auto"/>
        <w:rPr>
          <w:rFonts w:asciiTheme="minorHAnsi" w:hAnsiTheme="minorHAnsi"/>
        </w:rPr>
      </w:pPr>
    </w:p>
    <w:p w14:paraId="73D0A3FE" w14:textId="02B21752" w:rsidR="00FA004E" w:rsidRPr="00B417BF" w:rsidRDefault="00FA004E" w:rsidP="00FA004E">
      <w:pPr>
        <w:spacing w:line="480" w:lineRule="auto"/>
        <w:rPr>
          <w:rFonts w:asciiTheme="minorHAnsi" w:hAnsiTheme="minorHAnsi"/>
        </w:rPr>
      </w:pPr>
      <w:r w:rsidRPr="00B417BF">
        <w:rPr>
          <w:rFonts w:asciiTheme="minorHAnsi" w:hAnsiTheme="minorHAnsi"/>
        </w:rPr>
        <w:t>American healthcare continues to rely on Physician Assistants (PA</w:t>
      </w:r>
      <w:r w:rsidR="00BF1E86">
        <w:rPr>
          <w:rFonts w:asciiTheme="minorHAnsi" w:hAnsiTheme="minorHAnsi"/>
        </w:rPr>
        <w:t>’s) and nurse practitioners as</w:t>
      </w:r>
      <w:r w:rsidRPr="00B417BF">
        <w:rPr>
          <w:rFonts w:asciiTheme="minorHAnsi" w:hAnsiTheme="minorHAnsi"/>
        </w:rPr>
        <w:t xml:space="preserve"> way</w:t>
      </w:r>
      <w:r w:rsidR="00BF1E86">
        <w:rPr>
          <w:rFonts w:asciiTheme="minorHAnsi" w:hAnsiTheme="minorHAnsi"/>
        </w:rPr>
        <w:t>s</w:t>
      </w:r>
      <w:r w:rsidRPr="00B417BF">
        <w:rPr>
          <w:rFonts w:asciiTheme="minorHAnsi" w:hAnsiTheme="minorHAnsi"/>
        </w:rPr>
        <w:t xml:space="preserve"> to extend care and reduce the costs of healthcare.  Often these providers serve as the primary providers of medical care to underserved communities and rural areas</w:t>
      </w:r>
      <w:r w:rsidR="009751E1">
        <w:rPr>
          <w:rFonts w:asciiTheme="minorHAnsi" w:hAnsiTheme="minorHAnsi"/>
        </w:rPr>
        <w:t>.</w:t>
      </w:r>
      <w:r w:rsidR="00B71D50" w:rsidRPr="00B417BF">
        <w:rPr>
          <w:rFonts w:asciiTheme="minorHAnsi" w:hAnsiTheme="minorHAnsi"/>
        </w:rPr>
        <w:fldChar w:fldCharType="begin"/>
      </w:r>
      <w:r w:rsidR="002F2356">
        <w:rPr>
          <w:rFonts w:asciiTheme="minorHAnsi" w:hAnsiTheme="minorHAnsi"/>
        </w:rPr>
        <w:instrText xml:space="preserve"> ADDIN ZOTERO_ITEM CSL_CITATION {"citationID":"a2epl1cf44q","properties":{"formattedCitation":"\\super 2\\nosupersub{}","plainCitation":"2","noteIndex":0},"citationItems":[{"id":1049,"uris":["http://zotero.org/users/1143701/items/85W7BTP4"],"uri":["http://zotero.org/users/1143701/items/85W7BTP4"],"itemData":{"id":1049,"type":"article-journal","title":"Survey Shows Consumers Open To A Greater Role For Physician Assistants And Nurse Practitioners","container-title":"Health Affairs","page":"1135-1142","volume":"32","issue":"6","source":"healthaffairs.org (Atypon)","abstract":"Impending physician shortages in the United States will necessitate greater reliance on physician assistants and nurse practitioners, particularly in primary care. But how willing are Americans to accept that change? This study examines provider preferences from patients’ perspective, using data from the Association of American Medical Colleges’ Consumer Survey. We found that about half of the respondents preferred to have a physician as their primary care provider. However, when presented with scenarios wherein they could see a physician assistant or a nurse practitioner sooner than a physician, most elected to see one of the other health care professionals instead of waiting. Although our findings provide evidence that US consumers are open to the idea of receiving care from physician assistants and nurse practitioners, it is important to consider barriers to more widespread use, such as scope-of-practice regulations. Policy makers should incorporate such evidence into solutions for the physician shortage.","URL":"https://www.healthaffairs.org/doi/full/10.1377/hlthaff.2012.1150","DOI":"10.1377/hlthaff.2012.1150","ISSN":"0278-2715","journalAbbreviation":"Health Affairs","author":[{"family":"Dill","given":"Michael J."},{"family":"Pankow","given":"Stacie"},{"family":"Erikson","given":"Clese"},{"family":"Shipman","given":"Scott"}],"issued":{"date-parts":[["2013",6,1]]},"accessed":{"date-parts":[["2018",3,4]]}}}],"schema":"https://github.com/citation-style-language/schema/raw/master/csl-citation.json"} </w:instrText>
      </w:r>
      <w:r w:rsidR="00B71D50" w:rsidRPr="00B417BF">
        <w:rPr>
          <w:rFonts w:asciiTheme="minorHAnsi" w:hAnsiTheme="minorHAnsi"/>
        </w:rPr>
        <w:fldChar w:fldCharType="separate"/>
      </w:r>
      <w:r w:rsidR="002F2356" w:rsidRPr="002F2356">
        <w:rPr>
          <w:rFonts w:ascii="Cambria" w:hAnsiTheme="minorHAnsi"/>
          <w:vertAlign w:val="superscript"/>
        </w:rPr>
        <w:t>2</w:t>
      </w:r>
      <w:r w:rsidR="00B71D50" w:rsidRPr="00B417BF">
        <w:rPr>
          <w:rFonts w:asciiTheme="minorHAnsi" w:hAnsiTheme="minorHAnsi"/>
        </w:rPr>
        <w:fldChar w:fldCharType="end"/>
      </w:r>
      <w:r w:rsidRPr="00B417BF">
        <w:rPr>
          <w:rFonts w:asciiTheme="minorHAnsi" w:hAnsiTheme="minorHAnsi"/>
        </w:rPr>
        <w:t xml:space="preserve">  </w:t>
      </w:r>
      <w:r w:rsidR="00B71D50" w:rsidRPr="00B417BF">
        <w:rPr>
          <w:rFonts w:asciiTheme="minorHAnsi" w:hAnsiTheme="minorHAnsi"/>
        </w:rPr>
        <w:t xml:space="preserve">Because the number of PA graduates is not limited by </w:t>
      </w:r>
      <w:r w:rsidR="00021A49" w:rsidRPr="00B417BF">
        <w:rPr>
          <w:rFonts w:asciiTheme="minorHAnsi" w:hAnsiTheme="minorHAnsi"/>
        </w:rPr>
        <w:t>available</w:t>
      </w:r>
      <w:r w:rsidR="00B71D50" w:rsidRPr="00B417BF">
        <w:rPr>
          <w:rFonts w:asciiTheme="minorHAnsi" w:hAnsiTheme="minorHAnsi"/>
        </w:rPr>
        <w:t xml:space="preserve"> resi</w:t>
      </w:r>
      <w:r w:rsidR="00FF39C1">
        <w:rPr>
          <w:rFonts w:asciiTheme="minorHAnsi" w:hAnsiTheme="minorHAnsi"/>
        </w:rPr>
        <w:t>dency</w:t>
      </w:r>
      <w:r w:rsidR="00B71D50" w:rsidRPr="00B417BF">
        <w:rPr>
          <w:rFonts w:asciiTheme="minorHAnsi" w:hAnsiTheme="minorHAnsi"/>
        </w:rPr>
        <w:t xml:space="preserve"> positions,</w:t>
      </w:r>
      <w:r w:rsidRPr="00B417BF">
        <w:rPr>
          <w:rFonts w:asciiTheme="minorHAnsi" w:hAnsiTheme="minorHAnsi"/>
        </w:rPr>
        <w:t xml:space="preserve"> PA education </w:t>
      </w:r>
      <w:r w:rsidR="00B71D50" w:rsidRPr="00B417BF">
        <w:rPr>
          <w:rFonts w:asciiTheme="minorHAnsi" w:hAnsiTheme="minorHAnsi"/>
        </w:rPr>
        <w:t>may</w:t>
      </w:r>
      <w:r w:rsidRPr="00B417BF">
        <w:rPr>
          <w:rFonts w:asciiTheme="minorHAnsi" w:hAnsiTheme="minorHAnsi"/>
        </w:rPr>
        <w:t xml:space="preserve"> </w:t>
      </w:r>
      <w:r w:rsidR="00B71D50" w:rsidRPr="00B417BF">
        <w:rPr>
          <w:rFonts w:asciiTheme="minorHAnsi" w:hAnsiTheme="minorHAnsi"/>
        </w:rPr>
        <w:t>be</w:t>
      </w:r>
      <w:r w:rsidRPr="00B417BF">
        <w:rPr>
          <w:rFonts w:asciiTheme="minorHAnsi" w:hAnsiTheme="minorHAnsi"/>
        </w:rPr>
        <w:t xml:space="preserve"> a more </w:t>
      </w:r>
      <w:r w:rsidR="008C74F7" w:rsidRPr="00B417BF">
        <w:rPr>
          <w:rFonts w:asciiTheme="minorHAnsi" w:hAnsiTheme="minorHAnsi"/>
        </w:rPr>
        <w:t>cost-effective</w:t>
      </w:r>
      <w:r w:rsidRPr="00B417BF">
        <w:rPr>
          <w:rFonts w:asciiTheme="minorHAnsi" w:hAnsiTheme="minorHAnsi"/>
        </w:rPr>
        <w:t xml:space="preserve"> way to increase</w:t>
      </w:r>
      <w:r w:rsidR="00B71D50" w:rsidRPr="00B417BF">
        <w:rPr>
          <w:rFonts w:asciiTheme="minorHAnsi" w:hAnsiTheme="minorHAnsi"/>
        </w:rPr>
        <w:t xml:space="preserve"> the overall numbers of healthcare providers to meet growing demand</w:t>
      </w:r>
      <w:r w:rsidR="00C42375">
        <w:rPr>
          <w:rFonts w:asciiTheme="minorHAnsi" w:hAnsiTheme="minorHAnsi"/>
        </w:rPr>
        <w:t>.</w:t>
      </w:r>
      <w:r w:rsidR="008C74F7" w:rsidRPr="00B417BF">
        <w:rPr>
          <w:rFonts w:asciiTheme="minorHAnsi" w:hAnsiTheme="minorHAnsi"/>
        </w:rPr>
        <w:fldChar w:fldCharType="begin"/>
      </w:r>
      <w:r w:rsidR="002F2356">
        <w:rPr>
          <w:rFonts w:asciiTheme="minorHAnsi" w:hAnsiTheme="minorHAnsi"/>
        </w:rPr>
        <w:instrText xml:space="preserve"> ADDIN ZOTERO_ITEM CSL_CITATION {"citationID":"acg2nrilie","properties":{"formattedCitation":"\\super 3\\nosupersub{}","plainCitation":"3","noteIndex":0},"citationItems":[{"id":1053,"uris":["http://zotero.org/users/1143701/items/LESUWNUU"],"uri":["http://zotero.org/users/1143701/items/LESUWNUU"],"itemData":{"id":1053,"type":"article-journal","title":"The Complexities of Physician Supply and Demand: Projections Through 2025: Center for Workforce Studies","container-title":"Association of American Medical Colleges","page":"94","note":"https://members.aamc.org/eweb/upload/The%20Complexities%20of%20Physician%20Supply.pdf","journalAbbreviation":"AAMC","author":[{"family":"Dill","given":"Michael J."},{"family":"Salsberg","given":"Edward S."}],"issued":{"date-parts":[["2008",11]]}}}],"schema":"https://github.com/citation-style-language/schema/raw/master/csl-citation.json"} </w:instrText>
      </w:r>
      <w:r w:rsidR="008C74F7" w:rsidRPr="00B417BF">
        <w:rPr>
          <w:rFonts w:asciiTheme="minorHAnsi" w:hAnsiTheme="minorHAnsi"/>
        </w:rPr>
        <w:fldChar w:fldCharType="separate"/>
      </w:r>
      <w:r w:rsidR="002F2356" w:rsidRPr="002F2356">
        <w:rPr>
          <w:rFonts w:ascii="Cambria" w:hAnsiTheme="minorHAnsi"/>
          <w:vertAlign w:val="superscript"/>
        </w:rPr>
        <w:t>3</w:t>
      </w:r>
      <w:r w:rsidR="008C74F7" w:rsidRPr="00B417BF">
        <w:rPr>
          <w:rFonts w:asciiTheme="minorHAnsi" w:hAnsiTheme="minorHAnsi"/>
        </w:rPr>
        <w:fldChar w:fldCharType="end"/>
      </w:r>
    </w:p>
    <w:p w14:paraId="26302BE7" w14:textId="77777777" w:rsidR="00FA004E" w:rsidRPr="00B417BF" w:rsidRDefault="00FA004E" w:rsidP="00FA004E">
      <w:pPr>
        <w:spacing w:line="480" w:lineRule="auto"/>
        <w:rPr>
          <w:rFonts w:asciiTheme="minorHAnsi" w:hAnsiTheme="minorHAnsi"/>
        </w:rPr>
      </w:pPr>
    </w:p>
    <w:p w14:paraId="275265C5" w14:textId="4674DBCB" w:rsidR="00FA004E" w:rsidRPr="00B417BF" w:rsidRDefault="00FA004E" w:rsidP="00FA004E">
      <w:pPr>
        <w:spacing w:line="480" w:lineRule="auto"/>
        <w:rPr>
          <w:rFonts w:asciiTheme="minorHAnsi" w:hAnsiTheme="minorHAnsi"/>
        </w:rPr>
      </w:pPr>
      <w:r w:rsidRPr="00B417BF">
        <w:rPr>
          <w:rFonts w:asciiTheme="minorHAnsi" w:hAnsiTheme="minorHAnsi"/>
        </w:rPr>
        <w:t xml:space="preserve">Educational programs for PA’s have </w:t>
      </w:r>
      <w:r w:rsidR="00193191" w:rsidRPr="00B417BF">
        <w:rPr>
          <w:rFonts w:asciiTheme="minorHAnsi" w:hAnsiTheme="minorHAnsi"/>
        </w:rPr>
        <w:t xml:space="preserve">doubled in the </w:t>
      </w:r>
      <w:r w:rsidR="008B14A2">
        <w:rPr>
          <w:rFonts w:asciiTheme="minorHAnsi" w:hAnsiTheme="minorHAnsi"/>
        </w:rPr>
        <w:t>since 1995</w:t>
      </w:r>
      <w:r w:rsidR="00C42375">
        <w:rPr>
          <w:rFonts w:asciiTheme="minorHAnsi" w:hAnsiTheme="minorHAnsi"/>
        </w:rPr>
        <w:t>.</w:t>
      </w:r>
      <w:r w:rsidR="00A62C6F" w:rsidRPr="00B417BF">
        <w:rPr>
          <w:rFonts w:asciiTheme="minorHAnsi" w:hAnsiTheme="minorHAnsi"/>
        </w:rPr>
        <w:fldChar w:fldCharType="begin"/>
      </w:r>
      <w:r w:rsidR="002F2356">
        <w:rPr>
          <w:rFonts w:asciiTheme="minorHAnsi" w:hAnsiTheme="minorHAnsi"/>
        </w:rPr>
        <w:instrText xml:space="preserve"> ADDIN ZOTERO_ITEM CSL_CITATION {"citationID":"a1afatnbtoe","properties":{"formattedCitation":"\\super 4\\nosupersub{}","plainCitation":"4","noteIndex":0},"citationItems":[{"id":1045,"uris":["http://zotero.org/users/1143701/items/WJ9JY4BH"],"uri":["http://zotero.org/users/1143701/items/WJ9JY4BH"],"itemData":{"id":1045,"type":"report","title":"By the Numbers: Program Report 32: Data from the 2016 Program Survey","publisher":"PAEA","publisher-place":"Washington DC","page":"41","event-place":"Washington DC","note":"DOI: 10.17538/PR32.2017","language":"English","author":[{"family":"Physician Assistant Education Association","given":""}],"issued":{"date-parts":[["2017"]]}}}],"schema":"https://github.com/citation-style-language/schema/raw/master/csl-citation.json"} </w:instrText>
      </w:r>
      <w:r w:rsidR="00A62C6F" w:rsidRPr="00B417BF">
        <w:rPr>
          <w:rFonts w:asciiTheme="minorHAnsi" w:hAnsiTheme="minorHAnsi"/>
        </w:rPr>
        <w:fldChar w:fldCharType="separate"/>
      </w:r>
      <w:r w:rsidR="002F2356" w:rsidRPr="002F2356">
        <w:rPr>
          <w:rFonts w:ascii="Cambria" w:hAnsiTheme="minorHAnsi"/>
          <w:vertAlign w:val="superscript"/>
        </w:rPr>
        <w:t>4</w:t>
      </w:r>
      <w:r w:rsidR="00A62C6F" w:rsidRPr="00B417BF">
        <w:rPr>
          <w:rFonts w:asciiTheme="minorHAnsi" w:hAnsiTheme="minorHAnsi"/>
        </w:rPr>
        <w:fldChar w:fldCharType="end"/>
      </w:r>
      <w:r w:rsidRPr="00B417BF">
        <w:rPr>
          <w:rFonts w:asciiTheme="minorHAnsi" w:hAnsiTheme="minorHAnsi"/>
        </w:rPr>
        <w:t xml:space="preserve"> </w:t>
      </w:r>
      <w:r w:rsidR="00A94160">
        <w:rPr>
          <w:rFonts w:asciiTheme="minorHAnsi" w:hAnsiTheme="minorHAnsi"/>
        </w:rPr>
        <w:t xml:space="preserve"> There are now over 200 programs nationwide admitting over 8,000 students annually. </w:t>
      </w:r>
      <w:r w:rsidRPr="00B417BF">
        <w:rPr>
          <w:rFonts w:asciiTheme="minorHAnsi" w:hAnsiTheme="minorHAnsi"/>
        </w:rPr>
        <w:t xml:space="preserve"> These programs </w:t>
      </w:r>
      <w:r w:rsidR="00BF1E86">
        <w:rPr>
          <w:rFonts w:asciiTheme="minorHAnsi" w:hAnsiTheme="minorHAnsi"/>
        </w:rPr>
        <w:t>can be</w:t>
      </w:r>
      <w:r w:rsidR="007363D1">
        <w:rPr>
          <w:rFonts w:asciiTheme="minorHAnsi" w:hAnsiTheme="minorHAnsi"/>
        </w:rPr>
        <w:t xml:space="preserve"> </w:t>
      </w:r>
      <w:r w:rsidRPr="00B417BF">
        <w:rPr>
          <w:rFonts w:asciiTheme="minorHAnsi" w:hAnsiTheme="minorHAnsi"/>
        </w:rPr>
        <w:t xml:space="preserve">either extensions of medical schools or </w:t>
      </w:r>
      <w:r w:rsidR="00B71D50" w:rsidRPr="00B417BF">
        <w:rPr>
          <w:rFonts w:asciiTheme="minorHAnsi" w:hAnsiTheme="minorHAnsi"/>
        </w:rPr>
        <w:t>stand-alone</w:t>
      </w:r>
      <w:r w:rsidRPr="00B417BF">
        <w:rPr>
          <w:rFonts w:asciiTheme="minorHAnsi" w:hAnsiTheme="minorHAnsi"/>
        </w:rPr>
        <w:t xml:space="preserve"> programs. The programs are based on clinical skill mastery in </w:t>
      </w:r>
      <w:r w:rsidR="00B71D50" w:rsidRPr="00B417BF">
        <w:rPr>
          <w:rFonts w:asciiTheme="minorHAnsi" w:hAnsiTheme="minorHAnsi"/>
        </w:rPr>
        <w:t>2-3-year</w:t>
      </w:r>
      <w:r w:rsidRPr="00B417BF">
        <w:rPr>
          <w:rFonts w:asciiTheme="minorHAnsi" w:hAnsiTheme="minorHAnsi"/>
        </w:rPr>
        <w:t xml:space="preserve"> intensive </w:t>
      </w:r>
      <w:r w:rsidRPr="00B417BF">
        <w:rPr>
          <w:rFonts w:asciiTheme="minorHAnsi" w:hAnsiTheme="minorHAnsi"/>
        </w:rPr>
        <w:lastRenderedPageBreak/>
        <w:t xml:space="preserve">programs. </w:t>
      </w:r>
      <w:r w:rsidR="00621F1D">
        <w:rPr>
          <w:rFonts w:asciiTheme="minorHAnsi" w:hAnsiTheme="minorHAnsi"/>
        </w:rPr>
        <w:t xml:space="preserve"> Once licensed, although still under some type of M</w:t>
      </w:r>
      <w:r w:rsidR="008B14A2">
        <w:rPr>
          <w:rFonts w:asciiTheme="minorHAnsi" w:hAnsiTheme="minorHAnsi"/>
        </w:rPr>
        <w:t>.</w:t>
      </w:r>
      <w:r w:rsidR="00621F1D">
        <w:rPr>
          <w:rFonts w:asciiTheme="minorHAnsi" w:hAnsiTheme="minorHAnsi"/>
        </w:rPr>
        <w:t>D</w:t>
      </w:r>
      <w:r w:rsidR="008B14A2">
        <w:rPr>
          <w:rFonts w:asciiTheme="minorHAnsi" w:hAnsiTheme="minorHAnsi"/>
        </w:rPr>
        <w:t>.</w:t>
      </w:r>
      <w:r w:rsidR="00621F1D">
        <w:rPr>
          <w:rFonts w:asciiTheme="minorHAnsi" w:hAnsiTheme="minorHAnsi"/>
        </w:rPr>
        <w:t xml:space="preserve"> or D</w:t>
      </w:r>
      <w:r w:rsidR="008B14A2">
        <w:rPr>
          <w:rFonts w:asciiTheme="minorHAnsi" w:hAnsiTheme="minorHAnsi"/>
        </w:rPr>
        <w:t>.</w:t>
      </w:r>
      <w:r w:rsidR="00621F1D">
        <w:rPr>
          <w:rFonts w:asciiTheme="minorHAnsi" w:hAnsiTheme="minorHAnsi"/>
        </w:rPr>
        <w:t>O</w:t>
      </w:r>
      <w:r w:rsidR="008B14A2">
        <w:rPr>
          <w:rFonts w:asciiTheme="minorHAnsi" w:hAnsiTheme="minorHAnsi"/>
        </w:rPr>
        <w:t>.</w:t>
      </w:r>
      <w:r w:rsidR="00621F1D">
        <w:rPr>
          <w:rFonts w:asciiTheme="minorHAnsi" w:hAnsiTheme="minorHAnsi"/>
        </w:rPr>
        <w:t xml:space="preserve"> supervision, these PA clinicians will be assuming many patient duties in a variety of settings. </w:t>
      </w:r>
      <w:r w:rsidRPr="00B417BF">
        <w:rPr>
          <w:rFonts w:asciiTheme="minorHAnsi" w:hAnsiTheme="minorHAnsi"/>
        </w:rPr>
        <w:t xml:space="preserve"> </w:t>
      </w:r>
      <w:r w:rsidR="007363D1">
        <w:rPr>
          <w:rFonts w:asciiTheme="minorHAnsi" w:hAnsiTheme="minorHAnsi"/>
        </w:rPr>
        <w:t xml:space="preserve">As the </w:t>
      </w:r>
      <w:r w:rsidR="00CF240C">
        <w:rPr>
          <w:rFonts w:asciiTheme="minorHAnsi" w:hAnsiTheme="minorHAnsi"/>
        </w:rPr>
        <w:t>medical</w:t>
      </w:r>
      <w:r w:rsidRPr="007363D1">
        <w:rPr>
          <w:rFonts w:asciiTheme="minorHAnsi" w:hAnsiTheme="minorHAnsi"/>
        </w:rPr>
        <w:t xml:space="preserve"> knowledge continues to grow and demand scientific understanding</w:t>
      </w:r>
      <w:r w:rsidR="007363D1" w:rsidRPr="007363D1">
        <w:rPr>
          <w:rFonts w:asciiTheme="minorHAnsi" w:hAnsiTheme="minorHAnsi"/>
        </w:rPr>
        <w:t>, the level of</w:t>
      </w:r>
      <w:r w:rsidRPr="007363D1">
        <w:rPr>
          <w:rFonts w:asciiTheme="minorHAnsi" w:hAnsiTheme="minorHAnsi"/>
        </w:rPr>
        <w:t xml:space="preserve"> medical </w:t>
      </w:r>
      <w:r w:rsidR="007363D1" w:rsidRPr="007363D1">
        <w:rPr>
          <w:rFonts w:asciiTheme="minorHAnsi" w:hAnsiTheme="minorHAnsi"/>
        </w:rPr>
        <w:t xml:space="preserve">education </w:t>
      </w:r>
      <w:r w:rsidRPr="007363D1">
        <w:rPr>
          <w:rFonts w:asciiTheme="minorHAnsi" w:hAnsiTheme="minorHAnsi"/>
        </w:rPr>
        <w:t>continue</w:t>
      </w:r>
      <w:r w:rsidR="007363D1" w:rsidRPr="007363D1">
        <w:rPr>
          <w:rFonts w:asciiTheme="minorHAnsi" w:hAnsiTheme="minorHAnsi"/>
        </w:rPr>
        <w:t>s</w:t>
      </w:r>
      <w:r w:rsidRPr="007363D1">
        <w:rPr>
          <w:rFonts w:asciiTheme="minorHAnsi" w:hAnsiTheme="minorHAnsi"/>
        </w:rPr>
        <w:t xml:space="preserve"> to increase academic</w:t>
      </w:r>
      <w:r w:rsidRPr="00B417BF">
        <w:rPr>
          <w:rFonts w:asciiTheme="minorHAnsi" w:hAnsiTheme="minorHAnsi"/>
        </w:rPr>
        <w:t xml:space="preserve"> rigor</w:t>
      </w:r>
      <w:r w:rsidR="00C42375">
        <w:rPr>
          <w:rFonts w:asciiTheme="minorHAnsi" w:hAnsiTheme="minorHAnsi"/>
        </w:rPr>
        <w:t>.</w:t>
      </w:r>
      <w:r w:rsidR="00A62C6F" w:rsidRPr="00B417BF">
        <w:rPr>
          <w:rFonts w:asciiTheme="minorHAnsi" w:hAnsiTheme="minorHAnsi"/>
        </w:rPr>
        <w:fldChar w:fldCharType="begin"/>
      </w:r>
      <w:r w:rsidR="002F2356">
        <w:rPr>
          <w:rFonts w:asciiTheme="minorHAnsi" w:hAnsiTheme="minorHAnsi"/>
        </w:rPr>
        <w:instrText xml:space="preserve"> ADDIN ZOTERO_ITEM CSL_CITATION {"citationID":"a1jcr1t9g30","properties":{"formattedCitation":"\\super 5\\nosupersub{}","plainCitation":"5","noteIndex":0},"citationItems":[{"id":360,"uris":["http://zotero.org/users/1143701/items/KRDRIZSG"],"uri":["http://zotero.org/users/1143701/items/KRDRIZSG"],"itemData":{"id":360,"type":"article-journal","title":"Correlations between PANCE performance, physician assistant program grade point average, and selection criteria","container-title":"The Journal of Physician Assistant Education: The Official Journal of the Physician Assistant Education Association","page":"42-44","volume":"24","issue":"1","source":"NCBI PubMed","abstract":"PURPOSE: The purpose of this study was to examine correlations between first-time Physician Assistant National Certifying Exam (PANCE) scores and pass/fail status, physician assistant (PA) program didactic grade point average (GPA), and specific selection criteria.\nMETHODS: This retrospective study evaluated graduating classes from 2007, 2008, and 2009 at a single program (N = 119).\nRESULTS: There was no correlation between PANCE performance and undergraduate grade point average (GPA), science prerequisite GPA, or health care experience. There was a moderate correlation between PANCE pass/fail and where students took science prerequisites (r = 0.27, P = .003) but not with the PANCE score. PANCE scores were correlated with overall PA program GPA (r = 0.67), PA pharmacology grade (r = 0.68), and PA anatomy grade (r = 0.41) but not with PANCE pass/fail.\nCONCLUSIONS: Correlations between selection criteria and PANCE performance were limited, but further research regarding the influence of prerequisite institution type may be warranted and may improve admission decisions. PANCE scores and PA program GPA correlations may guide academic advising and remediation decisions for current students.","ISSN":"1941-9430","note":"PMID: 23858825","journalAbbreviation":"J Physician Assist Educ","language":"eng","author":[{"family":"Brown","given":"Gina"},{"family":"Imel","given":"Brittany"},{"family":"Nelson","given":"Alyssa"},{"family":"Hale","given":"LaDonna S."},{"family":"Jansen","given":"Nick"}],"issued":{"date-parts":[["2013"]]}}}],"schema":"https://github.com/citation-style-language/schema/raw/master/csl-citation.json"} </w:instrText>
      </w:r>
      <w:r w:rsidR="00A62C6F" w:rsidRPr="00B417BF">
        <w:rPr>
          <w:rFonts w:asciiTheme="minorHAnsi" w:hAnsiTheme="minorHAnsi"/>
        </w:rPr>
        <w:fldChar w:fldCharType="separate"/>
      </w:r>
      <w:r w:rsidR="002F2356" w:rsidRPr="002F2356">
        <w:rPr>
          <w:rFonts w:ascii="Cambria" w:hAnsiTheme="minorHAnsi"/>
          <w:vertAlign w:val="superscript"/>
        </w:rPr>
        <w:t>5</w:t>
      </w:r>
      <w:r w:rsidR="00A62C6F" w:rsidRPr="00B417BF">
        <w:rPr>
          <w:rFonts w:asciiTheme="minorHAnsi" w:hAnsiTheme="minorHAnsi"/>
        </w:rPr>
        <w:fldChar w:fldCharType="end"/>
      </w:r>
      <w:r w:rsidRPr="00B417BF">
        <w:rPr>
          <w:rFonts w:asciiTheme="minorHAnsi" w:hAnsiTheme="minorHAnsi"/>
        </w:rPr>
        <w:t xml:space="preserve"> </w:t>
      </w:r>
      <w:r w:rsidR="007925EA">
        <w:rPr>
          <w:rFonts w:asciiTheme="minorHAnsi" w:hAnsiTheme="minorHAnsi"/>
        </w:rPr>
        <w:t xml:space="preserve"> This increases the academic demands of students accepted to graduate level medical programs.</w:t>
      </w:r>
    </w:p>
    <w:p w14:paraId="4AF1B73A" w14:textId="77777777" w:rsidR="00AA3B5B" w:rsidRPr="00B417BF" w:rsidRDefault="00AA3B5B" w:rsidP="00FA004E">
      <w:pPr>
        <w:spacing w:line="480" w:lineRule="auto"/>
        <w:rPr>
          <w:rFonts w:asciiTheme="minorHAnsi" w:hAnsiTheme="minorHAnsi"/>
        </w:rPr>
      </w:pPr>
    </w:p>
    <w:p w14:paraId="1F171042" w14:textId="1A4B006B" w:rsidR="00FA004E" w:rsidRPr="00B417BF" w:rsidRDefault="007925EA" w:rsidP="00FA004E">
      <w:pPr>
        <w:spacing w:line="480" w:lineRule="auto"/>
        <w:rPr>
          <w:rFonts w:asciiTheme="minorHAnsi" w:hAnsiTheme="minorHAnsi"/>
        </w:rPr>
      </w:pPr>
      <w:r>
        <w:rPr>
          <w:rFonts w:asciiTheme="minorHAnsi" w:hAnsiTheme="minorHAnsi"/>
        </w:rPr>
        <w:t xml:space="preserve">The </w:t>
      </w:r>
      <w:r w:rsidR="00BF1E86" w:rsidRPr="007925EA">
        <w:rPr>
          <w:rFonts w:asciiTheme="minorHAnsi" w:hAnsiTheme="minorHAnsi"/>
        </w:rPr>
        <w:t xml:space="preserve"> PA and Dental workforces continue</w:t>
      </w:r>
      <w:r w:rsidR="00E77FA8" w:rsidRPr="007925EA">
        <w:rPr>
          <w:rFonts w:asciiTheme="minorHAnsi" w:hAnsiTheme="minorHAnsi"/>
        </w:rPr>
        <w:t xml:space="preserve"> to examine ef</w:t>
      </w:r>
      <w:r w:rsidR="00E77FA8" w:rsidRPr="00B417BF">
        <w:rPr>
          <w:rFonts w:asciiTheme="minorHAnsi" w:hAnsiTheme="minorHAnsi"/>
        </w:rPr>
        <w:t xml:space="preserve">fective education as programs and the </w:t>
      </w:r>
      <w:r w:rsidR="00A62C6F" w:rsidRPr="00B417BF">
        <w:rPr>
          <w:rFonts w:asciiTheme="minorHAnsi" w:hAnsiTheme="minorHAnsi"/>
        </w:rPr>
        <w:t>workforce rapidly expand</w:t>
      </w:r>
      <w:r w:rsidR="00C42375">
        <w:rPr>
          <w:rFonts w:asciiTheme="minorHAnsi" w:hAnsiTheme="minorHAnsi"/>
        </w:rPr>
        <w:t>.</w:t>
      </w:r>
      <w:r w:rsidR="00A62C6F" w:rsidRPr="00B417BF">
        <w:rPr>
          <w:rFonts w:asciiTheme="minorHAnsi" w:hAnsiTheme="minorHAnsi"/>
        </w:rPr>
        <w:fldChar w:fldCharType="begin"/>
      </w:r>
      <w:r w:rsidR="002F2356">
        <w:rPr>
          <w:rFonts w:asciiTheme="minorHAnsi" w:hAnsiTheme="minorHAnsi"/>
        </w:rPr>
        <w:instrText xml:space="preserve"> ADDIN ZOTERO_ITEM CSL_CITATION {"citationID":"a28bnmo0fec","properties":{"formattedCitation":"\\super 3\\nosupersub{}","plainCitation":"3","noteIndex":0},"citationItems":[{"id":1053,"uris":["http://zotero.org/users/1143701/items/LESUWNUU"],"uri":["http://zotero.org/users/1143701/items/LESUWNUU"],"itemData":{"id":1053,"type":"article-journal","title":"The Complexities of Physician Supply and Demand: Projections Through 2025: Center for Workforce Studies","container-title":"Association of American Medical Colleges","page":"94","note":"https://members.aamc.org/eweb/upload/The%20Complexities%20of%20Physician%20Supply.pdf","journalAbbreviation":"AAMC","author":[{"family":"Dill","given":"Michael J."},{"family":"Salsberg","given":"Edward S."}],"issued":{"date-parts":[["2008",11]]}}}],"schema":"https://github.com/citation-style-language/schema/raw/master/csl-citation.json"} </w:instrText>
      </w:r>
      <w:r w:rsidR="00A62C6F" w:rsidRPr="00B417BF">
        <w:rPr>
          <w:rFonts w:asciiTheme="minorHAnsi" w:hAnsiTheme="minorHAnsi"/>
        </w:rPr>
        <w:fldChar w:fldCharType="separate"/>
      </w:r>
      <w:r w:rsidR="002F2356" w:rsidRPr="002F2356">
        <w:rPr>
          <w:rFonts w:ascii="Cambria" w:hAnsiTheme="minorHAnsi"/>
          <w:vertAlign w:val="superscript"/>
        </w:rPr>
        <w:t>3</w:t>
      </w:r>
      <w:r w:rsidR="00A62C6F" w:rsidRPr="00B417BF">
        <w:rPr>
          <w:rFonts w:asciiTheme="minorHAnsi" w:hAnsiTheme="minorHAnsi"/>
        </w:rPr>
        <w:fldChar w:fldCharType="end"/>
      </w:r>
      <w:r w:rsidR="00FA004E" w:rsidRPr="00B417BF">
        <w:rPr>
          <w:rFonts w:asciiTheme="minorHAnsi" w:hAnsiTheme="minorHAnsi"/>
        </w:rPr>
        <w:t xml:space="preserve"> </w:t>
      </w:r>
      <w:r w:rsidR="00A94160">
        <w:rPr>
          <w:rFonts w:asciiTheme="minorHAnsi" w:hAnsiTheme="minorHAnsi"/>
        </w:rPr>
        <w:t xml:space="preserve"> </w:t>
      </w:r>
      <w:r w:rsidR="00A62C6F" w:rsidRPr="00B417BF">
        <w:rPr>
          <w:rFonts w:asciiTheme="minorHAnsi" w:hAnsiTheme="minorHAnsi"/>
        </w:rPr>
        <w:t xml:space="preserve"> Unfortunately, investigation </w:t>
      </w:r>
      <w:r w:rsidR="00FA004E" w:rsidRPr="00B417BF">
        <w:rPr>
          <w:rFonts w:asciiTheme="minorHAnsi" w:hAnsiTheme="minorHAnsi"/>
        </w:rPr>
        <w:t xml:space="preserve">into the causes and predictors of poor academic performance in </w:t>
      </w:r>
      <w:r w:rsidR="00BF1E86">
        <w:rPr>
          <w:rFonts w:asciiTheme="minorHAnsi" w:hAnsiTheme="minorHAnsi"/>
        </w:rPr>
        <w:t xml:space="preserve">PA and Dental </w:t>
      </w:r>
      <w:r w:rsidR="00FA004E" w:rsidRPr="00B417BF">
        <w:rPr>
          <w:rFonts w:asciiTheme="minorHAnsi" w:hAnsiTheme="minorHAnsi"/>
        </w:rPr>
        <w:t xml:space="preserve">programs </w:t>
      </w:r>
      <w:r w:rsidR="00A62C6F" w:rsidRPr="00B417BF">
        <w:rPr>
          <w:rFonts w:asciiTheme="minorHAnsi" w:hAnsiTheme="minorHAnsi"/>
        </w:rPr>
        <w:t>lags behind studies of traditional medical schools in scope and faculty education</w:t>
      </w:r>
      <w:r w:rsidR="00C42375">
        <w:rPr>
          <w:rFonts w:asciiTheme="minorHAnsi" w:hAnsiTheme="minorHAnsi"/>
        </w:rPr>
        <w:t>.</w:t>
      </w:r>
      <w:r w:rsidR="00A62C6F" w:rsidRPr="00B417BF">
        <w:rPr>
          <w:rFonts w:asciiTheme="minorHAnsi" w:hAnsiTheme="minorHAnsi"/>
        </w:rPr>
        <w:fldChar w:fldCharType="begin"/>
      </w:r>
      <w:r w:rsidR="002F2356">
        <w:rPr>
          <w:rFonts w:asciiTheme="minorHAnsi" w:hAnsiTheme="minorHAnsi"/>
        </w:rPr>
        <w:instrText xml:space="preserve"> ADDIN ZOTERO_ITEM CSL_CITATION {"citationID":"a2g861f877h","properties":{"formattedCitation":"\\super 6\\nosupersub{}","plainCitation":"6","noteIndex":0},"citationItems":[{"id":372,"uris":["http://zotero.org/users/1143701/items/N9VIKE3R"],"uri":["http://zotero.org/users/1143701/items/N9VIKE3R"],"itemData":{"id":372,"type":"article-journal","title":"Physician assistant program characteristics and faculty credentials on physician assistant national certifying exam pass rates","container-title":"The Journal of Physician Assistant Education: The Official Journal of the Physician Assistant Education Association","page":"19-23","volume":"23","issue":"1","source":"NCBI PubMed","abstract":"PURPOSE: Determination of the ideal terminal degree for physician assistants (PAs) and academic preparedness of PA educators have received much attention in recent years. This investigation, completed in 2009, sought to describe the current state of PA training programs, specifically regarding Carnegie classification, percent conferring master's degrees, number of full-time faculty, percent of faculty--both principal and other full-time faculty--with doctoral degrees, student-to-faculty ratio, and first-time graduate Physician Assistant National Certifying Exam (PANCE) pass rates. A secondary aim was to determine if any of these variables predict PANCE pass rates.\nMETHODS: This study combined existing data obtained from multiple Internet resources including PA program websites and the PAEA Faculty Directory to determine the number of faculty, faculty credentials, number of students, and PANCE reports. Faculty members were categorized by highest degree attained. Linear regression was used to examine whether any of the programmatic variables were significant predictors of PANCE pass rates.\nRESULTS: Two of four predictors were significant--whether the program conferred a master's degree (Beta = 0.54, t = 7.25, P = .001) and student-to-faculty ratio (Beta = -0.21, t = 2.63, P = .01). Mean number of full-time faculty per training program was eight (SD = 4, range = 2-36). The mean percent of full-time faculty members with doctorates per training program was 17.6% (SD = 17.7%, range = 0-80%).\nCONCLUSIONS: These results, if replicated, suggest that if a program is seeking to increase its student performance on the PANCE, it may be more helpful to focus resources on improving student-to-faculty ratio, regardless of whether or not the faculty are doctoral level.","ISSN":"1941-9430","note":"PMID: 22479902","journalAbbreviation":"J Physician Assist Educ","language":"eng","author":[{"family":"Bushardt","given":"Reamer L."},{"family":"Booze","given":"Loraine E."},{"family":"Hewett","given":"Mary L."},{"family":"Hildebrandt","given":"Carol"},{"family":"Thomas","given":"Suzanne E."}],"issued":{"date-parts":[["2012"]]}}}],"schema":"https://github.com/citation-style-language/schema/raw/master/csl-citation.json"} </w:instrText>
      </w:r>
      <w:r w:rsidR="00A62C6F" w:rsidRPr="00B417BF">
        <w:rPr>
          <w:rFonts w:asciiTheme="minorHAnsi" w:hAnsiTheme="minorHAnsi"/>
        </w:rPr>
        <w:fldChar w:fldCharType="separate"/>
      </w:r>
      <w:r w:rsidR="002F2356" w:rsidRPr="002F2356">
        <w:rPr>
          <w:rFonts w:ascii="Cambria" w:hAnsiTheme="minorHAnsi"/>
          <w:vertAlign w:val="superscript"/>
        </w:rPr>
        <w:t>6</w:t>
      </w:r>
      <w:r w:rsidR="00A62C6F" w:rsidRPr="00B417BF">
        <w:rPr>
          <w:rFonts w:asciiTheme="minorHAnsi" w:hAnsiTheme="minorHAnsi"/>
        </w:rPr>
        <w:fldChar w:fldCharType="end"/>
      </w:r>
      <w:r w:rsidR="00C42375">
        <w:rPr>
          <w:rFonts w:asciiTheme="minorHAnsi" w:hAnsiTheme="minorHAnsi"/>
        </w:rPr>
        <w:t xml:space="preserve"> </w:t>
      </w:r>
      <w:r w:rsidR="00A62C6F" w:rsidRPr="00B417BF">
        <w:rPr>
          <w:rFonts w:asciiTheme="minorHAnsi" w:hAnsiTheme="minorHAnsi"/>
        </w:rPr>
        <w:t xml:space="preserve"> </w:t>
      </w:r>
      <w:r w:rsidR="00FA004E" w:rsidRPr="00B417BF">
        <w:rPr>
          <w:rFonts w:asciiTheme="minorHAnsi" w:hAnsiTheme="minorHAnsi"/>
        </w:rPr>
        <w:t xml:space="preserve">Because PA and dental programs require high academic performance and passing </w:t>
      </w:r>
      <w:r w:rsidR="00BF1E86">
        <w:rPr>
          <w:rFonts w:asciiTheme="minorHAnsi" w:hAnsiTheme="minorHAnsi"/>
        </w:rPr>
        <w:t xml:space="preserve">scores on </w:t>
      </w:r>
      <w:r w:rsidR="00FA004E" w:rsidRPr="00B417BF">
        <w:rPr>
          <w:rFonts w:asciiTheme="minorHAnsi" w:hAnsiTheme="minorHAnsi"/>
        </w:rPr>
        <w:t>final board exams, early identification of struggling students could be advantageous for both faculty and student</w:t>
      </w:r>
      <w:r w:rsidR="00C42375">
        <w:rPr>
          <w:rFonts w:asciiTheme="minorHAnsi" w:hAnsiTheme="minorHAnsi"/>
        </w:rPr>
        <w:t>.</w:t>
      </w:r>
      <w:r w:rsidR="00AA3B5B" w:rsidRPr="00B417BF">
        <w:rPr>
          <w:rFonts w:asciiTheme="minorHAnsi" w:hAnsiTheme="minorHAnsi"/>
        </w:rPr>
        <w:fldChar w:fldCharType="begin"/>
      </w:r>
      <w:r w:rsidR="002F2356">
        <w:rPr>
          <w:rFonts w:asciiTheme="minorHAnsi" w:hAnsiTheme="minorHAnsi"/>
        </w:rPr>
        <w:instrText xml:space="preserve"> ADDIN ZOTERO_ITEM CSL_CITATION {"citationID":"a1se4g0aa0o","properties":{"formattedCitation":"\\super 4\\nosupersub{}","plainCitation":"4","noteIndex":0},"citationItems":[{"id":1045,"uris":["http://zotero.org/users/1143701/items/WJ9JY4BH"],"uri":["http://zotero.org/users/1143701/items/WJ9JY4BH"],"itemData":{"id":1045,"type":"report","title":"By the Numbers: Program Report 32: Data from the 2016 Program Survey","publisher":"PAEA","publisher-place":"Washington DC","page":"41","event-place":"Washington DC","note":"DOI: 10.17538/PR32.2017","language":"English","author":[{"family":"Physician Assistant Education Association","given":""}],"issued":{"date-parts":[["2017"]]}}}],"schema":"https://github.com/citation-style-language/schema/raw/master/csl-citation.json"} </w:instrText>
      </w:r>
      <w:r w:rsidR="00AA3B5B" w:rsidRPr="00B417BF">
        <w:rPr>
          <w:rFonts w:asciiTheme="minorHAnsi" w:hAnsiTheme="minorHAnsi"/>
        </w:rPr>
        <w:fldChar w:fldCharType="separate"/>
      </w:r>
      <w:r w:rsidR="002F2356" w:rsidRPr="002F2356">
        <w:rPr>
          <w:rFonts w:ascii="Cambria" w:hAnsiTheme="minorHAnsi"/>
          <w:vertAlign w:val="superscript"/>
        </w:rPr>
        <w:t>4</w:t>
      </w:r>
      <w:r w:rsidR="00AA3B5B" w:rsidRPr="00B417BF">
        <w:rPr>
          <w:rFonts w:asciiTheme="minorHAnsi" w:hAnsiTheme="minorHAnsi"/>
        </w:rPr>
        <w:fldChar w:fldCharType="end"/>
      </w:r>
      <w:r w:rsidR="00FA004E" w:rsidRPr="00B417BF">
        <w:rPr>
          <w:rFonts w:asciiTheme="minorHAnsi" w:hAnsiTheme="minorHAnsi"/>
        </w:rPr>
        <w:t xml:space="preserve"> Once poor performance is identified,</w:t>
      </w:r>
      <w:r w:rsidR="00113AF3" w:rsidRPr="00B417BF">
        <w:rPr>
          <w:rFonts w:asciiTheme="minorHAnsi" w:hAnsiTheme="minorHAnsi"/>
        </w:rPr>
        <w:t xml:space="preserve"> </w:t>
      </w:r>
      <w:r w:rsidR="00FA004E" w:rsidRPr="00B417BF">
        <w:rPr>
          <w:rFonts w:asciiTheme="minorHAnsi" w:hAnsiTheme="minorHAnsi"/>
        </w:rPr>
        <w:t>contributing factors and support could be addressed for students that struggle</w:t>
      </w:r>
      <w:r w:rsidR="00C42375">
        <w:rPr>
          <w:rFonts w:asciiTheme="minorHAnsi" w:hAnsiTheme="minorHAnsi"/>
        </w:rPr>
        <w:t>.</w:t>
      </w:r>
      <w:r w:rsidR="00FA004E" w:rsidRPr="00B417BF">
        <w:rPr>
          <w:rFonts w:asciiTheme="minorHAnsi" w:hAnsiTheme="minorHAnsi"/>
        </w:rPr>
        <w:fldChar w:fldCharType="begin"/>
      </w:r>
      <w:r w:rsidR="002C6551">
        <w:rPr>
          <w:rFonts w:asciiTheme="minorHAnsi" w:hAnsiTheme="minorHAnsi"/>
        </w:rPr>
        <w:instrText xml:space="preserve"> ADDIN ZOTERO_ITEM CSL_CITATION {"citationID":"20k6u2jh77","properties":{"formattedCitation":"\\super 7\\nosupersub{}","plainCitation":"7","noteIndex":0},"citationItems":[{"id":"LTQK2Tdj/yKNoDicy","uris":["http://zotero.org/users/1143701/items/RKI8T3TK"],"uri":["http://zotero.org/users/1143701/items/RKI8T3TK"],"itemData":{"id":283,"type":"article-journal","title":"Creating Profiles of High Risk Students.","source":"eric.ed.gov","abstract":"Measures used at the Division of Developmental Studies at the University of Georgia in constructing a student profile (specifically, of high-risk college freshmen) are discussed. The areas measured concern: goals; learning styles; career exploration; stress and academic anxiety; developmental tasks; and locus of control. The goals checklist assesses the freshmen's reasons for pursuing a college/university education and for selecting the University of Georgia. One or more instruments of learning style are also administered early in the first quarter of the college semester. These include: (1) a Myers-Briggs Type Indicator; (2) the James and Galbraith Learning Styles Inventory; and (3) the Kolb Learning Styles Inventory. Career exploration is undertaken with the Self-Directed Search or similar instrument. Several instruments are used to assist in identifying sources of stress, including the: (1) Developmental Inventory of Sources of Stress; (2) Spielberger Test Attitude Inventory; (3)","URL":"http://eric.ed.gov/?id=ED298181","language":"en","author":[{"family":"Higbee","given":"Jeanne L."},{"family":"Dwinell","given":"Patricia L."}],"issued":{"date-parts":[["1988",3]]},"accessed":{"date-parts":[["2014",12,29]]}}}],"schema":"https://github.com/citation-style-language/schema/raw/master/csl-citation.json"} </w:instrText>
      </w:r>
      <w:r w:rsidR="00FA004E" w:rsidRPr="00B417BF">
        <w:rPr>
          <w:rFonts w:asciiTheme="minorHAnsi" w:hAnsiTheme="minorHAnsi"/>
        </w:rPr>
        <w:fldChar w:fldCharType="separate"/>
      </w:r>
      <w:r w:rsidR="002F2356" w:rsidRPr="002F2356">
        <w:rPr>
          <w:rFonts w:ascii="Cambria" w:hAnsiTheme="minorHAnsi"/>
          <w:vertAlign w:val="superscript"/>
        </w:rPr>
        <w:t>7</w:t>
      </w:r>
      <w:r w:rsidR="00FA004E" w:rsidRPr="00B417BF">
        <w:rPr>
          <w:rFonts w:asciiTheme="minorHAnsi" w:hAnsiTheme="minorHAnsi"/>
        </w:rPr>
        <w:fldChar w:fldCharType="end"/>
      </w:r>
      <w:r w:rsidR="00FA004E" w:rsidRPr="00B417BF">
        <w:rPr>
          <w:rFonts w:asciiTheme="minorHAnsi" w:hAnsiTheme="minorHAnsi"/>
        </w:rPr>
        <w:t xml:space="preserve">  </w:t>
      </w:r>
    </w:p>
    <w:p w14:paraId="52D777B6" w14:textId="77777777" w:rsidR="00FA004E" w:rsidRPr="00B417BF" w:rsidRDefault="00FA004E" w:rsidP="00FA004E">
      <w:pPr>
        <w:spacing w:line="480" w:lineRule="auto"/>
        <w:rPr>
          <w:rFonts w:asciiTheme="minorHAnsi" w:hAnsiTheme="minorHAnsi"/>
        </w:rPr>
      </w:pPr>
    </w:p>
    <w:p w14:paraId="2F1862C0" w14:textId="1B792B58" w:rsidR="00FA004E" w:rsidRPr="00B417BF" w:rsidRDefault="00FA004E" w:rsidP="00FA004E">
      <w:pPr>
        <w:spacing w:line="480" w:lineRule="auto"/>
        <w:rPr>
          <w:rFonts w:asciiTheme="minorHAnsi" w:hAnsiTheme="minorHAnsi"/>
        </w:rPr>
      </w:pPr>
      <w:r w:rsidRPr="00B417BF">
        <w:rPr>
          <w:rFonts w:asciiTheme="minorHAnsi" w:hAnsiTheme="minorHAnsi"/>
        </w:rPr>
        <w:t xml:space="preserve">Ensuring graduates are able to perform under a variety of situations </w:t>
      </w:r>
      <w:r w:rsidR="00793054">
        <w:rPr>
          <w:rFonts w:asciiTheme="minorHAnsi" w:hAnsiTheme="minorHAnsi"/>
        </w:rPr>
        <w:t>is essential, yet</w:t>
      </w:r>
      <w:r w:rsidR="00C42375">
        <w:rPr>
          <w:rFonts w:asciiTheme="minorHAnsi" w:hAnsiTheme="minorHAnsi"/>
        </w:rPr>
        <w:t xml:space="preserve"> </w:t>
      </w:r>
      <w:r w:rsidRPr="00B417BF">
        <w:rPr>
          <w:rFonts w:asciiTheme="minorHAnsi" w:hAnsiTheme="minorHAnsi"/>
        </w:rPr>
        <w:t>PA and dental students are not required to complete the same residency requirements as physicians.  Upon graduation and board exam completion</w:t>
      </w:r>
      <w:r w:rsidR="00793054">
        <w:rPr>
          <w:rFonts w:asciiTheme="minorHAnsi" w:hAnsiTheme="minorHAnsi"/>
        </w:rPr>
        <w:t>,</w:t>
      </w:r>
      <w:r w:rsidRPr="00B417BF">
        <w:rPr>
          <w:rFonts w:asciiTheme="minorHAnsi" w:hAnsiTheme="minorHAnsi"/>
        </w:rPr>
        <w:t xml:space="preserve"> they are able to practice in</w:t>
      </w:r>
      <w:r w:rsidR="00FB69DC">
        <w:rPr>
          <w:rFonts w:asciiTheme="minorHAnsi" w:hAnsiTheme="minorHAnsi"/>
        </w:rPr>
        <w:t xml:space="preserve"> a variety of</w:t>
      </w:r>
      <w:r w:rsidRPr="00B417BF">
        <w:rPr>
          <w:rFonts w:asciiTheme="minorHAnsi" w:hAnsiTheme="minorHAnsi"/>
        </w:rPr>
        <w:t xml:space="preserve"> settings.  Both a strong academic background and mature coping skills are required to successfully practice in today’s healthcare environment.  </w:t>
      </w:r>
    </w:p>
    <w:p w14:paraId="55912D3A" w14:textId="77777777" w:rsidR="00FA004E" w:rsidRPr="00B417BF" w:rsidRDefault="00FA004E" w:rsidP="00FA004E">
      <w:pPr>
        <w:spacing w:line="480" w:lineRule="auto"/>
        <w:rPr>
          <w:rFonts w:asciiTheme="minorHAnsi" w:hAnsiTheme="minorHAnsi"/>
        </w:rPr>
      </w:pPr>
    </w:p>
    <w:p w14:paraId="3D80DCDE" w14:textId="775FDBA7" w:rsidR="00FA004E" w:rsidRPr="00B417BF" w:rsidRDefault="00FA004E" w:rsidP="00FA004E">
      <w:pPr>
        <w:spacing w:line="480" w:lineRule="auto"/>
        <w:rPr>
          <w:rFonts w:asciiTheme="minorHAnsi" w:hAnsiTheme="minorHAnsi"/>
          <w:color w:val="FF0000"/>
        </w:rPr>
      </w:pPr>
      <w:r w:rsidRPr="00B417BF">
        <w:rPr>
          <w:rFonts w:asciiTheme="minorHAnsi" w:hAnsiTheme="minorHAnsi"/>
        </w:rPr>
        <w:t xml:space="preserve">Individual coping and stress management skills influence rates of burnout, substance abuse, and other untoward situations for medical professionals.  Ideally, underdeveloped coping mechanisms and </w:t>
      </w:r>
      <w:r w:rsidR="00A62C6F" w:rsidRPr="00B417BF">
        <w:rPr>
          <w:rFonts w:asciiTheme="minorHAnsi" w:hAnsiTheme="minorHAnsi"/>
        </w:rPr>
        <w:t>at-risk</w:t>
      </w:r>
      <w:r w:rsidRPr="00B417BF">
        <w:rPr>
          <w:rFonts w:asciiTheme="minorHAnsi" w:hAnsiTheme="minorHAnsi"/>
        </w:rPr>
        <w:t xml:space="preserve"> behaviors are identified early in students’ education.  Utilization of support services and coping strategies has been shown to correlate with academic success in undergraduate and graduate education.  However, little data has been collected </w:t>
      </w:r>
      <w:r w:rsidR="00793054">
        <w:rPr>
          <w:rFonts w:asciiTheme="minorHAnsi" w:hAnsiTheme="minorHAnsi"/>
        </w:rPr>
        <w:t>on</w:t>
      </w:r>
      <w:r w:rsidRPr="00B417BF">
        <w:rPr>
          <w:rFonts w:asciiTheme="minorHAnsi" w:hAnsiTheme="minorHAnsi"/>
        </w:rPr>
        <w:t xml:space="preserve"> graduate PA students</w:t>
      </w:r>
      <w:r w:rsidR="00C42375">
        <w:rPr>
          <w:rFonts w:asciiTheme="minorHAnsi" w:hAnsiTheme="minorHAnsi"/>
        </w:rPr>
        <w:t>.</w:t>
      </w:r>
      <w:r w:rsidR="00D56B1D" w:rsidRPr="00B417BF">
        <w:rPr>
          <w:rFonts w:asciiTheme="minorHAnsi" w:hAnsiTheme="minorHAnsi"/>
        </w:rPr>
        <w:fldChar w:fldCharType="begin"/>
      </w:r>
      <w:r w:rsidR="002F2356">
        <w:rPr>
          <w:rFonts w:asciiTheme="minorHAnsi" w:hAnsiTheme="minorHAnsi"/>
        </w:rPr>
        <w:instrText xml:space="preserve"> ADDIN ZOTERO_ITEM CSL_CITATION {"citationID":"EB6eMQee","properties":{"formattedCitation":"\\super 8\\nosupersub{}","plainCitation":"8","noteIndex":0},"citationItems":[{"id":1048,"uris":["http://zotero.org/users/1143701/items/JS96QT3F"],"uri":["http://zotero.org/users/1143701/items/JS96QT3F"],"itemData":{"id":1048,"type":"report","title":"Physician Assistant Education Association, By the Numbers: Matriculating Students","publisher-place":"Washington, DC","event-place":"Washington, DC","note":"DOI: 10.17538/MSS2015.003","author":[{"family":"PAEA","given":""}],"issued":{"date-parts":[["2015"]]}}}],"schema":"https://github.com/citation-style-language/schema/raw/master/csl-citation.json"} </w:instrText>
      </w:r>
      <w:r w:rsidR="00D56B1D" w:rsidRPr="00B417BF">
        <w:rPr>
          <w:rFonts w:asciiTheme="minorHAnsi" w:hAnsiTheme="minorHAnsi"/>
        </w:rPr>
        <w:fldChar w:fldCharType="separate"/>
      </w:r>
      <w:r w:rsidR="002F2356" w:rsidRPr="002F2356">
        <w:rPr>
          <w:rFonts w:ascii="Cambria" w:hAnsiTheme="minorHAnsi"/>
          <w:vertAlign w:val="superscript"/>
        </w:rPr>
        <w:t>8</w:t>
      </w:r>
      <w:r w:rsidR="00D56B1D" w:rsidRPr="00B417BF">
        <w:rPr>
          <w:rFonts w:asciiTheme="minorHAnsi" w:hAnsiTheme="minorHAnsi"/>
        </w:rPr>
        <w:fldChar w:fldCharType="end"/>
      </w:r>
      <w:r w:rsidRPr="00B417BF">
        <w:rPr>
          <w:rFonts w:asciiTheme="minorHAnsi" w:hAnsiTheme="minorHAnsi"/>
        </w:rPr>
        <w:t xml:space="preserve">  Without this data, educators, students, and administrators </w:t>
      </w:r>
      <w:r w:rsidR="00FB69DC">
        <w:rPr>
          <w:rFonts w:asciiTheme="minorHAnsi" w:hAnsiTheme="minorHAnsi"/>
        </w:rPr>
        <w:t xml:space="preserve">may find it difficult to </w:t>
      </w:r>
      <w:r w:rsidRPr="00B417BF">
        <w:rPr>
          <w:rFonts w:asciiTheme="minorHAnsi" w:hAnsiTheme="minorHAnsi"/>
        </w:rPr>
        <w:t>identify useful resources</w:t>
      </w:r>
      <w:r w:rsidR="00FB69DC">
        <w:rPr>
          <w:rFonts w:asciiTheme="minorHAnsi" w:hAnsiTheme="minorHAnsi"/>
        </w:rPr>
        <w:t>,</w:t>
      </w:r>
      <w:r w:rsidR="00793054">
        <w:rPr>
          <w:rFonts w:asciiTheme="minorHAnsi" w:hAnsiTheme="minorHAnsi"/>
        </w:rPr>
        <w:t xml:space="preserve"> possible</w:t>
      </w:r>
      <w:r w:rsidRPr="00B417BF">
        <w:rPr>
          <w:rFonts w:asciiTheme="minorHAnsi" w:hAnsiTheme="minorHAnsi"/>
        </w:rPr>
        <w:t xml:space="preserve"> academic intervention</w:t>
      </w:r>
      <w:r w:rsidR="00793054">
        <w:rPr>
          <w:rFonts w:asciiTheme="minorHAnsi" w:hAnsiTheme="minorHAnsi"/>
        </w:rPr>
        <w:t>s</w:t>
      </w:r>
      <w:r w:rsidR="00FB69DC">
        <w:rPr>
          <w:rFonts w:asciiTheme="minorHAnsi" w:hAnsiTheme="minorHAnsi"/>
        </w:rPr>
        <w:t xml:space="preserve">, </w:t>
      </w:r>
      <w:r w:rsidRPr="00B417BF">
        <w:rPr>
          <w:rFonts w:asciiTheme="minorHAnsi" w:hAnsiTheme="minorHAnsi"/>
        </w:rPr>
        <w:t>future teaching strategies</w:t>
      </w:r>
      <w:r w:rsidR="00FB69DC">
        <w:rPr>
          <w:rFonts w:asciiTheme="minorHAnsi" w:hAnsiTheme="minorHAnsi"/>
        </w:rPr>
        <w:t>,</w:t>
      </w:r>
      <w:r w:rsidRPr="00B417BF">
        <w:rPr>
          <w:rFonts w:asciiTheme="minorHAnsi" w:hAnsiTheme="minorHAnsi"/>
        </w:rPr>
        <w:t xml:space="preserve"> and support systems </w:t>
      </w:r>
      <w:r w:rsidR="007925EA">
        <w:rPr>
          <w:rFonts w:asciiTheme="minorHAnsi" w:hAnsiTheme="minorHAnsi"/>
        </w:rPr>
        <w:t xml:space="preserve">that </w:t>
      </w:r>
      <w:r w:rsidR="00CF240C">
        <w:rPr>
          <w:rFonts w:asciiTheme="minorHAnsi" w:hAnsiTheme="minorHAnsi"/>
        </w:rPr>
        <w:t>enhance</w:t>
      </w:r>
      <w:r w:rsidR="007925EA">
        <w:rPr>
          <w:rFonts w:asciiTheme="minorHAnsi" w:hAnsiTheme="minorHAnsi"/>
        </w:rPr>
        <w:t xml:space="preserve"> </w:t>
      </w:r>
      <w:r w:rsidRPr="00B417BF">
        <w:rPr>
          <w:rFonts w:asciiTheme="minorHAnsi" w:hAnsiTheme="minorHAnsi"/>
        </w:rPr>
        <w:t xml:space="preserve">long-term student success. </w:t>
      </w:r>
    </w:p>
    <w:p w14:paraId="13A5FF7A" w14:textId="77777777" w:rsidR="00FA004E" w:rsidRPr="00B417BF" w:rsidRDefault="00FA004E" w:rsidP="00FA004E">
      <w:pPr>
        <w:spacing w:line="480" w:lineRule="auto"/>
        <w:rPr>
          <w:rFonts w:asciiTheme="minorHAnsi" w:hAnsiTheme="minorHAnsi"/>
        </w:rPr>
      </w:pPr>
    </w:p>
    <w:p w14:paraId="6246A217" w14:textId="7E614EB4" w:rsidR="00FA004E" w:rsidRPr="00B417BF" w:rsidRDefault="00FB69DC" w:rsidP="00FA004E">
      <w:pPr>
        <w:spacing w:line="480" w:lineRule="auto"/>
        <w:rPr>
          <w:rFonts w:asciiTheme="minorHAnsi" w:hAnsiTheme="minorHAnsi"/>
        </w:rPr>
      </w:pPr>
      <w:r>
        <w:rPr>
          <w:rFonts w:asciiTheme="minorHAnsi" w:hAnsiTheme="minorHAnsi"/>
        </w:rPr>
        <w:t xml:space="preserve">This study </w:t>
      </w:r>
      <w:r w:rsidR="00FA004E" w:rsidRPr="00B417BF">
        <w:rPr>
          <w:rFonts w:asciiTheme="minorHAnsi" w:hAnsiTheme="minorHAnsi"/>
        </w:rPr>
        <w:t>examine</w:t>
      </w:r>
      <w:r>
        <w:rPr>
          <w:rFonts w:asciiTheme="minorHAnsi" w:hAnsiTheme="minorHAnsi"/>
        </w:rPr>
        <w:t>d</w:t>
      </w:r>
      <w:r w:rsidR="00FA004E" w:rsidRPr="00B417BF">
        <w:rPr>
          <w:rFonts w:asciiTheme="minorHAnsi" w:hAnsiTheme="minorHAnsi"/>
        </w:rPr>
        <w:t xml:space="preserve"> the use of support services by Physician Assistant and Dental students and</w:t>
      </w:r>
      <w:r w:rsidR="00793054">
        <w:rPr>
          <w:rFonts w:asciiTheme="minorHAnsi" w:hAnsiTheme="minorHAnsi"/>
        </w:rPr>
        <w:t xml:space="preserve"> assess</w:t>
      </w:r>
      <w:r>
        <w:rPr>
          <w:rFonts w:asciiTheme="minorHAnsi" w:hAnsiTheme="minorHAnsi"/>
        </w:rPr>
        <w:t>ed</w:t>
      </w:r>
      <w:r w:rsidR="00FA004E" w:rsidRPr="00B417BF">
        <w:rPr>
          <w:rFonts w:asciiTheme="minorHAnsi" w:hAnsiTheme="minorHAnsi"/>
        </w:rPr>
        <w:t xml:space="preserve"> the impact </w:t>
      </w:r>
      <w:r w:rsidR="00793054">
        <w:rPr>
          <w:rFonts w:asciiTheme="minorHAnsi" w:hAnsiTheme="minorHAnsi"/>
        </w:rPr>
        <w:t>of</w:t>
      </w:r>
      <w:r w:rsidR="00FA004E" w:rsidRPr="00B417BF">
        <w:rPr>
          <w:rFonts w:asciiTheme="minorHAnsi" w:hAnsiTheme="minorHAnsi"/>
        </w:rPr>
        <w:t xml:space="preserve"> coping strategies on academic performance.  In order to examine these questions in depth, both quantitative and qualitative research techniques </w:t>
      </w:r>
      <w:r>
        <w:rPr>
          <w:rFonts w:asciiTheme="minorHAnsi" w:hAnsiTheme="minorHAnsi"/>
        </w:rPr>
        <w:t>were</w:t>
      </w:r>
      <w:r w:rsidR="00FA004E" w:rsidRPr="00B417BF">
        <w:rPr>
          <w:rFonts w:asciiTheme="minorHAnsi" w:hAnsiTheme="minorHAnsi"/>
        </w:rPr>
        <w:t xml:space="preserve"> used.</w:t>
      </w:r>
    </w:p>
    <w:p w14:paraId="4AC54417" w14:textId="77777777" w:rsidR="00FA004E" w:rsidRPr="00B417BF" w:rsidRDefault="00FA004E" w:rsidP="00FA004E">
      <w:pPr>
        <w:spacing w:line="480" w:lineRule="auto"/>
        <w:rPr>
          <w:rFonts w:asciiTheme="minorHAnsi" w:hAnsiTheme="minorHAnsi"/>
        </w:rPr>
      </w:pPr>
    </w:p>
    <w:p w14:paraId="0CD20A3D" w14:textId="77777777" w:rsidR="00FA004E" w:rsidRPr="00B417BF" w:rsidRDefault="00FA004E" w:rsidP="00855627">
      <w:pPr>
        <w:spacing w:line="480" w:lineRule="auto"/>
        <w:outlineLvl w:val="0"/>
        <w:rPr>
          <w:rFonts w:asciiTheme="minorHAnsi" w:hAnsiTheme="minorHAnsi"/>
          <w:b/>
        </w:rPr>
      </w:pPr>
      <w:r w:rsidRPr="00B417BF">
        <w:rPr>
          <w:rFonts w:asciiTheme="minorHAnsi" w:hAnsiTheme="minorHAnsi"/>
          <w:b/>
        </w:rPr>
        <w:t xml:space="preserve">Background </w:t>
      </w:r>
    </w:p>
    <w:p w14:paraId="49050B7B" w14:textId="4DCFCE4D" w:rsidR="00FA004E" w:rsidRPr="00B417BF" w:rsidRDefault="00FA004E" w:rsidP="00FA004E">
      <w:pPr>
        <w:spacing w:line="480" w:lineRule="auto"/>
        <w:rPr>
          <w:rFonts w:asciiTheme="minorHAnsi" w:hAnsiTheme="minorHAnsi"/>
        </w:rPr>
      </w:pPr>
      <w:r w:rsidRPr="00B417BF">
        <w:rPr>
          <w:rFonts w:asciiTheme="minorHAnsi" w:hAnsiTheme="minorHAnsi"/>
        </w:rPr>
        <w:t xml:space="preserve">Education research to find predictors of struggling students has focused on the </w:t>
      </w:r>
      <w:r w:rsidR="00CF240C">
        <w:rPr>
          <w:rFonts w:asciiTheme="minorHAnsi" w:hAnsiTheme="minorHAnsi"/>
        </w:rPr>
        <w:t>K-12 education</w:t>
      </w:r>
      <w:r w:rsidRPr="00B417BF">
        <w:rPr>
          <w:rFonts w:asciiTheme="minorHAnsi" w:hAnsiTheme="minorHAnsi"/>
        </w:rPr>
        <w:t xml:space="preserve"> systems and undergraduate environment</w:t>
      </w:r>
      <w:r w:rsidR="00A3653A" w:rsidRPr="00B417BF">
        <w:rPr>
          <w:rFonts w:asciiTheme="minorHAnsi" w:hAnsiTheme="minorHAnsi"/>
        </w:rPr>
        <w:t>.</w:t>
      </w:r>
      <w:r w:rsidRPr="00B417BF">
        <w:rPr>
          <w:rFonts w:asciiTheme="minorHAnsi" w:hAnsiTheme="minorHAnsi"/>
        </w:rPr>
        <w:t xml:space="preserve"> </w:t>
      </w:r>
      <w:r w:rsidR="00113AF3" w:rsidRPr="00B417BF">
        <w:rPr>
          <w:rFonts w:asciiTheme="minorHAnsi" w:hAnsiTheme="minorHAnsi"/>
        </w:rPr>
        <w:t xml:space="preserve"> In regard to</w:t>
      </w:r>
      <w:r w:rsidRPr="00B417BF">
        <w:rPr>
          <w:rFonts w:asciiTheme="minorHAnsi" w:hAnsiTheme="minorHAnsi"/>
        </w:rPr>
        <w:t xml:space="preserve"> medical schools, the literature attempts to correlate and find predictors of board passing versus didactic or clinical course failure.  Students come into graduate</w:t>
      </w:r>
      <w:r w:rsidR="00FF39C1">
        <w:rPr>
          <w:rFonts w:asciiTheme="minorHAnsi" w:hAnsiTheme="minorHAnsi"/>
        </w:rPr>
        <w:t xml:space="preserve"> and professional</w:t>
      </w:r>
      <w:r w:rsidRPr="00B417BF">
        <w:rPr>
          <w:rFonts w:asciiTheme="minorHAnsi" w:hAnsiTheme="minorHAnsi"/>
        </w:rPr>
        <w:t xml:space="preserve"> level education with a variety of academic backgrounds and </w:t>
      </w:r>
      <w:r w:rsidRPr="00B417BF">
        <w:rPr>
          <w:rFonts w:asciiTheme="minorHAnsi" w:hAnsiTheme="minorHAnsi"/>
        </w:rPr>
        <w:lastRenderedPageBreak/>
        <w:t>personal experiences.  These</w:t>
      </w:r>
      <w:r w:rsidR="00E56C4A">
        <w:rPr>
          <w:rFonts w:asciiTheme="minorHAnsi" w:hAnsiTheme="minorHAnsi"/>
        </w:rPr>
        <w:t xml:space="preserve"> unique backgrounds </w:t>
      </w:r>
      <w:r w:rsidRPr="00B417BF">
        <w:rPr>
          <w:rFonts w:asciiTheme="minorHAnsi" w:hAnsiTheme="minorHAnsi"/>
        </w:rPr>
        <w:t xml:space="preserve">give each student specific skills to succeed in the new educational environment.  Unfortunately, some students come with fewer skills and less preparation than others.  Identification of needs and </w:t>
      </w:r>
      <w:r w:rsidR="00A269E3">
        <w:rPr>
          <w:rFonts w:asciiTheme="minorHAnsi" w:hAnsiTheme="minorHAnsi"/>
        </w:rPr>
        <w:t xml:space="preserve">needed </w:t>
      </w:r>
      <w:r w:rsidRPr="00B417BF">
        <w:rPr>
          <w:rFonts w:asciiTheme="minorHAnsi" w:hAnsiTheme="minorHAnsi"/>
        </w:rPr>
        <w:t xml:space="preserve">areas of support may help ensure all students succeed in their programs.  Student support includes academic guidance, skill acquisition, and facilitation of personal support systems that may be beneficial to individual students.  </w:t>
      </w:r>
    </w:p>
    <w:p w14:paraId="2C36598C" w14:textId="77777777" w:rsidR="00FB69DC" w:rsidRDefault="00FB69DC" w:rsidP="00FA004E">
      <w:pPr>
        <w:spacing w:line="480" w:lineRule="auto"/>
        <w:rPr>
          <w:rFonts w:asciiTheme="minorHAnsi" w:hAnsiTheme="minorHAnsi"/>
        </w:rPr>
      </w:pPr>
    </w:p>
    <w:p w14:paraId="619647D2" w14:textId="2D9AEBC0" w:rsidR="00FA004E" w:rsidRDefault="00FA004E" w:rsidP="00FA004E">
      <w:pPr>
        <w:spacing w:line="480" w:lineRule="auto"/>
        <w:rPr>
          <w:rFonts w:asciiTheme="minorHAnsi" w:hAnsiTheme="minorHAnsi"/>
        </w:rPr>
      </w:pPr>
      <w:r w:rsidRPr="00B417BF">
        <w:rPr>
          <w:rFonts w:asciiTheme="minorHAnsi" w:hAnsiTheme="minorHAnsi"/>
        </w:rPr>
        <w:t xml:space="preserve">There is a growing body of research in higher education concerned with external factors affecting student performance.  </w:t>
      </w:r>
      <w:r w:rsidR="00FB69DC">
        <w:rPr>
          <w:rFonts w:asciiTheme="minorHAnsi" w:hAnsiTheme="minorHAnsi"/>
        </w:rPr>
        <w:t>Factors include</w:t>
      </w:r>
      <w:r w:rsidR="00E43C0D">
        <w:rPr>
          <w:rFonts w:asciiTheme="minorHAnsi" w:hAnsiTheme="minorHAnsi"/>
        </w:rPr>
        <w:t xml:space="preserve"> </w:t>
      </w:r>
      <w:r w:rsidRPr="00B417BF">
        <w:rPr>
          <w:rFonts w:asciiTheme="minorHAnsi" w:hAnsiTheme="minorHAnsi"/>
        </w:rPr>
        <w:t>stress, personality traits, socioeconomic background, and educational preparedness.  While students are in medical school, these external factors can play a large role in retention, board passing scores, individual course performance, and mental health status</w:t>
      </w:r>
      <w:r w:rsidR="00C42375">
        <w:rPr>
          <w:rFonts w:asciiTheme="minorHAnsi" w:hAnsiTheme="minorHAnsi"/>
        </w:rPr>
        <w:t>.</w:t>
      </w:r>
      <w:r w:rsidRPr="00B417BF">
        <w:rPr>
          <w:rFonts w:asciiTheme="minorHAnsi" w:hAnsiTheme="minorHAnsi"/>
        </w:rPr>
        <w:fldChar w:fldCharType="begin"/>
      </w:r>
      <w:r w:rsidR="002C6551">
        <w:rPr>
          <w:rFonts w:asciiTheme="minorHAnsi" w:hAnsiTheme="minorHAnsi"/>
        </w:rPr>
        <w:instrText xml:space="preserve"> ADDIN ZOTERO_ITEM CSL_CITATION {"citationID":"29kcu32sub","properties":{"formattedCitation":"\\super 9\\nosupersub{}","plainCitation":"9","noteIndex":0},"citationItems":[{"id":"LTQK2Tdj/kU4imitF","uris":["http://zotero.org/users/1143701/items/3B9PQ5DK"],"uri":["http://zotero.org/users/1143701/items/3B9PQ5DK"],"itemData":{"id":338,"type":"article-journal","title":"The relationship between academic assessment and psychological distress among medical students: a systematic review","container-title":"Perspectives on Medical Education","page":"405-418","volume":"3","issue":"6","source":"PubMed Central","abstract":"A systematic review was conducted to determine the relationship between academic assessment and medical student psychological distress with the aim of informing assessment practices. A systematic literature search of six electronic databases (Medline, Medline IN PROCESS, PubMed, EMBASE, Psychinfo, ERIC) from 1991 to May 2014 was completed. Articles focusing on academic assessment and its relation to stress or anxiety of medical students were included. From 3,986 potential titles, 82 full-text articles were assessed for eligibility, and 23 studies met review inclusion criteria. Studies focused on assessment stress or anxiety, and assessment performance. Consistent among the studies was the finding that assessment invokes stress or anxiety, perhaps more so for female medical students. A relationship may exist between assessment stress or anxiety and impaired performance. Significant risks of bias were common in study methodologies. There is evidence to suggest academic assessment is associated with psychological distress among medical students. However, differences in the types of measures used by researchers limited our ability to draw conclusions about which methods of assessment invoke greater distress. More rigorous study designs and the use of standardized measures are required. Future research should consider differences in students’ perceived significance of assessments, the psychological effects of constant exposure to assessment, and the role of assessment in preparing students for clinical practice.","DOI":"10.1007/s40037-014-0148-6","ISSN":"2212-2761","note":"PMID: 25428333\nPMCID: PMC4263790","shortTitle":"The relationship between academic assessment and psychological distress among medical students","journalAbbreviation":"Perspect Med Educ","author":[{"family":"Lyndon","given":"Mataroria P."},{"family":"Strom","given":"Joanna M."},{"family":"Alyami","given":"Hussain M."},{"family":"Yu","given":"Tzu-Chieh"},{"family":"Wilson","given":"Nichola C."},{"family":"Singh","given":"Primal P."},{"family":"Lemanu","given":"Daniel P."},{"family":"Yielder","given":"Jill"},{"family":"Hill","given":"Andrew G."}],"issued":{"date-parts":[["2014",12]]},"accessed":{"date-parts":[["2015",1,21]],"season":"03:56:15"},"PMID":"25428333","PMCID":"PMC4263790"}}],"schema":"https://github.com/citation-style-language/schema/raw/master/csl-citation.json"} </w:instrText>
      </w:r>
      <w:r w:rsidRPr="00B417BF">
        <w:rPr>
          <w:rFonts w:asciiTheme="minorHAnsi" w:hAnsiTheme="minorHAnsi"/>
        </w:rPr>
        <w:fldChar w:fldCharType="separate"/>
      </w:r>
      <w:r w:rsidR="001A780A" w:rsidRPr="001A780A">
        <w:rPr>
          <w:rFonts w:ascii="Cambria" w:hAnsiTheme="minorHAnsi"/>
          <w:vertAlign w:val="superscript"/>
        </w:rPr>
        <w:t>9</w:t>
      </w:r>
      <w:r w:rsidRPr="00B417BF">
        <w:rPr>
          <w:rFonts w:asciiTheme="minorHAnsi" w:hAnsiTheme="minorHAnsi"/>
        </w:rPr>
        <w:fldChar w:fldCharType="end"/>
      </w:r>
      <w:r w:rsidRPr="00B417BF">
        <w:rPr>
          <w:rFonts w:asciiTheme="minorHAnsi" w:hAnsiTheme="minorHAnsi"/>
          <w:vertAlign w:val="superscript"/>
        </w:rPr>
        <w:t>,</w:t>
      </w:r>
      <w:r w:rsidRPr="00B417BF">
        <w:rPr>
          <w:rFonts w:asciiTheme="minorHAnsi" w:hAnsiTheme="minorHAnsi"/>
        </w:rPr>
        <w:fldChar w:fldCharType="begin"/>
      </w:r>
      <w:r w:rsidR="00267983" w:rsidRPr="00B417BF">
        <w:rPr>
          <w:rFonts w:asciiTheme="minorHAnsi" w:hAnsiTheme="minorHAnsi"/>
        </w:rPr>
        <w:instrText xml:space="preserve"> ADDIN ZOTERO_ITEM CSL_CITATION {"citationID":"nCdSUkrI","properties":{"formattedCitation":"\\super 10\\nosupersub{}","plainCitation":"10","noteIndex":0},"citationItems":[{"id":215,"uris":["http://zotero.org/users/1143701/items/JUPBAF44"],"uri":["http://zotero.org/users/1143701/items/JUPBAF44"],"itemData":{"id":215,"type":"article-journal","title":"Academic achievement, depression and anxiety during medical education predict the styles of success in a medical career: a 10-year longitudinal study","container-title":"Medical Teacher","page":"e611-619","volume":"34","issue":"9","source":"PubMed","abstract":"AIM: Our study investigated the styles of success in the medical career in young physicians, in comparison with the same subjects examined 4-10 years earlier.\nMETHODS: The participants were first studied when they applied to the medical university (1999). Questionnaires were sent to all students each year (2000-2005). Fifty-four medical doctors participated in the first phase of the study completed a questionnaire four years after graduation. The current questionnaire included measures of burnout, satisfaction with medicine as a career, quality of life (QOL) and postgraduate examination results. Previous questionnaires had included measures of academic achievement, depression and anxiety.\nRESULTS: We can describe three different styles of success, which can be predicted during medical education. Physicians with the best professional competence have the lowest income. However, physicians with the lowest professional competence gain the highest income. Those with the highest QOL (general well-being and life satisfaction) have the lowest professional stress and vulnerability to burnout. Anxiety and academic achievement (during the second and fourth year of study) are the significant predictors of specific style belonging.\nCONCLUSIONS: Our results may be useful to medical school admissions and resident selection committees to identify candidates at risk for less satisfaction or less competence.","DOI":"10.3109/0142159X.2012.687478","ISSN":"1466-187X","note":"PMID: 22905663","shortTitle":"Academic achievement, depression and anxiety during medical education predict the styles of success in a medical career","journalAbbreviation":"Med Teach","language":"eng","author":[{"family":"Walkiewicz","given":"Maciej"},{"family":"Tartas","given":"Malgorzata"},{"family":"Majkowicz","given":"Mikolaj"},{"family":"Budzinski","given":"Waldemar"}],"issued":{"date-parts":[["2012"]]}}}],"schema":"https://github.com/citation-style-language/schema/raw/master/csl-citation.json"} </w:instrText>
      </w:r>
      <w:r w:rsidRPr="00B417BF">
        <w:rPr>
          <w:rFonts w:asciiTheme="minorHAnsi" w:hAnsiTheme="minorHAnsi"/>
        </w:rPr>
        <w:fldChar w:fldCharType="separate"/>
      </w:r>
      <w:r w:rsidR="001A780A" w:rsidRPr="001A780A">
        <w:rPr>
          <w:rFonts w:ascii="Cambria" w:hAnsiTheme="minorHAnsi"/>
          <w:vertAlign w:val="superscript"/>
        </w:rPr>
        <w:t>10</w:t>
      </w:r>
      <w:r w:rsidRPr="00B417BF">
        <w:rPr>
          <w:rFonts w:asciiTheme="minorHAnsi" w:hAnsiTheme="minorHAnsi"/>
        </w:rPr>
        <w:fldChar w:fldCharType="end"/>
      </w:r>
      <w:r w:rsidRPr="00B417BF">
        <w:rPr>
          <w:rFonts w:asciiTheme="minorHAnsi" w:hAnsiTheme="minorHAnsi"/>
        </w:rPr>
        <w:t xml:space="preserve">   </w:t>
      </w:r>
    </w:p>
    <w:p w14:paraId="6A204EDF" w14:textId="77777777" w:rsidR="00FB69DC" w:rsidRPr="00B417BF" w:rsidRDefault="00FB69DC" w:rsidP="00FA004E">
      <w:pPr>
        <w:spacing w:line="480" w:lineRule="auto"/>
        <w:rPr>
          <w:rFonts w:asciiTheme="minorHAnsi" w:hAnsiTheme="minorHAnsi"/>
        </w:rPr>
      </w:pPr>
    </w:p>
    <w:p w14:paraId="6EA09207" w14:textId="29522B37" w:rsidR="00FA004E" w:rsidRPr="00B417BF" w:rsidRDefault="00FA004E" w:rsidP="00FA004E">
      <w:pPr>
        <w:spacing w:line="480" w:lineRule="auto"/>
        <w:rPr>
          <w:rFonts w:asciiTheme="minorHAnsi" w:hAnsiTheme="minorHAnsi"/>
        </w:rPr>
      </w:pPr>
      <w:r w:rsidRPr="00B417BF">
        <w:rPr>
          <w:rFonts w:asciiTheme="minorHAnsi" w:hAnsiTheme="minorHAnsi"/>
        </w:rPr>
        <w:t>Over the last two decades, the field of medical education has expanded as an area of research and priority worldwide.  This has positively affected the curriculum and stude</w:t>
      </w:r>
      <w:r w:rsidR="00A269E3">
        <w:rPr>
          <w:rFonts w:asciiTheme="minorHAnsi" w:hAnsiTheme="minorHAnsi"/>
        </w:rPr>
        <w:t xml:space="preserve">nt outcomes and, ultimately, </w:t>
      </w:r>
      <w:r w:rsidR="00A57B40">
        <w:rPr>
          <w:rFonts w:asciiTheme="minorHAnsi" w:hAnsiTheme="minorHAnsi"/>
        </w:rPr>
        <w:t xml:space="preserve">the </w:t>
      </w:r>
      <w:r w:rsidRPr="00B417BF">
        <w:rPr>
          <w:rFonts w:asciiTheme="minorHAnsi" w:hAnsiTheme="minorHAnsi"/>
        </w:rPr>
        <w:t xml:space="preserve">quality of practitioners.  However, the same emphasis on teaching practices has </w:t>
      </w:r>
      <w:r w:rsidR="00E43C0D">
        <w:rPr>
          <w:rFonts w:asciiTheme="minorHAnsi" w:hAnsiTheme="minorHAnsi"/>
        </w:rPr>
        <w:t>lagged behind</w:t>
      </w:r>
      <w:r w:rsidRPr="00B417BF">
        <w:rPr>
          <w:rFonts w:asciiTheme="minorHAnsi" w:hAnsiTheme="minorHAnsi"/>
        </w:rPr>
        <w:t xml:space="preserve"> </w:t>
      </w:r>
      <w:r w:rsidR="00E43C0D">
        <w:rPr>
          <w:rFonts w:asciiTheme="minorHAnsi" w:hAnsiTheme="minorHAnsi"/>
        </w:rPr>
        <w:t>in</w:t>
      </w:r>
      <w:r w:rsidRPr="00B417BF">
        <w:rPr>
          <w:rFonts w:asciiTheme="minorHAnsi" w:hAnsiTheme="minorHAnsi"/>
        </w:rPr>
        <w:t xml:space="preserve"> physician assistant (PA) and dental programs.  In addition, early identification of factors negatively impacting academic performance can predict possible </w:t>
      </w:r>
      <w:r w:rsidR="00FB69DC">
        <w:rPr>
          <w:rFonts w:asciiTheme="minorHAnsi" w:hAnsiTheme="minorHAnsi"/>
        </w:rPr>
        <w:t xml:space="preserve">future </w:t>
      </w:r>
      <w:r w:rsidRPr="00B417BF">
        <w:rPr>
          <w:rFonts w:asciiTheme="minorHAnsi" w:hAnsiTheme="minorHAnsi"/>
        </w:rPr>
        <w:t>difficulty functioning as medical professionals.  According to Bahramnejad, et al.</w:t>
      </w:r>
      <w:r w:rsidR="00C42165" w:rsidRPr="00C42165">
        <w:rPr>
          <w:rFonts w:ascii="Cambria" w:hAnsiTheme="minorHAnsi"/>
          <w:vertAlign w:val="superscript"/>
        </w:rPr>
        <w:t xml:space="preserve"> </w:t>
      </w:r>
      <w:r w:rsidR="00C42165" w:rsidRPr="00C42375">
        <w:rPr>
          <w:rFonts w:ascii="Cambria" w:hAnsiTheme="minorHAnsi"/>
          <w:vertAlign w:val="superscript"/>
        </w:rPr>
        <w:t>11</w:t>
      </w:r>
      <w:r w:rsidRPr="00B417BF">
        <w:rPr>
          <w:rFonts w:asciiTheme="minorHAnsi" w:hAnsiTheme="minorHAnsi"/>
        </w:rPr>
        <w:t xml:space="preserve"> and </w:t>
      </w:r>
      <w:r w:rsidR="00095898">
        <w:rPr>
          <w:rFonts w:asciiTheme="minorHAnsi" w:hAnsiTheme="minorHAnsi"/>
        </w:rPr>
        <w:t>Mahmood</w:t>
      </w:r>
      <w:r w:rsidRPr="00B417BF">
        <w:rPr>
          <w:rFonts w:asciiTheme="minorHAnsi" w:hAnsiTheme="minorHAnsi"/>
        </w:rPr>
        <w:t>, et al.,</w:t>
      </w:r>
      <w:r w:rsidR="00C42165" w:rsidRPr="00C42165">
        <w:rPr>
          <w:rFonts w:ascii="Cambria" w:hAnsiTheme="minorHAnsi"/>
          <w:vertAlign w:val="superscript"/>
        </w:rPr>
        <w:t xml:space="preserve"> </w:t>
      </w:r>
      <w:r w:rsidR="00C42165" w:rsidRPr="00C42375">
        <w:rPr>
          <w:rFonts w:ascii="Cambria" w:hAnsiTheme="minorHAnsi"/>
          <w:vertAlign w:val="superscript"/>
        </w:rPr>
        <w:t>12</w:t>
      </w:r>
      <w:r w:rsidRPr="00B417BF">
        <w:rPr>
          <w:rFonts w:asciiTheme="minorHAnsi" w:hAnsiTheme="minorHAnsi"/>
        </w:rPr>
        <w:t xml:space="preserve"> poor stress coping skills and </w:t>
      </w:r>
      <w:r w:rsidRPr="00B417BF">
        <w:rPr>
          <w:rFonts w:asciiTheme="minorHAnsi" w:hAnsiTheme="minorHAnsi"/>
        </w:rPr>
        <w:lastRenderedPageBreak/>
        <w:t>addictive behaviors in medical school are a high predictor of later addictive behaviors and increased risk of medical errors</w:t>
      </w:r>
      <w:r w:rsidR="00C42375">
        <w:rPr>
          <w:rFonts w:asciiTheme="minorHAnsi" w:hAnsiTheme="minorHAnsi"/>
        </w:rPr>
        <w:t>.</w:t>
      </w:r>
      <w:r w:rsidR="00C42165" w:rsidRPr="00B417BF">
        <w:rPr>
          <w:rFonts w:asciiTheme="minorHAnsi" w:hAnsiTheme="minorHAnsi"/>
        </w:rPr>
        <w:t xml:space="preserve"> </w:t>
      </w:r>
      <w:r w:rsidRPr="00B417BF">
        <w:rPr>
          <w:rFonts w:asciiTheme="minorHAnsi" w:hAnsiTheme="minorHAnsi"/>
        </w:rPr>
        <w:t xml:space="preserve">  </w:t>
      </w:r>
    </w:p>
    <w:p w14:paraId="210EFA93" w14:textId="77777777" w:rsidR="00FA004E" w:rsidRPr="00B417BF" w:rsidRDefault="00FA004E" w:rsidP="00FA004E">
      <w:pPr>
        <w:spacing w:line="480" w:lineRule="auto"/>
        <w:rPr>
          <w:rFonts w:asciiTheme="minorHAnsi" w:hAnsiTheme="minorHAnsi"/>
        </w:rPr>
      </w:pPr>
    </w:p>
    <w:p w14:paraId="56AF9FC2" w14:textId="77777777" w:rsidR="00FA004E" w:rsidRPr="00B417BF" w:rsidRDefault="00FA004E" w:rsidP="00855627">
      <w:pPr>
        <w:spacing w:line="480" w:lineRule="auto"/>
        <w:outlineLvl w:val="0"/>
        <w:rPr>
          <w:rFonts w:asciiTheme="minorHAnsi" w:hAnsiTheme="minorHAnsi"/>
          <w:b/>
        </w:rPr>
      </w:pPr>
      <w:r w:rsidRPr="00B417BF">
        <w:rPr>
          <w:rFonts w:asciiTheme="minorHAnsi" w:hAnsiTheme="minorHAnsi"/>
          <w:b/>
        </w:rPr>
        <w:t>Purpose</w:t>
      </w:r>
    </w:p>
    <w:p w14:paraId="2A90C4D2" w14:textId="33206831" w:rsidR="00FA004E" w:rsidRPr="00B417BF" w:rsidRDefault="00FA004E" w:rsidP="00FA004E">
      <w:pPr>
        <w:spacing w:line="480" w:lineRule="auto"/>
        <w:rPr>
          <w:rFonts w:asciiTheme="minorHAnsi" w:hAnsiTheme="minorHAnsi"/>
        </w:rPr>
      </w:pPr>
      <w:r w:rsidRPr="00B417BF">
        <w:rPr>
          <w:rFonts w:asciiTheme="minorHAnsi" w:hAnsiTheme="minorHAnsi"/>
        </w:rPr>
        <w:t xml:space="preserve"> Recent investigation</w:t>
      </w:r>
      <w:r w:rsidR="00A269E3">
        <w:rPr>
          <w:rFonts w:asciiTheme="minorHAnsi" w:hAnsiTheme="minorHAnsi"/>
        </w:rPr>
        <w:t>s</w:t>
      </w:r>
      <w:r w:rsidRPr="00B417BF">
        <w:rPr>
          <w:rFonts w:asciiTheme="minorHAnsi" w:hAnsiTheme="minorHAnsi"/>
        </w:rPr>
        <w:t xml:space="preserve"> of remediation reveal a number of factors impacting student performance</w:t>
      </w:r>
      <w:r w:rsidR="00A62C6F" w:rsidRPr="00B417BF">
        <w:rPr>
          <w:rFonts w:asciiTheme="minorHAnsi" w:hAnsiTheme="minorHAnsi"/>
        </w:rPr>
        <w:t xml:space="preserve"> in medical school</w:t>
      </w:r>
      <w:r w:rsidR="00C42375">
        <w:rPr>
          <w:rFonts w:asciiTheme="minorHAnsi" w:hAnsiTheme="minorHAnsi"/>
        </w:rPr>
        <w:t>.</w:t>
      </w:r>
      <w:r w:rsidR="00D94D81" w:rsidRPr="00B417BF">
        <w:rPr>
          <w:rFonts w:asciiTheme="minorHAnsi" w:hAnsiTheme="minorHAnsi"/>
        </w:rPr>
        <w:fldChar w:fldCharType="begin"/>
      </w:r>
      <w:r w:rsidR="00C42165">
        <w:rPr>
          <w:rFonts w:asciiTheme="minorHAnsi" w:hAnsiTheme="minorHAnsi"/>
        </w:rPr>
        <w:instrText xml:space="preserve"> ADDIN ZOTERO_ITEM CSL_CITATION {"citationID":"a1oj8c0oi66","properties":{"formattedCitation":"\\super 11\\nosupersub{}","plainCitation":"11","noteIndex":0},"citationItems":[{"id":538,"uris":["http://zotero.org/users/1143701/items/73RGPVSD"],"uri":["http://zotero.org/users/1143701/items/73RGPVSD"],"itemData":{"id":538,"type":"article-journal","title":"Association of Characteristics, Deficits, and Outcomes of Residents Placed on Probation at One Institution, 2002–2012:","container-title":"Academic Medicine","page":"382-387","volume":"91","issue":"3","source":"CrossRef","URL":"http://content.wkhealth.com/linkback/openurl?sid=WKPTLP:landingpage&amp;an=00001888-201603000-00035","DOI":"10.1097/ACM.0000000000000879","ISSN":"1040-2446","shortTitle":"Association of Characteristics, Deficits, and Outcomes of Residents Placed on Probation at One Institution, 2002–2012","language":"en","author":[{"family":"Guerrasio","given":"Jeannette"},{"family":"Brooks","given":"Elizabeth"},{"family":"Rumack","given":"Carol M."},{"family":"Christensen","given":"Alicia"},{"family":"Aagaard","given":"Eva M."}],"issued":{"date-parts":[["2016",3]]},"accessed":{"date-parts":[["2016",3,28]]}}}],"schema":"https://github.com/citation-style-language/schema/raw/master/csl-citation.json"} </w:instrText>
      </w:r>
      <w:r w:rsidR="00D94D81" w:rsidRPr="00B417BF">
        <w:rPr>
          <w:rFonts w:asciiTheme="minorHAnsi" w:hAnsiTheme="minorHAnsi"/>
        </w:rPr>
        <w:fldChar w:fldCharType="separate"/>
      </w:r>
      <w:r w:rsidR="001A780A" w:rsidRPr="001A780A">
        <w:rPr>
          <w:rFonts w:ascii="Cambria" w:hAnsiTheme="minorHAnsi"/>
          <w:vertAlign w:val="superscript"/>
        </w:rPr>
        <w:t>11</w:t>
      </w:r>
      <w:r w:rsidR="00D94D81" w:rsidRPr="00B417BF">
        <w:rPr>
          <w:rFonts w:asciiTheme="minorHAnsi" w:hAnsiTheme="minorHAnsi"/>
        </w:rPr>
        <w:fldChar w:fldCharType="end"/>
      </w:r>
      <w:r w:rsidRPr="00B417BF">
        <w:rPr>
          <w:rFonts w:asciiTheme="minorHAnsi" w:hAnsiTheme="minorHAnsi"/>
        </w:rPr>
        <w:t xml:space="preserve">  In the majority of studies, problems </w:t>
      </w:r>
      <w:r w:rsidR="00A62C6F" w:rsidRPr="00B417BF">
        <w:rPr>
          <w:rFonts w:asciiTheme="minorHAnsi" w:hAnsiTheme="minorHAnsi"/>
        </w:rPr>
        <w:t xml:space="preserve">associated with </w:t>
      </w:r>
      <w:r w:rsidRPr="00B417BF">
        <w:rPr>
          <w:rFonts w:asciiTheme="minorHAnsi" w:hAnsiTheme="minorHAnsi"/>
        </w:rPr>
        <w:t xml:space="preserve">remediation are </w:t>
      </w:r>
      <w:r w:rsidR="00FB69DC" w:rsidRPr="00B417BF">
        <w:rPr>
          <w:rFonts w:asciiTheme="minorHAnsi" w:hAnsiTheme="minorHAnsi"/>
        </w:rPr>
        <w:t xml:space="preserve">post hoc </w:t>
      </w:r>
      <w:r w:rsidRPr="00B417BF">
        <w:rPr>
          <w:rFonts w:asciiTheme="minorHAnsi" w:hAnsiTheme="minorHAnsi"/>
        </w:rPr>
        <w:t>studies</w:t>
      </w:r>
      <w:r w:rsidR="00C42375">
        <w:rPr>
          <w:rFonts w:asciiTheme="minorHAnsi" w:hAnsiTheme="minorHAnsi"/>
        </w:rPr>
        <w:t>.</w:t>
      </w:r>
      <w:r w:rsidR="002C242D" w:rsidRPr="00B417BF">
        <w:rPr>
          <w:rFonts w:asciiTheme="minorHAnsi" w:hAnsiTheme="minorHAnsi"/>
        </w:rPr>
        <w:fldChar w:fldCharType="begin"/>
      </w:r>
      <w:r w:rsidR="002F2356">
        <w:rPr>
          <w:rFonts w:asciiTheme="minorHAnsi" w:hAnsiTheme="minorHAnsi"/>
        </w:rPr>
        <w:instrText xml:space="preserve"> ADDIN ZOTERO_ITEM CSL_CITATION {"citationID":"a1ludblmei2","properties":{"formattedCitation":"\\super 5,6,12\\nosupersub{}","plainCitation":"5,6,12","noteIndex":0},"citationItems":[{"id":372,"uris":["http://zotero.org/users/1143701/items/N9VIKE3R"],"uri":["http://zotero.org/users/1143701/items/N9VIKE3R"],"itemData":{"id":372,"type":"article-journal","title":"Physician assistant program characteristics and faculty credentials on physician assistant national certifying exam pass rates","container-title":"The Journal of Physician Assistant Education: The Official Journal of the Physician Assistant Education Association","page":"19-23","volume":"23","issue":"1","source":"NCBI PubMed","abstract":"PURPOSE: Determination of the ideal terminal degree for physician assistants (PAs) and academic preparedness of PA educators have received much attention in recent years. This investigation, completed in 2009, sought to describe the current state of PA training programs, specifically regarding Carnegie classification, percent conferring master's degrees, number of full-time faculty, percent of faculty--both principal and other full-time faculty--with doctoral degrees, student-to-faculty ratio, and first-time graduate Physician Assistant National Certifying Exam (PANCE) pass rates. A secondary aim was to determine if any of these variables predict PANCE pass rates.\nMETHODS: This study combined existing data obtained from multiple Internet resources including PA program websites and the PAEA Faculty Directory to determine the number of faculty, faculty credentials, number of students, and PANCE reports. Faculty members were categorized by highest degree attained. Linear regression was used to examine whether any of the programmatic variables were significant predictors of PANCE pass rates.\nRESULTS: Two of four predictors were significant--whether the program conferred a master's degree (Beta = 0.54, t = 7.25, P = .001) and student-to-faculty ratio (Beta = -0.21, t = 2.63, P = .01). Mean number of full-time faculty per training program was eight (SD = 4, range = 2-36). The mean percent of full-time faculty members with doctorates per training program was 17.6% (SD = 17.7%, range = 0-80%).\nCONCLUSIONS: These results, if replicated, suggest that if a program is seeking to increase its student performance on the PANCE, it may be more helpful to focus resources on improving student-to-faculty ratio, regardless of whether or not the faculty are doctoral level.","ISSN":"1941-9430","note":"PMID: 22479902","journalAbbreviation":"J Physician Assist Educ","language":"eng","author":[{"family":"Bushardt","given":"Reamer L."},{"family":"Booze","given":"Loraine E."},{"family":"Hewett","given":"Mary L."},{"family":"Hildebrandt","given":"Carol"},{"family":"Thomas","given":"Suzanne E."}],"issued":{"date-parts":[["2012"]]}}},{"id":360,"uris":["http://zotero.org/users/1143701/items/KRDRIZSG"],"uri":["http://zotero.org/users/1143701/items/KRDRIZSG"],"itemData":{"id":360,"type":"article-journal","title":"Correlations between PANCE performance, physician assistant program grade point average, and selection criteria","container-title":"The Journal of Physician Assistant Education: The Official Journal of the Physician Assistant Education Association","page":"42-44","volume":"24","issue":"1","source":"NCBI PubMed","abstract":"PURPOSE: The purpose of this study was to examine correlations between first-time Physician Assistant National Certifying Exam (PANCE) scores and pass/fail status, physician assistant (PA) program didactic grade point average (GPA), and specific selection criteria.\nMETHODS: This retrospective study evaluated graduating classes from 2007, 2008, and 2009 at a single program (N = 119).\nRESULTS: There was no correlation between PANCE performance and undergraduate grade point average (GPA), science prerequisite GPA, or health care experience. There was a moderate correlation between PANCE pass/fail and where students took science prerequisites (r = 0.27, P = .003) but not with the PANCE score. PANCE scores were correlated with overall PA program GPA (r = 0.67), PA pharmacology grade (r = 0.68), and PA anatomy grade (r = 0.41) but not with PANCE pass/fail.\nCONCLUSIONS: Correlations between selection criteria and PANCE performance were limited, but further research regarding the influence of prerequisite institution type may be warranted and may improve admission decisions. PANCE scores and PA program GPA correlations may guide academic advising and remediation decisions for current students.","ISSN":"1941-9430","note":"PMID: 23858825","journalAbbreviation":"J Physician Assist Educ","language":"eng","author":[{"family":"Brown","given":"Gina"},{"family":"Imel","given":"Brittany"},{"family":"Nelson","given":"Alyssa"},{"family":"Hale","given":"LaDonna S."},{"family":"Jansen","given":"Nick"}],"issued":{"date-parts":[["2013"]]}}},{"id":356,"uris":["http://zotero.org/users/1143701/items/3I2Z8G73"],"uri":["http://zotero.org/users/1143701/items/3I2Z8G73"],"itemData":{"id":356,"type":"article-journal","title":"Tales from the trenches: physician assistants' perspectives about precepting students","container-title":"The Journal of Physician Assistant Education: The Official Journal of the Physician Assistant Education Association","page":"12-19","volume":"25","issue":"1","source":"NCBI PubMed","abstract":"PURPOSE: A national survey of physician assistants (PAs) found that only 25% of respondents were involved as preceptors for PA students in 2011, and it also identified important barriers and incentives to precept PA students. These findings offer limited information for understanding the nature of this complex phenomenon within its context. The purpose of this study was to further describe key factors that influence the involvement of PAs as preceptors.\nMETHODS: A qualitative study of four focus groups with clinically practicing PAs (N = 29) was conducted at the American Academy of Physician Assistants' annual conference in May 2012. Semistructured interview questions and follow-up probes were used to elicit participants' perspectives about their own and/or witnessed preceptor experiences. The group discussions were audio-recorded, professionally transcribed, and then analyzed line-by-line by four investigators using conceptual and free coding. The independently coded transcripts were merged, and iterative analysis was used to identify recurrent themes until saturation was reached.\nRESULTS: Four themes emerged: (1) The preceptor role provides an opportunity to \"pay back,\" or contribute to future colleagues' training while advancing the clinician's own knowledge; (2) Student qualities that incentivize precepting are characterized by motivation and self-directed learning, independent of the level of medical knowledge and/or prior experience; (3) Preceptors value feeling connected with the PA program through initial and ongoing communication; (4) Significant competition for clinical rotation sites for various health professional learners limits the access to sites and preceptors.\nCONCLUSION: PAs identified key areas for potential preceptor recruitment and retention interventions.","ISSN":"1941-9430","note":"PMID: 24765805","shortTitle":"Tales from the trenches","journalAbbreviation":"J Physician Assist Educ","language":"eng","author":[{"family":"Hudak","given":"Nicholas M."},{"family":"Enking","given":"Patrick J."},{"family":"Gorney","given":"Carol"},{"family":"Gonzalez-Colaso","given":"Rosana"}],"issued":{"date-parts":[["2014"]]}}}],"schema":"https://github.com/citation-style-language/schema/raw/master/csl-citation.json"} </w:instrText>
      </w:r>
      <w:r w:rsidR="002C242D" w:rsidRPr="00B417BF">
        <w:rPr>
          <w:rFonts w:asciiTheme="minorHAnsi" w:hAnsiTheme="minorHAnsi"/>
        </w:rPr>
        <w:fldChar w:fldCharType="separate"/>
      </w:r>
      <w:r w:rsidR="002F2356" w:rsidRPr="002F2356">
        <w:rPr>
          <w:rFonts w:ascii="Cambria" w:hAnsiTheme="minorHAnsi"/>
          <w:vertAlign w:val="superscript"/>
        </w:rPr>
        <w:t>5,6,12</w:t>
      </w:r>
      <w:r w:rsidR="002C242D" w:rsidRPr="00B417BF">
        <w:rPr>
          <w:rFonts w:asciiTheme="minorHAnsi" w:hAnsiTheme="minorHAnsi"/>
        </w:rPr>
        <w:fldChar w:fldCharType="end"/>
      </w:r>
      <w:r w:rsidRPr="00B417BF">
        <w:rPr>
          <w:rFonts w:asciiTheme="minorHAnsi" w:hAnsiTheme="minorHAnsi"/>
        </w:rPr>
        <w:t xml:space="preserve">  </w:t>
      </w:r>
      <w:r w:rsidR="002C242D" w:rsidRPr="00B417BF">
        <w:rPr>
          <w:rFonts w:asciiTheme="minorHAnsi" w:hAnsiTheme="minorHAnsi"/>
        </w:rPr>
        <w:t>Thus, few tools have been developed</w:t>
      </w:r>
      <w:r w:rsidRPr="00B417BF">
        <w:rPr>
          <w:rFonts w:asciiTheme="minorHAnsi" w:hAnsiTheme="minorHAnsi"/>
        </w:rPr>
        <w:t xml:space="preserve"> to predict </w:t>
      </w:r>
      <w:r w:rsidR="002C242D" w:rsidRPr="00B417BF">
        <w:rPr>
          <w:rFonts w:asciiTheme="minorHAnsi" w:hAnsiTheme="minorHAnsi"/>
        </w:rPr>
        <w:t>the academic success or failure of PA students</w:t>
      </w:r>
      <w:r w:rsidRPr="00B417BF">
        <w:rPr>
          <w:rFonts w:asciiTheme="minorHAnsi" w:hAnsiTheme="minorHAnsi"/>
        </w:rPr>
        <w:t xml:space="preserve">, especially in the physician assistant literature.  Faculty </w:t>
      </w:r>
      <w:r w:rsidR="00FB69DC">
        <w:rPr>
          <w:rFonts w:asciiTheme="minorHAnsi" w:hAnsiTheme="minorHAnsi"/>
        </w:rPr>
        <w:t xml:space="preserve">tend to </w:t>
      </w:r>
      <w:r w:rsidRPr="00B417BF">
        <w:rPr>
          <w:rFonts w:asciiTheme="minorHAnsi" w:hAnsiTheme="minorHAnsi"/>
        </w:rPr>
        <w:t>spend significantly more time with the few struggli</w:t>
      </w:r>
      <w:r w:rsidR="0027120E">
        <w:rPr>
          <w:rFonts w:asciiTheme="minorHAnsi" w:hAnsiTheme="minorHAnsi"/>
        </w:rPr>
        <w:t>ng students in these programs.  E</w:t>
      </w:r>
      <w:r w:rsidRPr="00B417BF">
        <w:rPr>
          <w:rFonts w:asciiTheme="minorHAnsi" w:hAnsiTheme="minorHAnsi"/>
        </w:rPr>
        <w:t>arly identification and intervention could both improve student performance and increase teaching efficiency</w:t>
      </w:r>
      <w:r w:rsidR="00C42375">
        <w:rPr>
          <w:rFonts w:asciiTheme="minorHAnsi" w:hAnsiTheme="minorHAnsi"/>
        </w:rPr>
        <w:t>.</w:t>
      </w:r>
      <w:r w:rsidRPr="00B417BF">
        <w:rPr>
          <w:rFonts w:asciiTheme="minorHAnsi" w:hAnsiTheme="minorHAnsi"/>
        </w:rPr>
        <w:fldChar w:fldCharType="begin"/>
      </w:r>
      <w:r w:rsidR="00C42165">
        <w:rPr>
          <w:rFonts w:asciiTheme="minorHAnsi" w:hAnsiTheme="minorHAnsi"/>
        </w:rPr>
        <w:instrText xml:space="preserve"> ADDIN ZOTERO_ITEM CSL_CITATION {"citationID":"ibexK2lU","properties":{"formattedCitation":"\\super 13\\nosupersub{}","plainCitation":"13","noteIndex":0},"citationItems":[{"id":586,"uris":["http://zotero.org/users/1143701/items/R9KSW9A9"],"uri":["http://zotero.org/users/1143701/items/R9KSW9A9"],"itemData":{"id":586,"type":"article-journal","title":"Assessing and helping challenging students: Part One, Why do some students have difficulty learning?","container-title":"Journal of Dental Education","page":"43-61","volume":"66","issue":"1","source":"www.jdentaled.org","URL":"http://www.jdentaled.org/content/66/1/43","ISSN":"0022-0337, 1930-7837","note":"PMID: 12358100","shortTitle":"Assessing and helping challenging students","journalAbbreviation":"J Dent Educ","language":"en","author":[{"family":"Hendricson","given":"W. D."},{"family":"Kleffner","given":"J. H."}],"issued":{"date-parts":[["2002",1,1]]},"accessed":{"date-parts":[["2015",8,15]]}}}],"schema":"https://github.com/citation-style-language/schema/raw/master/csl-citation.json"} </w:instrText>
      </w:r>
      <w:r w:rsidRPr="00B417BF">
        <w:rPr>
          <w:rFonts w:asciiTheme="minorHAnsi" w:hAnsiTheme="minorHAnsi"/>
        </w:rPr>
        <w:fldChar w:fldCharType="separate"/>
      </w:r>
      <w:r w:rsidR="001A780A" w:rsidRPr="001A780A">
        <w:rPr>
          <w:rFonts w:ascii="Cambria" w:hAnsiTheme="minorHAnsi"/>
          <w:vertAlign w:val="superscript"/>
        </w:rPr>
        <w:t>13</w:t>
      </w:r>
      <w:r w:rsidRPr="00B417BF">
        <w:rPr>
          <w:rFonts w:asciiTheme="minorHAnsi" w:hAnsiTheme="minorHAnsi"/>
        </w:rPr>
        <w:fldChar w:fldCharType="end"/>
      </w:r>
      <w:r w:rsidRPr="00B417BF">
        <w:rPr>
          <w:rFonts w:asciiTheme="minorHAnsi" w:hAnsiTheme="minorHAnsi"/>
        </w:rPr>
        <w:t xml:space="preserve"> </w:t>
      </w:r>
    </w:p>
    <w:p w14:paraId="0EDB82FC" w14:textId="77777777" w:rsidR="00FA004E" w:rsidRPr="00B417BF" w:rsidRDefault="00FA004E" w:rsidP="00FA004E">
      <w:pPr>
        <w:spacing w:line="480" w:lineRule="auto"/>
        <w:rPr>
          <w:rFonts w:asciiTheme="minorHAnsi" w:hAnsiTheme="minorHAnsi"/>
        </w:rPr>
      </w:pPr>
    </w:p>
    <w:p w14:paraId="3248DA61" w14:textId="485D219D" w:rsidR="00FA004E" w:rsidRPr="00B417BF" w:rsidRDefault="00893445" w:rsidP="00FA004E">
      <w:pPr>
        <w:spacing w:line="480" w:lineRule="auto"/>
        <w:rPr>
          <w:rFonts w:asciiTheme="minorHAnsi" w:hAnsiTheme="minorHAnsi"/>
        </w:rPr>
      </w:pPr>
      <w:r w:rsidRPr="00B417BF">
        <w:rPr>
          <w:rFonts w:asciiTheme="minorHAnsi" w:hAnsiTheme="minorHAnsi"/>
        </w:rPr>
        <w:t>Internal factors can deter studen</w:t>
      </w:r>
      <w:r w:rsidR="0027120E">
        <w:rPr>
          <w:rFonts w:asciiTheme="minorHAnsi" w:hAnsiTheme="minorHAnsi"/>
        </w:rPr>
        <w:t>ts from receiving assistance.  T</w:t>
      </w:r>
      <w:r w:rsidRPr="00B417BF">
        <w:rPr>
          <w:rFonts w:asciiTheme="minorHAnsi" w:hAnsiTheme="minorHAnsi"/>
        </w:rPr>
        <w:t xml:space="preserve">his project </w:t>
      </w:r>
      <w:r w:rsidRPr="00C240E1">
        <w:rPr>
          <w:rFonts w:asciiTheme="minorHAnsi" w:hAnsiTheme="minorHAnsi"/>
        </w:rPr>
        <w:t>identified strategies utilized by both minimally competent, barely passing students</w:t>
      </w:r>
      <w:r w:rsidR="00FF39C1">
        <w:rPr>
          <w:rFonts w:asciiTheme="minorHAnsi" w:hAnsiTheme="minorHAnsi"/>
        </w:rPr>
        <w:t xml:space="preserve"> </w:t>
      </w:r>
      <w:r w:rsidR="00FF39C1" w:rsidRPr="00C240E1">
        <w:rPr>
          <w:rFonts w:asciiTheme="minorHAnsi" w:hAnsiTheme="minorHAnsi"/>
        </w:rPr>
        <w:t>(MCBP</w:t>
      </w:r>
      <w:r w:rsidR="00FF39C1">
        <w:rPr>
          <w:rFonts w:asciiTheme="minorHAnsi" w:hAnsiTheme="minorHAnsi"/>
        </w:rPr>
        <w:t>s</w:t>
      </w:r>
      <w:r w:rsidR="00FF39C1" w:rsidRPr="00C240E1">
        <w:rPr>
          <w:rFonts w:asciiTheme="minorHAnsi" w:hAnsiTheme="minorHAnsi"/>
        </w:rPr>
        <w:t xml:space="preserve">) </w:t>
      </w:r>
      <w:r w:rsidRPr="00B417BF">
        <w:rPr>
          <w:rFonts w:asciiTheme="minorHAnsi" w:hAnsiTheme="minorHAnsi"/>
        </w:rPr>
        <w:t>and higher performing students</w:t>
      </w:r>
      <w:r w:rsidR="0027120E">
        <w:rPr>
          <w:rFonts w:asciiTheme="minorHAnsi" w:hAnsiTheme="minorHAnsi"/>
        </w:rPr>
        <w:t xml:space="preserve"> to gain</w:t>
      </w:r>
      <w:r w:rsidRPr="00B417BF">
        <w:rPr>
          <w:rFonts w:asciiTheme="minorHAnsi" w:hAnsiTheme="minorHAnsi"/>
        </w:rPr>
        <w:t xml:space="preserve"> insight into </w:t>
      </w:r>
      <w:r w:rsidR="00376883">
        <w:rPr>
          <w:rFonts w:asciiTheme="minorHAnsi" w:hAnsiTheme="minorHAnsi"/>
        </w:rPr>
        <w:t xml:space="preserve">the behaviors and strategies of </w:t>
      </w:r>
      <w:r w:rsidRPr="00B417BF">
        <w:rPr>
          <w:rFonts w:asciiTheme="minorHAnsi" w:hAnsiTheme="minorHAnsi"/>
        </w:rPr>
        <w:t>lower performing students.</w:t>
      </w:r>
      <w:r w:rsidR="00376883">
        <w:rPr>
          <w:rFonts w:asciiTheme="minorHAnsi" w:hAnsiTheme="minorHAnsi"/>
        </w:rPr>
        <w:t xml:space="preserve">  </w:t>
      </w:r>
      <w:r w:rsidR="00FA004E" w:rsidRPr="00B417BF">
        <w:rPr>
          <w:rFonts w:asciiTheme="minorHAnsi" w:hAnsiTheme="minorHAnsi"/>
        </w:rPr>
        <w:t>While this study</w:t>
      </w:r>
      <w:r w:rsidR="00376883">
        <w:rPr>
          <w:rFonts w:asciiTheme="minorHAnsi" w:hAnsiTheme="minorHAnsi"/>
        </w:rPr>
        <w:t xml:space="preserve"> does not intend to examine </w:t>
      </w:r>
      <w:r w:rsidR="00304DB5">
        <w:rPr>
          <w:rFonts w:asciiTheme="minorHAnsi" w:hAnsiTheme="minorHAnsi"/>
        </w:rPr>
        <w:t>the impact of intervention on</w:t>
      </w:r>
      <w:r w:rsidR="00FA004E" w:rsidRPr="00B417BF">
        <w:rPr>
          <w:rFonts w:asciiTheme="minorHAnsi" w:hAnsiTheme="minorHAnsi"/>
        </w:rPr>
        <w:t xml:space="preserve"> changes in personality or experience, it is important to note that students can modify their </w:t>
      </w:r>
      <w:r w:rsidR="00CF73F4">
        <w:rPr>
          <w:rFonts w:asciiTheme="minorHAnsi" w:hAnsiTheme="minorHAnsi"/>
        </w:rPr>
        <w:t>learning techniques</w:t>
      </w:r>
      <w:r w:rsidR="00FA004E" w:rsidRPr="00B417BF">
        <w:rPr>
          <w:rFonts w:asciiTheme="minorHAnsi" w:hAnsiTheme="minorHAnsi"/>
        </w:rPr>
        <w:t xml:space="preserve">, metacognitive skills, and behaviors with training and guidance. </w:t>
      </w:r>
    </w:p>
    <w:p w14:paraId="15D96FBA" w14:textId="77777777" w:rsidR="00893445" w:rsidRPr="00B417BF" w:rsidRDefault="00893445" w:rsidP="00FA004E">
      <w:pPr>
        <w:spacing w:line="480" w:lineRule="auto"/>
        <w:rPr>
          <w:rFonts w:asciiTheme="minorHAnsi" w:hAnsiTheme="minorHAnsi"/>
        </w:rPr>
      </w:pPr>
    </w:p>
    <w:p w14:paraId="7FBE637B" w14:textId="7CEDFC7B" w:rsidR="00FA004E" w:rsidRPr="00B417BF" w:rsidRDefault="00FA004E" w:rsidP="00FA004E">
      <w:pPr>
        <w:spacing w:line="480" w:lineRule="auto"/>
        <w:rPr>
          <w:rFonts w:asciiTheme="minorHAnsi" w:hAnsiTheme="minorHAnsi"/>
        </w:rPr>
      </w:pPr>
      <w:r w:rsidRPr="00B417BF">
        <w:rPr>
          <w:rFonts w:asciiTheme="minorHAnsi" w:hAnsiTheme="minorHAnsi"/>
        </w:rPr>
        <w:t xml:space="preserve">External factors </w:t>
      </w:r>
      <w:r w:rsidR="00376883">
        <w:rPr>
          <w:rFonts w:asciiTheme="minorHAnsi" w:hAnsiTheme="minorHAnsi"/>
        </w:rPr>
        <w:t>can</w:t>
      </w:r>
      <w:r w:rsidRPr="00B417BF">
        <w:rPr>
          <w:rFonts w:asciiTheme="minorHAnsi" w:hAnsiTheme="minorHAnsi"/>
        </w:rPr>
        <w:t xml:space="preserve"> limit the use of coping and </w:t>
      </w:r>
      <w:r w:rsidR="002E6792">
        <w:rPr>
          <w:rFonts w:asciiTheme="minorHAnsi" w:hAnsiTheme="minorHAnsi"/>
        </w:rPr>
        <w:t>help-seeking</w:t>
      </w:r>
      <w:r w:rsidR="00376883">
        <w:rPr>
          <w:rFonts w:asciiTheme="minorHAnsi" w:hAnsiTheme="minorHAnsi"/>
        </w:rPr>
        <w:t xml:space="preserve"> behavior</w:t>
      </w:r>
      <w:r w:rsidRPr="00B417BF">
        <w:rPr>
          <w:rFonts w:asciiTheme="minorHAnsi" w:hAnsiTheme="minorHAnsi"/>
        </w:rPr>
        <w:t xml:space="preserve"> in </w:t>
      </w:r>
      <w:r w:rsidR="00E43C0D">
        <w:rPr>
          <w:rFonts w:asciiTheme="minorHAnsi" w:hAnsiTheme="minorHAnsi"/>
        </w:rPr>
        <w:t xml:space="preserve">students in </w:t>
      </w:r>
      <w:r w:rsidRPr="00B417BF">
        <w:rPr>
          <w:rFonts w:asciiTheme="minorHAnsi" w:hAnsiTheme="minorHAnsi"/>
        </w:rPr>
        <w:t xml:space="preserve">medical </w:t>
      </w:r>
      <w:r w:rsidR="00E43C0D">
        <w:rPr>
          <w:rFonts w:asciiTheme="minorHAnsi" w:hAnsiTheme="minorHAnsi"/>
        </w:rPr>
        <w:t>training.</w:t>
      </w:r>
      <w:r w:rsidRPr="00B417BF">
        <w:rPr>
          <w:rFonts w:asciiTheme="minorHAnsi" w:hAnsiTheme="minorHAnsi"/>
        </w:rPr>
        <w:t xml:space="preserve">  Limited </w:t>
      </w:r>
      <w:r w:rsidR="00376883">
        <w:rPr>
          <w:rFonts w:asciiTheme="minorHAnsi" w:hAnsiTheme="minorHAnsi"/>
        </w:rPr>
        <w:t xml:space="preserve">or inaccessible services </w:t>
      </w:r>
      <w:r w:rsidRPr="00B417BF">
        <w:rPr>
          <w:rFonts w:asciiTheme="minorHAnsi" w:hAnsiTheme="minorHAnsi"/>
        </w:rPr>
        <w:t xml:space="preserve">and </w:t>
      </w:r>
      <w:r w:rsidR="00376883">
        <w:rPr>
          <w:rFonts w:asciiTheme="minorHAnsi" w:hAnsiTheme="minorHAnsi"/>
        </w:rPr>
        <w:t xml:space="preserve">the </w:t>
      </w:r>
      <w:r w:rsidRPr="00B417BF">
        <w:rPr>
          <w:rFonts w:asciiTheme="minorHAnsi" w:hAnsiTheme="minorHAnsi"/>
        </w:rPr>
        <w:t xml:space="preserve">stigma </w:t>
      </w:r>
      <w:r w:rsidR="00376883">
        <w:rPr>
          <w:rFonts w:asciiTheme="minorHAnsi" w:hAnsiTheme="minorHAnsi"/>
        </w:rPr>
        <w:lastRenderedPageBreak/>
        <w:t xml:space="preserve">associated with “needing help,” </w:t>
      </w:r>
      <w:r w:rsidRPr="00B417BF">
        <w:rPr>
          <w:rFonts w:asciiTheme="minorHAnsi" w:hAnsiTheme="minorHAnsi"/>
        </w:rPr>
        <w:t xml:space="preserve">are barriers to students utilizing aides already in place. These barriers are both institutional and personal limitations.  From an institutional standpoint, faculty and peers have limited training and experience assisting students with needs outside of their academic scope.  </w:t>
      </w:r>
    </w:p>
    <w:p w14:paraId="5943FE6B" w14:textId="77777777" w:rsidR="00FA004E" w:rsidRPr="00B417BF" w:rsidRDefault="00FA004E" w:rsidP="00FA004E">
      <w:pPr>
        <w:spacing w:line="480" w:lineRule="auto"/>
        <w:rPr>
          <w:rFonts w:asciiTheme="minorHAnsi" w:hAnsiTheme="minorHAnsi"/>
        </w:rPr>
      </w:pPr>
    </w:p>
    <w:p w14:paraId="24765752" w14:textId="0113E2BF" w:rsidR="00FA004E" w:rsidRPr="00B417BF" w:rsidRDefault="00A57B40" w:rsidP="00FA004E">
      <w:pPr>
        <w:spacing w:line="480" w:lineRule="auto"/>
        <w:rPr>
          <w:rFonts w:asciiTheme="minorHAnsi" w:hAnsiTheme="minorHAnsi"/>
        </w:rPr>
      </w:pPr>
      <w:r>
        <w:rPr>
          <w:rFonts w:asciiTheme="minorHAnsi" w:hAnsiTheme="minorHAnsi"/>
        </w:rPr>
        <w:t>S</w:t>
      </w:r>
      <w:r w:rsidR="00FA004E" w:rsidRPr="00B417BF">
        <w:rPr>
          <w:rFonts w:asciiTheme="minorHAnsi" w:hAnsiTheme="minorHAnsi"/>
        </w:rPr>
        <w:t xml:space="preserve">tudying behavior is a complex, multifaceted endeavor, a stepwise approach </w:t>
      </w:r>
      <w:r w:rsidR="00376883">
        <w:rPr>
          <w:rFonts w:asciiTheme="minorHAnsi" w:hAnsiTheme="minorHAnsi"/>
        </w:rPr>
        <w:t>was</w:t>
      </w:r>
      <w:r w:rsidR="00FA004E" w:rsidRPr="00B417BF">
        <w:rPr>
          <w:rFonts w:asciiTheme="minorHAnsi" w:hAnsiTheme="minorHAnsi"/>
        </w:rPr>
        <w:t xml:space="preserve"> taken to first understand the current learning environment</w:t>
      </w:r>
      <w:r w:rsidR="00C42375">
        <w:rPr>
          <w:rFonts w:asciiTheme="minorHAnsi" w:hAnsiTheme="minorHAnsi"/>
        </w:rPr>
        <w:t>.</w:t>
      </w:r>
      <w:r w:rsidR="00FA004E" w:rsidRPr="00B417BF">
        <w:rPr>
          <w:rFonts w:asciiTheme="minorHAnsi" w:hAnsiTheme="minorHAnsi"/>
        </w:rPr>
        <w:fldChar w:fldCharType="begin"/>
      </w:r>
      <w:r w:rsidR="00C42165">
        <w:rPr>
          <w:rFonts w:asciiTheme="minorHAnsi" w:hAnsiTheme="minorHAnsi"/>
        </w:rPr>
        <w:instrText xml:space="preserve"> ADDIN ZOTERO_ITEM CSL_CITATION {"citationID":"wijm9Eti","properties":{"formattedCitation":"\\super 14\\nosupersub{}","plainCitation":"14","noteIndex":0},"citationItems":[{"id":238,"uris":["http://zotero.org/users/1143701/items/K3PDNGH4"],"uri":["http://zotero.org/users/1143701/items/K3PDNGH4"],"itemData":{"id":238,"type":"article-journal","title":"A holistic review of the medical school admission process: examining correlates of academic underperformance","container-title":"Medical Education Online","volume":"19","source":"PubMed Central","abstract":"Background\nDespite medical school admission committees’ best efforts, a handful of seemingly capable students invariably struggle during their first year of study. Yet, even as entrance criteria continue to broaden beyond cognitive qualifications, attention inevitably reverts back to such factors when seeking to understand these phenomena. Using a host of applicant, admission, and post-admission variables, the purpose of this inductive study, then, was to identify a constellation of student characteristics that, taken collectively, would be predictive of students at-risk of underperforming during the first year of medical school. In it, we hypothesize that a wider range of factors than previously recognized could conceivably play roles in understanding why students experience academic problems early in the medical educational continuum.\n\nMethods\nThe study sample consisted of the five most recent matriculant cohorts from a large, southeastern medical school (n=537). Independent variables reflected: 1) the personal demographics of applicants (e.g., age, gender); 2) academic criteria (e.g., undergraduate grade point averages [GPA], medical college admission test); 3) selection processes (e.g., entrance track, interview scores, committee votes); and 4) other indicators of personality and professionalism (e.g., Mayer-Salovey-Caruso Emotional Intelligence Test™ emotional intelligence scores, NEO PI-R™ personality profiles, and appearances before the Professional Code Committee [PCC]). The dependent variable, first-year underperformance, was defined as ANY action (repeat, conditionally advance, or dismiss) by the college's Student Progress and Promotions Committee (SPPC) in response to predefined academic criteria. This study protocol was approved by the local medical institutional review board (IRB).\n\nResults\nOf the 537 students comprising the study sample, 61 (11.4%) met the specified criterion for academic underperformance. Significantly increased academic risks were identified among students who 1) had lower mean undergraduate science GPAs (OR=0.24, p=0.001); 2) entered medical school via an accelerated BS/MD track (OR=16.15, p=0.002); 3) were 31 years of age or older (OR=14.76, p=0.005); and 4) were non-unanimous admission committee admits (OR=0.53, p=0.042). Two dimensions of the NEO PI-R™ personality inventory, openness (+) and conscientiousness (−), were modestly but significantly correlated with academic underperformance. Only for the latter, however, were mean scores found to differ significantly between academic performers and underperformers. Finally, appearing before the college's PCC (OR=4.21, p=0.056) fell just short of statistical significance.\n\nConclusions\nOur review of various correlates across the matriculation process highlights the heterogeneity of factors underlying students’ underperformance during the first year of medical school and challenges medical educators to understand the complexity of predicting who, among admitted matriculants, may be at future academic risk.","URL":"http://www.ncbi.nlm.nih.gov/pmc/articles/PMC3974177/","DOI":"10.3402/meo.v19.22919","ISSN":"1087-2981","note":"PMID: 24695362\nPMCID: PMC3974177","shortTitle":"A holistic review of the medical school admission process","journalAbbreviation":"Med Educ Online","author":[{"family":"Stratton","given":"Terry D."},{"family":"Elam","given":"Carol L."}],"issued":{"date-parts":[["2014",4,1]]},"accessed":{"date-parts":[["2014",12,29]]}}}],"schema":"https://github.com/citation-style-language/schema/raw/master/csl-citation.json"} </w:instrText>
      </w:r>
      <w:r w:rsidR="00FA004E" w:rsidRPr="00B417BF">
        <w:rPr>
          <w:rFonts w:asciiTheme="minorHAnsi" w:hAnsiTheme="minorHAnsi"/>
        </w:rPr>
        <w:fldChar w:fldCharType="separate"/>
      </w:r>
      <w:r w:rsidR="001A780A" w:rsidRPr="001A780A">
        <w:rPr>
          <w:rFonts w:ascii="Cambria" w:hAnsiTheme="minorHAnsi"/>
          <w:vertAlign w:val="superscript"/>
        </w:rPr>
        <w:t>14</w:t>
      </w:r>
      <w:r w:rsidR="00FA004E" w:rsidRPr="00B417BF">
        <w:rPr>
          <w:rFonts w:asciiTheme="minorHAnsi" w:hAnsiTheme="minorHAnsi"/>
        </w:rPr>
        <w:fldChar w:fldCharType="end"/>
      </w:r>
      <w:r w:rsidR="00FA004E" w:rsidRPr="00C42375">
        <w:rPr>
          <w:rFonts w:asciiTheme="minorHAnsi" w:hAnsiTheme="minorHAnsi"/>
          <w:vertAlign w:val="superscript"/>
        </w:rPr>
        <w:t>,</w:t>
      </w:r>
      <w:r w:rsidR="00FA004E" w:rsidRPr="00B417BF">
        <w:rPr>
          <w:rFonts w:asciiTheme="minorHAnsi" w:hAnsiTheme="minorHAnsi"/>
        </w:rPr>
        <w:fldChar w:fldCharType="begin"/>
      </w:r>
      <w:r w:rsidR="002C6551">
        <w:rPr>
          <w:rFonts w:asciiTheme="minorHAnsi" w:hAnsiTheme="minorHAnsi"/>
        </w:rPr>
        <w:instrText xml:space="preserve"> ADDIN ZOTERO_ITEM CSL_CITATION {"citationID":"uQ87o9Qs","properties":{"formattedCitation":"\\super 15\\nosupersub{}","plainCitation":"15","noteIndex":0},"citationItems":[{"id":"LTQK2Tdj/UCfkokKm","uris":["http://zotero.org/users/1143701/items/8TIWFBBX"],"uri":["http://zotero.org/users/1143701/items/8TIWFBBX"],"itemData":{"id":163,"type":"article-journal","title":"Development of a student health questionnaire: the necessity of a symbiosis of science and practice.","container-title":"Global Health Promotion","page":"35-44","volume":"16","issue":"3","source":"Ovid (Ovid MEDLINE(R))","abstract":"RESULTS AND CONCLUSIONS: A health surveillance questionnaire to detect students with health problems associated with academic functioning should consist of questions on social support, general health, physical health, psychological health, study-related issues and health, help-seeking behaviour and life events in the past. Experiences from practice should be integrated when developing a questionnaire.","DOI":"http://dx.doi.org/10.1177/1757975909339763","shortTitle":"Development of a student health questionnaire","author":[{"family":"Boot","given":"CR"},{"family":"Donders","given":"NC"},{"family":"Vonk","given":"P"},{"family":"Meijman","given":"FJ"}],"issued":{"date-parts":[["2009",9]]},"accessed":{"date-parts":[["2014",10,5]]}}}],"schema":"https://github.com/citation-style-language/schema/raw/master/csl-citation.json"} </w:instrText>
      </w:r>
      <w:r w:rsidR="00FA004E" w:rsidRPr="00B417BF">
        <w:rPr>
          <w:rFonts w:asciiTheme="minorHAnsi" w:hAnsiTheme="minorHAnsi"/>
        </w:rPr>
        <w:fldChar w:fldCharType="separate"/>
      </w:r>
      <w:r w:rsidR="001A780A" w:rsidRPr="001A780A">
        <w:rPr>
          <w:rFonts w:ascii="Cambria" w:hAnsiTheme="minorHAnsi"/>
          <w:vertAlign w:val="superscript"/>
        </w:rPr>
        <w:t>15</w:t>
      </w:r>
      <w:r w:rsidR="00FA004E" w:rsidRPr="00B417BF">
        <w:rPr>
          <w:rFonts w:asciiTheme="minorHAnsi" w:hAnsiTheme="minorHAnsi"/>
        </w:rPr>
        <w:fldChar w:fldCharType="end"/>
      </w:r>
      <w:r w:rsidR="00FA004E" w:rsidRPr="00B417BF">
        <w:rPr>
          <w:rFonts w:asciiTheme="minorHAnsi" w:hAnsiTheme="minorHAnsi"/>
        </w:rPr>
        <w:t xml:space="preserve">  </w:t>
      </w:r>
      <w:r w:rsidR="00376883">
        <w:rPr>
          <w:rFonts w:asciiTheme="minorHAnsi" w:hAnsiTheme="minorHAnsi"/>
        </w:rPr>
        <w:t>This</w:t>
      </w:r>
      <w:r w:rsidR="00FA004E" w:rsidRPr="00B417BF">
        <w:rPr>
          <w:rFonts w:asciiTheme="minorHAnsi" w:hAnsiTheme="minorHAnsi"/>
        </w:rPr>
        <w:t xml:space="preserve"> study </w:t>
      </w:r>
      <w:r w:rsidR="00376883">
        <w:rPr>
          <w:rFonts w:asciiTheme="minorHAnsi" w:hAnsiTheme="minorHAnsi"/>
        </w:rPr>
        <w:t>examined</w:t>
      </w:r>
      <w:r w:rsidR="00FA004E" w:rsidRPr="00B417BF">
        <w:rPr>
          <w:rFonts w:asciiTheme="minorHAnsi" w:hAnsiTheme="minorHAnsi"/>
        </w:rPr>
        <w:t xml:space="preserve"> help-seeking behaviors students currently use and how those behaviors correlate</w:t>
      </w:r>
      <w:r w:rsidR="00376883">
        <w:rPr>
          <w:rFonts w:asciiTheme="minorHAnsi" w:hAnsiTheme="minorHAnsi"/>
        </w:rPr>
        <w:t>d</w:t>
      </w:r>
      <w:r w:rsidR="00FA004E" w:rsidRPr="00B417BF">
        <w:rPr>
          <w:rFonts w:asciiTheme="minorHAnsi" w:hAnsiTheme="minorHAnsi"/>
        </w:rPr>
        <w:t xml:space="preserve"> </w:t>
      </w:r>
      <w:r>
        <w:rPr>
          <w:rFonts w:asciiTheme="minorHAnsi" w:hAnsiTheme="minorHAnsi"/>
        </w:rPr>
        <w:t>with</w:t>
      </w:r>
      <w:r w:rsidR="00FA004E" w:rsidRPr="00B417BF">
        <w:rPr>
          <w:rFonts w:asciiTheme="minorHAnsi" w:hAnsiTheme="minorHAnsi"/>
        </w:rPr>
        <w:t xml:space="preserve"> academic performance in their first (Summer) semester of study in the PA </w:t>
      </w:r>
      <w:r w:rsidR="00E43C0D">
        <w:rPr>
          <w:rFonts w:asciiTheme="minorHAnsi" w:hAnsiTheme="minorHAnsi"/>
        </w:rPr>
        <w:t xml:space="preserve">and Dental </w:t>
      </w:r>
      <w:r w:rsidR="00FA004E" w:rsidRPr="00B417BF">
        <w:rPr>
          <w:rFonts w:asciiTheme="minorHAnsi" w:hAnsiTheme="minorHAnsi"/>
        </w:rPr>
        <w:t>program</w:t>
      </w:r>
      <w:r w:rsidR="00E43C0D">
        <w:rPr>
          <w:rFonts w:asciiTheme="minorHAnsi" w:hAnsiTheme="minorHAnsi"/>
        </w:rPr>
        <w:t>s</w:t>
      </w:r>
      <w:r w:rsidR="00FA004E" w:rsidRPr="00B417BF">
        <w:rPr>
          <w:rFonts w:asciiTheme="minorHAnsi" w:hAnsiTheme="minorHAnsi"/>
        </w:rPr>
        <w:t>.  A second portion of the project examine</w:t>
      </w:r>
      <w:r w:rsidR="00376883">
        <w:rPr>
          <w:rFonts w:asciiTheme="minorHAnsi" w:hAnsiTheme="minorHAnsi"/>
        </w:rPr>
        <w:t>d</w:t>
      </w:r>
      <w:r w:rsidR="00FA004E" w:rsidRPr="00B417BF">
        <w:rPr>
          <w:rFonts w:asciiTheme="minorHAnsi" w:hAnsiTheme="minorHAnsi"/>
        </w:rPr>
        <w:t xml:space="preserve"> </w:t>
      </w:r>
      <w:r>
        <w:rPr>
          <w:rFonts w:asciiTheme="minorHAnsi" w:hAnsiTheme="minorHAnsi"/>
        </w:rPr>
        <w:t>whether</w:t>
      </w:r>
      <w:r w:rsidR="00FA004E" w:rsidRPr="00B417BF">
        <w:rPr>
          <w:rFonts w:asciiTheme="minorHAnsi" w:hAnsiTheme="minorHAnsi"/>
        </w:rPr>
        <w:t xml:space="preserve"> increased education about available supp</w:t>
      </w:r>
      <w:r w:rsidR="00376883">
        <w:rPr>
          <w:rFonts w:asciiTheme="minorHAnsi" w:hAnsiTheme="minorHAnsi"/>
        </w:rPr>
        <w:t>ort services changed</w:t>
      </w:r>
      <w:r w:rsidR="00FA004E" w:rsidRPr="00B417BF">
        <w:rPr>
          <w:rFonts w:asciiTheme="minorHAnsi" w:hAnsiTheme="minorHAnsi"/>
        </w:rPr>
        <w:t xml:space="preserve"> either help-seeking behaviors or student performance.  </w:t>
      </w:r>
    </w:p>
    <w:p w14:paraId="6B009929" w14:textId="77777777" w:rsidR="00FA004E" w:rsidRPr="00B417BF" w:rsidRDefault="00FA004E" w:rsidP="00FA004E">
      <w:pPr>
        <w:spacing w:line="480" w:lineRule="auto"/>
        <w:rPr>
          <w:rFonts w:asciiTheme="minorHAnsi" w:hAnsiTheme="minorHAnsi"/>
        </w:rPr>
      </w:pPr>
    </w:p>
    <w:p w14:paraId="1100B8D4" w14:textId="2FFD5C29" w:rsidR="00FA004E" w:rsidRPr="00B417BF" w:rsidRDefault="00FA004E" w:rsidP="00FA004E">
      <w:pPr>
        <w:spacing w:line="480" w:lineRule="auto"/>
        <w:rPr>
          <w:rFonts w:asciiTheme="minorHAnsi" w:hAnsiTheme="minorHAnsi"/>
        </w:rPr>
      </w:pPr>
      <w:r w:rsidRPr="00B417BF">
        <w:rPr>
          <w:rFonts w:asciiTheme="minorHAnsi" w:hAnsiTheme="minorHAnsi"/>
        </w:rPr>
        <w:t>Because this s</w:t>
      </w:r>
      <w:r w:rsidR="00376883">
        <w:rPr>
          <w:rFonts w:asciiTheme="minorHAnsi" w:hAnsiTheme="minorHAnsi"/>
        </w:rPr>
        <w:t>tudy measured</w:t>
      </w:r>
      <w:r w:rsidRPr="00B417BF">
        <w:rPr>
          <w:rFonts w:asciiTheme="minorHAnsi" w:hAnsiTheme="minorHAnsi"/>
        </w:rPr>
        <w:t xml:space="preserve"> reported behavior simultaneously with academic performance during a course </w:t>
      </w:r>
      <w:r w:rsidR="00A269E3">
        <w:rPr>
          <w:rFonts w:asciiTheme="minorHAnsi" w:hAnsiTheme="minorHAnsi"/>
        </w:rPr>
        <w:t>versus</w:t>
      </w:r>
      <w:r w:rsidRPr="00B417BF">
        <w:rPr>
          <w:rFonts w:asciiTheme="minorHAnsi" w:hAnsiTheme="minorHAnsi"/>
        </w:rPr>
        <w:t xml:space="preserve"> relying on post hoc reporting, study results </w:t>
      </w:r>
      <w:r w:rsidR="00376883">
        <w:rPr>
          <w:rFonts w:asciiTheme="minorHAnsi" w:hAnsiTheme="minorHAnsi"/>
        </w:rPr>
        <w:t xml:space="preserve">were </w:t>
      </w:r>
      <w:r w:rsidRPr="00B417BF">
        <w:rPr>
          <w:rFonts w:asciiTheme="minorHAnsi" w:hAnsiTheme="minorHAnsi"/>
        </w:rPr>
        <w:t xml:space="preserve">correlated and examined for possible </w:t>
      </w:r>
      <w:r w:rsidR="002D79FA">
        <w:rPr>
          <w:rFonts w:asciiTheme="minorHAnsi" w:hAnsiTheme="minorHAnsi"/>
        </w:rPr>
        <w:t>relationships</w:t>
      </w:r>
      <w:r w:rsidRPr="00B417BF">
        <w:rPr>
          <w:rFonts w:asciiTheme="minorHAnsi" w:hAnsiTheme="minorHAnsi"/>
        </w:rPr>
        <w:t xml:space="preserve">.  The qualitative portion of the study </w:t>
      </w:r>
      <w:r w:rsidR="002D79FA">
        <w:rPr>
          <w:rFonts w:asciiTheme="minorHAnsi" w:hAnsiTheme="minorHAnsi"/>
        </w:rPr>
        <w:t>analyzed</w:t>
      </w:r>
      <w:r w:rsidRPr="00B417BF">
        <w:rPr>
          <w:rFonts w:asciiTheme="minorHAnsi" w:hAnsiTheme="minorHAnsi"/>
        </w:rPr>
        <w:t xml:space="preserve"> students’ perceptions an</w:t>
      </w:r>
      <w:r w:rsidR="00CF73F4">
        <w:rPr>
          <w:rFonts w:asciiTheme="minorHAnsi" w:hAnsiTheme="minorHAnsi"/>
        </w:rPr>
        <w:t>d insights not captured by quan</w:t>
      </w:r>
      <w:r w:rsidRPr="00B417BF">
        <w:rPr>
          <w:rFonts w:asciiTheme="minorHAnsi" w:hAnsiTheme="minorHAnsi"/>
        </w:rPr>
        <w:t>t</w:t>
      </w:r>
      <w:r w:rsidR="00CF73F4">
        <w:rPr>
          <w:rFonts w:asciiTheme="minorHAnsi" w:hAnsiTheme="minorHAnsi"/>
        </w:rPr>
        <w:t>it</w:t>
      </w:r>
      <w:r w:rsidRPr="00B417BF">
        <w:rPr>
          <w:rFonts w:asciiTheme="minorHAnsi" w:hAnsiTheme="minorHAnsi"/>
        </w:rPr>
        <w:t xml:space="preserve">ative survey tools.  </w:t>
      </w:r>
      <w:r w:rsidR="002D79FA">
        <w:rPr>
          <w:rFonts w:asciiTheme="minorHAnsi" w:hAnsiTheme="minorHAnsi"/>
        </w:rPr>
        <w:t>Qualitative data was</w:t>
      </w:r>
      <w:r w:rsidRPr="00B417BF">
        <w:rPr>
          <w:rFonts w:asciiTheme="minorHAnsi" w:hAnsiTheme="minorHAnsi"/>
        </w:rPr>
        <w:t xml:space="preserve"> compared with quantitative data </w:t>
      </w:r>
      <w:r w:rsidR="002D79FA">
        <w:rPr>
          <w:rFonts w:asciiTheme="minorHAnsi" w:hAnsiTheme="minorHAnsi"/>
        </w:rPr>
        <w:t>to uncover</w:t>
      </w:r>
      <w:r w:rsidRPr="00B417BF">
        <w:rPr>
          <w:rFonts w:asciiTheme="minorHAnsi" w:hAnsiTheme="minorHAnsi"/>
        </w:rPr>
        <w:t xml:space="preserve"> links.  The </w:t>
      </w:r>
      <w:r w:rsidR="002D79FA">
        <w:rPr>
          <w:rFonts w:asciiTheme="minorHAnsi" w:hAnsiTheme="minorHAnsi"/>
        </w:rPr>
        <w:t>qualitative portion</w:t>
      </w:r>
      <w:r w:rsidRPr="00B417BF">
        <w:rPr>
          <w:rFonts w:asciiTheme="minorHAnsi" w:hAnsiTheme="minorHAnsi"/>
        </w:rPr>
        <w:t xml:space="preserve"> of the study </w:t>
      </w:r>
      <w:r w:rsidR="002D79FA">
        <w:rPr>
          <w:rFonts w:asciiTheme="minorHAnsi" w:hAnsiTheme="minorHAnsi"/>
        </w:rPr>
        <w:t>included</w:t>
      </w:r>
      <w:r w:rsidRPr="00B417BF">
        <w:rPr>
          <w:rFonts w:asciiTheme="minorHAnsi" w:hAnsiTheme="minorHAnsi"/>
        </w:rPr>
        <w:t xml:space="preserve"> student perspective</w:t>
      </w:r>
      <w:r w:rsidR="002D79FA">
        <w:rPr>
          <w:rFonts w:asciiTheme="minorHAnsi" w:hAnsiTheme="minorHAnsi"/>
        </w:rPr>
        <w:t>s</w:t>
      </w:r>
      <w:r w:rsidRPr="00B417BF">
        <w:rPr>
          <w:rFonts w:asciiTheme="minorHAnsi" w:hAnsiTheme="minorHAnsi"/>
        </w:rPr>
        <w:t xml:space="preserve"> of classroom experience </w:t>
      </w:r>
      <w:r w:rsidR="002D79FA">
        <w:rPr>
          <w:rFonts w:asciiTheme="minorHAnsi" w:hAnsiTheme="minorHAnsi"/>
        </w:rPr>
        <w:t>to give depth and nuance to</w:t>
      </w:r>
      <w:r w:rsidRPr="00B417BF">
        <w:rPr>
          <w:rFonts w:asciiTheme="minorHAnsi" w:hAnsiTheme="minorHAnsi"/>
        </w:rPr>
        <w:t xml:space="preserve"> quantitative </w:t>
      </w:r>
      <w:r w:rsidR="002D79FA">
        <w:rPr>
          <w:rFonts w:asciiTheme="minorHAnsi" w:hAnsiTheme="minorHAnsi"/>
        </w:rPr>
        <w:t>data.</w:t>
      </w:r>
    </w:p>
    <w:p w14:paraId="63BF451A" w14:textId="37DF4FCA" w:rsidR="00304DB5" w:rsidRDefault="00304DB5">
      <w:pPr>
        <w:rPr>
          <w:rFonts w:asciiTheme="minorHAnsi" w:hAnsiTheme="minorHAnsi"/>
        </w:rPr>
      </w:pPr>
      <w:r>
        <w:rPr>
          <w:rFonts w:asciiTheme="minorHAnsi" w:hAnsiTheme="minorHAnsi"/>
        </w:rPr>
        <w:br w:type="page"/>
      </w:r>
    </w:p>
    <w:p w14:paraId="0D04C45D" w14:textId="77777777" w:rsidR="00FA004E" w:rsidRPr="00B417BF" w:rsidRDefault="00FA004E" w:rsidP="00FA004E">
      <w:pPr>
        <w:spacing w:line="480" w:lineRule="auto"/>
        <w:rPr>
          <w:rFonts w:asciiTheme="minorHAnsi" w:hAnsiTheme="minorHAnsi"/>
        </w:rPr>
      </w:pPr>
    </w:p>
    <w:p w14:paraId="75415028" w14:textId="1A60A46C" w:rsidR="00893445" w:rsidRPr="00B417BF" w:rsidRDefault="00893445" w:rsidP="00FA004E">
      <w:pPr>
        <w:spacing w:line="480" w:lineRule="auto"/>
        <w:rPr>
          <w:rFonts w:asciiTheme="minorHAnsi" w:hAnsiTheme="minorHAnsi"/>
        </w:rPr>
      </w:pPr>
      <w:r w:rsidRPr="00B417BF">
        <w:rPr>
          <w:rFonts w:asciiTheme="minorHAnsi" w:hAnsiTheme="minorHAnsi"/>
          <w:b/>
        </w:rPr>
        <w:t>Problem Statement</w:t>
      </w:r>
      <w:r w:rsidRPr="00B417BF">
        <w:rPr>
          <w:rFonts w:asciiTheme="minorHAnsi" w:hAnsiTheme="minorHAnsi"/>
        </w:rPr>
        <w:t>:</w:t>
      </w:r>
    </w:p>
    <w:p w14:paraId="49ED7A1F" w14:textId="51612AFA" w:rsidR="00893445" w:rsidRPr="00B417BF" w:rsidRDefault="002D79FA" w:rsidP="00FA004E">
      <w:pPr>
        <w:spacing w:line="480" w:lineRule="auto"/>
        <w:rPr>
          <w:rFonts w:asciiTheme="minorHAnsi" w:hAnsiTheme="minorHAnsi"/>
        </w:rPr>
      </w:pPr>
      <w:r>
        <w:rPr>
          <w:rFonts w:asciiTheme="minorHAnsi" w:hAnsiTheme="minorHAnsi"/>
        </w:rPr>
        <w:t>A portion</w:t>
      </w:r>
      <w:r w:rsidR="00D53B3D" w:rsidRPr="00B417BF">
        <w:rPr>
          <w:rFonts w:asciiTheme="minorHAnsi" w:hAnsiTheme="minorHAnsi"/>
        </w:rPr>
        <w:t xml:space="preserve"> of PA and Dental students underperform academically.</w:t>
      </w:r>
      <w:r w:rsidR="003170F5">
        <w:rPr>
          <w:rFonts w:asciiTheme="minorHAnsi" w:hAnsiTheme="minorHAnsi"/>
        </w:rPr>
        <w:t xml:space="preserve">  </w:t>
      </w:r>
    </w:p>
    <w:p w14:paraId="62762ADA" w14:textId="77777777" w:rsidR="00304DB5" w:rsidRDefault="00304DB5" w:rsidP="00FA004E">
      <w:pPr>
        <w:spacing w:line="480" w:lineRule="auto"/>
        <w:rPr>
          <w:rFonts w:asciiTheme="minorHAnsi" w:hAnsiTheme="minorHAnsi"/>
        </w:rPr>
      </w:pPr>
    </w:p>
    <w:p w14:paraId="6FAAE66C" w14:textId="6C42C03E" w:rsidR="00FA004E" w:rsidRPr="00B417BF" w:rsidRDefault="002D79FA" w:rsidP="00FA004E">
      <w:pPr>
        <w:spacing w:line="480" w:lineRule="auto"/>
        <w:rPr>
          <w:rFonts w:asciiTheme="minorHAnsi" w:hAnsiTheme="minorHAnsi"/>
        </w:rPr>
      </w:pPr>
      <w:r>
        <w:rPr>
          <w:rFonts w:asciiTheme="minorHAnsi" w:hAnsiTheme="minorHAnsi"/>
        </w:rPr>
        <w:t>T</w:t>
      </w:r>
      <w:r w:rsidR="00FA004E" w:rsidRPr="00B417BF">
        <w:rPr>
          <w:rFonts w:asciiTheme="minorHAnsi" w:hAnsiTheme="minorHAnsi"/>
        </w:rPr>
        <w:t>his study analyze</w:t>
      </w:r>
      <w:r w:rsidR="003170F5">
        <w:rPr>
          <w:rFonts w:asciiTheme="minorHAnsi" w:hAnsiTheme="minorHAnsi"/>
        </w:rPr>
        <w:t>d</w:t>
      </w:r>
      <w:r w:rsidR="00FA004E" w:rsidRPr="00B417BF">
        <w:rPr>
          <w:rFonts w:asciiTheme="minorHAnsi" w:hAnsiTheme="minorHAnsi"/>
        </w:rPr>
        <w:t xml:space="preserve"> the coping and support strategies </w:t>
      </w:r>
      <w:r>
        <w:rPr>
          <w:rFonts w:asciiTheme="minorHAnsi" w:hAnsiTheme="minorHAnsi"/>
        </w:rPr>
        <w:t>in</w:t>
      </w:r>
      <w:r w:rsidR="00FA004E" w:rsidRPr="00B417BF">
        <w:rPr>
          <w:rFonts w:asciiTheme="minorHAnsi" w:hAnsiTheme="minorHAnsi"/>
        </w:rPr>
        <w:t xml:space="preserve"> fi</w:t>
      </w:r>
      <w:r w:rsidR="003170F5">
        <w:rPr>
          <w:rFonts w:asciiTheme="minorHAnsi" w:hAnsiTheme="minorHAnsi"/>
        </w:rPr>
        <w:t>rst year PA and Dental students in an attempt to improve academic performance and subsequent clinic success.</w:t>
      </w:r>
    </w:p>
    <w:p w14:paraId="0A569F3F" w14:textId="77777777" w:rsidR="00FA004E" w:rsidRPr="00B417BF" w:rsidRDefault="00FA004E" w:rsidP="00FA004E">
      <w:pPr>
        <w:spacing w:line="480" w:lineRule="auto"/>
        <w:rPr>
          <w:rFonts w:asciiTheme="minorHAnsi" w:hAnsiTheme="minorHAnsi"/>
        </w:rPr>
      </w:pPr>
    </w:p>
    <w:p w14:paraId="3827D77A" w14:textId="5FB445ED" w:rsidR="00FA004E" w:rsidRPr="00B417BF" w:rsidRDefault="00FA004E" w:rsidP="00FA004E">
      <w:pPr>
        <w:spacing w:line="480" w:lineRule="auto"/>
        <w:rPr>
          <w:rFonts w:asciiTheme="minorHAnsi" w:hAnsiTheme="minorHAnsi"/>
        </w:rPr>
      </w:pPr>
      <w:r w:rsidRPr="00B417BF">
        <w:rPr>
          <w:rFonts w:asciiTheme="minorHAnsi" w:hAnsiTheme="minorHAnsi"/>
        </w:rPr>
        <w:t xml:space="preserve">The following research questions </w:t>
      </w:r>
      <w:r w:rsidR="00EB0AB9">
        <w:rPr>
          <w:rFonts w:asciiTheme="minorHAnsi" w:hAnsiTheme="minorHAnsi"/>
        </w:rPr>
        <w:t xml:space="preserve">were </w:t>
      </w:r>
      <w:r w:rsidRPr="00B417BF">
        <w:rPr>
          <w:rFonts w:asciiTheme="minorHAnsi" w:hAnsiTheme="minorHAnsi"/>
        </w:rPr>
        <w:t>the focus of this study:</w:t>
      </w:r>
    </w:p>
    <w:p w14:paraId="6B8247DF" w14:textId="6E94F72E" w:rsidR="00FA004E" w:rsidRPr="00B417BF" w:rsidRDefault="00FA004E" w:rsidP="00FD09B1">
      <w:pPr>
        <w:pStyle w:val="ListParagraph"/>
        <w:numPr>
          <w:ilvl w:val="0"/>
          <w:numId w:val="19"/>
        </w:numPr>
        <w:spacing w:line="480" w:lineRule="auto"/>
      </w:pPr>
      <w:r w:rsidRPr="00B417BF">
        <w:t>What are the coping mechanisms and support services used by first year PA and Dental students?</w:t>
      </w:r>
    </w:p>
    <w:p w14:paraId="000C2D14" w14:textId="1F11993A" w:rsidR="00FA004E" w:rsidRPr="00B417BF" w:rsidRDefault="00FA004E" w:rsidP="00FD09B1">
      <w:pPr>
        <w:pStyle w:val="ListParagraph"/>
        <w:numPr>
          <w:ilvl w:val="0"/>
          <w:numId w:val="19"/>
        </w:numPr>
        <w:spacing w:line="480" w:lineRule="auto"/>
      </w:pPr>
      <w:r w:rsidRPr="00B417BF">
        <w:t xml:space="preserve">What </w:t>
      </w:r>
      <w:r w:rsidR="00D53B3D" w:rsidRPr="00B417BF">
        <w:t>is the relationship</w:t>
      </w:r>
      <w:r w:rsidRPr="00B417BF">
        <w:t xml:space="preserve"> between coping mechanisms</w:t>
      </w:r>
      <w:r w:rsidR="00D53B3D" w:rsidRPr="00B417BF">
        <w:t xml:space="preserve"> and</w:t>
      </w:r>
      <w:r w:rsidRPr="00B417BF">
        <w:t xml:space="preserve"> academic performance </w:t>
      </w:r>
      <w:r w:rsidR="00D53B3D" w:rsidRPr="00B417BF">
        <w:t xml:space="preserve">among </w:t>
      </w:r>
      <w:r w:rsidRPr="00B417BF">
        <w:t>first year PA and Dental students?</w:t>
      </w:r>
    </w:p>
    <w:p w14:paraId="57191947" w14:textId="44865D0F" w:rsidR="009258BC" w:rsidRPr="00B417BF" w:rsidRDefault="00FA004E" w:rsidP="00FD09B1">
      <w:pPr>
        <w:pStyle w:val="ListParagraph"/>
        <w:numPr>
          <w:ilvl w:val="0"/>
          <w:numId w:val="19"/>
        </w:numPr>
        <w:spacing w:line="480" w:lineRule="auto"/>
      </w:pPr>
      <w:r w:rsidRPr="00B417BF">
        <w:t xml:space="preserve">What </w:t>
      </w:r>
      <w:r w:rsidR="009258BC" w:rsidRPr="00B417BF">
        <w:t>is the relationship between</w:t>
      </w:r>
      <w:r w:rsidR="00D53B3D" w:rsidRPr="00B417BF">
        <w:t xml:space="preserve"> </w:t>
      </w:r>
      <w:r w:rsidR="009258BC" w:rsidRPr="00B417BF">
        <w:t>utilization of support services and academic performance among first year PA and Dental students?</w:t>
      </w:r>
      <w:r w:rsidRPr="00B417BF">
        <w:t xml:space="preserve"> </w:t>
      </w:r>
    </w:p>
    <w:p w14:paraId="125B8AE7" w14:textId="23BD131E" w:rsidR="009258BC" w:rsidRPr="00B417BF" w:rsidRDefault="009258BC" w:rsidP="00FD09B1">
      <w:pPr>
        <w:pStyle w:val="ListParagraph"/>
        <w:numPr>
          <w:ilvl w:val="0"/>
          <w:numId w:val="19"/>
        </w:numPr>
        <w:spacing w:line="480" w:lineRule="auto"/>
      </w:pPr>
      <w:r w:rsidRPr="00B417BF">
        <w:t xml:space="preserve">What are the coping mechanisms of </w:t>
      </w:r>
      <w:r w:rsidR="002E6792">
        <w:t>minimally competent, barely passing</w:t>
      </w:r>
      <w:r w:rsidRPr="00B417BF">
        <w:t xml:space="preserve"> (M</w:t>
      </w:r>
      <w:r w:rsidR="00FF39C1">
        <w:t>CBP</w:t>
      </w:r>
      <w:r w:rsidRPr="00B417BF">
        <w:t>) first year PA and Dental students?</w:t>
      </w:r>
    </w:p>
    <w:p w14:paraId="2EC5EB08" w14:textId="3283BC14" w:rsidR="00FA004E" w:rsidRPr="00B417BF" w:rsidRDefault="00FA004E" w:rsidP="00FA004E">
      <w:pPr>
        <w:spacing w:line="480" w:lineRule="auto"/>
        <w:rPr>
          <w:rFonts w:asciiTheme="minorHAnsi" w:hAnsiTheme="minorHAnsi"/>
        </w:rPr>
      </w:pPr>
    </w:p>
    <w:p w14:paraId="325EE9F2" w14:textId="77777777" w:rsidR="00FA004E" w:rsidRPr="00B417BF" w:rsidRDefault="00FA004E" w:rsidP="00FA004E">
      <w:pPr>
        <w:spacing w:line="480" w:lineRule="auto"/>
        <w:rPr>
          <w:rFonts w:asciiTheme="minorHAnsi" w:hAnsiTheme="minorHAnsi"/>
        </w:rPr>
      </w:pPr>
    </w:p>
    <w:p w14:paraId="7E41B078" w14:textId="77777777" w:rsidR="00FA004E" w:rsidRPr="00B417BF" w:rsidRDefault="00FA004E" w:rsidP="00FA004E">
      <w:pPr>
        <w:spacing w:line="480" w:lineRule="auto"/>
        <w:rPr>
          <w:rFonts w:asciiTheme="minorHAnsi" w:hAnsiTheme="minorHAnsi"/>
        </w:rPr>
      </w:pPr>
    </w:p>
    <w:p w14:paraId="391BD757" w14:textId="472686BC" w:rsidR="00370897" w:rsidRPr="00B417BF" w:rsidRDefault="00370897">
      <w:pPr>
        <w:rPr>
          <w:rFonts w:asciiTheme="minorHAnsi" w:hAnsiTheme="minorHAnsi"/>
          <w:b/>
        </w:rPr>
      </w:pPr>
      <w:r w:rsidRPr="00B417BF">
        <w:rPr>
          <w:rFonts w:asciiTheme="minorHAnsi" w:hAnsiTheme="minorHAnsi"/>
          <w:b/>
        </w:rPr>
        <w:br w:type="page"/>
      </w:r>
    </w:p>
    <w:p w14:paraId="2C0BACA5" w14:textId="77777777" w:rsidR="00FA004E" w:rsidRPr="00B417BF" w:rsidRDefault="00FA004E" w:rsidP="00FA004E">
      <w:pPr>
        <w:spacing w:line="480" w:lineRule="auto"/>
        <w:rPr>
          <w:rFonts w:asciiTheme="minorHAnsi" w:hAnsiTheme="minorHAnsi"/>
          <w:b/>
        </w:rPr>
      </w:pPr>
    </w:p>
    <w:p w14:paraId="053F832A" w14:textId="56EB0151" w:rsidR="00FA004E" w:rsidRPr="00B417BF" w:rsidRDefault="00FA004E" w:rsidP="00370897">
      <w:pPr>
        <w:spacing w:line="480" w:lineRule="auto"/>
        <w:jc w:val="center"/>
        <w:outlineLvl w:val="0"/>
        <w:rPr>
          <w:rFonts w:asciiTheme="minorHAnsi" w:hAnsiTheme="minorHAnsi"/>
          <w:b/>
        </w:rPr>
      </w:pPr>
      <w:r w:rsidRPr="00B417BF">
        <w:rPr>
          <w:rFonts w:asciiTheme="minorHAnsi" w:hAnsiTheme="minorHAnsi"/>
          <w:b/>
        </w:rPr>
        <w:t>Chapter 2</w:t>
      </w:r>
    </w:p>
    <w:p w14:paraId="109E764B" w14:textId="77777777" w:rsidR="00370897" w:rsidRPr="00B417BF" w:rsidRDefault="00370897" w:rsidP="00370897">
      <w:pPr>
        <w:spacing w:line="480" w:lineRule="auto"/>
        <w:jc w:val="center"/>
        <w:outlineLvl w:val="0"/>
        <w:rPr>
          <w:rFonts w:asciiTheme="minorHAnsi" w:hAnsiTheme="minorHAnsi"/>
        </w:rPr>
      </w:pPr>
    </w:p>
    <w:p w14:paraId="709798A7" w14:textId="77777777" w:rsidR="00FA004E" w:rsidRPr="00B417BF" w:rsidRDefault="00FA004E" w:rsidP="00FA004E">
      <w:pPr>
        <w:spacing w:line="480" w:lineRule="auto"/>
        <w:rPr>
          <w:rFonts w:asciiTheme="minorHAnsi" w:hAnsiTheme="minorHAnsi"/>
        </w:rPr>
      </w:pPr>
      <w:r w:rsidRPr="00B417BF">
        <w:rPr>
          <w:rFonts w:asciiTheme="minorHAnsi" w:hAnsiTheme="minorHAnsi"/>
          <w:b/>
        </w:rPr>
        <w:t>Education and Contextual Background</w:t>
      </w:r>
      <w:r w:rsidRPr="00B417BF">
        <w:rPr>
          <w:rFonts w:asciiTheme="minorHAnsi" w:hAnsiTheme="minorHAnsi"/>
        </w:rPr>
        <w:t>:</w:t>
      </w:r>
    </w:p>
    <w:p w14:paraId="69AC6149" w14:textId="233D3AF9" w:rsidR="00FD09B1" w:rsidRDefault="00FA004E" w:rsidP="00FA004E">
      <w:pPr>
        <w:pStyle w:val="Bibliography"/>
        <w:tabs>
          <w:tab w:val="left" w:pos="0"/>
        </w:tabs>
        <w:spacing w:line="480" w:lineRule="auto"/>
        <w:ind w:left="0" w:firstLine="0"/>
      </w:pPr>
      <w:r w:rsidRPr="00B417BF">
        <w:t xml:space="preserve">Traditionally, medical courses including </w:t>
      </w:r>
      <w:r w:rsidR="0027120E">
        <w:t>Clinical Anatomy</w:t>
      </w:r>
      <w:r w:rsidRPr="00B417BF">
        <w:t xml:space="preserve"> are instructed with an emphasis</w:t>
      </w:r>
      <w:r w:rsidR="0094133E" w:rsidRPr="00B417BF">
        <w:t xml:space="preserve"> on</w:t>
      </w:r>
      <w:r w:rsidRPr="00B417BF">
        <w:t xml:space="preserve"> behaviorist theory.  This involves a significant amount of direction by instructors as to what content is presented and, hopefully, learned during the course.  Feedback is frequent and designed around correctness of responses.  This approach is usually prevalent when students are novice learners.  </w:t>
      </w:r>
    </w:p>
    <w:p w14:paraId="02C839EE" w14:textId="0D683DCA" w:rsidR="00FA004E" w:rsidRPr="00B417BF" w:rsidRDefault="00FA004E" w:rsidP="00FA004E">
      <w:pPr>
        <w:pStyle w:val="Bibliography"/>
        <w:tabs>
          <w:tab w:val="left" w:pos="0"/>
        </w:tabs>
        <w:spacing w:line="480" w:lineRule="auto"/>
        <w:ind w:left="0" w:firstLine="0"/>
      </w:pPr>
      <w:r w:rsidRPr="00B417BF">
        <w:t xml:space="preserve">Behaviorism lends itself to surface knowledge and fact retrieval, but the behaviorist approach offers students little control or ability to impact the curriculum since it is directly based on test and performance results.  This type of curriculum has a long history based on the advancement of industrialized techniques </w:t>
      </w:r>
      <w:r w:rsidR="00FD09B1">
        <w:t>used by</w:t>
      </w:r>
      <w:r w:rsidRPr="00B417BF">
        <w:t xml:space="preserve"> </w:t>
      </w:r>
      <w:r w:rsidR="008F3B40">
        <w:t xml:space="preserve">B.F. </w:t>
      </w:r>
      <w:r w:rsidRPr="00B417BF">
        <w:t>Skinner</w:t>
      </w:r>
      <w:r w:rsidR="00C42375">
        <w:t>.</w:t>
      </w:r>
      <w:r w:rsidRPr="00B417BF">
        <w:fldChar w:fldCharType="begin"/>
      </w:r>
      <w:r w:rsidR="00C42165">
        <w:instrText xml:space="preserve"> ADDIN ZOTERO_ITEM CSL_CITATION {"citationID":"a187o8dfq1s","properties":{"formattedCitation":"\\super 16\\nosupersub{}","plainCitation":"16","noteIndex":0},"citationItems":[{"id":788,"uris":["http://zotero.org/users/1143701/items/35MGDXYY"],"uri":["http://zotero.org/users/1143701/items/35MGDXYY"],"itemData":{"id":788,"type":"book","title":"The Technology of Teaching","publisher":"B. F. Skinner Foundation","number-of-pages":"252","source":"Google Books","abstract":"On Parent&amp;#39;s Day, in 1952, B. F. Skinner visited his daughter&amp;#39;s fourth grade math class. As he watched the lesson, he became increasingly uncomfortable. Almost every principle of effective teaching that he had studied for more than 20 years was being violated in that classroom. Yet it was a typical class. The teacher showed how to solve the day&amp;#39;s problems, then gave the students a worksheet to do. Some children began to work readily while others shifted uncomfortably in their chairs, or raised their hands for help. The teacher went from desk to desk, giving help and feedback. Skinner knew what was needed. Each student should be given a problem tailored precisely to his or her skill level, not to the class average, and every answer needed to be assessed immediately to determine the next step. The task was clearly impossible for one teacher. That afternoon, Skinner set to work on a teaching machine. Today&amp;#39;s computers have made the mechanical machine obsolete, but the principles of how to design instruction in steps that lead from a basic level to competent performance are as valid today as they were in the 20th century. This book brings together Skinner&amp;#39;s writings on education during the years he was most involved in improving education.","ISBN":"978-0-9964539-2-9","note":"Google-Books-ID: 3WELDAAAQBAJ","language":"en","author":[{"family":"Skinner","given":"B. F."}],"issued":{"date-parts":[["2016",4,26]]}}}],"schema":"https://github.com/citation-style-language/schema/raw/master/csl-citation.json"} </w:instrText>
      </w:r>
      <w:r w:rsidRPr="00B417BF">
        <w:fldChar w:fldCharType="separate"/>
      </w:r>
      <w:r w:rsidR="001A780A" w:rsidRPr="001A780A">
        <w:rPr>
          <w:rFonts w:ascii="Cambria" w:cs="Times New Roman"/>
          <w:vertAlign w:val="superscript"/>
        </w:rPr>
        <w:t>16</w:t>
      </w:r>
      <w:r w:rsidRPr="00B417BF">
        <w:fldChar w:fldCharType="end"/>
      </w:r>
      <w:r w:rsidR="00A269E3">
        <w:t xml:space="preserve"> </w:t>
      </w:r>
      <w:r w:rsidRPr="00B417BF">
        <w:t xml:space="preserve"> Greatly influenced by the mechanization of the twentieth century, Skinner brought hypothesis-based research in contro</w:t>
      </w:r>
      <w:r w:rsidR="007A0B8E">
        <w:t>lled environments to education</w:t>
      </w:r>
      <w:r w:rsidRPr="00B417BF">
        <w:t xml:space="preserve">.  His </w:t>
      </w:r>
      <w:r w:rsidR="0094133E" w:rsidRPr="00B417BF">
        <w:t>emphasis on</w:t>
      </w:r>
      <w:r w:rsidRPr="00B417BF">
        <w:t xml:space="preserve"> implementing step-by-step tasks with immediate feedback as a measure of mastery continues to be influential in most medical programs.  Skinner</w:t>
      </w:r>
      <w:r w:rsidR="009E17F0" w:rsidRPr="00B417BF">
        <w:t>’</w:t>
      </w:r>
      <w:r w:rsidRPr="00B417BF">
        <w:t>s influence in the study of human behavior is well know</w:t>
      </w:r>
      <w:r w:rsidR="009E17F0" w:rsidRPr="00B417BF">
        <w:t>n</w:t>
      </w:r>
      <w:r w:rsidRPr="00B417BF">
        <w:t xml:space="preserve"> in the medical literature and easily accessible to instructors looking for guidance when developing curriculum.</w:t>
      </w:r>
    </w:p>
    <w:p w14:paraId="56630B4B" w14:textId="77777777" w:rsidR="00FA004E" w:rsidRPr="00B417BF" w:rsidRDefault="00FA004E" w:rsidP="00FA004E">
      <w:pPr>
        <w:spacing w:line="480" w:lineRule="auto"/>
        <w:rPr>
          <w:rFonts w:asciiTheme="minorHAnsi" w:hAnsiTheme="minorHAnsi"/>
        </w:rPr>
      </w:pPr>
    </w:p>
    <w:p w14:paraId="30B5200E" w14:textId="243A59E0" w:rsidR="00FA004E" w:rsidRPr="00B417BF" w:rsidRDefault="0027120E" w:rsidP="00FA004E">
      <w:pPr>
        <w:spacing w:line="480" w:lineRule="auto"/>
        <w:rPr>
          <w:rFonts w:asciiTheme="minorHAnsi" w:hAnsiTheme="minorHAnsi"/>
        </w:rPr>
      </w:pPr>
      <w:r>
        <w:rPr>
          <w:rFonts w:asciiTheme="minorHAnsi" w:hAnsiTheme="minorHAnsi"/>
        </w:rPr>
        <w:lastRenderedPageBreak/>
        <w:t>Clinical Anatomy</w:t>
      </w:r>
      <w:r w:rsidR="00FA004E" w:rsidRPr="00B417BF">
        <w:rPr>
          <w:rFonts w:asciiTheme="minorHAnsi" w:hAnsiTheme="minorHAnsi"/>
        </w:rPr>
        <w:t xml:space="preserve"> courses are considered foundational for all other systems and clinical coursework to follow.  </w:t>
      </w:r>
      <w:r w:rsidR="009E17F0" w:rsidRPr="00B417BF">
        <w:rPr>
          <w:rFonts w:asciiTheme="minorHAnsi" w:hAnsiTheme="minorHAnsi"/>
        </w:rPr>
        <w:t>It can be argued</w:t>
      </w:r>
      <w:r w:rsidR="00FA004E" w:rsidRPr="00B417BF">
        <w:rPr>
          <w:rFonts w:asciiTheme="minorHAnsi" w:hAnsiTheme="minorHAnsi"/>
        </w:rPr>
        <w:t xml:space="preserve"> that</w:t>
      </w:r>
      <w:r w:rsidR="0094133E" w:rsidRPr="00B417BF">
        <w:rPr>
          <w:rFonts w:asciiTheme="minorHAnsi" w:hAnsiTheme="minorHAnsi"/>
        </w:rPr>
        <w:t>,</w:t>
      </w:r>
      <w:r w:rsidR="00FA004E" w:rsidRPr="00B417BF">
        <w:rPr>
          <w:rFonts w:asciiTheme="minorHAnsi" w:hAnsiTheme="minorHAnsi"/>
        </w:rPr>
        <w:t xml:space="preserve"> without the vocabulary and knowledge of</w:t>
      </w:r>
      <w:r w:rsidR="00D94D81" w:rsidRPr="00B417BF">
        <w:rPr>
          <w:rFonts w:asciiTheme="minorHAnsi" w:hAnsiTheme="minorHAnsi"/>
        </w:rPr>
        <w:t xml:space="preserve"> </w:t>
      </w:r>
      <w:r>
        <w:rPr>
          <w:rFonts w:asciiTheme="minorHAnsi" w:hAnsiTheme="minorHAnsi"/>
        </w:rPr>
        <w:t>Clinical Anatomy</w:t>
      </w:r>
      <w:r w:rsidR="00D94D81" w:rsidRPr="00B417BF">
        <w:rPr>
          <w:rFonts w:asciiTheme="minorHAnsi" w:hAnsiTheme="minorHAnsi"/>
        </w:rPr>
        <w:t>, students can</w:t>
      </w:r>
      <w:r w:rsidR="00FA004E" w:rsidRPr="00B417BF">
        <w:rPr>
          <w:rFonts w:asciiTheme="minorHAnsi" w:hAnsiTheme="minorHAnsi"/>
        </w:rPr>
        <w:t>not succeed in further coursewor</w:t>
      </w:r>
      <w:r w:rsidR="00FD09B1">
        <w:rPr>
          <w:rFonts w:asciiTheme="minorHAnsi" w:hAnsiTheme="minorHAnsi"/>
        </w:rPr>
        <w:t>k requiring advanced cognitive</w:t>
      </w:r>
      <w:r w:rsidR="00FA004E" w:rsidRPr="00B417BF">
        <w:rPr>
          <w:rFonts w:asciiTheme="minorHAnsi" w:hAnsiTheme="minorHAnsi"/>
        </w:rPr>
        <w:t xml:space="preserve"> processing</w:t>
      </w:r>
      <w:r w:rsidR="00FD09B1">
        <w:rPr>
          <w:rFonts w:asciiTheme="minorHAnsi" w:hAnsiTheme="minorHAnsi"/>
        </w:rPr>
        <w:t>.  Utilizing</w:t>
      </w:r>
      <w:r w:rsidR="00FA004E" w:rsidRPr="00B417BF">
        <w:rPr>
          <w:rFonts w:asciiTheme="minorHAnsi" w:hAnsiTheme="minorHAnsi"/>
        </w:rPr>
        <w:t xml:space="preserve"> behaviorist theories allows instructors to quickly assess recall, performance and n</w:t>
      </w:r>
      <w:r w:rsidR="00FD09B1">
        <w:rPr>
          <w:rFonts w:asciiTheme="minorHAnsi" w:hAnsiTheme="minorHAnsi"/>
        </w:rPr>
        <w:t xml:space="preserve">eed for remediation of concepts.  </w:t>
      </w:r>
      <w:r w:rsidR="00FA004E" w:rsidRPr="00B417BF">
        <w:rPr>
          <w:rFonts w:asciiTheme="minorHAnsi" w:hAnsiTheme="minorHAnsi"/>
        </w:rPr>
        <w:t xml:space="preserve">As medical schools have redesigned their curriculum to include increased amounts of material while staying within limits of instructional course hours, behaviorism has remained the </w:t>
      </w:r>
      <w:r w:rsidR="0094133E" w:rsidRPr="00B417BF">
        <w:rPr>
          <w:rFonts w:asciiTheme="minorHAnsi" w:hAnsiTheme="minorHAnsi"/>
        </w:rPr>
        <w:t>dominant</w:t>
      </w:r>
      <w:r w:rsidR="00FA004E" w:rsidRPr="00B417BF">
        <w:rPr>
          <w:rFonts w:asciiTheme="minorHAnsi" w:hAnsiTheme="minorHAnsi"/>
        </w:rPr>
        <w:t xml:space="preserve"> </w:t>
      </w:r>
      <w:r w:rsidR="0094133E" w:rsidRPr="00B417BF">
        <w:rPr>
          <w:rFonts w:asciiTheme="minorHAnsi" w:hAnsiTheme="minorHAnsi"/>
        </w:rPr>
        <w:t xml:space="preserve">theory underlying the </w:t>
      </w:r>
      <w:r w:rsidR="00FA004E" w:rsidRPr="00B417BF">
        <w:rPr>
          <w:rFonts w:asciiTheme="minorHAnsi" w:hAnsiTheme="minorHAnsi"/>
        </w:rPr>
        <w:t>method of delivery</w:t>
      </w:r>
      <w:r w:rsidR="00C42375">
        <w:rPr>
          <w:rFonts w:asciiTheme="minorHAnsi" w:hAnsiTheme="minorHAnsi"/>
        </w:rPr>
        <w:t>.</w:t>
      </w:r>
      <w:r w:rsidR="00FA004E" w:rsidRPr="00B417BF">
        <w:rPr>
          <w:rFonts w:asciiTheme="minorHAnsi" w:hAnsiTheme="minorHAnsi"/>
        </w:rPr>
        <w:fldChar w:fldCharType="begin"/>
      </w:r>
      <w:r w:rsidR="00C42165">
        <w:rPr>
          <w:rFonts w:asciiTheme="minorHAnsi" w:hAnsiTheme="minorHAnsi"/>
        </w:rPr>
        <w:instrText xml:space="preserve"> ADDIN ZOTERO_ITEM CSL_CITATION {"citationID":"ldc8Wp39","properties":{"formattedCitation":"\\super 17\\nosupersub{}","plainCitation":"17","noteIndex":0},"citationItems":[{"id":712,"uris":["http://zotero.org/users/1143701/items/4WD8XBAK"],"uri":["http://zotero.org/users/1143701/items/4WD8XBAK"],"itemData":{"id":712,"type":"article-journal","title":"“Genes to society”—the logic and process of the new curriculum for the Johns Hopkins University School of Medicine","container-title":"Academic Medicine","page":"498–506","volume":"85","issue":"3","source":"Google Scholar","URL":"http://journals.lww.com/academicmedicine/Abstract/2010/03000/_Genes_to_Society__The_Logic_and_Process_of_the.28.aspx","author":[{"family":"Wiener","given":"Charles M."},{"family":"Thomas","given":"Patricia A."},{"family":"Goodspeed","given":"Elizabeth"},{"family":"Valle","given":"David"},{"family":"Nichols","given":"David G."}],"issued":{"date-parts":[["2010"]]},"accessed":{"date-parts":[["2017",10,14]]}}}],"schema":"https://github.com/citation-style-language/schema/raw/master/csl-citation.json"} </w:instrText>
      </w:r>
      <w:r w:rsidR="00FA004E" w:rsidRPr="00B417BF">
        <w:rPr>
          <w:rFonts w:asciiTheme="minorHAnsi" w:hAnsiTheme="minorHAnsi"/>
        </w:rPr>
        <w:fldChar w:fldCharType="separate"/>
      </w:r>
      <w:r w:rsidR="001A780A" w:rsidRPr="001A780A">
        <w:rPr>
          <w:rFonts w:ascii="Cambria" w:hAnsiTheme="minorHAnsi"/>
          <w:vertAlign w:val="superscript"/>
        </w:rPr>
        <w:t>17</w:t>
      </w:r>
      <w:r w:rsidR="00FA004E" w:rsidRPr="00B417BF">
        <w:rPr>
          <w:rFonts w:asciiTheme="minorHAnsi" w:hAnsiTheme="minorHAnsi"/>
        </w:rPr>
        <w:fldChar w:fldCharType="end"/>
      </w:r>
      <w:r w:rsidR="00361B7C">
        <w:rPr>
          <w:rFonts w:asciiTheme="minorHAnsi" w:hAnsiTheme="minorHAnsi"/>
        </w:rPr>
        <w:t xml:space="preserve">  As recent as the early 2000</w:t>
      </w:r>
      <w:r w:rsidR="00FA004E" w:rsidRPr="00B417BF">
        <w:rPr>
          <w:rFonts w:asciiTheme="minorHAnsi" w:hAnsiTheme="minorHAnsi"/>
        </w:rPr>
        <w:t>s, major medical schools were basing the majority of content, presentation, and evaluation of the four-year curriculum on a behaviorist model</w:t>
      </w:r>
      <w:r w:rsidR="00C42375">
        <w:rPr>
          <w:rFonts w:asciiTheme="minorHAnsi" w:hAnsiTheme="minorHAnsi"/>
        </w:rPr>
        <w:t>.</w:t>
      </w:r>
      <w:r w:rsidR="00FA004E" w:rsidRPr="00B417BF">
        <w:rPr>
          <w:rFonts w:asciiTheme="minorHAnsi" w:hAnsiTheme="minorHAnsi"/>
        </w:rPr>
        <w:fldChar w:fldCharType="begin"/>
      </w:r>
      <w:r w:rsidR="00C42165">
        <w:rPr>
          <w:rFonts w:asciiTheme="minorHAnsi" w:hAnsiTheme="minorHAnsi"/>
        </w:rPr>
        <w:instrText xml:space="preserve"> ADDIN ZOTERO_ITEM CSL_CITATION {"citationID":"apVvBNcw","properties":{"formattedCitation":"\\super 18\\nosupersub{}","plainCitation":"18","noteIndex":0},"citationItems":[{"id":716,"uris":["http://zotero.org/users/1143701/items/N2ZFRVPN"],"uri":["http://zotero.org/users/1143701/items/N2ZFRVPN"],"itemData":{"id":716,"type":"article-journal","title":"Putting It All Together: Building a Four-year Curriculum","container-title":"Academic Medicine","page":"S90–S92","volume":"75","issue":"7","source":"Google Scholar","URL":"http://journals.lww.com/academicmedicine/Abstract/2000/07001/Putting_It_All_Together__Building_a_Four_year.14.aspx","shortTitle":"Putting It All Together","author":[{"family":"Dismuke","given":"S. Edwards"},{"family":"McClary","given":"Alicia M."}],"issued":{"date-parts":[["2000"]]},"accessed":{"date-parts":[["2017",10,14]]}}}],"schema":"https://github.com/citation-style-language/schema/raw/master/csl-citation.json"} </w:instrText>
      </w:r>
      <w:r w:rsidR="00FA004E" w:rsidRPr="00B417BF">
        <w:rPr>
          <w:rFonts w:asciiTheme="minorHAnsi" w:hAnsiTheme="minorHAnsi"/>
        </w:rPr>
        <w:fldChar w:fldCharType="separate"/>
      </w:r>
      <w:r w:rsidR="001A780A" w:rsidRPr="001A780A">
        <w:rPr>
          <w:rFonts w:ascii="Cambria" w:hAnsiTheme="minorHAnsi"/>
          <w:vertAlign w:val="superscript"/>
        </w:rPr>
        <w:t>18</w:t>
      </w:r>
      <w:r w:rsidR="00FA004E" w:rsidRPr="00B417BF">
        <w:rPr>
          <w:rFonts w:asciiTheme="minorHAnsi" w:hAnsiTheme="minorHAnsi"/>
        </w:rPr>
        <w:fldChar w:fldCharType="end"/>
      </w:r>
    </w:p>
    <w:p w14:paraId="2F9B8178" w14:textId="77777777" w:rsidR="00FA004E" w:rsidRPr="00B417BF" w:rsidRDefault="00FA004E" w:rsidP="00FA004E">
      <w:pPr>
        <w:spacing w:line="480" w:lineRule="auto"/>
        <w:rPr>
          <w:rFonts w:asciiTheme="minorHAnsi" w:hAnsiTheme="minorHAnsi"/>
        </w:rPr>
      </w:pPr>
    </w:p>
    <w:p w14:paraId="7BC29DE6" w14:textId="7F0C1614" w:rsidR="00FA004E" w:rsidRPr="00B417BF" w:rsidRDefault="00FA004E" w:rsidP="00FA004E">
      <w:pPr>
        <w:spacing w:line="480" w:lineRule="auto"/>
        <w:rPr>
          <w:rFonts w:asciiTheme="minorHAnsi" w:hAnsiTheme="minorHAnsi"/>
          <w:color w:val="FF0000"/>
        </w:rPr>
      </w:pPr>
      <w:r w:rsidRPr="00B417BF">
        <w:rPr>
          <w:rFonts w:asciiTheme="minorHAnsi" w:hAnsiTheme="minorHAnsi"/>
        </w:rPr>
        <w:t xml:space="preserve">The condensed format of </w:t>
      </w:r>
      <w:r w:rsidR="0027120E">
        <w:rPr>
          <w:rFonts w:asciiTheme="minorHAnsi" w:hAnsiTheme="minorHAnsi"/>
        </w:rPr>
        <w:t>Clinical Anatomy</w:t>
      </w:r>
      <w:r w:rsidRPr="00B417BF">
        <w:rPr>
          <w:rFonts w:asciiTheme="minorHAnsi" w:hAnsiTheme="minorHAnsi"/>
        </w:rPr>
        <w:t xml:space="preserve"> courses is another rationale for the use of a behavioristic approach.  </w:t>
      </w:r>
      <w:r w:rsidR="0094133E" w:rsidRPr="00B417BF">
        <w:rPr>
          <w:rFonts w:asciiTheme="minorHAnsi" w:hAnsiTheme="minorHAnsi"/>
        </w:rPr>
        <w:t>P</w:t>
      </w:r>
      <w:r w:rsidRPr="00B417BF">
        <w:rPr>
          <w:rFonts w:asciiTheme="minorHAnsi" w:hAnsiTheme="minorHAnsi"/>
        </w:rPr>
        <w:t>rograms nationw</w:t>
      </w:r>
      <w:r w:rsidR="00FD09B1">
        <w:rPr>
          <w:rFonts w:asciiTheme="minorHAnsi" w:hAnsiTheme="minorHAnsi"/>
        </w:rPr>
        <w:t>ide have condensed their Gross A</w:t>
      </w:r>
      <w:r w:rsidRPr="00B417BF">
        <w:rPr>
          <w:rFonts w:asciiTheme="minorHAnsi" w:hAnsiTheme="minorHAnsi"/>
        </w:rPr>
        <w:t xml:space="preserve">natomy and </w:t>
      </w:r>
      <w:r w:rsidR="0027120E">
        <w:rPr>
          <w:rFonts w:asciiTheme="minorHAnsi" w:hAnsiTheme="minorHAnsi"/>
        </w:rPr>
        <w:t xml:space="preserve">Clinical </w:t>
      </w:r>
      <w:r w:rsidR="009651F9">
        <w:rPr>
          <w:rFonts w:asciiTheme="minorHAnsi" w:hAnsiTheme="minorHAnsi"/>
        </w:rPr>
        <w:t>Anatomy</w:t>
      </w:r>
      <w:r w:rsidRPr="00B417BF">
        <w:rPr>
          <w:rFonts w:asciiTheme="minorHAnsi" w:hAnsiTheme="minorHAnsi"/>
        </w:rPr>
        <w:t xml:space="preserve"> courses into shorter time frames.  While this has had </w:t>
      </w:r>
      <w:r w:rsidR="0094133E" w:rsidRPr="00B417BF">
        <w:rPr>
          <w:rFonts w:asciiTheme="minorHAnsi" w:hAnsiTheme="minorHAnsi"/>
        </w:rPr>
        <w:t>little</w:t>
      </w:r>
      <w:r w:rsidRPr="00B417BF">
        <w:rPr>
          <w:rFonts w:asciiTheme="minorHAnsi" w:hAnsiTheme="minorHAnsi"/>
        </w:rPr>
        <w:t xml:space="preserve"> effect on board pass rates or overall academic outcomes, </w:t>
      </w:r>
      <w:r w:rsidR="0094133E" w:rsidRPr="00B417BF">
        <w:rPr>
          <w:rFonts w:asciiTheme="minorHAnsi" w:hAnsiTheme="minorHAnsi"/>
        </w:rPr>
        <w:t xml:space="preserve">compressing curricula into an ever-smaller time frame </w:t>
      </w:r>
      <w:r w:rsidRPr="00B417BF">
        <w:rPr>
          <w:rFonts w:asciiTheme="minorHAnsi" w:hAnsiTheme="minorHAnsi"/>
        </w:rPr>
        <w:t>lends itself to using a more behaviorist approach.</w:t>
      </w:r>
      <w:r w:rsidR="00777CEC">
        <w:rPr>
          <w:rFonts w:asciiTheme="minorHAnsi" w:hAnsiTheme="minorHAnsi"/>
          <w:highlight w:val="yellow"/>
        </w:rPr>
        <w:fldChar w:fldCharType="begin"/>
      </w:r>
      <w:r w:rsidR="00777CEC">
        <w:rPr>
          <w:rFonts w:asciiTheme="minorHAnsi" w:hAnsiTheme="minorHAnsi"/>
          <w:highlight w:val="yellow"/>
        </w:rPr>
        <w:instrText xml:space="preserve"> ADDIN ZOTERO_ITEM CSL_CITATION {"citationID":"a1b9h86sj5k","properties":{"formattedCitation":"\\super 19\\nosupersub{}","plainCitation":"19","noteIndex":0},"citationItems":[{"id":1065,"uris":["http://zotero.org/users/1143701/items/5DKQ9AXH"],"uri":["http://zotero.org/users/1143701/items/5DKQ9AXH"],"itemData":{"id":1065,"type":"article-journal","title":"Medical education in the anatomical sciences: The winds of change continue to blow","container-title":"Anatomical Sciences Education","page":"253-259","volume":"2","issue":"6","source":"CrossRef","URL":"http://doi.wiley.com/10.1002/ase.117","DOI":"10.1002/ase.117","ISSN":"19359772, 19359780","shortTitle":"Medical education in the anatomical sciences","language":"en","author":[{"family":"Drake","given":"Richard L."},{"family":"McBride","given":"Jennifer M."},{"family":"Lachman","given":"Nirusha"},{"family":"Pawlina","given":"Wojciech"}],"issued":{"date-parts":[["2009",11]]},"accessed":{"date-parts":[["2018",3,18]]}}}],"schema":"https://github.com/citation-style-language/schema/raw/master/csl-citation.json"} </w:instrText>
      </w:r>
      <w:r w:rsidR="00777CEC">
        <w:rPr>
          <w:rFonts w:asciiTheme="minorHAnsi" w:hAnsiTheme="minorHAnsi"/>
          <w:highlight w:val="yellow"/>
        </w:rPr>
        <w:fldChar w:fldCharType="separate"/>
      </w:r>
      <w:r w:rsidR="00777CEC" w:rsidRPr="00777CEC">
        <w:rPr>
          <w:rFonts w:ascii="Cambria" w:hAnsiTheme="minorHAnsi"/>
          <w:vertAlign w:val="superscript"/>
        </w:rPr>
        <w:t>19</w:t>
      </w:r>
      <w:r w:rsidR="00777CEC">
        <w:rPr>
          <w:rFonts w:asciiTheme="minorHAnsi" w:hAnsiTheme="minorHAnsi"/>
        </w:rPr>
        <w:fldChar w:fldCharType="end"/>
      </w:r>
      <w:r w:rsidRPr="00B417BF">
        <w:rPr>
          <w:rFonts w:asciiTheme="minorHAnsi" w:hAnsiTheme="minorHAnsi"/>
        </w:rPr>
        <w:t xml:space="preserve"> </w:t>
      </w:r>
      <w:r w:rsidR="00FF39C1">
        <w:rPr>
          <w:rFonts w:asciiTheme="minorHAnsi" w:hAnsiTheme="minorHAnsi"/>
        </w:rPr>
        <w:t xml:space="preserve"> </w:t>
      </w:r>
      <w:r w:rsidRPr="00B417BF">
        <w:rPr>
          <w:rFonts w:asciiTheme="minorHAnsi" w:hAnsiTheme="minorHAnsi"/>
        </w:rPr>
        <w:t xml:space="preserve">Instructors can minimize the cognitive load for novice learners with direct and specific tasks for each learning objective.  Surface engagement and memorization of basic facts has been shown to be an effective strategy to manage foundational information in minimal time.  The assumption </w:t>
      </w:r>
      <w:r w:rsidR="0094133E" w:rsidRPr="00B417BF">
        <w:rPr>
          <w:rFonts w:asciiTheme="minorHAnsi" w:hAnsiTheme="minorHAnsi"/>
        </w:rPr>
        <w:t>is that</w:t>
      </w:r>
      <w:r w:rsidRPr="00B417BF">
        <w:rPr>
          <w:rFonts w:asciiTheme="minorHAnsi" w:hAnsiTheme="minorHAnsi"/>
        </w:rPr>
        <w:t xml:space="preserve"> information </w:t>
      </w:r>
      <w:r w:rsidR="0094133E" w:rsidRPr="00B417BF">
        <w:rPr>
          <w:rFonts w:asciiTheme="minorHAnsi" w:hAnsiTheme="minorHAnsi"/>
        </w:rPr>
        <w:t xml:space="preserve">learned </w:t>
      </w:r>
      <w:r w:rsidRPr="00B417BF">
        <w:rPr>
          <w:rFonts w:asciiTheme="minorHAnsi" w:hAnsiTheme="minorHAnsi"/>
        </w:rPr>
        <w:t>can be applied to deeper learning experiences later.</w:t>
      </w:r>
      <w:r w:rsidR="0040013A">
        <w:rPr>
          <w:rFonts w:asciiTheme="minorHAnsi" w:hAnsiTheme="minorHAnsi"/>
        </w:rPr>
        <w:fldChar w:fldCharType="begin"/>
      </w:r>
      <w:r w:rsidR="00A8221D">
        <w:rPr>
          <w:rFonts w:asciiTheme="minorHAnsi" w:hAnsiTheme="minorHAnsi"/>
        </w:rPr>
        <w:instrText xml:space="preserve"> ADDIN ZOTERO_ITEM CSL_CITATION {"citationID":"FTVIeQpy","properties":{"formattedCitation":"\\super 20\\nosupersub{}","plainCitation":"20","noteIndex":0},"citationItems":[{"id":590,"uris":["http://zotero.org/users/1143701/items/GBEWPVFR"],"uri":["http://zotero.org/users/1143701/items/GBEWPVFR"],"itemData":{"id":590,"type":"article-journal","title":"Do dental students use optimal study strategies?","container-title":"Journal of Dental Education","page":"33-37","volume":"79","issue":"1","source":"PubMed","abstract":"Research on human learning has shown that repeated retrieval practice or self-testing maximizes learning. However, recent studies have found undergraduate students to be largely unaware of the benefits of self-testing. The aim of this study was to examine dental students' study strategies and utilization of retrieval techniques for learning. All second-year dental students at New York University College of Dentistry were invited to participate. Of the total 360 students, 66 completed the two-question survey, for a response rate of 18.3%. The first question asked students to choose from a list of twelve study strategies the ones they used and to rank their top five in order of personal preference. Repeated reading was the most frequently used strategy with 83.3% of students reporting that they used it and 43.9% naming it as their top strategy. Of these students, 45.5% indicated that they self-tested while studying, but none indicated it was their number one strategy. The second question asked students how they would study after reading a textbook chapter for the first time. They were asked to choose one option from three possibilities: going back and restudying, self-testing (with the possibility of restudying afterward), or some other strategy. On this question, 25.8% chose restudying, 45.5% chose self-testing, and 28.8% indicated they would use another study strategy. Thus, 54.6% of the students reported they would not test themselves after reading a textbook chapter. Of those who chose self-testing, only seven students indicated they would do so to improve learning. The results of this study suggest that the students lacked sufficient awareness of the superiority of self-testing for learning.","ISSN":"1930-7837","note":"PMID: 25576550","journalAbbreviation":"J Dent Educ","language":"eng","author":[{"family":"McAndrew","given":"Maureen"},{"family":"Kamboj","given":"Rajit S."},{"family":"Pierre","given":"Gaëlle C."}],"issued":{"date-parts":[["2015",1]]}}}],"schema":"https://github.com/citation-style-language/schema/raw/master/csl-citation.json"} </w:instrText>
      </w:r>
      <w:r w:rsidR="0040013A">
        <w:rPr>
          <w:rFonts w:asciiTheme="minorHAnsi" w:hAnsiTheme="minorHAnsi"/>
        </w:rPr>
        <w:fldChar w:fldCharType="separate"/>
      </w:r>
      <w:r w:rsidR="00A8221D" w:rsidRPr="00A8221D">
        <w:rPr>
          <w:rFonts w:ascii="Cambria" w:hAnsiTheme="minorHAnsi"/>
          <w:vertAlign w:val="superscript"/>
        </w:rPr>
        <w:t>20</w:t>
      </w:r>
      <w:r w:rsidR="0040013A">
        <w:rPr>
          <w:rFonts w:asciiTheme="minorHAnsi" w:hAnsiTheme="minorHAnsi"/>
        </w:rPr>
        <w:fldChar w:fldCharType="end"/>
      </w:r>
    </w:p>
    <w:p w14:paraId="7430816E" w14:textId="77777777" w:rsidR="00FA004E" w:rsidRPr="00B417BF" w:rsidRDefault="00FA004E" w:rsidP="00FA004E">
      <w:pPr>
        <w:spacing w:line="480" w:lineRule="auto"/>
        <w:rPr>
          <w:rFonts w:asciiTheme="minorHAnsi" w:hAnsiTheme="minorHAnsi"/>
        </w:rPr>
      </w:pPr>
    </w:p>
    <w:p w14:paraId="03E242FD" w14:textId="50956267" w:rsidR="00FA004E" w:rsidRPr="00B417BF" w:rsidRDefault="00FD2BAE" w:rsidP="00FA004E">
      <w:pPr>
        <w:spacing w:line="480" w:lineRule="auto"/>
        <w:rPr>
          <w:rFonts w:asciiTheme="minorHAnsi" w:hAnsiTheme="minorHAnsi"/>
        </w:rPr>
      </w:pPr>
      <w:r>
        <w:rPr>
          <w:rFonts w:asciiTheme="minorHAnsi" w:hAnsiTheme="minorHAnsi"/>
        </w:rPr>
        <w:t>The</w:t>
      </w:r>
      <w:r w:rsidR="00FA004E" w:rsidRPr="00B417BF">
        <w:rPr>
          <w:rFonts w:asciiTheme="minorHAnsi" w:hAnsiTheme="minorHAnsi"/>
        </w:rPr>
        <w:t xml:space="preserve"> ultimate performance test for all medical professional programs is the licensure board exams.  These tests are historically rooted in and structured around recollection of memorized information.  Introduction to </w:t>
      </w:r>
      <w:r w:rsidR="0094133E" w:rsidRPr="00B417BF">
        <w:rPr>
          <w:rFonts w:asciiTheme="minorHAnsi" w:hAnsiTheme="minorHAnsi"/>
        </w:rPr>
        <w:t>recall-based</w:t>
      </w:r>
      <w:r w:rsidR="00FA004E" w:rsidRPr="00B417BF">
        <w:rPr>
          <w:rFonts w:asciiTheme="minorHAnsi" w:hAnsiTheme="minorHAnsi"/>
        </w:rPr>
        <w:t xml:space="preserve"> learning outcome</w:t>
      </w:r>
      <w:r w:rsidR="0094133E" w:rsidRPr="00B417BF">
        <w:rPr>
          <w:rFonts w:asciiTheme="minorHAnsi" w:hAnsiTheme="minorHAnsi"/>
        </w:rPr>
        <w:t>s</w:t>
      </w:r>
      <w:r w:rsidR="00FA004E" w:rsidRPr="00B417BF">
        <w:rPr>
          <w:rFonts w:asciiTheme="minorHAnsi" w:hAnsiTheme="minorHAnsi"/>
        </w:rPr>
        <w:t xml:space="preserve"> and expectation can familiarize students with study skills needed to pass their board exams.</w:t>
      </w:r>
    </w:p>
    <w:p w14:paraId="1A30984A" w14:textId="77777777" w:rsidR="00FA004E" w:rsidRPr="00B417BF" w:rsidRDefault="00FA004E" w:rsidP="00FA004E">
      <w:pPr>
        <w:spacing w:line="480" w:lineRule="auto"/>
        <w:rPr>
          <w:rFonts w:asciiTheme="minorHAnsi" w:hAnsiTheme="minorHAnsi"/>
        </w:rPr>
      </w:pPr>
    </w:p>
    <w:p w14:paraId="554F0115" w14:textId="7F74C082" w:rsidR="00FA004E" w:rsidRPr="00B417BF" w:rsidRDefault="00FA004E" w:rsidP="00FA004E">
      <w:pPr>
        <w:spacing w:line="480" w:lineRule="auto"/>
        <w:rPr>
          <w:rFonts w:asciiTheme="minorHAnsi" w:hAnsiTheme="minorHAnsi"/>
        </w:rPr>
      </w:pPr>
      <w:r w:rsidRPr="00B417BF">
        <w:rPr>
          <w:rFonts w:asciiTheme="minorHAnsi" w:hAnsiTheme="minorHAnsi"/>
        </w:rPr>
        <w:t>In recen</w:t>
      </w:r>
      <w:r w:rsidR="00FD09B1">
        <w:rPr>
          <w:rFonts w:asciiTheme="minorHAnsi" w:hAnsiTheme="minorHAnsi"/>
        </w:rPr>
        <w:t>t years, an attempt to move away from</w:t>
      </w:r>
      <w:r w:rsidRPr="00B417BF">
        <w:rPr>
          <w:rFonts w:asciiTheme="minorHAnsi" w:hAnsiTheme="minorHAnsi"/>
        </w:rPr>
        <w:t xml:space="preserve"> </w:t>
      </w:r>
      <w:r w:rsidR="0094133E" w:rsidRPr="00B417BF">
        <w:rPr>
          <w:rFonts w:asciiTheme="minorHAnsi" w:hAnsiTheme="minorHAnsi"/>
        </w:rPr>
        <w:t xml:space="preserve">a </w:t>
      </w:r>
      <w:r w:rsidR="00FD09B1">
        <w:rPr>
          <w:rFonts w:asciiTheme="minorHAnsi" w:hAnsiTheme="minorHAnsi"/>
        </w:rPr>
        <w:t>behaviorist</w:t>
      </w:r>
      <w:r w:rsidRPr="00B417BF">
        <w:rPr>
          <w:rFonts w:asciiTheme="minorHAnsi" w:hAnsiTheme="minorHAnsi"/>
        </w:rPr>
        <w:t xml:space="preserve"> approach </w:t>
      </w:r>
      <w:r w:rsidR="00A57B40">
        <w:rPr>
          <w:rFonts w:asciiTheme="minorHAnsi" w:hAnsiTheme="minorHAnsi"/>
        </w:rPr>
        <w:t xml:space="preserve">in curriculum design towards </w:t>
      </w:r>
      <w:r w:rsidRPr="00B417BF">
        <w:rPr>
          <w:rFonts w:asciiTheme="minorHAnsi" w:hAnsiTheme="minorHAnsi"/>
        </w:rPr>
        <w:t xml:space="preserve">active learning in medical education has arisen. Cognitive curriculum design is based on the theory that students can discover their own learning needs and </w:t>
      </w:r>
      <w:r w:rsidR="0094133E" w:rsidRPr="00B417BF">
        <w:rPr>
          <w:rFonts w:asciiTheme="minorHAnsi" w:hAnsiTheme="minorHAnsi"/>
        </w:rPr>
        <w:t xml:space="preserve">can guide </w:t>
      </w:r>
      <w:r w:rsidRPr="00B417BF">
        <w:rPr>
          <w:rFonts w:asciiTheme="minorHAnsi" w:hAnsiTheme="minorHAnsi"/>
        </w:rPr>
        <w:t xml:space="preserve">curriculum as they master the material.  When students are using a cognitive approach, instructors design learning environments that allow students to explore questions and answers within defined parameters.  A true cognitive approach is less focused on a correct response to an answer than the ability of the student to identify the knowledge gap and acquire the answer. </w:t>
      </w:r>
      <w:r w:rsidR="0094133E" w:rsidRPr="00B417BF">
        <w:rPr>
          <w:rFonts w:asciiTheme="minorHAnsi" w:hAnsiTheme="minorHAnsi"/>
        </w:rPr>
        <w:t>Cognitive</w:t>
      </w:r>
      <w:r w:rsidRPr="00B417BF">
        <w:rPr>
          <w:rFonts w:asciiTheme="minorHAnsi" w:hAnsiTheme="minorHAnsi"/>
        </w:rPr>
        <w:t xml:space="preserve"> </w:t>
      </w:r>
      <w:r w:rsidR="00FD09B1">
        <w:rPr>
          <w:rFonts w:asciiTheme="minorHAnsi" w:hAnsiTheme="minorHAnsi"/>
        </w:rPr>
        <w:t>theory</w:t>
      </w:r>
      <w:r w:rsidRPr="00B417BF">
        <w:rPr>
          <w:rFonts w:asciiTheme="minorHAnsi" w:hAnsiTheme="minorHAnsi"/>
        </w:rPr>
        <w:t xml:space="preserve"> views the instructor as more a guide than direct source of information.  </w:t>
      </w:r>
      <w:r w:rsidR="0094133E" w:rsidRPr="00B417BF">
        <w:rPr>
          <w:rFonts w:asciiTheme="minorHAnsi" w:hAnsiTheme="minorHAnsi"/>
        </w:rPr>
        <w:t>Cognitive</w:t>
      </w:r>
      <w:r w:rsidRPr="00B417BF">
        <w:rPr>
          <w:rFonts w:asciiTheme="minorHAnsi" w:hAnsiTheme="minorHAnsi"/>
        </w:rPr>
        <w:t xml:space="preserve"> design</w:t>
      </w:r>
      <w:r w:rsidR="0094133E" w:rsidRPr="00B417BF">
        <w:rPr>
          <w:rFonts w:asciiTheme="minorHAnsi" w:hAnsiTheme="minorHAnsi"/>
        </w:rPr>
        <w:t xml:space="preserve"> is defined</w:t>
      </w:r>
      <w:r w:rsidRPr="00B417BF">
        <w:rPr>
          <w:rFonts w:asciiTheme="minorHAnsi" w:hAnsiTheme="minorHAnsi"/>
        </w:rPr>
        <w:t xml:space="preserve"> </w:t>
      </w:r>
      <w:r w:rsidR="0094133E" w:rsidRPr="00B417BF">
        <w:rPr>
          <w:rFonts w:asciiTheme="minorHAnsi" w:hAnsiTheme="minorHAnsi"/>
        </w:rPr>
        <w:t>by</w:t>
      </w:r>
      <w:r w:rsidRPr="00B417BF">
        <w:rPr>
          <w:rFonts w:asciiTheme="minorHAnsi" w:hAnsiTheme="minorHAnsi"/>
        </w:rPr>
        <w:t xml:space="preserve"> containing fewer traditional lectures and more interactive activities such as problem-based l</w:t>
      </w:r>
      <w:r w:rsidR="00A8221D">
        <w:rPr>
          <w:rFonts w:asciiTheme="minorHAnsi" w:hAnsiTheme="minorHAnsi"/>
        </w:rPr>
        <w:t>earning units and case studies.</w:t>
      </w:r>
      <w:r w:rsidR="00A8221D">
        <w:rPr>
          <w:rFonts w:asciiTheme="minorHAnsi" w:hAnsiTheme="minorHAnsi"/>
        </w:rPr>
        <w:fldChar w:fldCharType="begin"/>
      </w:r>
      <w:r w:rsidR="004B1039">
        <w:rPr>
          <w:rFonts w:asciiTheme="minorHAnsi" w:hAnsiTheme="minorHAnsi"/>
        </w:rPr>
        <w:instrText xml:space="preserve"> ADDIN ZOTERO_ITEM CSL_CITATION {"citationID":"5fBNtQMG","properties":{"formattedCitation":"\\super 21\\nosupersub{}","plainCitation":"21","noteIndex":0},"citationItems":[{"id":721,"uris":["http://zotero.org/users/1143701/items/9P5HC8Z7"],"uri":["http://zotero.org/users/1143701/items/9P5HC8Z7"],"itemData":{"id":721,"type":"article-journal","title":"Effect of an undergraduate medical curriculum on students’ self-directed learning","container-title":"Academic Medicine","page":"1259–1265","volume":"78","issue":"12","source":"Google Scholar","URL":"http://journals.lww.com/academicmedicine/Abstract/2003/12000/Effect_of_an_Undergraduate_Medical_Curriculum_on.15.aspx","author":[{"family":"Harvey","given":"Bart J."},{"family":"Rothman","given":"Arthur I."},{"family":"Frecker","given":"Richard C."}],"issued":{"date-parts":[["2003"]]},"accessed":{"date-parts":[["2017",10,14]]}}}],"schema":"https://github.com/citation-style-language/schema/raw/master/csl-citation.json"} </w:instrText>
      </w:r>
      <w:r w:rsidR="00A8221D">
        <w:rPr>
          <w:rFonts w:asciiTheme="minorHAnsi" w:hAnsiTheme="minorHAnsi"/>
        </w:rPr>
        <w:fldChar w:fldCharType="separate"/>
      </w:r>
      <w:r w:rsidR="004B1039" w:rsidRPr="004B1039">
        <w:rPr>
          <w:rFonts w:ascii="Cambria" w:hAnsiTheme="minorHAnsi"/>
          <w:vertAlign w:val="superscript"/>
        </w:rPr>
        <w:t>21</w:t>
      </w:r>
      <w:r w:rsidR="00A8221D">
        <w:rPr>
          <w:rFonts w:asciiTheme="minorHAnsi" w:hAnsiTheme="minorHAnsi"/>
        </w:rPr>
        <w:fldChar w:fldCharType="end"/>
      </w:r>
      <w:r w:rsidR="000E7DD5">
        <w:rPr>
          <w:rFonts w:asciiTheme="minorHAnsi" w:hAnsiTheme="minorHAnsi"/>
        </w:rPr>
        <w:t xml:space="preserve">  </w:t>
      </w:r>
      <w:r w:rsidRPr="00B417BF">
        <w:rPr>
          <w:rFonts w:asciiTheme="minorHAnsi" w:hAnsiTheme="minorHAnsi"/>
        </w:rPr>
        <w:t>The cognitive approach assumes this instructional model will encourage deeper learning and higher locus of control in students as they continue through the program.</w:t>
      </w:r>
    </w:p>
    <w:p w14:paraId="52E9774B" w14:textId="77777777" w:rsidR="00FA004E" w:rsidRPr="00B417BF" w:rsidRDefault="00FA004E" w:rsidP="00FA004E">
      <w:pPr>
        <w:spacing w:line="480" w:lineRule="auto"/>
        <w:rPr>
          <w:rFonts w:asciiTheme="minorHAnsi" w:hAnsiTheme="minorHAnsi"/>
        </w:rPr>
      </w:pPr>
    </w:p>
    <w:p w14:paraId="2AB32592" w14:textId="676561A3" w:rsidR="00DF085A" w:rsidRPr="00B417BF" w:rsidRDefault="00FA004E" w:rsidP="00EB0A04">
      <w:pPr>
        <w:spacing w:line="480" w:lineRule="auto"/>
        <w:rPr>
          <w:rFonts w:asciiTheme="minorHAnsi" w:hAnsiTheme="minorHAnsi"/>
        </w:rPr>
      </w:pPr>
      <w:r w:rsidRPr="00B417BF">
        <w:rPr>
          <w:rFonts w:asciiTheme="minorHAnsi" w:hAnsiTheme="minorHAnsi"/>
        </w:rPr>
        <w:lastRenderedPageBreak/>
        <w:t xml:space="preserve">While medical programs </w:t>
      </w:r>
      <w:r w:rsidR="0094133E" w:rsidRPr="00B417BF">
        <w:rPr>
          <w:rFonts w:asciiTheme="minorHAnsi" w:hAnsiTheme="minorHAnsi"/>
        </w:rPr>
        <w:t>started utilizing</w:t>
      </w:r>
      <w:r w:rsidRPr="00B417BF">
        <w:rPr>
          <w:rFonts w:asciiTheme="minorHAnsi" w:hAnsiTheme="minorHAnsi"/>
        </w:rPr>
        <w:t xml:space="preserve"> cognitive theory as students move</w:t>
      </w:r>
      <w:r w:rsidR="00326F5D">
        <w:rPr>
          <w:rFonts w:asciiTheme="minorHAnsi" w:hAnsiTheme="minorHAnsi"/>
        </w:rPr>
        <w:t>d</w:t>
      </w:r>
      <w:r w:rsidRPr="00B417BF">
        <w:rPr>
          <w:rFonts w:asciiTheme="minorHAnsi" w:hAnsiTheme="minorHAnsi"/>
        </w:rPr>
        <w:t xml:space="preserve"> into clinical instruction, it has traditionally been secondary to behaviorism in foundational courses.  I</w:t>
      </w:r>
      <w:r w:rsidR="00326F5D">
        <w:rPr>
          <w:rFonts w:asciiTheme="minorHAnsi" w:hAnsiTheme="minorHAnsi"/>
        </w:rPr>
        <w:t>n the 1990</w:t>
      </w:r>
      <w:r w:rsidRPr="00B417BF">
        <w:rPr>
          <w:rFonts w:asciiTheme="minorHAnsi" w:hAnsiTheme="minorHAnsi"/>
        </w:rPr>
        <w:t xml:space="preserve">s, Problem Based Learning was introduced, and a movement to incorporate self-directed learning </w:t>
      </w:r>
      <w:r w:rsidR="00FD09B1">
        <w:rPr>
          <w:rFonts w:asciiTheme="minorHAnsi" w:hAnsiTheme="minorHAnsi"/>
        </w:rPr>
        <w:t>gained momentum</w:t>
      </w:r>
      <w:r w:rsidR="00C42375">
        <w:rPr>
          <w:rFonts w:asciiTheme="minorHAnsi" w:hAnsiTheme="minorHAnsi"/>
        </w:rPr>
        <w:t>.</w:t>
      </w:r>
      <w:r w:rsidR="00F90A02" w:rsidRPr="00B417BF">
        <w:rPr>
          <w:rFonts w:asciiTheme="minorHAnsi" w:hAnsiTheme="minorHAnsi"/>
        </w:rPr>
        <w:fldChar w:fldCharType="begin"/>
      </w:r>
      <w:r w:rsidR="004B1039">
        <w:rPr>
          <w:rFonts w:asciiTheme="minorHAnsi" w:hAnsiTheme="minorHAnsi"/>
        </w:rPr>
        <w:instrText xml:space="preserve"> ADDIN ZOTERO_ITEM CSL_CITATION {"citationID":"a22dok9ie5t","properties":{"formattedCitation":"\\super 22\\nosupersub{}","plainCitation":"22","noteIndex":0},"citationItems":[{"id":790,"uris":["http://zotero.org/users/1143701/items/RJ99FT6Q"],"uri":["http://zotero.org/users/1143701/items/RJ99FT6Q"],"itemData":{"id":790,"type":"article-journal","title":"U.S. medical schools' valuing of curriculum time: self-directed learning versus lectures","container-title":"Academic Medicine","page":"700","volume":"68","issue":"9","source":"journals.lww.com","abstract":"BACKGROUND. As medical schools implement curriculum changes to address the relevancy of medical education to today's health care needs, examining schools' grading systems and their valuing of curriculum hours has become a priority. METHOD. In 1991–92 all 126 U.S. medical schools were surveyed regarding various issues related to the schools' grading systems and valuing of curriculum time, including the ways in which the schools achieved a balance between lectures and self-directed learning activities. RESULTS. A total of 122 schools responded. Forty-eight schools calculated grade-point averages and used them to compute and publish class ranks; 72 published grade-point averages. Fifty schools reported curriculum revisions that decreased lecture hours, incorporated small-group discussion, or used problem-based learning and/or assessments using standardized patients. These 50 schools fell into four categories: had a system to balance lecture time and self-directed learning (11 schools); were moving toward such a system (27 schools); had tried but failed to balance lecture time and self-directed learning (one school); and had no policy to achieve a balance (11 schools). CONCLUSION. The survey results indicate that most schools have not established systems for the valuing of curriculum time that include balancing values for lecture time and values for self-directed learning. If needed curriculum reforms are to be implemented effectively, they must be valued meaningfully.\n        Created Date: 28 October 1993; Completed Date: 28 October 1993; Revised Date: 18 December 2000\n        © 1993 by the Association of American Medical Colleges","URL":"http://journals.lww.com/academicmedicine/Abstract/1993/09000/U_S__medical_schools__valuing_of_curriculum_time_.18.aspx","ISSN":"1040-2446","shortTitle":"U.S. medical schools' valuing of curriculum time","author":[{"family":"Gunzburger","given":"L. K."}],"issued":{"date-parts":[["1993",9]]},"accessed":{"date-parts":[["2017",12,24]]}}}],"schema":"https://github.com/citation-style-language/schema/raw/master/csl-citation.json"} </w:instrText>
      </w:r>
      <w:r w:rsidR="00F90A02" w:rsidRPr="00B417BF">
        <w:rPr>
          <w:rFonts w:asciiTheme="minorHAnsi" w:hAnsiTheme="minorHAnsi"/>
        </w:rPr>
        <w:fldChar w:fldCharType="separate"/>
      </w:r>
      <w:r w:rsidR="004B1039" w:rsidRPr="004B1039">
        <w:rPr>
          <w:rFonts w:ascii="Cambria" w:hAnsiTheme="minorHAnsi"/>
          <w:vertAlign w:val="superscript"/>
        </w:rPr>
        <w:t>22</w:t>
      </w:r>
      <w:r w:rsidR="00F90A02" w:rsidRPr="00B417BF">
        <w:rPr>
          <w:rFonts w:asciiTheme="minorHAnsi" w:hAnsiTheme="minorHAnsi"/>
        </w:rPr>
        <w:fldChar w:fldCharType="end"/>
      </w:r>
      <w:r w:rsidRPr="00B417BF">
        <w:rPr>
          <w:rFonts w:asciiTheme="minorHAnsi" w:hAnsiTheme="minorHAnsi"/>
        </w:rPr>
        <w:t xml:space="preserve"> </w:t>
      </w:r>
      <w:r w:rsidR="000E7DD5">
        <w:rPr>
          <w:rFonts w:asciiTheme="minorHAnsi" w:hAnsiTheme="minorHAnsi"/>
        </w:rPr>
        <w:t xml:space="preserve"> </w:t>
      </w:r>
      <w:r w:rsidRPr="00B417BF">
        <w:rPr>
          <w:rFonts w:asciiTheme="minorHAnsi" w:hAnsiTheme="minorHAnsi"/>
        </w:rPr>
        <w:t>The American Association of Medical Colleges began surveying medicals schools about their use of student self-directed learning in 1991</w:t>
      </w:r>
      <w:r w:rsidR="00C42375">
        <w:rPr>
          <w:rFonts w:asciiTheme="minorHAnsi" w:hAnsiTheme="minorHAnsi"/>
        </w:rPr>
        <w:t>.</w:t>
      </w:r>
      <w:r w:rsidRPr="00B417BF">
        <w:rPr>
          <w:rFonts w:asciiTheme="minorHAnsi" w:hAnsiTheme="minorHAnsi"/>
        </w:rPr>
        <w:fldChar w:fldCharType="begin"/>
      </w:r>
      <w:r w:rsidR="004B1039">
        <w:rPr>
          <w:rFonts w:asciiTheme="minorHAnsi" w:hAnsiTheme="minorHAnsi"/>
        </w:rPr>
        <w:instrText xml:space="preserve"> ADDIN ZOTERO_ITEM CSL_CITATION {"citationID":"a1pqp1vlfqc","properties":{"formattedCitation":"\\super 22\\nosupersub{}","plainCitation":"22","noteIndex":0},"citationItems":[{"id":790,"uris":["http://zotero.org/users/1143701/items/RJ99FT6Q"],"uri":["http://zotero.org/users/1143701/items/RJ99FT6Q"],"itemData":{"id":790,"type":"article-journal","title":"U.S. medical schools' valuing of curriculum time: self-directed learning versus lectures","container-title":"Academic Medicine","page":"700","volume":"68","issue":"9","source":"journals.lww.com","abstract":"BACKGROUND. As medical schools implement curriculum changes to address the relevancy of medical education to today's health care needs, examining schools' grading systems and their valuing of curriculum hours has become a priority. METHOD. In 1991–92 all 126 U.S. medical schools were surveyed regarding various issues related to the schools' grading systems and valuing of curriculum time, including the ways in which the schools achieved a balance between lectures and self-directed learning activities. RESULTS. A total of 122 schools responded. Forty-eight schools calculated grade-point averages and used them to compute and publish class ranks; 72 published grade-point averages. Fifty schools reported curriculum revisions that decreased lecture hours, incorporated small-group discussion, or used problem-based learning and/or assessments using standardized patients. These 50 schools fell into four categories: had a system to balance lecture time and self-directed learning (11 schools); were moving toward such a system (27 schools); had tried but failed to balance lecture time and self-directed learning (one school); and had no policy to achieve a balance (11 schools). CONCLUSION. The survey results indicate that most schools have not established systems for the valuing of curriculum time that include balancing values for lecture time and values for self-directed learning. If needed curriculum reforms are to be implemented effectively, they must be valued meaningfully.\n        Created Date: 28 October 1993; Completed Date: 28 October 1993; Revised Date: 18 December 2000\n        © 1993 by the Association of American Medical Colleges","URL":"http://journals.lww.com/academicmedicine/Abstract/1993/09000/U_S__medical_schools__valuing_of_curriculum_time_.18.aspx","ISSN":"1040-2446","shortTitle":"U.S. medical schools' valuing of curriculum time","author":[{"family":"Gunzburger","given":"L. K."}],"issued":{"date-parts":[["1993",9]]},"accessed":{"date-parts":[["2017",12,24]]}}}],"schema":"https://github.com/citation-style-language/schema/raw/master/csl-citation.json"} </w:instrText>
      </w:r>
      <w:r w:rsidRPr="00B417BF">
        <w:rPr>
          <w:rFonts w:asciiTheme="minorHAnsi" w:hAnsiTheme="minorHAnsi"/>
        </w:rPr>
        <w:fldChar w:fldCharType="separate"/>
      </w:r>
      <w:r w:rsidR="004B1039" w:rsidRPr="004B1039">
        <w:rPr>
          <w:rFonts w:ascii="Cambria" w:hAnsiTheme="minorHAnsi"/>
          <w:vertAlign w:val="superscript"/>
        </w:rPr>
        <w:t>22</w:t>
      </w:r>
      <w:r w:rsidRPr="00B417BF">
        <w:rPr>
          <w:rFonts w:asciiTheme="minorHAnsi" w:hAnsiTheme="minorHAnsi"/>
        </w:rPr>
        <w:fldChar w:fldCharType="end"/>
      </w:r>
      <w:r w:rsidR="00803D5A" w:rsidRPr="00B417BF">
        <w:rPr>
          <w:rFonts w:asciiTheme="minorHAnsi" w:hAnsiTheme="minorHAnsi"/>
          <w:color w:val="4F81BD" w:themeColor="accent1"/>
        </w:rPr>
        <w:t xml:space="preserve"> </w:t>
      </w:r>
      <w:r w:rsidRPr="00B417BF">
        <w:rPr>
          <w:rFonts w:asciiTheme="minorHAnsi" w:hAnsiTheme="minorHAnsi"/>
        </w:rPr>
        <w:t xml:space="preserve"> Since then, instructors and medical programs have begun to incorporate more cognitive</w:t>
      </w:r>
      <w:r w:rsidR="00FD09B1">
        <w:rPr>
          <w:rFonts w:asciiTheme="minorHAnsi" w:hAnsiTheme="minorHAnsi"/>
        </w:rPr>
        <w:t>-based</w:t>
      </w:r>
      <w:r w:rsidRPr="00B417BF">
        <w:rPr>
          <w:rFonts w:asciiTheme="minorHAnsi" w:hAnsiTheme="minorHAnsi"/>
        </w:rPr>
        <w:t xml:space="preserve"> curriculum design into foundational classes through formative experiences with technology, </w:t>
      </w:r>
      <w:r w:rsidR="00DF085A" w:rsidRPr="00B417BF">
        <w:rPr>
          <w:rFonts w:asciiTheme="minorHAnsi" w:hAnsiTheme="minorHAnsi"/>
        </w:rPr>
        <w:t>problem-based</w:t>
      </w:r>
      <w:r w:rsidRPr="00B417BF">
        <w:rPr>
          <w:rFonts w:asciiTheme="minorHAnsi" w:hAnsiTheme="minorHAnsi"/>
        </w:rPr>
        <w:t xml:space="preserve"> learning, and flipped classrooms.  </w:t>
      </w:r>
    </w:p>
    <w:p w14:paraId="00FCB873" w14:textId="77777777" w:rsidR="00DF085A" w:rsidRPr="00B417BF" w:rsidRDefault="00DF085A" w:rsidP="00FA004E">
      <w:pPr>
        <w:spacing w:line="480" w:lineRule="auto"/>
        <w:rPr>
          <w:rFonts w:asciiTheme="minorHAnsi" w:hAnsiTheme="minorHAnsi"/>
        </w:rPr>
      </w:pPr>
    </w:p>
    <w:p w14:paraId="2C2FAC40" w14:textId="55A09D16" w:rsidR="00DF085A" w:rsidRPr="00B417BF" w:rsidRDefault="00DF085A" w:rsidP="00DF085A">
      <w:pPr>
        <w:spacing w:line="480" w:lineRule="auto"/>
        <w:rPr>
          <w:rFonts w:asciiTheme="minorHAnsi" w:hAnsiTheme="minorHAnsi"/>
          <w:color w:val="000000" w:themeColor="text1"/>
        </w:rPr>
      </w:pPr>
      <w:r w:rsidRPr="00B417BF">
        <w:rPr>
          <w:rFonts w:asciiTheme="minorHAnsi" w:hAnsiTheme="minorHAnsi"/>
        </w:rPr>
        <w:t xml:space="preserve">Another attempt to add self-directed learning modules to medical education curriculum has been the use of </w:t>
      </w:r>
      <w:r w:rsidR="00F05E7B" w:rsidRPr="00B417BF">
        <w:rPr>
          <w:rFonts w:asciiTheme="minorHAnsi" w:hAnsiTheme="minorHAnsi"/>
        </w:rPr>
        <w:t xml:space="preserve">online learning modules. </w:t>
      </w:r>
      <w:r w:rsidRPr="00B417BF">
        <w:rPr>
          <w:rFonts w:asciiTheme="minorHAnsi" w:hAnsiTheme="minorHAnsi"/>
          <w:color w:val="000000" w:themeColor="text1"/>
        </w:rPr>
        <w:t>Online collaborative learning includes creation and building of knowledge and material by users.  This is also generally accepted as a sign of increased student engagement and self-directed learning.</w:t>
      </w:r>
      <w:r w:rsidR="00C42165">
        <w:rPr>
          <w:rFonts w:asciiTheme="minorHAnsi" w:hAnsiTheme="minorHAnsi"/>
          <w:color w:val="000000" w:themeColor="text1"/>
        </w:rPr>
        <w:fldChar w:fldCharType="begin"/>
      </w:r>
      <w:r w:rsidR="004B1039">
        <w:rPr>
          <w:rFonts w:asciiTheme="minorHAnsi" w:hAnsiTheme="minorHAnsi"/>
          <w:color w:val="000000" w:themeColor="text1"/>
        </w:rPr>
        <w:instrText xml:space="preserve"> ADDIN ZOTERO_ITEM CSL_CITATION {"citationID":"a2frbhckep9","properties":{"formattedCitation":"\\super 23\\nosupersub{}","plainCitation":"23","noteIndex":0},"citationItems":[{"id":742,"uris":["http://zotero.org/users/1143701/items/FTN2462J"],"uri":["http://zotero.org/users/1143701/items/FTN2462J"],"itemData":{"id":742,"type":"article-journal","title":"Flipped Classrooms in Graduate Medical Education: A National Survey of Residency Program Directors","container-title":"Academic Medicine","page":"1","source":"CrossRef","URL":"http://Insights.ovid.com/crossref?an=00001888-900000000-98191","DOI":"10.1097/ACM.0000000000001776","ISSN":"1040-2446","shortTitle":"Flipped Classrooms in Graduate Medical Education","language":"en","author":[{"family":"Wittich","given":"Christopher M."},{"family":"Agrawal","given":"Anoop"},{"family":"Wang","given":"Amy T."},{"family":"Halvorsen","given":"Andrew J."},{"family":"Mandrekar","given":"Jayawant N."},{"family":"Chaudhry","given":"Saima"},{"family":"Dupras","given":"Denise M."},{"family":"Oxentenko","given":"Amy S."},{"family":"Beckman","given":"Thomas J."}],"issued":{"date-parts":[["2017",6]]},"accessed":{"date-parts":[["2017",10,26]]}}}],"schema":"https://github.com/citation-style-language/schema/raw/master/csl-citation.json"} </w:instrText>
      </w:r>
      <w:r w:rsidR="00C42165">
        <w:rPr>
          <w:rFonts w:asciiTheme="minorHAnsi" w:hAnsiTheme="minorHAnsi"/>
          <w:color w:val="000000" w:themeColor="text1"/>
        </w:rPr>
        <w:fldChar w:fldCharType="separate"/>
      </w:r>
      <w:r w:rsidR="004B1039" w:rsidRPr="004B1039">
        <w:rPr>
          <w:rFonts w:ascii="Cambria" w:hAnsiTheme="minorHAnsi"/>
          <w:color w:val="000000"/>
          <w:vertAlign w:val="superscript"/>
        </w:rPr>
        <w:t>23</w:t>
      </w:r>
      <w:r w:rsidR="00C42165">
        <w:rPr>
          <w:rFonts w:asciiTheme="minorHAnsi" w:hAnsiTheme="minorHAnsi"/>
          <w:color w:val="000000" w:themeColor="text1"/>
        </w:rPr>
        <w:fldChar w:fldCharType="end"/>
      </w:r>
      <w:r w:rsidRPr="00B417BF">
        <w:rPr>
          <w:rFonts w:asciiTheme="minorHAnsi" w:hAnsiTheme="minorHAnsi"/>
          <w:color w:val="000000" w:themeColor="text1"/>
        </w:rPr>
        <w:t xml:space="preserve">  Instructors can play a significant role as guides by developing and interacting with online course material</w:t>
      </w:r>
      <w:r w:rsidR="005B1052">
        <w:rPr>
          <w:rFonts w:asciiTheme="minorHAnsi" w:hAnsiTheme="minorHAnsi"/>
          <w:color w:val="000000" w:themeColor="text1"/>
        </w:rPr>
        <w:t>.</w:t>
      </w:r>
      <w:r w:rsidRPr="00B417BF">
        <w:rPr>
          <w:rFonts w:asciiTheme="minorHAnsi" w:hAnsiTheme="minorHAnsi"/>
          <w:color w:val="000000" w:themeColor="text1"/>
        </w:rPr>
        <w:fldChar w:fldCharType="begin"/>
      </w:r>
      <w:r w:rsidR="004B1039">
        <w:rPr>
          <w:rFonts w:asciiTheme="minorHAnsi" w:hAnsiTheme="minorHAnsi"/>
          <w:color w:val="000000" w:themeColor="text1"/>
        </w:rPr>
        <w:instrText xml:space="preserve"> ADDIN ZOTERO_ITEM CSL_CITATION {"citationID":"a9d6sv9flf","properties":{"formattedCitation":"\\super 24\\nosupersub{}","plainCitation":"24","noteIndex":0},"citationItems":[{"id":796,"uris":["http://zotero.org/users/1143701/items/4DHQZAKT"],"uri":["http://zotero.org/users/1143701/items/4DHQZAKT"],"itemData":{"id":796,"type":"article-journal","title":"A constructivist approach to e-text design for use in undergraduate physiology courses","container-title":"Advances in Physiology Education","page":"172-180","volume":"39","issue":"3","source":"physiology.org (Atypon)","abstract":"Electronic textbooks, or e-texts, will have an increasingly important role in college science courses within the next few years due to the rising costs of traditional texts and the increasing availability of software allowing instructors to create their own e-text. However, few guidelines exist in the literature to aid instructors in the development and design specifically of e-texts using sound learning theories; this is especially true for undergraduate physiology e-texts. In this article, we describe why constructivism is a very important educational theory for e-text design and how it may be applied in e-text development by instructors. We also provide examples of two undergraduate physiology e-texts that were designed in accordance with this educational theory but for learners of quite different backgrounds and prior knowledge levels.","URL":"http://www.physiology.org/doi/abs/10.1152/advan.00011.2015","DOI":"10.1152/advan.00011.2015","ISSN":"1043-4046","journalAbbreviation":"Advances in Physiology Education","author":[{"family":"Rhodes","given":"Ashley E."},{"family":"Rozell","given":"Timothy G."}],"issued":{"date-parts":[["2015",9,1]]},"accessed":{"date-parts":[["2017",12,24]]}}}],"schema":"https://github.com/citation-style-language/schema/raw/master/csl-citation.json"} </w:instrText>
      </w:r>
      <w:r w:rsidRPr="00B417BF">
        <w:rPr>
          <w:rFonts w:asciiTheme="minorHAnsi" w:hAnsiTheme="minorHAnsi"/>
          <w:color w:val="000000" w:themeColor="text1"/>
        </w:rPr>
        <w:fldChar w:fldCharType="separate"/>
      </w:r>
      <w:r w:rsidR="004B1039" w:rsidRPr="004B1039">
        <w:rPr>
          <w:rFonts w:ascii="Cambria" w:hAnsiTheme="minorHAnsi"/>
          <w:color w:val="000000"/>
          <w:vertAlign w:val="superscript"/>
        </w:rPr>
        <w:t>24</w:t>
      </w:r>
      <w:r w:rsidRPr="00B417BF">
        <w:rPr>
          <w:rFonts w:asciiTheme="minorHAnsi" w:hAnsiTheme="minorHAnsi"/>
          <w:color w:val="000000" w:themeColor="text1"/>
        </w:rPr>
        <w:fldChar w:fldCharType="end"/>
      </w:r>
      <w:r w:rsidRPr="00B417BF">
        <w:rPr>
          <w:rFonts w:asciiTheme="minorHAnsi" w:hAnsiTheme="minorHAnsi"/>
          <w:color w:val="000000" w:themeColor="text1"/>
        </w:rPr>
        <w:t xml:space="preserve">  Without the involvement of an expert to guide, monitor, or teach critical evaluation skills</w:t>
      </w:r>
      <w:r w:rsidRPr="00B417BF">
        <w:rPr>
          <w:rFonts w:asciiTheme="minorHAnsi" w:hAnsiTheme="minorHAnsi"/>
        </w:rPr>
        <w:t>, students’ participation in the online community can result in a false or incomplete body of knowledge.</w:t>
      </w:r>
      <w:r w:rsidR="00F05E7B" w:rsidRPr="00B417BF">
        <w:rPr>
          <w:rFonts w:asciiTheme="minorHAnsi" w:hAnsiTheme="minorHAnsi"/>
        </w:rPr>
        <w:t xml:space="preserve"> </w:t>
      </w:r>
      <w:r w:rsidR="00F05E7B" w:rsidRPr="00B417BF">
        <w:rPr>
          <w:rFonts w:asciiTheme="minorHAnsi" w:hAnsiTheme="minorHAnsi"/>
          <w:color w:val="000000" w:themeColor="text1"/>
        </w:rPr>
        <w:t xml:space="preserve"> </w:t>
      </w:r>
    </w:p>
    <w:p w14:paraId="36CB6824" w14:textId="77777777" w:rsidR="00F05E7B" w:rsidRPr="00B417BF" w:rsidRDefault="00F05E7B" w:rsidP="00DF085A">
      <w:pPr>
        <w:spacing w:line="480" w:lineRule="auto"/>
        <w:rPr>
          <w:rFonts w:asciiTheme="minorHAnsi" w:hAnsiTheme="minorHAnsi"/>
        </w:rPr>
      </w:pPr>
    </w:p>
    <w:p w14:paraId="61924AF7" w14:textId="0DECE98E" w:rsidR="00FA004E" w:rsidRPr="00B417BF" w:rsidRDefault="00DF085A" w:rsidP="00FA004E">
      <w:pPr>
        <w:spacing w:line="480" w:lineRule="auto"/>
        <w:rPr>
          <w:rFonts w:asciiTheme="minorHAnsi" w:hAnsiTheme="minorHAnsi"/>
        </w:rPr>
      </w:pPr>
      <w:r w:rsidRPr="00B417BF">
        <w:rPr>
          <w:rFonts w:asciiTheme="minorHAnsi" w:hAnsiTheme="minorHAnsi"/>
        </w:rPr>
        <w:t xml:space="preserve"> </w:t>
      </w:r>
      <w:r w:rsidR="00FA004E" w:rsidRPr="00B417BF">
        <w:rPr>
          <w:rFonts w:asciiTheme="minorHAnsi" w:hAnsiTheme="minorHAnsi"/>
        </w:rPr>
        <w:t>Transitioning to successful use of these methods requires an epistemic shift, ongoing instructor support, and student readiness</w:t>
      </w:r>
      <w:r w:rsidR="001668D4">
        <w:rPr>
          <w:rFonts w:asciiTheme="minorHAnsi" w:hAnsiTheme="minorHAnsi"/>
        </w:rPr>
        <w:t>.</w:t>
      </w:r>
      <w:r w:rsidR="00FA004E" w:rsidRPr="00B417BF">
        <w:rPr>
          <w:rFonts w:asciiTheme="minorHAnsi" w:hAnsiTheme="minorHAnsi"/>
        </w:rPr>
        <w:fldChar w:fldCharType="begin"/>
      </w:r>
      <w:r w:rsidR="004B1039">
        <w:rPr>
          <w:rFonts w:asciiTheme="minorHAnsi" w:hAnsiTheme="minorHAnsi"/>
        </w:rPr>
        <w:instrText xml:space="preserve"> ADDIN ZOTERO_ITEM CSL_CITATION {"citationID":"eFJdfaxa","properties":{"formattedCitation":"\\super 21\\nosupersub{}","plainCitation":"21","noteIndex":0},"citationItems":[{"id":721,"uris":["http://zotero.org/users/1143701/items/9P5HC8Z7"],"uri":["http://zotero.org/users/1143701/items/9P5HC8Z7"],"itemData":{"id":721,"type":"article-journal","title":"Effect of an undergraduate medical curriculum on students’ self-directed learning","container-title":"Academic Medicine","page":"1259–1265","volume":"78","issue":"12","source":"Google Scholar","URL":"http://journals.lww.com/academicmedicine/Abstract/2003/12000/Effect_of_an_Undergraduate_Medical_Curriculum_on.15.aspx","author":[{"family":"Harvey","given":"Bart J."},{"family":"Rothman","given":"Arthur I."},{"family":"Frecker","given":"Richard C."}],"issued":{"date-parts":[["2003"]]},"accessed":{"date-parts":[["2017",10,14]]}}}],"schema":"https://github.com/citation-style-language/schema/raw/master/csl-citation.json"} </w:instrText>
      </w:r>
      <w:r w:rsidR="00FA004E" w:rsidRPr="00B417BF">
        <w:rPr>
          <w:rFonts w:asciiTheme="minorHAnsi" w:hAnsiTheme="minorHAnsi"/>
        </w:rPr>
        <w:fldChar w:fldCharType="separate"/>
      </w:r>
      <w:r w:rsidR="004B1039" w:rsidRPr="004B1039">
        <w:rPr>
          <w:rFonts w:ascii="Cambria" w:hAnsiTheme="minorHAnsi"/>
          <w:vertAlign w:val="superscript"/>
        </w:rPr>
        <w:t>21</w:t>
      </w:r>
      <w:r w:rsidR="00FA004E" w:rsidRPr="00B417BF">
        <w:rPr>
          <w:rFonts w:asciiTheme="minorHAnsi" w:hAnsiTheme="minorHAnsi"/>
        </w:rPr>
        <w:fldChar w:fldCharType="end"/>
      </w:r>
      <w:r w:rsidR="00FA004E" w:rsidRPr="00B417BF">
        <w:rPr>
          <w:rFonts w:asciiTheme="minorHAnsi" w:hAnsiTheme="minorHAnsi"/>
        </w:rPr>
        <w:t xml:space="preserve">  Program accreditation organizations also continue recognizing the value of student directed learning, </w:t>
      </w:r>
      <w:r w:rsidR="00FA004E" w:rsidRPr="00B417BF">
        <w:rPr>
          <w:rFonts w:asciiTheme="minorHAnsi" w:hAnsiTheme="minorHAnsi"/>
        </w:rPr>
        <w:lastRenderedPageBreak/>
        <w:t>thus</w:t>
      </w:r>
      <w:r w:rsidR="00FD2BAE">
        <w:rPr>
          <w:rFonts w:asciiTheme="minorHAnsi" w:hAnsiTheme="minorHAnsi"/>
        </w:rPr>
        <w:t>,</w:t>
      </w:r>
      <w:r w:rsidR="00FA004E" w:rsidRPr="00B417BF">
        <w:rPr>
          <w:rFonts w:asciiTheme="minorHAnsi" w:hAnsiTheme="minorHAnsi"/>
        </w:rPr>
        <w:t xml:space="preserve"> additional pressure </w:t>
      </w:r>
      <w:r w:rsidR="00803D5A" w:rsidRPr="00B417BF">
        <w:rPr>
          <w:rFonts w:asciiTheme="minorHAnsi" w:hAnsiTheme="minorHAnsi"/>
        </w:rPr>
        <w:t xml:space="preserve">exists </w:t>
      </w:r>
      <w:r w:rsidR="00FA004E" w:rsidRPr="00B417BF">
        <w:rPr>
          <w:rFonts w:asciiTheme="minorHAnsi" w:hAnsiTheme="minorHAnsi"/>
        </w:rPr>
        <w:t>to implement cognitive</w:t>
      </w:r>
      <w:r w:rsidR="00FD09B1">
        <w:rPr>
          <w:rFonts w:asciiTheme="minorHAnsi" w:hAnsiTheme="minorHAnsi"/>
        </w:rPr>
        <w:t>-based</w:t>
      </w:r>
      <w:r w:rsidR="00FA004E" w:rsidRPr="00B417BF">
        <w:rPr>
          <w:rFonts w:asciiTheme="minorHAnsi" w:hAnsiTheme="minorHAnsi"/>
        </w:rPr>
        <w:t xml:space="preserve"> curricular design for continued accreditation</w:t>
      </w:r>
      <w:r w:rsidR="001668D4">
        <w:rPr>
          <w:rFonts w:asciiTheme="minorHAnsi" w:hAnsiTheme="minorHAnsi"/>
        </w:rPr>
        <w:t>.</w:t>
      </w:r>
      <w:r w:rsidR="00FA004E" w:rsidRPr="00B417BF">
        <w:rPr>
          <w:rFonts w:asciiTheme="minorHAnsi" w:hAnsiTheme="minorHAnsi"/>
        </w:rPr>
        <w:fldChar w:fldCharType="begin"/>
      </w:r>
      <w:r w:rsidR="00A8221D">
        <w:rPr>
          <w:rFonts w:asciiTheme="minorHAnsi" w:hAnsiTheme="minorHAnsi"/>
        </w:rPr>
        <w:instrText xml:space="preserve"> ADDIN ZOTERO_ITEM CSL_CITATION {"citationID":"a1n7qebflck","properties":{"formattedCitation":"\\super 25\\nosupersub{}","plainCitation":"25","noteIndex":0},"citationItems":[{"id":1010,"uris":["http://zotero.org/users/1143701/items/847FRZEQ"],"uri":["http://zotero.org/users/1143701/items/847FRZEQ"],"itemData":{"id":1010,"type":"webpage","title":"LCME | Liaison Committee on Medical Education","URL":"http://lcme.org/","accessed":{"date-parts":[["2018",2,18]]}}}],"schema":"https://github.com/citation-style-language/schema/raw/master/csl-citation.json"} </w:instrText>
      </w:r>
      <w:r w:rsidR="00FA004E" w:rsidRPr="00B417BF">
        <w:rPr>
          <w:rFonts w:asciiTheme="minorHAnsi" w:hAnsiTheme="minorHAnsi"/>
        </w:rPr>
        <w:fldChar w:fldCharType="separate"/>
      </w:r>
      <w:r w:rsidR="00A8221D" w:rsidRPr="00A8221D">
        <w:rPr>
          <w:rFonts w:ascii="Cambria" w:hAnsiTheme="minorHAnsi"/>
          <w:vertAlign w:val="superscript"/>
        </w:rPr>
        <w:t>25</w:t>
      </w:r>
      <w:r w:rsidR="00FA004E" w:rsidRPr="00B417BF">
        <w:rPr>
          <w:rFonts w:asciiTheme="minorHAnsi" w:hAnsiTheme="minorHAnsi"/>
        </w:rPr>
        <w:fldChar w:fldCharType="end"/>
      </w:r>
    </w:p>
    <w:p w14:paraId="4452D3F3" w14:textId="77777777" w:rsidR="00FA004E" w:rsidRPr="00B417BF" w:rsidRDefault="00FA004E" w:rsidP="00FA004E">
      <w:pPr>
        <w:spacing w:line="480" w:lineRule="auto"/>
        <w:rPr>
          <w:rFonts w:asciiTheme="minorHAnsi" w:hAnsiTheme="minorHAnsi"/>
        </w:rPr>
      </w:pPr>
    </w:p>
    <w:p w14:paraId="3899F289" w14:textId="149E1424" w:rsidR="00FA004E" w:rsidRPr="00B417BF" w:rsidRDefault="00FA004E" w:rsidP="00FA004E">
      <w:pPr>
        <w:spacing w:line="480" w:lineRule="auto"/>
        <w:rPr>
          <w:rFonts w:asciiTheme="minorHAnsi" w:hAnsiTheme="minorHAnsi"/>
        </w:rPr>
      </w:pPr>
      <w:r w:rsidRPr="00B417BF">
        <w:rPr>
          <w:rFonts w:asciiTheme="minorHAnsi" w:hAnsiTheme="minorHAnsi"/>
        </w:rPr>
        <w:t xml:space="preserve">While less </w:t>
      </w:r>
      <w:r w:rsidR="00013699">
        <w:rPr>
          <w:rFonts w:asciiTheme="minorHAnsi" w:hAnsiTheme="minorHAnsi"/>
        </w:rPr>
        <w:t xml:space="preserve">often </w:t>
      </w:r>
      <w:r w:rsidRPr="00B417BF">
        <w:rPr>
          <w:rFonts w:asciiTheme="minorHAnsi" w:hAnsiTheme="minorHAnsi"/>
        </w:rPr>
        <w:t xml:space="preserve">used in </w:t>
      </w:r>
      <w:r w:rsidR="00CF73F4">
        <w:rPr>
          <w:rFonts w:asciiTheme="minorHAnsi" w:hAnsiTheme="minorHAnsi"/>
        </w:rPr>
        <w:t xml:space="preserve">current </w:t>
      </w:r>
      <w:r w:rsidRPr="00B417BF">
        <w:rPr>
          <w:rFonts w:asciiTheme="minorHAnsi" w:hAnsiTheme="minorHAnsi"/>
        </w:rPr>
        <w:t xml:space="preserve">classroom medical curriculum, constructivism as a theory </w:t>
      </w:r>
      <w:r w:rsidR="00F90A02" w:rsidRPr="00B417BF">
        <w:rPr>
          <w:rFonts w:asciiTheme="minorHAnsi" w:hAnsiTheme="minorHAnsi"/>
        </w:rPr>
        <w:t>may be</w:t>
      </w:r>
      <w:r w:rsidRPr="00B417BF">
        <w:rPr>
          <w:rFonts w:asciiTheme="minorHAnsi" w:hAnsiTheme="minorHAnsi"/>
        </w:rPr>
        <w:t xml:space="preserve"> useful to consider when looking at internal motivation of students, the transfer of knowledge to long-term memory, and functional knowledge.  Constructivism focuses on the premise that learning cannot take place unless there is direct interaction between the learner and the environment.  In a dynamic interchange, the student and situation </w:t>
      </w:r>
      <w:r w:rsidR="005B1052">
        <w:rPr>
          <w:rFonts w:asciiTheme="minorHAnsi" w:hAnsiTheme="minorHAnsi"/>
        </w:rPr>
        <w:t xml:space="preserve">act directly </w:t>
      </w:r>
      <w:r w:rsidRPr="00B417BF">
        <w:rPr>
          <w:rFonts w:asciiTheme="minorHAnsi" w:hAnsiTheme="minorHAnsi"/>
        </w:rPr>
        <w:t>on each other to reach meaning and real</w:t>
      </w:r>
      <w:r w:rsidR="00013699">
        <w:rPr>
          <w:rFonts w:asciiTheme="minorHAnsi" w:hAnsiTheme="minorHAnsi"/>
        </w:rPr>
        <w:t>ity about a construct.  Vygotsky</w:t>
      </w:r>
      <w:r w:rsidRPr="00B417BF">
        <w:rPr>
          <w:rFonts w:asciiTheme="minorHAnsi" w:hAnsiTheme="minorHAnsi"/>
        </w:rPr>
        <w:t xml:space="preserve"> described how learning is a product of the meaning learners create </w:t>
      </w:r>
      <w:r w:rsidR="00803D5A" w:rsidRPr="00B417BF">
        <w:rPr>
          <w:rFonts w:asciiTheme="minorHAnsi" w:hAnsiTheme="minorHAnsi"/>
        </w:rPr>
        <w:t>from</w:t>
      </w:r>
      <w:r w:rsidRPr="00B417BF">
        <w:rPr>
          <w:rFonts w:asciiTheme="minorHAnsi" w:hAnsiTheme="minorHAnsi"/>
        </w:rPr>
        <w:t xml:space="preserve"> experience.  Based on theory and observation</w:t>
      </w:r>
      <w:r w:rsidR="00FD2BAE">
        <w:rPr>
          <w:rFonts w:asciiTheme="minorHAnsi" w:hAnsiTheme="minorHAnsi"/>
        </w:rPr>
        <w:t>,</w:t>
      </w:r>
      <w:r w:rsidRPr="00B417BF">
        <w:rPr>
          <w:rFonts w:asciiTheme="minorHAnsi" w:hAnsiTheme="minorHAnsi"/>
        </w:rPr>
        <w:t xml:space="preserve"> this type of experience stimulates deep learning strategies</w:t>
      </w:r>
      <w:r w:rsidR="001668D4">
        <w:rPr>
          <w:rFonts w:asciiTheme="minorHAnsi" w:hAnsiTheme="minorHAnsi"/>
        </w:rPr>
        <w:t>.</w:t>
      </w:r>
      <w:r w:rsidRPr="00B417BF">
        <w:rPr>
          <w:rFonts w:asciiTheme="minorHAnsi" w:hAnsiTheme="minorHAnsi"/>
        </w:rPr>
        <w:fldChar w:fldCharType="begin"/>
      </w:r>
      <w:r w:rsidR="00A8221D">
        <w:rPr>
          <w:rFonts w:asciiTheme="minorHAnsi" w:hAnsiTheme="minorHAnsi"/>
        </w:rPr>
        <w:instrText xml:space="preserve"> ADDIN ZOTERO_ITEM CSL_CITATION {"citationID":"a1h8pcsu1gk","properties":{"formattedCitation":"\\super 26\\nosupersub{}","plainCitation":"26","noteIndex":0},"citationItems":[{"id":996,"uris":["http://zotero.org/users/1143701/items/TWB8P8GN"],"uri":["http://zotero.org/users/1143701/items/TWB8P8GN"],"itemData":{"id":996,"type":"book","title":"Theory for Education","publisher":"Taylor &amp; Francis","number-of-pages":"218","source":"Google Books","abstract":"Theory for Education provides a concise and clear introduction to key contemporary theorists, including their lives, major works and ideas. Written for the student in need of a quick introduction or for the scholar brushing up on details, this new volume in the theory4 series presents major thinkers whose work and ideas have shaped critical thinking in our time. Greg Dimitriadis and George Kamberelis underscore the particular relevance of these thinkers for the field of education - their work on education, how others in education have used them and possible future directions for teachers and researchers.  Theory for Education's ease of use, clarity and comprehensive scope will be invaluable for those entering the field. Adapted from Theory for Religious Studies, by William E. Deal and Timothy K. Beal.","ISBN":"978-0-415-97419-6","language":"en","author":[{"family":"Dimitriadis","given":"Greg"},{"family":"Kamberelis","given":"George"}],"issued":{"date-parts":[["2006"]]}}}],"schema":"https://github.com/citation-style-language/schema/raw/master/csl-citation.json"}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26</w:t>
      </w:r>
      <w:r w:rsidRPr="00B417BF">
        <w:rPr>
          <w:rFonts w:asciiTheme="minorHAnsi" w:hAnsiTheme="minorHAnsi"/>
        </w:rPr>
        <w:fldChar w:fldCharType="end"/>
      </w:r>
    </w:p>
    <w:p w14:paraId="04FA42C5" w14:textId="77777777" w:rsidR="00FA004E" w:rsidRPr="00B417BF" w:rsidRDefault="00FA004E" w:rsidP="00FA004E">
      <w:pPr>
        <w:spacing w:line="480" w:lineRule="auto"/>
        <w:rPr>
          <w:rFonts w:asciiTheme="minorHAnsi" w:hAnsiTheme="minorHAnsi"/>
        </w:rPr>
      </w:pPr>
    </w:p>
    <w:p w14:paraId="0FE0409C" w14:textId="4671F111" w:rsidR="00FA004E" w:rsidRPr="00B417BF" w:rsidRDefault="00FA004E" w:rsidP="00FA004E">
      <w:pPr>
        <w:spacing w:line="480" w:lineRule="auto"/>
        <w:rPr>
          <w:rFonts w:asciiTheme="minorHAnsi" w:hAnsiTheme="minorHAnsi"/>
        </w:rPr>
      </w:pPr>
      <w:r w:rsidRPr="00B417BF">
        <w:rPr>
          <w:rFonts w:asciiTheme="minorHAnsi" w:hAnsiTheme="minorHAnsi"/>
        </w:rPr>
        <w:t>Constructivism can be difficult to design and implement into a traditional</w:t>
      </w:r>
      <w:r w:rsidR="00803D5A" w:rsidRPr="00B417BF">
        <w:rPr>
          <w:rFonts w:asciiTheme="minorHAnsi" w:hAnsiTheme="minorHAnsi"/>
        </w:rPr>
        <w:t>, lecture-based</w:t>
      </w:r>
      <w:r w:rsidRPr="00B417BF">
        <w:rPr>
          <w:rFonts w:asciiTheme="minorHAnsi" w:hAnsiTheme="minorHAnsi"/>
        </w:rPr>
        <w:t xml:space="preserve"> classroom, but it </w:t>
      </w:r>
      <w:r w:rsidR="00803D5A" w:rsidRPr="00B417BF">
        <w:rPr>
          <w:rFonts w:asciiTheme="minorHAnsi" w:hAnsiTheme="minorHAnsi"/>
        </w:rPr>
        <w:t>may prove useful</w:t>
      </w:r>
      <w:r w:rsidRPr="00B417BF">
        <w:rPr>
          <w:rFonts w:asciiTheme="minorHAnsi" w:hAnsiTheme="minorHAnsi"/>
        </w:rPr>
        <w:t xml:space="preserve"> in clinical situations with patients and medical faculty.  How students are able to transfer classroom knowledge into an individual skill set is a direct </w:t>
      </w:r>
      <w:r w:rsidR="00013699">
        <w:rPr>
          <w:rFonts w:asciiTheme="minorHAnsi" w:hAnsiTheme="minorHAnsi"/>
        </w:rPr>
        <w:t>application</w:t>
      </w:r>
      <w:r w:rsidRPr="00B417BF">
        <w:rPr>
          <w:rFonts w:asciiTheme="minorHAnsi" w:hAnsiTheme="minorHAnsi"/>
        </w:rPr>
        <w:t xml:space="preserve"> of constructivism.  As </w:t>
      </w:r>
      <w:r w:rsidR="00013699">
        <w:rPr>
          <w:rFonts w:asciiTheme="minorHAnsi" w:hAnsiTheme="minorHAnsi"/>
        </w:rPr>
        <w:t>students</w:t>
      </w:r>
      <w:r w:rsidRPr="00B417BF">
        <w:rPr>
          <w:rFonts w:asciiTheme="minorHAnsi" w:hAnsiTheme="minorHAnsi"/>
        </w:rPr>
        <w:t xml:space="preserve"> progress through a patient intervention, each student must interpret and react to a changing environment as they directly manipulate the variables and receive feedback from the patient, test results, and supervising faculty.  The development of effective clinical skills is a highly individualized </w:t>
      </w:r>
      <w:r w:rsidRPr="00B417BF">
        <w:rPr>
          <w:rFonts w:asciiTheme="minorHAnsi" w:hAnsiTheme="minorHAnsi"/>
        </w:rPr>
        <w:lastRenderedPageBreak/>
        <w:t>process and</w:t>
      </w:r>
      <w:r w:rsidR="00803D5A" w:rsidRPr="00B417BF">
        <w:rPr>
          <w:rFonts w:asciiTheme="minorHAnsi" w:hAnsiTheme="minorHAnsi"/>
        </w:rPr>
        <w:t xml:space="preserve"> results from</w:t>
      </w:r>
      <w:r w:rsidRPr="00B417BF">
        <w:rPr>
          <w:rFonts w:asciiTheme="minorHAnsi" w:hAnsiTheme="minorHAnsi"/>
        </w:rPr>
        <w:t xml:space="preserve"> an </w:t>
      </w:r>
      <w:r w:rsidR="00803D5A" w:rsidRPr="00B417BF">
        <w:rPr>
          <w:rFonts w:asciiTheme="minorHAnsi" w:hAnsiTheme="minorHAnsi"/>
        </w:rPr>
        <w:t xml:space="preserve">ongoing </w:t>
      </w:r>
      <w:r w:rsidRPr="00B417BF">
        <w:rPr>
          <w:rFonts w:asciiTheme="minorHAnsi" w:hAnsiTheme="minorHAnsi"/>
        </w:rPr>
        <w:t>interplay of practice, knowledge, and context</w:t>
      </w:r>
      <w:r w:rsidR="001668D4">
        <w:rPr>
          <w:rFonts w:asciiTheme="minorHAnsi" w:hAnsiTheme="minorHAnsi"/>
        </w:rPr>
        <w:t>.</w:t>
      </w:r>
      <w:r w:rsidRPr="00B417BF">
        <w:rPr>
          <w:rFonts w:asciiTheme="minorHAnsi" w:hAnsiTheme="minorHAnsi"/>
        </w:rPr>
        <w:fldChar w:fldCharType="begin"/>
      </w:r>
      <w:r w:rsidR="00A8221D">
        <w:rPr>
          <w:rFonts w:asciiTheme="minorHAnsi" w:hAnsiTheme="minorHAnsi"/>
        </w:rPr>
        <w:instrText xml:space="preserve"> ADDIN ZOTERO_ITEM CSL_CITATION {"citationID":"XS4V3XJS","properties":{"formattedCitation":"\\super 27\\nosupersub{}","plainCitation":"27","noteIndex":0},"citationItems":[{"id":559,"uris":["http://zotero.org/users/1143701/items/FHDSCFID"],"uri":["http://zotero.org/users/1143701/items/FHDSCFID"],"itemData":{"id":559,"type":"article-journal","title":"Behaviorism, Cognitivism, Constructivism: Comparing Critical Features From an Instructional Design Perspective","container-title":"Performance Improvement Quarterly","page":"43-71","volume":"26","issue":"2","source":"Wiley Online Library","abstract":"The way we define learning and what we believe about the way learning occurs has important implications for situations in which we want to facilitate changes in what people know and/or do. Learning theories provide instructional designers with verified instructional strategies and techniques for facilitating learning as well as a foundation for intelligent strategy selection. Yet many designers are operating under the constraints of a limited theoretical background. This paper is an attempt to familiarize designers with three relevant positions on learning (behavioral, cognitive, and constructivist) which provide structured foundations for planning and conducting instructional design activities. Each learning perspective is discussed in terms of its specific interpretation of the learning process and the resulting implications for instructional designers and educational practitioners. The information presented here provides the reader with a comparison of these three different viewpoints and illustrates how these differences might be translated into practical applications in instructional situations.","URL":"http://onlinelibrary.wiley.com/doi/10.1002/piq.21143/abstract","DOI":"10.1002/piq.21143","ISSN":"1937-8327","shortTitle":"Behaviorism, Cognitivism, Constructivism","journalAbbreviation":"Perf. Improvement Qrtly","language":"en","author":[{"family":"Ertmer","given":"Peggy A."},{"family":"Newby","given":"Timothy J."}],"issued":{"date-parts":[["2013",1,1]]},"accessed":{"date-parts":[["2017",10,27]]}}}],"schema":"https://github.com/citation-style-language/schema/raw/master/csl-citation.json"}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27</w:t>
      </w:r>
      <w:r w:rsidRPr="00B417BF">
        <w:rPr>
          <w:rFonts w:asciiTheme="minorHAnsi" w:hAnsiTheme="minorHAnsi"/>
        </w:rPr>
        <w:fldChar w:fldCharType="end"/>
      </w:r>
    </w:p>
    <w:p w14:paraId="291B4743" w14:textId="77777777" w:rsidR="00FA004E" w:rsidRPr="00B417BF" w:rsidRDefault="00FA004E" w:rsidP="00FA004E">
      <w:pPr>
        <w:spacing w:line="480" w:lineRule="auto"/>
        <w:rPr>
          <w:rFonts w:asciiTheme="minorHAnsi" w:hAnsiTheme="minorHAnsi"/>
        </w:rPr>
      </w:pPr>
    </w:p>
    <w:p w14:paraId="16899DB9" w14:textId="07CC6DD6" w:rsidR="00FA004E" w:rsidRPr="00B417BF" w:rsidRDefault="00FA004E" w:rsidP="00FA004E">
      <w:pPr>
        <w:spacing w:line="480" w:lineRule="auto"/>
        <w:rPr>
          <w:rFonts w:asciiTheme="minorHAnsi" w:hAnsiTheme="minorHAnsi"/>
        </w:rPr>
      </w:pPr>
      <w:r w:rsidRPr="00B417BF">
        <w:rPr>
          <w:rFonts w:asciiTheme="minorHAnsi" w:hAnsiTheme="minorHAnsi"/>
        </w:rPr>
        <w:t xml:space="preserve">Successful medical students are able to vary their learning strategies </w:t>
      </w:r>
      <w:r w:rsidR="00FD09B1">
        <w:rPr>
          <w:rFonts w:asciiTheme="minorHAnsi" w:hAnsiTheme="minorHAnsi"/>
        </w:rPr>
        <w:t>by task</w:t>
      </w:r>
      <w:r w:rsidRPr="00B417BF">
        <w:rPr>
          <w:rFonts w:asciiTheme="minorHAnsi" w:hAnsiTheme="minorHAnsi"/>
        </w:rPr>
        <w:t xml:space="preserve"> </w:t>
      </w:r>
      <w:r w:rsidR="00C32082" w:rsidRPr="00B417BF">
        <w:rPr>
          <w:rFonts w:asciiTheme="minorHAnsi" w:hAnsiTheme="minorHAnsi"/>
        </w:rPr>
        <w:t>but also</w:t>
      </w:r>
      <w:r w:rsidRPr="00B417BF">
        <w:rPr>
          <w:rFonts w:asciiTheme="minorHAnsi" w:hAnsiTheme="minorHAnsi"/>
        </w:rPr>
        <w:t xml:space="preserve"> apply facts </w:t>
      </w:r>
      <w:r w:rsidR="00C32082" w:rsidRPr="00B417BF">
        <w:rPr>
          <w:rFonts w:asciiTheme="minorHAnsi" w:hAnsiTheme="minorHAnsi"/>
        </w:rPr>
        <w:t>to</w:t>
      </w:r>
      <w:r w:rsidRPr="00B417BF">
        <w:rPr>
          <w:rFonts w:asciiTheme="minorHAnsi" w:hAnsiTheme="minorHAnsi"/>
        </w:rPr>
        <w:t xml:space="preserve"> clinical applications.  </w:t>
      </w:r>
      <w:r w:rsidR="00C32082" w:rsidRPr="00B417BF">
        <w:rPr>
          <w:rFonts w:asciiTheme="minorHAnsi" w:hAnsiTheme="minorHAnsi"/>
        </w:rPr>
        <w:t>Knowing</w:t>
      </w:r>
      <w:r w:rsidRPr="00B417BF">
        <w:rPr>
          <w:rFonts w:asciiTheme="minorHAnsi" w:hAnsiTheme="minorHAnsi"/>
        </w:rPr>
        <w:t xml:space="preserve"> lab values that could indicate a patient is diabetic </w:t>
      </w:r>
      <w:r w:rsidR="00C32082" w:rsidRPr="00B417BF">
        <w:rPr>
          <w:rFonts w:asciiTheme="minorHAnsi" w:hAnsiTheme="minorHAnsi"/>
        </w:rPr>
        <w:t>requires</w:t>
      </w:r>
      <w:r w:rsidRPr="00B417BF">
        <w:rPr>
          <w:rFonts w:asciiTheme="minorHAnsi" w:hAnsiTheme="minorHAnsi"/>
        </w:rPr>
        <w:t xml:space="preserve"> factual recall.  The application of these facts to appropriately prescribe medications and treatments </w:t>
      </w:r>
      <w:r w:rsidR="000E7DD5">
        <w:rPr>
          <w:rFonts w:asciiTheme="minorHAnsi" w:hAnsiTheme="minorHAnsi"/>
        </w:rPr>
        <w:t xml:space="preserve">in unique situations </w:t>
      </w:r>
      <w:r w:rsidRPr="00B417BF">
        <w:rPr>
          <w:rFonts w:asciiTheme="minorHAnsi" w:hAnsiTheme="minorHAnsi"/>
        </w:rPr>
        <w:t xml:space="preserve">requires </w:t>
      </w:r>
      <w:r w:rsidR="00C32082" w:rsidRPr="00B417BF">
        <w:rPr>
          <w:rFonts w:asciiTheme="minorHAnsi" w:hAnsiTheme="minorHAnsi"/>
        </w:rPr>
        <w:t xml:space="preserve">application </w:t>
      </w:r>
      <w:r w:rsidR="000875CA">
        <w:rPr>
          <w:rFonts w:asciiTheme="minorHAnsi" w:hAnsiTheme="minorHAnsi"/>
        </w:rPr>
        <w:t>of strategies regarding</w:t>
      </w:r>
      <w:r w:rsidR="00C32082" w:rsidRPr="00B417BF">
        <w:rPr>
          <w:rFonts w:asciiTheme="minorHAnsi" w:hAnsiTheme="minorHAnsi"/>
        </w:rPr>
        <w:t xml:space="preserve"> treatment</w:t>
      </w:r>
      <w:r w:rsidRPr="00B417BF">
        <w:rPr>
          <w:rFonts w:asciiTheme="minorHAnsi" w:hAnsiTheme="minorHAnsi"/>
        </w:rPr>
        <w:t xml:space="preserve"> strategies, patient, and </w:t>
      </w:r>
      <w:r w:rsidR="00C32082" w:rsidRPr="00B417BF">
        <w:rPr>
          <w:rFonts w:asciiTheme="minorHAnsi" w:hAnsiTheme="minorHAnsi"/>
        </w:rPr>
        <w:t xml:space="preserve">clinic </w:t>
      </w:r>
      <w:r w:rsidRPr="00B417BF">
        <w:rPr>
          <w:rFonts w:asciiTheme="minorHAnsi" w:hAnsiTheme="minorHAnsi"/>
        </w:rPr>
        <w:t xml:space="preserve">environment.  </w:t>
      </w:r>
    </w:p>
    <w:p w14:paraId="622E9841" w14:textId="77777777" w:rsidR="00FA004E" w:rsidRPr="00B417BF" w:rsidRDefault="00FA004E" w:rsidP="00FA004E">
      <w:pPr>
        <w:spacing w:line="480" w:lineRule="auto"/>
        <w:rPr>
          <w:rFonts w:asciiTheme="minorHAnsi" w:hAnsiTheme="minorHAnsi"/>
        </w:rPr>
      </w:pPr>
    </w:p>
    <w:p w14:paraId="629D9FBF" w14:textId="0A0980DC" w:rsidR="00FA004E" w:rsidRPr="00B417BF" w:rsidRDefault="00FA004E" w:rsidP="00FA004E">
      <w:pPr>
        <w:spacing w:line="480" w:lineRule="auto"/>
        <w:rPr>
          <w:rFonts w:asciiTheme="minorHAnsi" w:hAnsiTheme="minorHAnsi"/>
          <w:color w:val="FF0000"/>
        </w:rPr>
      </w:pPr>
      <w:r w:rsidRPr="00B417BF">
        <w:rPr>
          <w:rFonts w:asciiTheme="minorHAnsi" w:hAnsiTheme="minorHAnsi"/>
        </w:rPr>
        <w:t xml:space="preserve">Utilization of behaviorism, a cognitive approach, constructivism, or a combination of theoretical frameworks may be useful in considering </w:t>
      </w:r>
      <w:r w:rsidR="00C32082" w:rsidRPr="00B417BF">
        <w:rPr>
          <w:rFonts w:asciiTheme="minorHAnsi" w:hAnsiTheme="minorHAnsi"/>
        </w:rPr>
        <w:t xml:space="preserve">the kind of </w:t>
      </w:r>
      <w:r w:rsidRPr="00B417BF">
        <w:rPr>
          <w:rFonts w:asciiTheme="minorHAnsi" w:hAnsiTheme="minorHAnsi"/>
        </w:rPr>
        <w:t xml:space="preserve">knowledge and skills students will need </w:t>
      </w:r>
      <w:r w:rsidR="00C32082" w:rsidRPr="00B417BF">
        <w:rPr>
          <w:rFonts w:asciiTheme="minorHAnsi" w:hAnsiTheme="minorHAnsi"/>
        </w:rPr>
        <w:t>as medical professionals</w:t>
      </w:r>
      <w:r w:rsidRPr="00B417BF">
        <w:rPr>
          <w:rFonts w:asciiTheme="minorHAnsi" w:hAnsiTheme="minorHAnsi"/>
        </w:rPr>
        <w:t xml:space="preserve">.  </w:t>
      </w:r>
      <w:r w:rsidR="00FD2BAE">
        <w:rPr>
          <w:rFonts w:asciiTheme="minorHAnsi" w:hAnsiTheme="minorHAnsi"/>
        </w:rPr>
        <w:t>Separate aspects of each</w:t>
      </w:r>
      <w:r w:rsidRPr="00B417BF">
        <w:rPr>
          <w:rFonts w:asciiTheme="minorHAnsi" w:hAnsiTheme="minorHAnsi"/>
        </w:rPr>
        <w:t xml:space="preserve"> framework could be present at different moments during a single course.  </w:t>
      </w:r>
      <w:r w:rsidRPr="00FD2BAE">
        <w:rPr>
          <w:rFonts w:asciiTheme="minorHAnsi" w:hAnsiTheme="minorHAnsi"/>
        </w:rPr>
        <w:t xml:space="preserve">Designing and modifying curriculum and instructional practices </w:t>
      </w:r>
      <w:r w:rsidR="00013699" w:rsidRPr="00FD2BAE">
        <w:rPr>
          <w:rFonts w:asciiTheme="minorHAnsi" w:hAnsiTheme="minorHAnsi"/>
        </w:rPr>
        <w:t>so that</w:t>
      </w:r>
      <w:r w:rsidRPr="00FD2BAE">
        <w:rPr>
          <w:rFonts w:asciiTheme="minorHAnsi" w:hAnsiTheme="minorHAnsi"/>
        </w:rPr>
        <w:t xml:space="preserve"> students can access a large volume of information as clinicians begins with the </w:t>
      </w:r>
      <w:r w:rsidR="00013699" w:rsidRPr="00FD2BAE">
        <w:rPr>
          <w:rFonts w:asciiTheme="minorHAnsi" w:hAnsiTheme="minorHAnsi"/>
        </w:rPr>
        <w:t>st</w:t>
      </w:r>
      <w:r w:rsidR="00FD2BAE">
        <w:rPr>
          <w:rFonts w:asciiTheme="minorHAnsi" w:hAnsiTheme="minorHAnsi"/>
        </w:rPr>
        <w:t>rategic implementation of curriculum theories</w:t>
      </w:r>
      <w:r w:rsidRPr="00FD2BAE">
        <w:rPr>
          <w:rFonts w:asciiTheme="minorHAnsi" w:hAnsiTheme="minorHAnsi"/>
        </w:rPr>
        <w:t>.</w:t>
      </w:r>
      <w:r w:rsidR="001668D4" w:rsidRPr="00FD2BAE">
        <w:rPr>
          <w:rFonts w:asciiTheme="minorHAnsi" w:hAnsiTheme="minorHAnsi"/>
        </w:rPr>
        <w:t xml:space="preserve">  </w:t>
      </w:r>
      <w:r w:rsidR="00C32082" w:rsidRPr="00FD2BAE">
        <w:rPr>
          <w:rFonts w:asciiTheme="minorHAnsi" w:hAnsiTheme="minorHAnsi"/>
        </w:rPr>
        <w:t>S</w:t>
      </w:r>
      <w:r w:rsidRPr="00FD2BAE">
        <w:rPr>
          <w:rFonts w:asciiTheme="minorHAnsi" w:hAnsiTheme="minorHAnsi"/>
        </w:rPr>
        <w:t>tuden</w:t>
      </w:r>
      <w:r w:rsidRPr="00B417BF">
        <w:rPr>
          <w:rFonts w:asciiTheme="minorHAnsi" w:hAnsiTheme="minorHAnsi"/>
        </w:rPr>
        <w:t>ts with less ability to utilize a variety of learning strategies may find themselves struggling to manage both the volume of information presented and the transition from surface engagement of the lecture hall to the requirements of clinical care.</w:t>
      </w:r>
      <w:r w:rsidR="004B1039">
        <w:rPr>
          <w:rFonts w:asciiTheme="minorHAnsi" w:hAnsiTheme="minorHAnsi"/>
        </w:rPr>
        <w:fldChar w:fldCharType="begin"/>
      </w:r>
      <w:r w:rsidR="004B1039">
        <w:rPr>
          <w:rFonts w:asciiTheme="minorHAnsi" w:hAnsiTheme="minorHAnsi"/>
        </w:rPr>
        <w:instrText xml:space="preserve"> ADDIN ZOTERO_ITEM CSL_CITATION {"citationID":"MKCCeNHP","properties":{"formattedCitation":"\\super 20\\nosupersub{}","plainCitation":"20","noteIndex":0},"citationItems":[{"id":590,"uris":["http://zotero.org/users/1143701/items/GBEWPVFR"],"uri":["http://zotero.org/users/1143701/items/GBEWPVFR"],"itemData":{"id":590,"type":"article-journal","title":"Do dental students use optimal study strategies?","container-title":"Journal of Dental Education","page":"33-37","volume":"79","issue":"1","source":"PubMed","abstract":"Research on human learning has shown that repeated retrieval practice or self-testing maximizes learning. However, recent studies have found undergraduate students to be largely unaware of the benefits of self-testing. The aim of this study was to examine dental students' study strategies and utilization of retrieval techniques for learning. All second-year dental students at New York University College of Dentistry were invited to participate. Of the total 360 students, 66 completed the two-question survey, for a response rate of 18.3%. The first question asked students to choose from a list of twelve study strategies the ones they used and to rank their top five in order of personal preference. Repeated reading was the most frequently used strategy with 83.3% of students reporting that they used it and 43.9% naming it as their top strategy. Of these students, 45.5% indicated that they self-tested while studying, but none indicated it was their number one strategy. The second question asked students how they would study after reading a textbook chapter for the first time. They were asked to choose one option from three possibilities: going back and restudying, self-testing (with the possibility of restudying afterward), or some other strategy. On this question, 25.8% chose restudying, 45.5% chose self-testing, and 28.8% indicated they would use another study strategy. Thus, 54.6% of the students reported they would not test themselves after reading a textbook chapter. Of those who chose self-testing, only seven students indicated they would do so to improve learning. The results of this study suggest that the students lacked sufficient awareness of the superiority of self-testing for learning.","ISSN":"1930-7837","note":"PMID: 25576550","journalAbbreviation":"J Dent Educ","language":"eng","author":[{"family":"McAndrew","given":"Maureen"},{"family":"Kamboj","given":"Rajit S."},{"family":"Pierre","given":"Gaëlle C."}],"issued":{"date-parts":[["2015",1]]}}}],"schema":"https://github.com/citation-style-language/schema/raw/master/csl-citation.json"} </w:instrText>
      </w:r>
      <w:r w:rsidR="004B1039">
        <w:rPr>
          <w:rFonts w:asciiTheme="minorHAnsi" w:hAnsiTheme="minorHAnsi"/>
        </w:rPr>
        <w:fldChar w:fldCharType="separate"/>
      </w:r>
      <w:r w:rsidR="004B1039" w:rsidRPr="004B1039">
        <w:rPr>
          <w:rFonts w:ascii="Cambria" w:hAnsiTheme="minorHAnsi"/>
          <w:vertAlign w:val="superscript"/>
        </w:rPr>
        <w:t>20</w:t>
      </w:r>
      <w:r w:rsidR="004B1039">
        <w:rPr>
          <w:rFonts w:asciiTheme="minorHAnsi" w:hAnsiTheme="minorHAnsi"/>
        </w:rPr>
        <w:fldChar w:fldCharType="end"/>
      </w:r>
    </w:p>
    <w:p w14:paraId="54065B18" w14:textId="77777777" w:rsidR="00FA004E" w:rsidRPr="00B417BF" w:rsidRDefault="00FA004E" w:rsidP="00FA004E">
      <w:pPr>
        <w:spacing w:line="480" w:lineRule="auto"/>
        <w:rPr>
          <w:rFonts w:asciiTheme="minorHAnsi" w:hAnsiTheme="minorHAnsi"/>
        </w:rPr>
      </w:pPr>
    </w:p>
    <w:p w14:paraId="12E19977" w14:textId="09100159" w:rsidR="00FA004E" w:rsidRPr="00B417BF" w:rsidRDefault="00013699" w:rsidP="00FA004E">
      <w:pPr>
        <w:spacing w:line="480" w:lineRule="auto"/>
        <w:rPr>
          <w:rFonts w:asciiTheme="minorHAnsi" w:hAnsiTheme="minorHAnsi"/>
        </w:rPr>
      </w:pPr>
      <w:r>
        <w:rPr>
          <w:rFonts w:asciiTheme="minorHAnsi" w:hAnsiTheme="minorHAnsi"/>
        </w:rPr>
        <w:t>This study examined</w:t>
      </w:r>
      <w:r w:rsidR="00FA004E" w:rsidRPr="00B417BF">
        <w:rPr>
          <w:rFonts w:asciiTheme="minorHAnsi" w:hAnsiTheme="minorHAnsi"/>
        </w:rPr>
        <w:t xml:space="preserve"> stress</w:t>
      </w:r>
      <w:r w:rsidR="00C32082" w:rsidRPr="00B417BF">
        <w:rPr>
          <w:rFonts w:asciiTheme="minorHAnsi" w:hAnsiTheme="minorHAnsi"/>
        </w:rPr>
        <w:t xml:space="preserve">, help-seeking </w:t>
      </w:r>
      <w:r w:rsidR="00D94D81" w:rsidRPr="00B417BF">
        <w:rPr>
          <w:rFonts w:asciiTheme="minorHAnsi" w:hAnsiTheme="minorHAnsi"/>
        </w:rPr>
        <w:t>behaviors</w:t>
      </w:r>
      <w:r w:rsidR="00C32082" w:rsidRPr="00B417BF">
        <w:rPr>
          <w:rFonts w:asciiTheme="minorHAnsi" w:hAnsiTheme="minorHAnsi"/>
        </w:rPr>
        <w:t>,</w:t>
      </w:r>
      <w:r w:rsidR="00FA004E" w:rsidRPr="00B417BF">
        <w:rPr>
          <w:rFonts w:asciiTheme="minorHAnsi" w:hAnsiTheme="minorHAnsi"/>
        </w:rPr>
        <w:t xml:space="preserve"> and academic performance of physician assistant and dental students.  While not directly examined, the </w:t>
      </w:r>
      <w:r w:rsidR="00FA004E" w:rsidRPr="00B417BF">
        <w:rPr>
          <w:rFonts w:asciiTheme="minorHAnsi" w:hAnsiTheme="minorHAnsi"/>
        </w:rPr>
        <w:lastRenderedPageBreak/>
        <w:t xml:space="preserve">design of the </w:t>
      </w:r>
      <w:r w:rsidR="0027120E">
        <w:rPr>
          <w:rFonts w:asciiTheme="minorHAnsi" w:hAnsiTheme="minorHAnsi"/>
        </w:rPr>
        <w:t xml:space="preserve">Clinical </w:t>
      </w:r>
      <w:r w:rsidR="009651F9">
        <w:rPr>
          <w:rFonts w:asciiTheme="minorHAnsi" w:hAnsiTheme="minorHAnsi"/>
        </w:rPr>
        <w:t>Anatomy</w:t>
      </w:r>
      <w:r w:rsidR="005B1052">
        <w:rPr>
          <w:rFonts w:asciiTheme="minorHAnsi" w:hAnsiTheme="minorHAnsi"/>
        </w:rPr>
        <w:t xml:space="preserve"> course included</w:t>
      </w:r>
      <w:r w:rsidR="00FA004E" w:rsidRPr="00B417BF">
        <w:rPr>
          <w:rFonts w:asciiTheme="minorHAnsi" w:hAnsiTheme="minorHAnsi"/>
        </w:rPr>
        <w:t xml:space="preserve"> both a behaviorist curriculum in the form of traditional lectures and a cognitive approach in the form of laboratory</w:t>
      </w:r>
      <w:r w:rsidR="00BC1283">
        <w:rPr>
          <w:rFonts w:asciiTheme="minorHAnsi" w:hAnsiTheme="minorHAnsi"/>
        </w:rPr>
        <w:t xml:space="preserve"> and case</w:t>
      </w:r>
      <w:r w:rsidR="00FD2BAE">
        <w:rPr>
          <w:rFonts w:asciiTheme="minorHAnsi" w:hAnsiTheme="minorHAnsi"/>
        </w:rPr>
        <w:t>-based learning</w:t>
      </w:r>
      <w:r w:rsidR="00FA004E" w:rsidRPr="00B417BF">
        <w:rPr>
          <w:rFonts w:asciiTheme="minorHAnsi" w:hAnsiTheme="minorHAnsi"/>
        </w:rPr>
        <w:t xml:space="preserve"> experiences.  Laboratory sessions </w:t>
      </w:r>
      <w:r w:rsidR="005B1052">
        <w:rPr>
          <w:rFonts w:asciiTheme="minorHAnsi" w:hAnsiTheme="minorHAnsi"/>
        </w:rPr>
        <w:t>were</w:t>
      </w:r>
      <w:r w:rsidR="00FA004E" w:rsidRPr="00B417BF">
        <w:rPr>
          <w:rFonts w:asciiTheme="minorHAnsi" w:hAnsiTheme="minorHAnsi"/>
        </w:rPr>
        <w:t xml:space="preserve"> defined by expectations of learning objectives, but students </w:t>
      </w:r>
      <w:r w:rsidR="005B1052">
        <w:rPr>
          <w:rFonts w:asciiTheme="minorHAnsi" w:hAnsiTheme="minorHAnsi"/>
        </w:rPr>
        <w:t>were</w:t>
      </w:r>
      <w:r w:rsidR="00FA004E" w:rsidRPr="00B417BF">
        <w:rPr>
          <w:rFonts w:asciiTheme="minorHAnsi" w:hAnsiTheme="minorHAnsi"/>
        </w:rPr>
        <w:t xml:space="preserve"> allowed to participate as they deem necessary to meet learning objectives.  Students </w:t>
      </w:r>
      <w:r w:rsidR="005B1052">
        <w:rPr>
          <w:rFonts w:asciiTheme="minorHAnsi" w:hAnsiTheme="minorHAnsi"/>
        </w:rPr>
        <w:t>were</w:t>
      </w:r>
      <w:r w:rsidR="00FA004E" w:rsidRPr="00B417BF">
        <w:rPr>
          <w:rFonts w:asciiTheme="minorHAnsi" w:hAnsiTheme="minorHAnsi"/>
        </w:rPr>
        <w:t xml:space="preserve"> required to determine which learning strategies </w:t>
      </w:r>
      <w:r w:rsidR="005B1052">
        <w:rPr>
          <w:rFonts w:asciiTheme="minorHAnsi" w:hAnsiTheme="minorHAnsi"/>
        </w:rPr>
        <w:t>were</w:t>
      </w:r>
      <w:r w:rsidR="00FA004E" w:rsidRPr="00B417BF">
        <w:rPr>
          <w:rFonts w:asciiTheme="minorHAnsi" w:hAnsiTheme="minorHAnsi"/>
        </w:rPr>
        <w:t xml:space="preserve"> </w:t>
      </w:r>
      <w:r w:rsidR="00C32082" w:rsidRPr="00B417BF">
        <w:rPr>
          <w:rFonts w:asciiTheme="minorHAnsi" w:hAnsiTheme="minorHAnsi"/>
        </w:rPr>
        <w:t xml:space="preserve">needed for the </w:t>
      </w:r>
      <w:r w:rsidR="00FA004E" w:rsidRPr="00B417BF">
        <w:rPr>
          <w:rFonts w:asciiTheme="minorHAnsi" w:hAnsiTheme="minorHAnsi"/>
        </w:rPr>
        <w:t xml:space="preserve">components of the course and adjust </w:t>
      </w:r>
      <w:r w:rsidR="00C32082" w:rsidRPr="00B417BF">
        <w:rPr>
          <w:rFonts w:asciiTheme="minorHAnsi" w:hAnsiTheme="minorHAnsi"/>
        </w:rPr>
        <w:t>accordingly</w:t>
      </w:r>
      <w:r w:rsidR="00FA004E" w:rsidRPr="00B417BF">
        <w:rPr>
          <w:rFonts w:asciiTheme="minorHAnsi" w:hAnsiTheme="minorHAnsi"/>
        </w:rPr>
        <w:t>.  Students with less developed learning and study strat</w:t>
      </w:r>
      <w:r w:rsidR="00C32082" w:rsidRPr="00B417BF">
        <w:rPr>
          <w:rFonts w:asciiTheme="minorHAnsi" w:hAnsiTheme="minorHAnsi"/>
        </w:rPr>
        <w:t>egies may</w:t>
      </w:r>
      <w:r w:rsidR="005B1052">
        <w:rPr>
          <w:rFonts w:asciiTheme="minorHAnsi" w:hAnsiTheme="minorHAnsi"/>
        </w:rPr>
        <w:t xml:space="preserve"> have</w:t>
      </w:r>
      <w:r w:rsidR="00C32082" w:rsidRPr="00B417BF">
        <w:rPr>
          <w:rFonts w:asciiTheme="minorHAnsi" w:hAnsiTheme="minorHAnsi"/>
        </w:rPr>
        <w:t xml:space="preserve"> struggle</w:t>
      </w:r>
      <w:r w:rsidR="005B1052">
        <w:rPr>
          <w:rFonts w:asciiTheme="minorHAnsi" w:hAnsiTheme="minorHAnsi"/>
        </w:rPr>
        <w:t>d</w:t>
      </w:r>
      <w:r w:rsidR="00C32082" w:rsidRPr="00B417BF">
        <w:rPr>
          <w:rFonts w:asciiTheme="minorHAnsi" w:hAnsiTheme="minorHAnsi"/>
        </w:rPr>
        <w:t xml:space="preserve"> to adapt to changing curricular demands</w:t>
      </w:r>
      <w:r w:rsidR="00FA004E" w:rsidRPr="00B417BF">
        <w:rPr>
          <w:rFonts w:asciiTheme="minorHAnsi" w:hAnsiTheme="minorHAnsi"/>
        </w:rPr>
        <w:t>.</w:t>
      </w:r>
    </w:p>
    <w:p w14:paraId="73C9135D" w14:textId="2A2CC402" w:rsidR="00FA004E" w:rsidRPr="00B417BF" w:rsidRDefault="00FA004E" w:rsidP="00FA004E">
      <w:pPr>
        <w:spacing w:line="480" w:lineRule="auto"/>
        <w:rPr>
          <w:rFonts w:asciiTheme="minorHAnsi" w:hAnsiTheme="minorHAnsi"/>
        </w:rPr>
      </w:pPr>
    </w:p>
    <w:p w14:paraId="03F8CC47" w14:textId="3021AADB" w:rsidR="00FA004E" w:rsidRPr="00B417BF" w:rsidRDefault="00FA004E" w:rsidP="00FA004E">
      <w:pPr>
        <w:spacing w:line="480" w:lineRule="auto"/>
        <w:rPr>
          <w:rFonts w:asciiTheme="minorHAnsi" w:hAnsiTheme="minorHAnsi"/>
        </w:rPr>
      </w:pPr>
      <w:r w:rsidRPr="00B417BF">
        <w:rPr>
          <w:rFonts w:asciiTheme="minorHAnsi" w:hAnsiTheme="minorHAnsi"/>
        </w:rPr>
        <w:t>Research focusing on student outcomes and behaviors is a long-standing area of study in educational and psychosocial research.  In more recent years, academic medicine has begun investigating factors impacting student achievement and academic outcomes.</w:t>
      </w:r>
      <w:r w:rsidR="004B1039">
        <w:rPr>
          <w:rFonts w:asciiTheme="minorHAnsi" w:hAnsiTheme="minorHAnsi"/>
        </w:rPr>
        <w:fldChar w:fldCharType="begin"/>
      </w:r>
      <w:r w:rsidR="004B1039">
        <w:rPr>
          <w:rFonts w:asciiTheme="minorHAnsi" w:hAnsiTheme="minorHAnsi"/>
        </w:rPr>
        <w:instrText xml:space="preserve"> ADDIN ZOTERO_ITEM CSL_CITATION {"citationID":"7TE34WRH","properties":{"formattedCitation":"\\super 19\\nosupersub{}","plainCitation":"19","noteIndex":0},"citationItems":[{"id":1065,"uris":["http://zotero.org/users/1143701/items/5DKQ9AXH"],"uri":["http://zotero.org/users/1143701/items/5DKQ9AXH"],"itemData":{"id":1065,"type":"article-journal","title":"Medical education in the anatomical sciences: The winds of change continue to blow","container-title":"Anatomical Sciences Education","page":"253-259","volume":"2","issue":"6","source":"CrossRef","URL":"http://doi.wiley.com/10.1002/ase.117","DOI":"10.1002/ase.117","ISSN":"19359772, 19359780","shortTitle":"Medical education in the anatomical sciences","language":"en","author":[{"family":"Drake","given":"Richard L."},{"family":"McBride","given":"Jennifer M."},{"family":"Lachman","given":"Nirusha"},{"family":"Pawlina","given":"Wojciech"}],"issued":{"date-parts":[["2009",11]]},"accessed":{"date-parts":[["2018",3,18]]}}}],"schema":"https://github.com/citation-style-language/schema/raw/master/csl-citation.json"} </w:instrText>
      </w:r>
      <w:r w:rsidR="004B1039">
        <w:rPr>
          <w:rFonts w:asciiTheme="minorHAnsi" w:hAnsiTheme="minorHAnsi"/>
        </w:rPr>
        <w:fldChar w:fldCharType="separate"/>
      </w:r>
      <w:r w:rsidR="004B1039" w:rsidRPr="004B1039">
        <w:rPr>
          <w:rFonts w:ascii="Cambria" w:hAnsiTheme="minorHAnsi"/>
          <w:vertAlign w:val="superscript"/>
        </w:rPr>
        <w:t>19</w:t>
      </w:r>
      <w:r w:rsidR="004B1039">
        <w:rPr>
          <w:rFonts w:asciiTheme="minorHAnsi" w:hAnsiTheme="minorHAnsi"/>
        </w:rPr>
        <w:fldChar w:fldCharType="end"/>
      </w:r>
      <w:r w:rsidR="004B1039">
        <w:rPr>
          <w:rFonts w:asciiTheme="minorHAnsi" w:hAnsiTheme="minorHAnsi"/>
          <w:vertAlign w:val="superscript"/>
        </w:rPr>
        <w:t>,</w:t>
      </w:r>
      <w:r w:rsidR="004B1039">
        <w:rPr>
          <w:rFonts w:asciiTheme="minorHAnsi" w:hAnsiTheme="minorHAnsi"/>
          <w:vertAlign w:val="superscript"/>
        </w:rPr>
        <w:fldChar w:fldCharType="begin"/>
      </w:r>
      <w:r w:rsidR="004B1039">
        <w:rPr>
          <w:rFonts w:asciiTheme="minorHAnsi" w:hAnsiTheme="minorHAnsi"/>
          <w:vertAlign w:val="superscript"/>
        </w:rPr>
        <w:instrText xml:space="preserve"> ADDIN ZOTERO_ITEM CSL_CITATION {"citationID":"4PPX67Wx","properties":{"formattedCitation":"\\super 28\\nosupersub{}","plainCitation":"28","noteIndex":0},"citationItems":[{"id":725,"uris":["http://zotero.org/users/1143701/items/RFT4N5H5"],"uri":["http://zotero.org/users/1143701/items/RFT4N5H5"],"itemData":{"id":725,"type":"article-journal","title":"Aligning Education With Health Care Transformation: Identifying a Shared Mental Model of \"New\" Faculty Competencies for Academic Faculty.","container-title":"Academic Medicine","volume":"Publish Ahead of Print","source":"journals.lww.com","abstract":"Purpose: To develop a potential competency framework for faculty development programs aligned with the needs of faculty in academic health centers (AHCs).\n        Method: In 2014 and 2015, the authors interviewed 23 health system leaders and analyzed transcripts using constant comparative analysis and thematic analysis. They coded competencies and curricular concepts into subcategories. Lead investigators reviewed drafts of the categorization themes and subthemes related to gaps in faculty knowledge and skills, collapsed and combined competency domains, and resolved disagreements via discussion.\n        Results: Through analysis, the authors identified four themes. The first was core functional competencies and curricular domains for conceptual learning, including patient-centered care, health care processes, clinical informatics, population and public health, policy and payment, value-based care, and health system improvement. The second was the need for foundational competency domains, including systems thinking, change agency/management, teaming, and leadership. The third theme was paradigm shifts in how academic faculty should approach health care, categorized into four areas: delivery, transformation, provider characteristics and skills, and education. The fourth theme was the need for faculty to be aware of challenges in the culture of AHCs as an influential context for change.\n        Conclusions: This broad competency framework for faculty development programs expands existing curricula by including a comprehensive scope of health systems science content and skills. AHC leaders can use these results to better align faculty education with the real-time needs of their health systems. Future work should focus on optimal prioritization and methods for teaching.\n        (C) 2017 by the Association of American Medical Colleges","URL":"http://journals.lww.com/academicmedicine/Abstract/publishahead/Aligning_Education_With_Health_Care.98108.aspx","DOI":"10.1097/ACM.0000000000001895","ISSN":"1040-2446","shortTitle":"Aligning Education With Health Care Transformation","author":[{"family":"Gonzalo","given":"Jed D."},{"family":"Ahluwalia","given":"Amarpreet"},{"family":"Hamilton","given":"Maria"},{"family":"Wolf","given":"Heidi"},{"family":"Wolpaw","given":"Daniel R."},{"family":"Thompson","given":"Britta M."}],"issued":{"date-parts":[["2017",10,12]]},"accessed":{"date-parts":[["2017",10,14]]}}}],"schema":"https://github.com/citation-style-language/schema/raw/master/csl-citation.json"} </w:instrText>
      </w:r>
      <w:r w:rsidR="004B1039">
        <w:rPr>
          <w:rFonts w:asciiTheme="minorHAnsi" w:hAnsiTheme="minorHAnsi"/>
          <w:vertAlign w:val="superscript"/>
        </w:rPr>
        <w:fldChar w:fldCharType="separate"/>
      </w:r>
      <w:r w:rsidR="004B1039" w:rsidRPr="004B1039">
        <w:rPr>
          <w:rFonts w:ascii="Cambria" w:hAnsiTheme="minorHAnsi"/>
          <w:vertAlign w:val="superscript"/>
        </w:rPr>
        <w:t>28</w:t>
      </w:r>
      <w:r w:rsidR="004B1039">
        <w:rPr>
          <w:rFonts w:asciiTheme="minorHAnsi" w:hAnsiTheme="minorHAnsi"/>
          <w:vertAlign w:val="superscript"/>
        </w:rPr>
        <w:fldChar w:fldCharType="end"/>
      </w:r>
      <w:r w:rsidR="007D108D">
        <w:rPr>
          <w:rFonts w:asciiTheme="minorHAnsi" w:hAnsiTheme="minorHAnsi"/>
          <w:vertAlign w:val="superscript"/>
        </w:rPr>
        <w:t xml:space="preserve"> </w:t>
      </w:r>
      <w:r w:rsidR="004B1039">
        <w:rPr>
          <w:rFonts w:asciiTheme="minorHAnsi" w:hAnsiTheme="minorHAnsi"/>
        </w:rPr>
        <w:t xml:space="preserve"> The</w:t>
      </w:r>
      <w:r w:rsidRPr="00B417BF">
        <w:rPr>
          <w:rFonts w:asciiTheme="minorHAnsi" w:hAnsiTheme="minorHAnsi"/>
        </w:rPr>
        <w:t xml:space="preserve"> literature review for this study gathered resources from education, psychology, and health education to ad</w:t>
      </w:r>
      <w:r w:rsidR="00C32082" w:rsidRPr="00B417BF">
        <w:rPr>
          <w:rFonts w:asciiTheme="minorHAnsi" w:hAnsiTheme="minorHAnsi"/>
        </w:rPr>
        <w:t>dress the research questions</w:t>
      </w:r>
      <w:r w:rsidRPr="00B417BF">
        <w:rPr>
          <w:rFonts w:asciiTheme="minorHAnsi" w:hAnsiTheme="minorHAnsi"/>
        </w:rPr>
        <w:t xml:space="preserve">.  </w:t>
      </w:r>
    </w:p>
    <w:p w14:paraId="7AC16C13" w14:textId="77777777" w:rsidR="00FA004E" w:rsidRPr="00B417BF" w:rsidRDefault="00FA004E" w:rsidP="00FA004E">
      <w:pPr>
        <w:spacing w:line="480" w:lineRule="auto"/>
        <w:rPr>
          <w:rFonts w:asciiTheme="minorHAnsi" w:hAnsiTheme="minorHAnsi"/>
        </w:rPr>
      </w:pPr>
    </w:p>
    <w:p w14:paraId="695BFC27" w14:textId="1083EB58" w:rsidR="00FA004E" w:rsidRPr="00B417BF" w:rsidRDefault="000875CA" w:rsidP="00FA004E">
      <w:pPr>
        <w:spacing w:line="480" w:lineRule="auto"/>
        <w:rPr>
          <w:rFonts w:asciiTheme="minorHAnsi" w:hAnsiTheme="minorHAnsi"/>
        </w:rPr>
      </w:pPr>
      <w:r>
        <w:rPr>
          <w:rFonts w:asciiTheme="minorHAnsi" w:hAnsiTheme="minorHAnsi"/>
        </w:rPr>
        <w:t>The search for</w:t>
      </w:r>
      <w:r w:rsidR="00FA004E" w:rsidRPr="00B417BF">
        <w:rPr>
          <w:rFonts w:asciiTheme="minorHAnsi" w:hAnsiTheme="minorHAnsi"/>
        </w:rPr>
        <w:t xml:space="preserve"> predictors of </w:t>
      </w:r>
      <w:r>
        <w:rPr>
          <w:rFonts w:asciiTheme="minorHAnsi" w:hAnsiTheme="minorHAnsi"/>
        </w:rPr>
        <w:t>academic failure</w:t>
      </w:r>
      <w:r w:rsidR="00FA004E" w:rsidRPr="00B417BF">
        <w:rPr>
          <w:rFonts w:asciiTheme="minorHAnsi" w:hAnsiTheme="minorHAnsi"/>
        </w:rPr>
        <w:t xml:space="preserve"> has focused on </w:t>
      </w:r>
      <w:r w:rsidR="00C32082" w:rsidRPr="00B417BF">
        <w:rPr>
          <w:rFonts w:asciiTheme="minorHAnsi" w:hAnsiTheme="minorHAnsi"/>
        </w:rPr>
        <w:t xml:space="preserve">PK-12 </w:t>
      </w:r>
      <w:r w:rsidR="00FA004E" w:rsidRPr="00B417BF">
        <w:rPr>
          <w:rFonts w:asciiTheme="minorHAnsi" w:hAnsiTheme="minorHAnsi"/>
        </w:rPr>
        <w:t>school</w:t>
      </w:r>
      <w:r w:rsidR="00C32082" w:rsidRPr="00B417BF">
        <w:rPr>
          <w:rFonts w:asciiTheme="minorHAnsi" w:hAnsiTheme="minorHAnsi"/>
        </w:rPr>
        <w:t>s</w:t>
      </w:r>
      <w:r w:rsidR="00FA004E" w:rsidRPr="00B417BF">
        <w:rPr>
          <w:rFonts w:asciiTheme="minorHAnsi" w:hAnsiTheme="minorHAnsi"/>
        </w:rPr>
        <w:t xml:space="preserve"> and </w:t>
      </w:r>
      <w:r w:rsidR="00C32082" w:rsidRPr="00B417BF">
        <w:rPr>
          <w:rFonts w:asciiTheme="minorHAnsi" w:hAnsiTheme="minorHAnsi"/>
        </w:rPr>
        <w:t>the undergraduate environment in higher education</w:t>
      </w:r>
      <w:r w:rsidR="0080690B">
        <w:rPr>
          <w:rFonts w:asciiTheme="minorHAnsi" w:hAnsiTheme="minorHAnsi"/>
        </w:rPr>
        <w:t>.</w:t>
      </w:r>
      <w:r w:rsidR="00FA004E" w:rsidRPr="00B417BF">
        <w:rPr>
          <w:rFonts w:asciiTheme="minorHAnsi" w:hAnsiTheme="minorHAnsi"/>
        </w:rPr>
        <w:fldChar w:fldCharType="begin"/>
      </w:r>
      <w:r w:rsidR="002C6551">
        <w:rPr>
          <w:rFonts w:asciiTheme="minorHAnsi" w:hAnsiTheme="minorHAnsi"/>
        </w:rPr>
        <w:instrText xml:space="preserve"> ADDIN ZOTERO_ITEM CSL_CITATION {"citationID":"niVEAY3q","properties":{"formattedCitation":"\\super 1\\nosupersub{}","plainCitation":"1","noteIndex":0},"citationItems":[{"id":"LTQK2Tdj/DMowANmf","uris":["http://zotero.org/users/1143701/items/ZENUM6DK"],"uri":["http://zotero.org/users/1143701/items/ZENUM6DK"],"itemData":{"id":386,"type":"article-journal","title":"Underachievement Among College Students","container-title":"Journal of Advanced Academics","page":"274-294","volume":"20","issue":"2","source":"joa.sagepub.com","abstract":"Many high-achieving students do not question their academic success. They do well and are content with the study skills they have developed to ensure that they achieve their goals. However, these students, whose high schools considered them achievers, experience difficulties and sometimes failure in situations where they had previously experienced success. Using a sample of college freshmen who had earned academic warnings or had been placed on academic probation, this research examined each individual and his or her causes of underachievement. Participants attributed their high school successes to minor efforts. Not needing to do much to earn the success they wanted, these students were never taught, nor ever taught themselves, how to work through challenging issues. When these participants encountered challenging coursework in college, they were unprepared to deal with it. Additionally, several other aspects of participants’ experiences contributed to their college underachievement: inadequate study skills, poor time management, and internal versus external motivation. Participants felt that the intervention that would best reverse college underachievement was improving their own attitudes and behaviors. Through counseling and other means, gifted students need to learn how to motivate themselves to work when grades do not come easily. Colleges should be aware that even their high-achieving applicants may lack the skills necessary to succeed. In addition to offering study skills courses to underachieving students, colleges should include preemptive strategies for all incoming freshmen, including motivational and time management strategies.","DOI":"10.1177/1932202X0902000204","ISSN":"1932-202X, 2162-9536","journalAbbreviation":"Journal of Advanced Academics","language":"en","author":[{"family":"Balduf","given":"Megan"}],"issued":{"date-parts":[["2009",2,1]]},"accessed":{"date-parts":[["2015",2,9]]}}}],"schema":"https://github.com/citation-style-language/schema/raw/master/csl-citation.json"} </w:instrText>
      </w:r>
      <w:r w:rsidR="00FA004E" w:rsidRPr="00B417BF">
        <w:rPr>
          <w:rFonts w:asciiTheme="minorHAnsi" w:hAnsiTheme="minorHAnsi"/>
        </w:rPr>
        <w:fldChar w:fldCharType="separate"/>
      </w:r>
      <w:r w:rsidR="002F2356" w:rsidRPr="002F2356">
        <w:rPr>
          <w:rFonts w:ascii="Cambria" w:hAnsiTheme="minorHAnsi"/>
          <w:vertAlign w:val="superscript"/>
        </w:rPr>
        <w:t>1</w:t>
      </w:r>
      <w:r w:rsidR="00FA004E" w:rsidRPr="00B417BF">
        <w:rPr>
          <w:rFonts w:asciiTheme="minorHAnsi" w:hAnsiTheme="minorHAnsi"/>
        </w:rPr>
        <w:fldChar w:fldCharType="end"/>
      </w:r>
      <w:r w:rsidR="00C32082" w:rsidRPr="00B417BF">
        <w:rPr>
          <w:rFonts w:asciiTheme="minorHAnsi" w:hAnsiTheme="minorHAnsi"/>
        </w:rPr>
        <w:t xml:space="preserve"> </w:t>
      </w:r>
      <w:r w:rsidR="00FA004E" w:rsidRPr="00B417BF">
        <w:rPr>
          <w:rFonts w:asciiTheme="minorHAnsi" w:hAnsiTheme="minorHAnsi"/>
        </w:rPr>
        <w:t xml:space="preserve"> In regards to medical schools, </w:t>
      </w:r>
      <w:r w:rsidR="00653488" w:rsidRPr="00B417BF">
        <w:rPr>
          <w:rFonts w:asciiTheme="minorHAnsi" w:hAnsiTheme="minorHAnsi"/>
        </w:rPr>
        <w:t>studies have attempted</w:t>
      </w:r>
      <w:r w:rsidR="00FA004E" w:rsidRPr="00B417BF">
        <w:rPr>
          <w:rFonts w:asciiTheme="minorHAnsi" w:hAnsiTheme="minorHAnsi"/>
        </w:rPr>
        <w:t xml:space="preserve"> to correlate and find predictors of board passing in vari</w:t>
      </w:r>
      <w:r w:rsidR="00D94D81" w:rsidRPr="00B417BF">
        <w:rPr>
          <w:rFonts w:asciiTheme="minorHAnsi" w:hAnsiTheme="minorHAnsi"/>
        </w:rPr>
        <w:t>ables of instructional delivery</w:t>
      </w:r>
      <w:r w:rsidR="001668D4">
        <w:rPr>
          <w:rFonts w:asciiTheme="minorHAnsi" w:hAnsiTheme="minorHAnsi"/>
        </w:rPr>
        <w:t>.</w:t>
      </w:r>
      <w:r w:rsidR="00D94D81" w:rsidRPr="00B417BF">
        <w:rPr>
          <w:rFonts w:asciiTheme="minorHAnsi" w:hAnsiTheme="minorHAnsi"/>
        </w:rPr>
        <w:fldChar w:fldCharType="begin"/>
      </w:r>
      <w:r w:rsidR="00A8221D">
        <w:rPr>
          <w:rFonts w:asciiTheme="minorHAnsi" w:hAnsiTheme="minorHAnsi"/>
        </w:rPr>
        <w:instrText xml:space="preserve"> ADDIN ZOTERO_ITEM CSL_CITATION {"citationID":"a2nkou5hjhl","properties":{"formattedCitation":"\\super 28\\nosupersub{}","plainCitation":"28","noteIndex":0},"citationItems":[{"id":725,"uris":["http://zotero.org/users/1143701/items/RFT4N5H5"],"uri":["http://zotero.org/users/1143701/items/RFT4N5H5"],"itemData":{"id":725,"type":"article-journal","title":"Aligning Education With Health Care Transformation: Identifying a Shared Mental Model of \"New\" Faculty Competencies for Academic Faculty.","container-title":"Academic Medicine","volume":"Publish Ahead of Print","source":"journals.lww.com","abstract":"Purpose: To develop a potential competency framework for faculty development programs aligned with the needs of faculty in academic health centers (AHCs).\n        Method: In 2014 and 2015, the authors interviewed 23 health system leaders and analyzed transcripts using constant comparative analysis and thematic analysis. They coded competencies and curricular concepts into subcategories. Lead investigators reviewed drafts of the categorization themes and subthemes related to gaps in faculty knowledge and skills, collapsed and combined competency domains, and resolved disagreements via discussion.\n        Results: Through analysis, the authors identified four themes. The first was core functional competencies and curricular domains for conceptual learning, including patient-centered care, health care processes, clinical informatics, population and public health, policy and payment, value-based care, and health system improvement. The second was the need for foundational competency domains, including systems thinking, change agency/management, teaming, and leadership. The third theme was paradigm shifts in how academic faculty should approach health care, categorized into four areas: delivery, transformation, provider characteristics and skills, and education. The fourth theme was the need for faculty to be aware of challenges in the culture of AHCs as an influential context for change.\n        Conclusions: This broad competency framework for faculty development programs expands existing curricula by including a comprehensive scope of health systems science content and skills. AHC leaders can use these results to better align faculty education with the real-time needs of their health systems. Future work should focus on optimal prioritization and methods for teaching.\n        (C) 2017 by the Association of American Medical Colleges","URL":"http://journals.lww.com/academicmedicine/Abstract/publishahead/Aligning_Education_With_Health_Care.98108.aspx","DOI":"10.1097/ACM.0000000000001895","ISSN":"1040-2446","shortTitle":"Aligning Education With Health Care Transformation","author":[{"family":"Gonzalo","given":"Jed D."},{"family":"Ahluwalia","given":"Amarpreet"},{"family":"Hamilton","given":"Maria"},{"family":"Wolf","given":"Heidi"},{"family":"Wolpaw","given":"Daniel R."},{"family":"Thompson","given":"Britta M."}],"issued":{"date-parts":[["2017",10,12]]},"accessed":{"date-parts":[["2017",10,14]]}}}],"schema":"https://github.com/citation-style-language/schema/raw/master/csl-citation.json"} </w:instrText>
      </w:r>
      <w:r w:rsidR="00D94D81" w:rsidRPr="00B417BF">
        <w:rPr>
          <w:rFonts w:asciiTheme="minorHAnsi" w:hAnsiTheme="minorHAnsi"/>
        </w:rPr>
        <w:fldChar w:fldCharType="separate"/>
      </w:r>
      <w:r w:rsidR="00A8221D" w:rsidRPr="00A8221D">
        <w:rPr>
          <w:rFonts w:ascii="Cambria" w:hAnsiTheme="minorHAnsi"/>
          <w:vertAlign w:val="superscript"/>
        </w:rPr>
        <w:t>28</w:t>
      </w:r>
      <w:r w:rsidR="00D94D81" w:rsidRPr="00B417BF">
        <w:rPr>
          <w:rFonts w:asciiTheme="minorHAnsi" w:hAnsiTheme="minorHAnsi"/>
        </w:rPr>
        <w:fldChar w:fldCharType="end"/>
      </w:r>
      <w:r w:rsidR="00FA004E" w:rsidRPr="00B417BF">
        <w:rPr>
          <w:rFonts w:asciiTheme="minorHAnsi" w:hAnsiTheme="minorHAnsi"/>
        </w:rPr>
        <w:t xml:space="preserve">  </w:t>
      </w:r>
      <w:r w:rsidR="0080690B" w:rsidRPr="0080690B">
        <w:rPr>
          <w:rFonts w:asciiTheme="minorHAnsi" w:hAnsiTheme="minorHAnsi"/>
        </w:rPr>
        <w:t>For all medical careers,</w:t>
      </w:r>
      <w:r w:rsidR="00FA004E" w:rsidRPr="0080690B">
        <w:rPr>
          <w:rFonts w:asciiTheme="minorHAnsi" w:hAnsiTheme="minorHAnsi"/>
        </w:rPr>
        <w:t xml:space="preserve"> passing board exams is necessary to gain licensure and begin </w:t>
      </w:r>
      <w:r w:rsidR="0080690B">
        <w:rPr>
          <w:rFonts w:asciiTheme="minorHAnsi" w:hAnsiTheme="minorHAnsi"/>
        </w:rPr>
        <w:t>a career.</w:t>
      </w:r>
      <w:r w:rsidR="00FA004E" w:rsidRPr="0080690B">
        <w:rPr>
          <w:rFonts w:asciiTheme="minorHAnsi" w:hAnsiTheme="minorHAnsi"/>
        </w:rPr>
        <w:t xml:space="preserve"> </w:t>
      </w:r>
      <w:r w:rsidR="0080690B">
        <w:rPr>
          <w:rFonts w:asciiTheme="minorHAnsi" w:hAnsiTheme="minorHAnsi"/>
        </w:rPr>
        <w:t xml:space="preserve">Research regarding the relationships between </w:t>
      </w:r>
      <w:r>
        <w:rPr>
          <w:rFonts w:asciiTheme="minorHAnsi" w:hAnsiTheme="minorHAnsi"/>
        </w:rPr>
        <w:t>Physician Assistant (PA) and d</w:t>
      </w:r>
      <w:r w:rsidR="0080690B" w:rsidRPr="0080690B">
        <w:rPr>
          <w:rFonts w:asciiTheme="minorHAnsi" w:hAnsiTheme="minorHAnsi"/>
        </w:rPr>
        <w:t xml:space="preserve">ental </w:t>
      </w:r>
      <w:r w:rsidR="0080690B" w:rsidRPr="0080690B">
        <w:rPr>
          <w:rFonts w:asciiTheme="minorHAnsi" w:hAnsiTheme="minorHAnsi"/>
        </w:rPr>
        <w:lastRenderedPageBreak/>
        <w:t>students</w:t>
      </w:r>
      <w:r w:rsidR="0080690B">
        <w:rPr>
          <w:rFonts w:asciiTheme="minorHAnsi" w:hAnsiTheme="minorHAnsi"/>
        </w:rPr>
        <w:t xml:space="preserve">’ didactic environment and board exam scores lags behind that found in other areas of </w:t>
      </w:r>
      <w:r w:rsidR="0089088E">
        <w:rPr>
          <w:rFonts w:asciiTheme="minorHAnsi" w:hAnsiTheme="minorHAnsi"/>
        </w:rPr>
        <w:t xml:space="preserve">higher </w:t>
      </w:r>
      <w:r w:rsidR="0080690B">
        <w:rPr>
          <w:rFonts w:asciiTheme="minorHAnsi" w:hAnsiTheme="minorHAnsi"/>
        </w:rPr>
        <w:t>education.</w:t>
      </w:r>
      <w:r w:rsidR="0080690B" w:rsidRPr="0080690B">
        <w:rPr>
          <w:rFonts w:asciiTheme="minorHAnsi" w:hAnsiTheme="minorHAnsi"/>
        </w:rPr>
        <w:t xml:space="preserve">  </w:t>
      </w:r>
    </w:p>
    <w:p w14:paraId="5B609176" w14:textId="3D0A489E" w:rsidR="00013699" w:rsidRDefault="00013699" w:rsidP="00FA004E">
      <w:pPr>
        <w:spacing w:line="480" w:lineRule="auto"/>
        <w:rPr>
          <w:rFonts w:asciiTheme="minorHAnsi" w:hAnsiTheme="minorHAnsi"/>
        </w:rPr>
      </w:pPr>
    </w:p>
    <w:p w14:paraId="7E7ADF9A" w14:textId="2EACB899" w:rsidR="00A57B40" w:rsidRPr="00A57B40" w:rsidRDefault="00A57B40" w:rsidP="00FA004E">
      <w:pPr>
        <w:spacing w:line="480" w:lineRule="auto"/>
        <w:rPr>
          <w:rFonts w:asciiTheme="minorHAnsi" w:hAnsiTheme="minorHAnsi"/>
          <w:b/>
        </w:rPr>
      </w:pPr>
      <w:r>
        <w:rPr>
          <w:rFonts w:asciiTheme="minorHAnsi" w:hAnsiTheme="minorHAnsi"/>
          <w:b/>
        </w:rPr>
        <w:t>Factors Contributing to Underperformance:</w:t>
      </w:r>
    </w:p>
    <w:p w14:paraId="38CC9A43" w14:textId="07941C77" w:rsidR="00FA004E" w:rsidRPr="00B417BF" w:rsidRDefault="00FA004E" w:rsidP="00FA004E">
      <w:pPr>
        <w:spacing w:line="480" w:lineRule="auto"/>
        <w:rPr>
          <w:rFonts w:asciiTheme="minorHAnsi" w:hAnsiTheme="minorHAnsi"/>
        </w:rPr>
      </w:pPr>
      <w:r w:rsidRPr="00B417BF">
        <w:rPr>
          <w:rFonts w:asciiTheme="minorHAnsi" w:hAnsiTheme="minorHAnsi"/>
        </w:rPr>
        <w:t>Recent study and investigation of student remediation reveal a number of factors that can impact student performance</w:t>
      </w:r>
      <w:r w:rsidR="001668D4">
        <w:rPr>
          <w:rFonts w:asciiTheme="minorHAnsi" w:hAnsiTheme="minorHAnsi"/>
        </w:rPr>
        <w:t>.</w:t>
      </w:r>
      <w:r w:rsidR="00D94D81" w:rsidRPr="00B417BF">
        <w:rPr>
          <w:rFonts w:asciiTheme="minorHAnsi" w:hAnsiTheme="minorHAnsi"/>
        </w:rPr>
        <w:fldChar w:fldCharType="begin"/>
      </w:r>
      <w:r w:rsidR="001A780A">
        <w:rPr>
          <w:rFonts w:asciiTheme="minorHAnsi" w:hAnsiTheme="minorHAnsi"/>
        </w:rPr>
        <w:instrText xml:space="preserve"> ADDIN ZOTERO_ITEM CSL_CITATION {"citationID":"a1o502s493d","properties":{"formattedCitation":"\\super 11\\nosupersub{}","plainCitation":"11","noteIndex":0},"citationItems":[{"id":538,"uris":["http://zotero.org/users/1143701/items/73RGPVSD"],"uri":["http://zotero.org/users/1143701/items/73RGPVSD"],"itemData":{"id":538,"type":"article-journal","title":"Association of Characteristics, Deficits, and Outcomes of Residents Placed on Probation at One Institution, 2002–2012:","container-title":"Academic Medicine","page":"382-387","volume":"91","issue":"3","source":"CrossRef","URL":"http://content.wkhealth.com/linkback/openurl?sid=WKPTLP:landingpage&amp;an=00001888-201603000-00035","DOI":"10.1097/ACM.0000000000000879","ISSN":"1040-2446","shortTitle":"Association of Characteristics, Deficits, and Outcomes of Residents Placed on Probation at One Institution, 2002–2012","language":"en","author":[{"family":"Guerrasio","given":"Jeannette"},{"family":"Brooks","given":"Elizabeth"},{"family":"Rumack","given":"Carol M."},{"family":"Christensen","given":"Alicia"},{"family":"Aagaard","given":"Eva M."}],"issued":{"date-parts":[["2016",3]]},"accessed":{"date-parts":[["2016",3,28]]}}}],"schema":"https://github.com/citation-style-language/schema/raw/master/csl-citation.json"} </w:instrText>
      </w:r>
      <w:r w:rsidR="00D94D81" w:rsidRPr="00B417BF">
        <w:rPr>
          <w:rFonts w:asciiTheme="minorHAnsi" w:hAnsiTheme="minorHAnsi"/>
        </w:rPr>
        <w:fldChar w:fldCharType="separate"/>
      </w:r>
      <w:r w:rsidR="001A780A" w:rsidRPr="001A780A">
        <w:rPr>
          <w:rFonts w:ascii="Cambria" w:hAnsiTheme="minorHAnsi"/>
          <w:vertAlign w:val="superscript"/>
        </w:rPr>
        <w:t>11</w:t>
      </w:r>
      <w:r w:rsidR="00D94D81" w:rsidRPr="00B417BF">
        <w:rPr>
          <w:rFonts w:asciiTheme="minorHAnsi" w:hAnsiTheme="minorHAnsi"/>
        </w:rPr>
        <w:fldChar w:fldCharType="end"/>
      </w:r>
      <w:r w:rsidRPr="00B417BF">
        <w:rPr>
          <w:rFonts w:asciiTheme="minorHAnsi" w:hAnsiTheme="minorHAnsi"/>
        </w:rPr>
        <w:t xml:space="preserve">  These include academic background, social issues, professional skills, and personality.  In post-hoc studies, some predictors of success in general medical education have been identified</w:t>
      </w:r>
      <w:r w:rsidR="001668D4">
        <w:rPr>
          <w:rFonts w:asciiTheme="minorHAnsi" w:hAnsiTheme="minorHAnsi"/>
        </w:rPr>
        <w:t>.</w:t>
      </w:r>
      <w:r w:rsidR="00D94D81" w:rsidRPr="00B417BF">
        <w:rPr>
          <w:rFonts w:asciiTheme="minorHAnsi" w:hAnsiTheme="minorHAnsi"/>
        </w:rPr>
        <w:fldChar w:fldCharType="begin"/>
      </w:r>
      <w:r w:rsidR="00A8221D">
        <w:rPr>
          <w:rFonts w:asciiTheme="minorHAnsi" w:hAnsiTheme="minorHAnsi"/>
        </w:rPr>
        <w:instrText xml:space="preserve"> ADDIN ZOTERO_ITEM CSL_CITATION {"citationID":"a2qdprb5o2k","properties":{"formattedCitation":"\\super 29\\nosupersub{}","plainCitation":"29","noteIndex":0},"citationItems":[{"id":496,"uris":["http://zotero.org/users/1143701/items/RNR8UDIA"],"uri":["http://zotero.org/users/1143701/items/RNR8UDIA"],"itemData":{"id":496,"type":"article-journal","title":"Psychological well-being status among medical and dental students in Makkah, Saudi Arabia: A cross-sectional study","container-title":"Medical Teacher","page":"S75-S81","volume":"37","issue":"S1","source":"informahealthcare.com (Atypon)","abstract":"Abstract Objectives: Medical and dental students experience poor psychological well-being relative to their peers. This study aimed to assess the psychological well-being among medical and dental students in Saudi Arabia, identify the high-risk groups and assess the association between the psychological well-being and the academic performance. Methods: In this cross-sectional study, 422 preclinical medical and dental students at Umm Al-Qura University, Saudi Arabia, were recruited to assess their depression, anxiety, stress, self-efficacy and satisfaction with life levels using 21-items Depression Anxiety Stress Scale (DASS-21), General Self-Efficacy (GSE) scale and Satisfaction With Life Scale (SWLS). Students’ academic weighted grades were obtained later. Descriptive statistics and univariate general linear model were used to analyse data. Results: High levels of depression (69.9%), anxiety (66.4%) and stress (70.9%) were indicated, whereas self-efficacy (mean = 27.22, sd = 4.85) and life satisfaction (mean = 23.60, sd = 6.37) were within the normal range. Female medical students had higher psychological distress in contrast to dental students. In general, third-year students were more depressed and stressed in comparison with second-year students, except for stress among dental students. Moreover, all females had higher self-efficacy than males. Life satisfaction was higher within the second-year and high family income students. Depression was the only psychological variable correlated with the academic performance. Conclusion: High levels of psychological distress were found. Female medical students had higher psychological distress than males, whereas male dental students had higher distress than female. Medical students at third year were more depressed and stressed. Dental students were more depressed in the third year, but more stressed in the second year. Attention should be directed towards reducing the alarming levels of depression, anxiety and stress among medical and dental students.","URL":"http://informahealthcare.com/doi/abs/10.3109/0142159X.2015.1006612","DOI":"10.3109/0142159X.2015.1006612","ISSN":"0142-159X","shortTitle":"Psychological well-being status among medical and dental students in Makkah, Saudi Arabia","journalAbbreviation":"Med Teach","author":[{"family":"Aboalshamat","given":"Khalid"},{"family":"Hou","given":"Xiang-Yu"},{"family":"Strodl","given":"Esben"}],"issued":{"date-parts":[["2015",2,4]]},"accessed":{"date-parts":[["2015",6,22]]}}}],"schema":"https://github.com/citation-style-language/schema/raw/master/csl-citation.json"} </w:instrText>
      </w:r>
      <w:r w:rsidR="00D94D81" w:rsidRPr="00B417BF">
        <w:rPr>
          <w:rFonts w:asciiTheme="minorHAnsi" w:hAnsiTheme="minorHAnsi"/>
        </w:rPr>
        <w:fldChar w:fldCharType="separate"/>
      </w:r>
      <w:r w:rsidR="00A8221D" w:rsidRPr="00A8221D">
        <w:rPr>
          <w:rFonts w:ascii="Cambria" w:hAnsiTheme="minorHAnsi"/>
          <w:vertAlign w:val="superscript"/>
        </w:rPr>
        <w:t>29</w:t>
      </w:r>
      <w:r w:rsidR="00D94D81" w:rsidRPr="00B417BF">
        <w:rPr>
          <w:rFonts w:asciiTheme="minorHAnsi" w:hAnsiTheme="minorHAnsi"/>
        </w:rPr>
        <w:fldChar w:fldCharType="end"/>
      </w:r>
      <w:r w:rsidRPr="00B417BF">
        <w:rPr>
          <w:rFonts w:asciiTheme="minorHAnsi" w:hAnsiTheme="minorHAnsi"/>
        </w:rPr>
        <w:t xml:space="preserve"> </w:t>
      </w:r>
      <w:r w:rsidR="00D94D81" w:rsidRPr="00B417BF">
        <w:rPr>
          <w:rFonts w:asciiTheme="minorHAnsi" w:hAnsiTheme="minorHAnsi"/>
          <w:color w:val="4F81BD" w:themeColor="accent1"/>
        </w:rPr>
        <w:t xml:space="preserve"> </w:t>
      </w:r>
      <w:r w:rsidRPr="00B417BF">
        <w:rPr>
          <w:rFonts w:asciiTheme="minorHAnsi" w:hAnsiTheme="minorHAnsi"/>
        </w:rPr>
        <w:t>These are similar across all fields of practice to include medicine, dentistry, pharmacy, and veterinary science.  Hendricson and Kleffner describe six categories of deficiency students bring to medical school</w:t>
      </w:r>
      <w:r w:rsidR="003A75D1" w:rsidRPr="00B417BF">
        <w:rPr>
          <w:rFonts w:asciiTheme="minorHAnsi" w:hAnsiTheme="minorHAnsi"/>
        </w:rPr>
        <w:t xml:space="preserve">: </w:t>
      </w:r>
      <w:r w:rsidR="009B44EA">
        <w:rPr>
          <w:rFonts w:asciiTheme="minorHAnsi" w:hAnsiTheme="minorHAnsi"/>
        </w:rPr>
        <w:t xml:space="preserve">(1) </w:t>
      </w:r>
      <w:r w:rsidR="003A75D1" w:rsidRPr="00B417BF">
        <w:rPr>
          <w:rFonts w:asciiTheme="minorHAnsi" w:hAnsiTheme="minorHAnsi"/>
        </w:rPr>
        <w:t>medical</w:t>
      </w:r>
      <w:r w:rsidRPr="00B417BF">
        <w:rPr>
          <w:rFonts w:asciiTheme="minorHAnsi" w:hAnsiTheme="minorHAnsi"/>
        </w:rPr>
        <w:t xml:space="preserve"> problems, </w:t>
      </w:r>
      <w:r w:rsidR="009B44EA">
        <w:rPr>
          <w:rFonts w:asciiTheme="minorHAnsi" w:hAnsiTheme="minorHAnsi"/>
        </w:rPr>
        <w:t xml:space="preserve">(2) </w:t>
      </w:r>
      <w:r w:rsidRPr="00B417BF">
        <w:rPr>
          <w:rFonts w:asciiTheme="minorHAnsi" w:hAnsiTheme="minorHAnsi"/>
        </w:rPr>
        <w:t xml:space="preserve">cognition, </w:t>
      </w:r>
      <w:r w:rsidR="009B44EA">
        <w:rPr>
          <w:rFonts w:asciiTheme="minorHAnsi" w:hAnsiTheme="minorHAnsi"/>
        </w:rPr>
        <w:t xml:space="preserve">(3) </w:t>
      </w:r>
      <w:r w:rsidRPr="00B417BF">
        <w:rPr>
          <w:rFonts w:asciiTheme="minorHAnsi" w:hAnsiTheme="minorHAnsi"/>
        </w:rPr>
        <w:t xml:space="preserve">the affective component of learning, </w:t>
      </w:r>
      <w:r w:rsidR="009B44EA">
        <w:rPr>
          <w:rFonts w:asciiTheme="minorHAnsi" w:hAnsiTheme="minorHAnsi"/>
        </w:rPr>
        <w:t xml:space="preserve">(4) </w:t>
      </w:r>
      <w:r w:rsidRPr="00B417BF">
        <w:rPr>
          <w:rFonts w:asciiTheme="minorHAnsi" w:hAnsiTheme="minorHAnsi"/>
        </w:rPr>
        <w:t xml:space="preserve">study habits, </w:t>
      </w:r>
      <w:r w:rsidR="009B44EA">
        <w:rPr>
          <w:rFonts w:asciiTheme="minorHAnsi" w:hAnsiTheme="minorHAnsi"/>
        </w:rPr>
        <w:t xml:space="preserve">(5) </w:t>
      </w:r>
      <w:r w:rsidRPr="00B417BF">
        <w:rPr>
          <w:rFonts w:asciiTheme="minorHAnsi" w:hAnsiTheme="minorHAnsi"/>
        </w:rPr>
        <w:t xml:space="preserve">academic environment, and </w:t>
      </w:r>
      <w:r w:rsidR="009B44EA">
        <w:rPr>
          <w:rFonts w:asciiTheme="minorHAnsi" w:hAnsiTheme="minorHAnsi"/>
        </w:rPr>
        <w:t xml:space="preserve">(6) </w:t>
      </w:r>
      <w:r w:rsidRPr="00B417BF">
        <w:rPr>
          <w:rFonts w:asciiTheme="minorHAnsi" w:hAnsiTheme="minorHAnsi"/>
        </w:rPr>
        <w:t>student distraction</w:t>
      </w:r>
      <w:r w:rsidR="001668D4">
        <w:rPr>
          <w:rFonts w:asciiTheme="minorHAnsi" w:hAnsiTheme="minorHAnsi"/>
        </w:rPr>
        <w:t>.</w:t>
      </w:r>
      <w:r w:rsidRPr="00B417BF">
        <w:rPr>
          <w:rFonts w:asciiTheme="minorHAnsi" w:hAnsiTheme="minorHAnsi"/>
        </w:rPr>
        <w:fldChar w:fldCharType="begin"/>
      </w:r>
      <w:r w:rsidR="001A780A">
        <w:rPr>
          <w:rFonts w:asciiTheme="minorHAnsi" w:hAnsiTheme="minorHAnsi"/>
        </w:rPr>
        <w:instrText xml:space="preserve"> ADDIN ZOTERO_ITEM CSL_CITATION {"citationID":"Hl84ZeJD","properties":{"formattedCitation":"\\super 13\\nosupersub{}","plainCitation":"13","noteIndex":0},"citationItems":[{"id":586,"uris":["http://zotero.org/users/1143701/items/R9KSW9A9"],"uri":["http://zotero.org/users/1143701/items/R9KSW9A9"],"itemData":{"id":586,"type":"article-journal","title":"Assessing and helping challenging students: Part One, Why do some students have difficulty learning?","container-title":"Journal of Dental Education","page":"43-61","volume":"66","issue":"1","source":"www.jdentaled.org","URL":"http://www.jdentaled.org/content/66/1/43","ISSN":"0022-0337, 1930-7837","note":"PMID: 12358100","shortTitle":"Assessing and helping challenging students","journalAbbreviation":"J Dent Educ","language":"en","author":[{"family":"Hendricson","given":"W. D."},{"family":"Kleffner","given":"J. H."}],"issued":{"date-parts":[["2002",1,1]]},"accessed":{"date-parts":[["2015",8,15]]}}}],"schema":"https://github.com/citation-style-language/schema/raw/master/csl-citation.json"} </w:instrText>
      </w:r>
      <w:r w:rsidRPr="00B417BF">
        <w:rPr>
          <w:rFonts w:asciiTheme="minorHAnsi" w:hAnsiTheme="minorHAnsi"/>
        </w:rPr>
        <w:fldChar w:fldCharType="separate"/>
      </w:r>
      <w:r w:rsidR="001A780A" w:rsidRPr="001A780A">
        <w:rPr>
          <w:rFonts w:ascii="Cambria" w:hAnsiTheme="minorHAnsi"/>
          <w:vertAlign w:val="superscript"/>
        </w:rPr>
        <w:t>13</w:t>
      </w:r>
      <w:r w:rsidRPr="00B417BF">
        <w:rPr>
          <w:rFonts w:asciiTheme="minorHAnsi" w:hAnsiTheme="minorHAnsi"/>
        </w:rPr>
        <w:fldChar w:fldCharType="end"/>
      </w:r>
      <w:r w:rsidRPr="00B417BF">
        <w:rPr>
          <w:rFonts w:asciiTheme="minorHAnsi" w:hAnsiTheme="minorHAnsi"/>
        </w:rPr>
        <w:t xml:space="preserve">  The</w:t>
      </w:r>
      <w:r w:rsidR="000875CA">
        <w:rPr>
          <w:rFonts w:asciiTheme="minorHAnsi" w:hAnsiTheme="minorHAnsi"/>
        </w:rPr>
        <w:t xml:space="preserve"> literature also describes how d</w:t>
      </w:r>
      <w:r w:rsidRPr="00B417BF">
        <w:rPr>
          <w:rFonts w:asciiTheme="minorHAnsi" w:hAnsiTheme="minorHAnsi"/>
        </w:rPr>
        <w:t>ental students who lack adequate information about support and resources to address their deficiencies have higher anxiety and depression rates than the general student population</w:t>
      </w:r>
      <w:r w:rsidR="001668D4">
        <w:rPr>
          <w:rFonts w:asciiTheme="minorHAnsi" w:hAnsiTheme="minorHAnsi"/>
        </w:rPr>
        <w:t>.</w:t>
      </w:r>
      <w:r w:rsidRPr="00B417BF">
        <w:rPr>
          <w:rFonts w:asciiTheme="minorHAnsi" w:hAnsiTheme="minorHAnsi"/>
        </w:rPr>
        <w:fldChar w:fldCharType="begin"/>
      </w:r>
      <w:r w:rsidR="00A8221D">
        <w:rPr>
          <w:rFonts w:asciiTheme="minorHAnsi" w:hAnsiTheme="minorHAnsi"/>
        </w:rPr>
        <w:instrText xml:space="preserve"> ADDIN ZOTERO_ITEM CSL_CITATION {"citationID":"sdBFneCN","properties":{"formattedCitation":"\\super 29\\nosupersub{}","plainCitation":"29","noteIndex":0},"citationItems":[{"id":496,"uris":["http://zotero.org/users/1143701/items/RNR8UDIA"],"uri":["http://zotero.org/users/1143701/items/RNR8UDIA"],"itemData":{"id":496,"type":"article-journal","title":"Psychological well-being status among medical and dental students in Makkah, Saudi Arabia: A cross-sectional study","container-title":"Medical Teacher","page":"S75-S81","volume":"37","issue":"S1","source":"informahealthcare.com (Atypon)","abstract":"Abstract Objectives: Medical and dental students experience poor psychological well-being relative to their peers. This study aimed to assess the psychological well-being among medical and dental students in Saudi Arabia, identify the high-risk groups and assess the association between the psychological well-being and the academic performance. Methods: In this cross-sectional study, 422 preclinical medical and dental students at Umm Al-Qura University, Saudi Arabia, were recruited to assess their depression, anxiety, stress, self-efficacy and satisfaction with life levels using 21-items Depression Anxiety Stress Scale (DASS-21), General Self-Efficacy (GSE) scale and Satisfaction With Life Scale (SWLS). Students’ academic weighted grades were obtained later. Descriptive statistics and univariate general linear model were used to analyse data. Results: High levels of depression (69.9%), anxiety (66.4%) and stress (70.9%) were indicated, whereas self-efficacy (mean = 27.22, sd = 4.85) and life satisfaction (mean = 23.60, sd = 6.37) were within the normal range. Female medical students had higher psychological distress in contrast to dental students. In general, third-year students were more depressed and stressed in comparison with second-year students, except for stress among dental students. Moreover, all females had higher self-efficacy than males. Life satisfaction was higher within the second-year and high family income students. Depression was the only psychological variable correlated with the academic performance. Conclusion: High levels of psychological distress were found. Female medical students had higher psychological distress than males, whereas male dental students had higher distress than female. Medical students at third year were more depressed and stressed. Dental students were more depressed in the third year, but more stressed in the second year. Attention should be directed towards reducing the alarming levels of depression, anxiety and stress among medical and dental students.","URL":"http://informahealthcare.com/doi/abs/10.3109/0142159X.2015.1006612","DOI":"10.3109/0142159X.2015.1006612","ISSN":"0142-159X","shortTitle":"Psychological well-being status among medical and dental students in Makkah, Saudi Arabia","journalAbbreviation":"Med Teach","author":[{"family":"Aboalshamat","given":"Khalid"},{"family":"Hou","given":"Xiang-Yu"},{"family":"Strodl","given":"Esben"}],"issued":{"date-parts":[["2015",2,4]]},"accessed":{"date-parts":[["2015",6,22]]}}}],"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29</w:t>
      </w:r>
      <w:r w:rsidRPr="00B417BF">
        <w:rPr>
          <w:rFonts w:asciiTheme="minorHAnsi" w:hAnsiTheme="minorHAnsi"/>
        </w:rPr>
        <w:fldChar w:fldCharType="end"/>
      </w:r>
      <w:r w:rsidR="00B54D94" w:rsidRPr="00B417BF">
        <w:rPr>
          <w:rFonts w:asciiTheme="minorHAnsi" w:hAnsiTheme="minorHAnsi"/>
          <w:vertAlign w:val="superscript"/>
        </w:rPr>
        <w:t>,</w:t>
      </w:r>
      <w:r w:rsidRPr="00B417BF">
        <w:rPr>
          <w:rFonts w:asciiTheme="minorHAnsi" w:hAnsiTheme="minorHAnsi"/>
        </w:rPr>
        <w:fldChar w:fldCharType="begin"/>
      </w:r>
      <w:r w:rsidR="00A8221D">
        <w:rPr>
          <w:rFonts w:asciiTheme="minorHAnsi" w:hAnsiTheme="minorHAnsi"/>
        </w:rPr>
        <w:instrText xml:space="preserve"> ADDIN ZOTERO_ITEM CSL_CITATION {"citationID":"Bt6yUilF","properties":{"formattedCitation":"\\super 30\\nosupersub{}","plainCitation":"30","noteIndex":0},"citationItems":[{"id":488,"uris":["http://zotero.org/users/1143701/items/SGN2S236"],"uri":["http://zotero.org/users/1143701/items/SGN2S236"],"itemData":{"id":488,"type":"article-journal","title":"Perceived sources of stress among Malaysian dental students","container-title":"International Journal of Medical Education","page":"56-61","volume":"6","source":"PubMed Central","abstract":"Objectives\nThe study objectives were to identify the stress levels and to explore the impact\nof students' year of study and gender on the perceived sources of stress among\nMalaysian dental students.\n\nMethods\nThis was a cross-sectional study involving dental students from year one to year five\nfrom private and public universities in Malaysia. The study was formally\napproved by the Research and Ethics Committee, International Medical University\nMalaysia. Dental Environment Stress (DES) questionnaire was used for data\ncollection and the gathered data were analyzed using SPSS® version 18. The\nKruskal-Wallis and the Mann-Whitney U tests were used to compare stress items\nacross various academic years and universities.\n\nResults\nA total of five hundred and twenty nine (529) students participated in this\nstudy. Fear of failing the course at the end of year exams (mean stress\nlevel=5.57); concerns regarding completion of clinical work (mean=5.30); and\nexamination results and grades (mean=5.27) were found as top stressors among\ndental students. Female students had higher stress scores than males with\nrespect to personal issues, academic performance, educational environment and\nlearning of clinical skills. Students from public universities had higher\nstress scores than their counterparts from private universities.\n\nConclusion\nThe Malaysian dental students reported higher levels of stress. Present study\nidentified stressors affecting dental students' academic life, and highlights\nthe importance of stress management programs and other measures to minimize the\nimpact of stress on both academic and personal lives of the students.","URL":"http://www.ncbi.nlm.nih.gov/pmc/articles/PMC4417984/","DOI":"10.5116/ijme.5521.3b2d","ISSN":"2042-6372","note":"PMID: 25935506\nPMCID: PMC4417984","journalAbbreviation":"Int J Med Educ","author":[{"family":"Babar","given":"Muneer G."},{"family":"Hasan","given":"Syed S."},{"family":"Ooi","given":"Yong J."},{"family":"Ahmed","given":"Syed I."},{"family":"Wong","given":"Pei S."},{"family":"Ahmad","given":"Siti F."},{"family":"MNM-Rosdy","given":"Nik M."},{"family":"Malik","given":"Normaliza A."}],"issued":{"date-parts":[["2015",5,2]]},"accessed":{"date-parts":[["2015",6,22]]}}}],"schema":"https://github.com/citation-style-language/schema/raw/master/csl-citation.json"}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30</w:t>
      </w:r>
      <w:r w:rsidRPr="00B417BF">
        <w:rPr>
          <w:rFonts w:asciiTheme="minorHAnsi" w:hAnsiTheme="minorHAnsi"/>
        </w:rPr>
        <w:fldChar w:fldCharType="end"/>
      </w:r>
      <w:r w:rsidR="00B54D94" w:rsidRPr="00B417BF">
        <w:rPr>
          <w:rFonts w:asciiTheme="minorHAnsi" w:hAnsiTheme="minorHAnsi"/>
          <w:vertAlign w:val="superscript"/>
        </w:rPr>
        <w:t>,</w:t>
      </w:r>
      <w:r w:rsidRPr="00B417BF">
        <w:rPr>
          <w:rFonts w:asciiTheme="minorHAnsi" w:hAnsiTheme="minorHAnsi"/>
        </w:rPr>
        <w:fldChar w:fldCharType="begin"/>
      </w:r>
      <w:r w:rsidR="00A8221D">
        <w:rPr>
          <w:rFonts w:asciiTheme="minorHAnsi" w:hAnsiTheme="minorHAnsi"/>
        </w:rPr>
        <w:instrText xml:space="preserve"> ADDIN ZOTERO_ITEM CSL_CITATION {"citationID":"onDWzHZf","properties":{"formattedCitation":"\\super 31\\nosupersub{}","plainCitation":"31","noteIndex":0},"citationItems":[{"id":184,"uris":["http://zotero.org/users/1143701/items/BAQ4CMPA"],"uri":["http://zotero.org/users/1143701/items/BAQ4CMPA"],"itemData":{"id":184,"type":"article-journal","title":"Sources of Stress in Canadian Dental Students: A Prospective Mixed Methods Study","container-title":"Journal of Dental Education","page":"1488-1497","volume":"77","issue":"11","source":"www.jdentaled.org","abstract":"The objectives of this study were to describe sources of stress in predoctoral dental students and first-year residents at one dental school and to understand how these sources evolved during the four-year curriculum and in the first year after graduation. The study used a mixed methods design. Quantitative data were collected from subjects in each of the five cohorts of students and residents, every month for a period of one year (other than the summer holiday period; N varied each month from 77 to 127). Sources of stress were measured using the Dental Environment Stress questionnaire (DES). The investigators administered the DES twice, once at the end of each academic semester, and used DES categories that emerged from factor analysis to assess monthly sources of stress. Qualitative data collected through individual interviews (N=6) were aimed at understanding the main sources of stress in each year of the curriculum. Results from both quantitative and qualitative phases demonstrated that the main stressors for all dental students throughout the year were examinations and grades as well as workload. Students in the clinical years were also concerned about patient treatment. The residents and final-year students reported future plans as an additional stressor. Over the year, there was a significant increase for workload stress in the fourth year (p&lt;0.05); in the third year there was a significant increase in patient treatment stress (p&lt;0.05) with a significant decrease for personal factors (p&lt;0.05). The study demonstrated that sources of stress in these students and first-year residents varied according to their stage in the program and the period of the year.","URL":"http://www.jdentaled.org/content/77/11/1488","ISSN":"0022-0337, 1930-7837","note":"PMID: 24192414","shortTitle":"Sources of Stress in Canadian Dental Students","journalAbbreviation":"J Dent Educ","language":"en","author":[{"family":"Elani","given":"Hawazin W."},{"family":"Bedos","given":"Christophe"},{"family":"Allison","given":"Paul J."}],"issued":{"date-parts":[["2013",11,1]]},"accessed":{"date-parts":[["2015",10,13]]}}}],"schema":"https://github.com/citation-style-language/schema/raw/master/csl-citation.json"}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31</w:t>
      </w:r>
      <w:r w:rsidRPr="00B417BF">
        <w:rPr>
          <w:rFonts w:asciiTheme="minorHAnsi" w:hAnsiTheme="minorHAnsi"/>
        </w:rPr>
        <w:fldChar w:fldCharType="end"/>
      </w:r>
      <w:r w:rsidR="00B54D94" w:rsidRPr="00B417BF">
        <w:rPr>
          <w:rFonts w:asciiTheme="minorHAnsi" w:hAnsiTheme="minorHAnsi"/>
          <w:vertAlign w:val="superscript"/>
        </w:rPr>
        <w:t>,</w:t>
      </w:r>
      <w:r w:rsidR="00B54D94" w:rsidRPr="00B417BF">
        <w:rPr>
          <w:rFonts w:asciiTheme="minorHAnsi" w:hAnsiTheme="minorHAnsi"/>
        </w:rPr>
        <w:fldChar w:fldCharType="begin"/>
      </w:r>
      <w:r w:rsidR="00A8221D">
        <w:rPr>
          <w:rFonts w:asciiTheme="minorHAnsi" w:hAnsiTheme="minorHAnsi"/>
        </w:rPr>
        <w:instrText xml:space="preserve"> ADDIN ZOTERO_ITEM CSL_CITATION {"citationID":"a148vl7c2hv","properties":{"formattedCitation":"\\super 32\\nosupersub{}","plainCitation":"32","noteIndex":0},"citationItems":[{"id":42,"uris":["http://zotero.org/users/1143701/items/DK5MMDKG"],"uri":["http://zotero.org/users/1143701/items/DK5MMDKG"],"itemData":{"id":42,"type":"article-journal","title":"Reciprocal relationship between acute stress and acute fatigue in everyday life in a sample of university students","container-title":"Biological Psychology","page":"42-49","volume":"110","source":"CrossRef","URL":"http://linkinghub.elsevier.com/retrieve/pii/S0301051115300144","DOI":"10.1016/j.biopsycho.2015.06.009","ISSN":"03010511","language":"en","author":[{"family":"Doerr","given":"Johanna M."},{"family":"Ditzen","given":"Beate"},{"family":"Strahler","given":"Jana"},{"family":"Linnemann","given":"Alexandra"},{"family":"Ziemek","given":"Jannis"},{"family":"Skoluda","given":"Nadine"},{"family":"Hoppmann","given":"Christiane A."},{"family":"Nater","given":"Urs M."}],"issued":{"date-parts":[["2015",9]]},"accessed":{"date-parts":[["2015",10,11]]}}}],"schema":"https://github.com/citation-style-language/schema/raw/master/csl-citation.json"} </w:instrText>
      </w:r>
      <w:r w:rsidR="00B54D94" w:rsidRPr="00B417BF">
        <w:rPr>
          <w:rFonts w:asciiTheme="minorHAnsi" w:hAnsiTheme="minorHAnsi"/>
        </w:rPr>
        <w:fldChar w:fldCharType="separate"/>
      </w:r>
      <w:r w:rsidR="00A8221D" w:rsidRPr="00A8221D">
        <w:rPr>
          <w:rFonts w:ascii="Cambria" w:hAnsiTheme="minorHAnsi"/>
          <w:vertAlign w:val="superscript"/>
        </w:rPr>
        <w:t>32</w:t>
      </w:r>
      <w:r w:rsidR="00B54D94" w:rsidRPr="00B417BF">
        <w:rPr>
          <w:rFonts w:asciiTheme="minorHAnsi" w:hAnsiTheme="minorHAnsi"/>
        </w:rPr>
        <w:fldChar w:fldCharType="end"/>
      </w:r>
      <w:r w:rsidR="00352F91" w:rsidRPr="00B417BF">
        <w:rPr>
          <w:rFonts w:asciiTheme="minorHAnsi" w:hAnsiTheme="minorHAnsi"/>
        </w:rPr>
        <w:t xml:space="preserve">  </w:t>
      </w:r>
    </w:p>
    <w:p w14:paraId="160146ED" w14:textId="77777777" w:rsidR="00EB0A04" w:rsidRPr="00B417BF" w:rsidRDefault="00EB0A04" w:rsidP="00FA004E">
      <w:pPr>
        <w:spacing w:line="480" w:lineRule="auto"/>
        <w:rPr>
          <w:rFonts w:asciiTheme="minorHAnsi" w:hAnsiTheme="minorHAnsi"/>
        </w:rPr>
      </w:pPr>
    </w:p>
    <w:p w14:paraId="1C46CE8A" w14:textId="77777777" w:rsidR="00FA004E" w:rsidRPr="00B417BF" w:rsidRDefault="00FA004E" w:rsidP="00FA004E">
      <w:pPr>
        <w:spacing w:line="480" w:lineRule="auto"/>
        <w:rPr>
          <w:rFonts w:asciiTheme="minorHAnsi" w:hAnsiTheme="minorHAnsi"/>
        </w:rPr>
      </w:pPr>
      <w:r w:rsidRPr="00B417BF">
        <w:rPr>
          <w:rFonts w:asciiTheme="minorHAnsi" w:hAnsiTheme="minorHAnsi"/>
        </w:rPr>
        <w:t xml:space="preserve">Medical Diagnoses, Mental Health and Personality Traits: </w:t>
      </w:r>
    </w:p>
    <w:p w14:paraId="3F8140C9" w14:textId="46105C2B" w:rsidR="003066B1" w:rsidRDefault="00FA004E" w:rsidP="003066B1">
      <w:pPr>
        <w:spacing w:line="480" w:lineRule="auto"/>
        <w:rPr>
          <w:rFonts w:asciiTheme="minorHAnsi" w:hAnsiTheme="minorHAnsi"/>
        </w:rPr>
      </w:pPr>
      <w:r w:rsidRPr="00B417BF">
        <w:rPr>
          <w:rFonts w:asciiTheme="minorHAnsi" w:hAnsiTheme="minorHAnsi"/>
        </w:rPr>
        <w:t>In the United States, approximately 15% of higher education students have depressive or anxiety disorders</w:t>
      </w:r>
      <w:r w:rsidR="003A75D1" w:rsidRPr="00B417BF">
        <w:rPr>
          <w:rFonts w:asciiTheme="minorHAnsi" w:hAnsiTheme="minorHAnsi"/>
        </w:rPr>
        <w:t>;</w:t>
      </w:r>
      <w:r w:rsidRPr="00B417BF">
        <w:rPr>
          <w:rFonts w:asciiTheme="minorHAnsi" w:hAnsiTheme="minorHAnsi"/>
        </w:rPr>
        <w:t xml:space="preserve"> 68% of students reported drinking at hazardous levels during the past week</w:t>
      </w:r>
      <w:r w:rsidR="001668D4">
        <w:rPr>
          <w:rFonts w:asciiTheme="minorHAnsi" w:hAnsiTheme="minorHAnsi"/>
        </w:rPr>
        <w:t>.</w:t>
      </w:r>
      <w:r w:rsidRPr="00B417BF">
        <w:rPr>
          <w:rFonts w:asciiTheme="minorHAnsi" w:hAnsiTheme="minorHAnsi"/>
        </w:rPr>
        <w:fldChar w:fldCharType="begin"/>
      </w:r>
      <w:r w:rsidR="00A8221D">
        <w:rPr>
          <w:rFonts w:asciiTheme="minorHAnsi" w:hAnsiTheme="minorHAnsi"/>
        </w:rPr>
        <w:instrText xml:space="preserve"> ADDIN ZOTERO_ITEM CSL_CITATION {"citationID":"nM0OqzQY","properties":{"formattedCitation":"\\super 33\\nosupersub{}","plainCitation":"33","noteIndex":0},"citationItems":[{"id":433,"uris":["http://zotero.org/users/1143701/items/9G3Z74HB"],"uri":["http://zotero.org/users/1143701/items/9G3Z74HB"],"itemData":{"id":433,"type":"article-journal","title":"Burnout, depression and anxiety in preclinical medical students: a cross-sectional survey","container-title":"International Journal of Adolescent Medicine and Health","volume":"0","issue":"0","source":"DeGruyter","abstract":"Objective: The purpose of this study was to assess the prevalences and correlates of adverse affective states (burnout-, depression- and anxiety-related symptoms) among preclinical medical students.","URL":"http://www.degruyter.com/view/j/ijamh.ahead-of-print/ijamh-2015-0077/ijamh-2015-0077.xml","DOI":"10.1515/ijamh-2015-0077","ISSN":"2191-0278","shortTitle":"Burnout, depression and anxiety in preclinical medical students","author":[{"family":"van","given":"Venrooij Lennard T."},{"family":"Barnhoorn","given":"Pieter C."},{"family":"Giltay","given":"Erik J."},{"family":"van","given":"Noorden Martijn S."}],"issued":{"date-parts":[["2015"]]},"accessed":{"date-parts":[["2016",1,4]]}}}],"schema":"https://github.com/citation-style-language/schema/raw/master/csl-citation.json"}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33</w:t>
      </w:r>
      <w:r w:rsidRPr="00B417BF">
        <w:rPr>
          <w:rFonts w:asciiTheme="minorHAnsi" w:hAnsiTheme="minorHAnsi"/>
        </w:rPr>
        <w:fldChar w:fldCharType="end"/>
      </w:r>
      <w:r w:rsidRPr="00B417BF">
        <w:rPr>
          <w:rFonts w:asciiTheme="minorHAnsi" w:hAnsiTheme="minorHAnsi"/>
        </w:rPr>
        <w:t xml:space="preserve">  Students with these behaviors have reported interaction difficulties with faculty, and peers.  If these students have an additional diagnosis</w:t>
      </w:r>
      <w:r w:rsidR="003A75D1" w:rsidRPr="00B417BF">
        <w:rPr>
          <w:rFonts w:asciiTheme="minorHAnsi" w:hAnsiTheme="minorHAnsi"/>
        </w:rPr>
        <w:t>,</w:t>
      </w:r>
      <w:r w:rsidRPr="00B417BF">
        <w:rPr>
          <w:rFonts w:asciiTheme="minorHAnsi" w:hAnsiTheme="minorHAnsi"/>
        </w:rPr>
        <w:t xml:space="preserve"> such as depression or anxiety disorders, the risk of </w:t>
      </w:r>
      <w:r w:rsidRPr="00B417BF">
        <w:rPr>
          <w:rFonts w:asciiTheme="minorHAnsi" w:hAnsiTheme="minorHAnsi"/>
        </w:rPr>
        <w:lastRenderedPageBreak/>
        <w:t>distress and inability to cope increases significantly</w:t>
      </w:r>
      <w:r w:rsidR="001668D4">
        <w:rPr>
          <w:rFonts w:asciiTheme="minorHAnsi" w:hAnsiTheme="minorHAnsi"/>
        </w:rPr>
        <w:t>.</w:t>
      </w:r>
      <w:r w:rsidRPr="00B417BF">
        <w:rPr>
          <w:rFonts w:asciiTheme="minorHAnsi" w:hAnsiTheme="minorHAnsi"/>
        </w:rPr>
        <w:fldChar w:fldCharType="begin"/>
      </w:r>
      <w:r w:rsidR="00A8221D">
        <w:rPr>
          <w:rFonts w:asciiTheme="minorHAnsi" w:hAnsiTheme="minorHAnsi"/>
        </w:rPr>
        <w:instrText xml:space="preserve"> ADDIN ZOTERO_ITEM CSL_CITATION {"citationID":"ePpt8Rv6","properties":{"formattedCitation":"\\super 33\\nosupersub{}","plainCitation":"33","noteIndex":0},"citationItems":[{"id":433,"uris":["http://zotero.org/users/1143701/items/9G3Z74HB"],"uri":["http://zotero.org/users/1143701/items/9G3Z74HB"],"itemData":{"id":433,"type":"article-journal","title":"Burnout, depression and anxiety in preclinical medical students: a cross-sectional survey","container-title":"International Journal of Adolescent Medicine and Health","volume":"0","issue":"0","source":"DeGruyter","abstract":"Objective: The purpose of this study was to assess the prevalences and correlates of adverse affective states (burnout-, depression- and anxiety-related symptoms) among preclinical medical students.","URL":"http://www.degruyter.com/view/j/ijamh.ahead-of-print/ijamh-2015-0077/ijamh-2015-0077.xml","DOI":"10.1515/ijamh-2015-0077","ISSN":"2191-0278","shortTitle":"Burnout, depression and anxiety in preclinical medical students","author":[{"family":"van","given":"Venrooij Lennard T."},{"family":"Barnhoorn","given":"Pieter C."},{"family":"Giltay","given":"Erik J."},{"family":"van","given":"Noorden Martijn S."}],"issued":{"date-parts":[["2015"]]},"accessed":{"date-parts":[["2016",1,4]]}}}],"schema":"https://github.com/citation-style-language/schema/raw/master/csl-citation.json"}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33</w:t>
      </w:r>
      <w:r w:rsidRPr="00B417BF">
        <w:rPr>
          <w:rFonts w:asciiTheme="minorHAnsi" w:hAnsiTheme="minorHAnsi"/>
        </w:rPr>
        <w:fldChar w:fldCharType="end"/>
      </w:r>
      <w:r w:rsidRPr="00B417BF">
        <w:rPr>
          <w:rFonts w:asciiTheme="minorHAnsi" w:hAnsiTheme="minorHAnsi"/>
        </w:rPr>
        <w:t xml:space="preserve">   These students are also at risk for </w:t>
      </w:r>
      <w:r w:rsidR="00D94D81" w:rsidRPr="00B417BF">
        <w:rPr>
          <w:rFonts w:asciiTheme="minorHAnsi" w:hAnsiTheme="minorHAnsi"/>
        </w:rPr>
        <w:t>developing</w:t>
      </w:r>
      <w:r w:rsidRPr="00B417BF">
        <w:rPr>
          <w:rFonts w:asciiTheme="minorHAnsi" w:hAnsiTheme="minorHAnsi"/>
        </w:rPr>
        <w:t xml:space="preserve"> medical problems</w:t>
      </w:r>
      <w:r w:rsidR="003A75D1" w:rsidRPr="00B417BF">
        <w:rPr>
          <w:rFonts w:asciiTheme="minorHAnsi" w:hAnsiTheme="minorHAnsi"/>
        </w:rPr>
        <w:t>,</w:t>
      </w:r>
      <w:r w:rsidRPr="00B417BF">
        <w:rPr>
          <w:rFonts w:asciiTheme="minorHAnsi" w:hAnsiTheme="minorHAnsi"/>
        </w:rPr>
        <w:t xml:space="preserve"> such a</w:t>
      </w:r>
      <w:r w:rsidR="009B44EA">
        <w:rPr>
          <w:rFonts w:asciiTheme="minorHAnsi" w:hAnsiTheme="minorHAnsi"/>
        </w:rPr>
        <w:t>s chronic depression and suicidal</w:t>
      </w:r>
      <w:r w:rsidRPr="00B417BF">
        <w:rPr>
          <w:rFonts w:asciiTheme="minorHAnsi" w:hAnsiTheme="minorHAnsi"/>
        </w:rPr>
        <w:t xml:space="preserve"> </w:t>
      </w:r>
      <w:r w:rsidR="009B44EA">
        <w:rPr>
          <w:rFonts w:asciiTheme="minorHAnsi" w:hAnsiTheme="minorHAnsi"/>
        </w:rPr>
        <w:t>thoughts</w:t>
      </w:r>
      <w:r w:rsidR="001668D4">
        <w:rPr>
          <w:rFonts w:asciiTheme="minorHAnsi" w:hAnsiTheme="minorHAnsi"/>
        </w:rPr>
        <w:t>.</w:t>
      </w:r>
      <w:r w:rsidRPr="00B417BF">
        <w:rPr>
          <w:rFonts w:asciiTheme="minorHAnsi" w:hAnsiTheme="minorHAnsi"/>
        </w:rPr>
        <w:fldChar w:fldCharType="begin"/>
      </w:r>
      <w:r w:rsidR="00A8221D">
        <w:rPr>
          <w:rFonts w:asciiTheme="minorHAnsi" w:hAnsiTheme="minorHAnsi"/>
        </w:rPr>
        <w:instrText xml:space="preserve"> ADDIN ZOTERO_ITEM CSL_CITATION {"citationID":"ebpYXf1G","properties":{"formattedCitation":"\\super 34\\nosupersub{}","plainCitation":"34","noteIndex":0},"citationItems":[{"id":508,"uris":["http://zotero.org/users/1143701/items/G7FISPME"],"uri":["http://zotero.org/users/1143701/items/G7FISPME"],"itemData":{"id":508,"type":"article-journal","title":"Coping Strategies Associated With Suicidal Behaviour in Adolescent Inpatients With Borderline Personality Disorder","container-title":"Canadian Journal of Psychiatry. Revue Canadienne de Psychiatrie","page":"S46-S54","volume":"60","issue":"2 Suppl 1","source":"PubMed Central","abstract":"Objectives:\nTo compare the coping strategies of adolescents with borderline personality disorder (BPD) to the coping strategies of adolescents without BPD, and to explore the association of coping with suicidal ideation and attempts among adolescents with BPD.\n\nMethod:\nAdolescent inpatients (n = 167) aged 13 to 17 years were admitted after suicide attempts and evaluated within 10 days, using the abbreviated version of the Diagnostic Interview for Borderlines–Revised, the Schedule for Affective Disorders and Schizophrenia for School-Age Children–Present and Lifetime Version supported by a team consensus best estimate method for the primary diagnosis, the Adolescent Coping Scale, and the Columbia-Suicide Severity Rating Scale.\n\nResults:\nFirstly, compared with adolescents without BPD, adolescents with BPD relied more on nonproductive coping strategies, mostly avoidant strategies, and less on productive coping strategies. Secondly, coping appeared as a factor associated with suicidal ideation in adolescents with BPD. While while controlling for age, sex, and depression, multivariate analyses showed a significant positive association between the coping strategy to focusing on solving the problem and suicidal ideation.\n\nConclusion:\nThe use of avoidant strategies by adolescents with BPD could be viewed as attempts to increase emotional regulation. Problem-solving strategies in the immediate aftermath of a suicide attempt may prevent adolescents with BPD from overcoming a crisis and may increase suicidal ideation.","URL":"http://www.ncbi.nlm.nih.gov/pmc/articles/PMC4345850/","ISSN":"0706-7437","note":"PMID: 25886671\nPMCID: PMC4345850","journalAbbreviation":"Can J Psychiatry","author":[{"family":"Knafo","given":"Alexandra"},{"family":"Guilé","given":"Jean-Marc"},{"family":"Breton","given":"Jean-Jacques"},{"family":"Labelle","given":"Réal"},{"family":"Belloncle","given":"Vincent"},{"family":"Bodeau","given":"Nicolas"},{"family":"Boudailliez","given":"Bernard"},{"family":"Rivière","given":"Sébastien Garny","non-dropping-particle":"de la"},{"family":"Kharij","given":"Brahim"},{"family":"Mille","given":"Christian"},{"family":"Mirkovic","given":"Bojan"},{"family":"Pripis","given":"Cornelia"},{"family":"Renaud","given":"Johanne"},{"family":"Vervel","given":"Christine"},{"family":"Cohen","given":"David"},{"family":"Gérardin","given":"Priscille"}],"issued":{"date-parts":[["2015",2]]},"accessed":{"date-parts":[["2016",1,4]]}}}],"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34</w:t>
      </w:r>
      <w:r w:rsidRPr="00B417BF">
        <w:rPr>
          <w:rFonts w:asciiTheme="minorHAnsi" w:hAnsiTheme="minorHAnsi"/>
        </w:rPr>
        <w:fldChar w:fldCharType="end"/>
      </w:r>
      <w:r w:rsidRPr="00B417BF">
        <w:rPr>
          <w:rFonts w:asciiTheme="minorHAnsi" w:hAnsiTheme="minorHAnsi"/>
        </w:rPr>
        <w:t xml:space="preserve"> </w:t>
      </w:r>
      <w:r w:rsidR="005B1052">
        <w:rPr>
          <w:rFonts w:asciiTheme="minorHAnsi" w:hAnsiTheme="minorHAnsi"/>
        </w:rPr>
        <w:t xml:space="preserve"> </w:t>
      </w:r>
      <w:r w:rsidRPr="00B417BF">
        <w:rPr>
          <w:rFonts w:asciiTheme="minorHAnsi" w:hAnsiTheme="minorHAnsi"/>
        </w:rPr>
        <w:t>These personality traits can be lifelong and carry</w:t>
      </w:r>
      <w:r w:rsidR="00352F91" w:rsidRPr="00B417BF">
        <w:rPr>
          <w:rFonts w:asciiTheme="minorHAnsi" w:hAnsiTheme="minorHAnsi"/>
        </w:rPr>
        <w:t xml:space="preserve"> </w:t>
      </w:r>
      <w:r w:rsidRPr="00B417BF">
        <w:rPr>
          <w:rFonts w:asciiTheme="minorHAnsi" w:hAnsiTheme="minorHAnsi"/>
        </w:rPr>
        <w:t>poor coping strategies into later life and practice</w:t>
      </w:r>
      <w:r w:rsidR="001668D4">
        <w:rPr>
          <w:rFonts w:asciiTheme="minorHAnsi" w:hAnsiTheme="minorHAnsi"/>
        </w:rPr>
        <w:t>.</w:t>
      </w:r>
      <w:r w:rsidRPr="00B417BF">
        <w:rPr>
          <w:rFonts w:asciiTheme="minorHAnsi" w:hAnsiTheme="minorHAnsi"/>
        </w:rPr>
        <w:fldChar w:fldCharType="begin"/>
      </w:r>
      <w:r w:rsidR="00A8221D">
        <w:rPr>
          <w:rFonts w:asciiTheme="minorHAnsi" w:hAnsiTheme="minorHAnsi"/>
        </w:rPr>
        <w:instrText xml:space="preserve"> ADDIN ZOTERO_ITEM CSL_CITATION {"citationID":"xUUTnZZG","properties":{"formattedCitation":"\\super 35\\nosupersub{}","plainCitation":"35","noteIndex":0},"citationItems":[{"id":474,"uris":["http://zotero.org/users/1143701/items/IMZBN232"],"uri":["http://zotero.org/users/1143701/items/IMZBN232"],"itemData":{"id":474,"type":"article-journal","title":"Risk Factors Measured During Medical School for Later Hazardous Drinking: A 10-year, Longitudinal, Nationwide Study (NORDOC)","container-title":"Alcohol and Alcoholism","page":"71-76","volume":"51","issue":"1","source":"alcalc.oxfordjournals.org","abstract":"Aims To investigate the prevalence and temporal patterns of hazardous drinking and risk factors during medical school for future hazardous drinking among doctors.Methods Two cohorts of graduating medical students (N = 1052) from all four Norwegian universities (NORDOC) were surveyed in their final year of medical school training (1993/94 and 1999) (T1) and again 4 (T2) and 10 (T3) years later. Longitudinally, 53% (562/1052) of the sample responded at all three time points. Hazardous drinking was defined as drinking five or more drinks during one session at least 2–3 times per month. Predictors of hazardous drinking, identified by logistic regression models after controlling for cohort, included a parental history of alcohol problems, having children, no religious activity, use of alcohol to cope with tension and some personality traits.Results There was a significant decline in the prevalence of hazardous drinking from T1 (14%) to T2 (10%) but not from T2 to T3 (8%). Approximately 23% of hazardous drinkers at T1 remained hazardous drinkers at T3 (N = 18). At T2, significant adjusted predictors included male gender (OR = 2.0, P = 0.04), use of alcohol as a coping strategy (OR = 2.2, P = 0.03) and hazardous drinking at T1 (OR = 9.8, P &lt; 0.001). The significant adjusted predictors at T3 included older age (OR = 1.1, P = 0.01), male gender (OR = 3.6, P = 0.002) and hazardous drinking at T1 (OR = 7.5, P &lt; 0.001).Conclusions Hazardous drinking and drinking to cope with tension during medical school were the most important predictors of later hazardous drinking and should be targets of preventive efforts in medical schools.","URL":"http://alcalc.oxfordjournals.org/content/51/1/71","DOI":"10.1093/alcalc/agv059","ISSN":"0735-0414, 1464-3502","note":"PMID: 26041610","shortTitle":"Risk Factors Measured During Medical School for Later Hazardous Drinking","language":"en","author":[{"family":"Mahmood","given":"Javed Iqbal"},{"family":"Grotmol","given":"Kjersti Støen"},{"family":"Tesli","given":"Martin"},{"family":"Vaglum","given":"Per"},{"family":"Tyssen","given":"Reidar"}],"issued":{"date-parts":[["2016",1,1]]},"accessed":{"date-parts":[["2016",1,4]]}}}],"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35</w:t>
      </w:r>
      <w:r w:rsidRPr="00B417BF">
        <w:rPr>
          <w:rFonts w:asciiTheme="minorHAnsi" w:hAnsiTheme="minorHAnsi"/>
        </w:rPr>
        <w:fldChar w:fldCharType="end"/>
      </w:r>
      <w:r w:rsidRPr="00B417BF">
        <w:rPr>
          <w:rFonts w:asciiTheme="minorHAnsi" w:hAnsiTheme="minorHAnsi"/>
          <w:vertAlign w:val="superscript"/>
        </w:rPr>
        <w:t>,</w:t>
      </w:r>
      <w:r w:rsidRPr="00B417BF">
        <w:rPr>
          <w:rFonts w:asciiTheme="minorHAnsi" w:hAnsiTheme="minorHAnsi"/>
        </w:rPr>
        <w:fldChar w:fldCharType="begin"/>
      </w:r>
      <w:r w:rsidR="00A8221D">
        <w:rPr>
          <w:rFonts w:asciiTheme="minorHAnsi" w:hAnsiTheme="minorHAnsi"/>
        </w:rPr>
        <w:instrText xml:space="preserve"> ADDIN ZOTERO_ITEM CSL_CITATION {"citationID":"mzt2yYOY","properties":{"formattedCitation":"\\super 36\\nosupersub{}","plainCitation":"36","noteIndex":0},"citationItems":[{"id":527,"uris":["http://zotero.org/users/1143701/items/D89DBCF2"],"uri":["http://zotero.org/users/1143701/items/D89DBCF2"],"itemData":{"id":527,"type":"article-journal","title":"Tackling stress management, addiction, and suicide prevention in a predoctoral dental curriculum","container-title":"Journal of dental education","page":"1286–1293","volume":"78","issue":"9","source":"Google Scholar","URL":"http://www.jdentaled.org/content/78/9/1286.short","author":[{"family":"Brondani","given":"Mario A."},{"family":"Ramanula","given":"Dhorea"},{"family":"Pattanaporn","given":"Komkhamn"}],"issued":{"date-parts":[["2014"]]},"accessed":{"date-parts":[["2016",1,11]]}}}],"schema":"https://github.com/citation-style-language/schema/raw/master/csl-citation.json"}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36</w:t>
      </w:r>
      <w:r w:rsidRPr="00B417BF">
        <w:rPr>
          <w:rFonts w:asciiTheme="minorHAnsi" w:hAnsiTheme="minorHAnsi"/>
        </w:rPr>
        <w:fldChar w:fldCharType="end"/>
      </w:r>
      <w:r w:rsidRPr="00B417BF">
        <w:rPr>
          <w:rFonts w:asciiTheme="minorHAnsi" w:hAnsiTheme="minorHAnsi"/>
        </w:rPr>
        <w:t xml:space="preserve">  Barhramejad, et al. and Mahmood et al. followed students identified </w:t>
      </w:r>
      <w:r w:rsidR="000875CA">
        <w:rPr>
          <w:rFonts w:asciiTheme="minorHAnsi" w:hAnsiTheme="minorHAnsi"/>
        </w:rPr>
        <w:t>as having</w:t>
      </w:r>
      <w:r w:rsidRPr="00B417BF">
        <w:rPr>
          <w:rFonts w:asciiTheme="minorHAnsi" w:hAnsiTheme="minorHAnsi"/>
        </w:rPr>
        <w:t xml:space="preserve"> poor coping </w:t>
      </w:r>
      <w:r w:rsidR="000875CA">
        <w:rPr>
          <w:rFonts w:asciiTheme="minorHAnsi" w:hAnsiTheme="minorHAnsi"/>
        </w:rPr>
        <w:t>skills</w:t>
      </w:r>
      <w:r w:rsidRPr="00B417BF">
        <w:rPr>
          <w:rFonts w:asciiTheme="minorHAnsi" w:hAnsiTheme="minorHAnsi"/>
        </w:rPr>
        <w:t xml:space="preserve"> </w:t>
      </w:r>
      <w:r w:rsidR="003066B1">
        <w:rPr>
          <w:rFonts w:asciiTheme="minorHAnsi" w:hAnsiTheme="minorHAnsi"/>
        </w:rPr>
        <w:t xml:space="preserve">into adulthood </w:t>
      </w:r>
      <w:r w:rsidRPr="00B417BF">
        <w:rPr>
          <w:rFonts w:asciiTheme="minorHAnsi" w:hAnsiTheme="minorHAnsi"/>
        </w:rPr>
        <w:t xml:space="preserve">and </w:t>
      </w:r>
      <w:r w:rsidR="000875CA">
        <w:rPr>
          <w:rFonts w:asciiTheme="minorHAnsi" w:hAnsiTheme="minorHAnsi"/>
        </w:rPr>
        <w:t>found</w:t>
      </w:r>
      <w:r w:rsidRPr="00B417BF">
        <w:rPr>
          <w:rFonts w:asciiTheme="minorHAnsi" w:hAnsiTheme="minorHAnsi"/>
        </w:rPr>
        <w:t xml:space="preserve"> these individuals </w:t>
      </w:r>
      <w:r w:rsidR="000875CA">
        <w:rPr>
          <w:rFonts w:asciiTheme="minorHAnsi" w:hAnsiTheme="minorHAnsi"/>
        </w:rPr>
        <w:t>had</w:t>
      </w:r>
      <w:r w:rsidRPr="00B417BF">
        <w:rPr>
          <w:rFonts w:asciiTheme="minorHAnsi" w:hAnsiTheme="minorHAnsi"/>
        </w:rPr>
        <w:t xml:space="preserve"> significantly higher rates of later addictive behaviors such as hazardous drinking</w:t>
      </w:r>
      <w:r w:rsidR="001668D4">
        <w:rPr>
          <w:rFonts w:asciiTheme="minorHAnsi" w:hAnsiTheme="minorHAnsi"/>
        </w:rPr>
        <w:t>.</w:t>
      </w:r>
      <w:r w:rsidR="00764028" w:rsidRPr="00B417BF">
        <w:rPr>
          <w:rFonts w:asciiTheme="minorHAnsi" w:hAnsiTheme="minorHAnsi"/>
        </w:rPr>
        <w:fldChar w:fldCharType="begin"/>
      </w:r>
      <w:r w:rsidR="00A8221D">
        <w:rPr>
          <w:rFonts w:asciiTheme="minorHAnsi" w:hAnsiTheme="minorHAnsi"/>
        </w:rPr>
        <w:instrText xml:space="preserve"> ADDIN ZOTERO_ITEM CSL_CITATION {"citationID":"ad62h9j7o4","properties":{"formattedCitation":"\\super 37\\nosupersub{}","plainCitation":"37","noteIndex":0},"citationItems":[{"id":583,"uris":["http://zotero.org/users/1143701/items/H7EZFA75"],"uri":["http://zotero.org/users/1143701/items/H7EZFA75"],"itemData":{"id":583,"type":"article-journal","title":"The Relationship of Metacognitive Beliefs and Tendency to Addiction in Sistan and Baluchistan University, Zahedan, Iran","container-title":"Addiction &amp; Health","page":"65-72","volume":"4","issue":"1-2","source":"PubMed Central","abstract":"Background\nThe aim of this study was to examine the relationship between metacognitive beliefs and the tendency to addiction in the students of the University of Sistan and Baluchistan, located in the South-East of Iran, during the academic year of 2009-2010.\n\nMethods\nThis was a descriptive, correlational study, and the statistical samples were 200 male BSc students selected with cluster random sampling procedures from the three schools of Literature, Science, and Engineering. The measuring tools were the metacognition Questionnaire-30 (MCQ-30), and Addiction Potential Scale. Data analysis was done by the SPSS software using the Pearson correlation coefficient, and multiple regressions.\n\nFindings\nThe result of data analysis showed that metacognitive beliefs and their subscales had a significant negative relationship with the tendency toward addiction (P &lt; 0.01). The results show that fewer metacognitive characteristics are associated with a high tendency to addiction.\n\nConclusion\nThe findings of this study indicate that disturbed metacognitive beliefs is a good predictor of students tendency to addiction, therefore, teaching strategies metacognition is important in the prevention of young people’s Tendency toward- addiction.","URL":"http://www.ncbi.nlm.nih.gov/pmc/articles/PMC3905549/","ISSN":"2008-4633","note":"PMID: 24494138\nPMCID: PMC3905549","journalAbbreviation":"Addict Health","author":[{"family":"Bahramnejad","given":"Ali"},{"family":"Rabani-Bavojdan","given":"Marjan"},{"family":"Rabani-Bavojdan","given":"Mozhgan"}],"issued":{"date-parts":[["2012"]]},"accessed":{"date-parts":[["2015",8,15]]}}}],"schema":"https://github.com/citation-style-language/schema/raw/master/csl-citation.json"} </w:instrText>
      </w:r>
      <w:r w:rsidR="00764028" w:rsidRPr="00B417BF">
        <w:rPr>
          <w:rFonts w:asciiTheme="minorHAnsi" w:hAnsiTheme="minorHAnsi"/>
        </w:rPr>
        <w:fldChar w:fldCharType="separate"/>
      </w:r>
      <w:r w:rsidR="00A8221D" w:rsidRPr="00A8221D">
        <w:rPr>
          <w:rFonts w:ascii="Cambria" w:hAnsiTheme="minorHAnsi"/>
          <w:vertAlign w:val="superscript"/>
        </w:rPr>
        <w:t>37</w:t>
      </w:r>
      <w:r w:rsidR="00764028" w:rsidRPr="00B417BF">
        <w:rPr>
          <w:rFonts w:asciiTheme="minorHAnsi" w:hAnsiTheme="minorHAnsi"/>
        </w:rPr>
        <w:fldChar w:fldCharType="end"/>
      </w:r>
      <w:r w:rsidR="00764028" w:rsidRPr="00B417BF">
        <w:rPr>
          <w:rFonts w:asciiTheme="minorHAnsi" w:hAnsiTheme="minorHAnsi"/>
          <w:vertAlign w:val="superscript"/>
        </w:rPr>
        <w:t>,</w:t>
      </w:r>
      <w:r w:rsidRPr="00B417BF">
        <w:rPr>
          <w:rFonts w:asciiTheme="minorHAnsi" w:hAnsiTheme="minorHAnsi"/>
        </w:rPr>
        <w:fldChar w:fldCharType="begin"/>
      </w:r>
      <w:r w:rsidR="00A8221D">
        <w:rPr>
          <w:rFonts w:asciiTheme="minorHAnsi" w:hAnsiTheme="minorHAnsi"/>
        </w:rPr>
        <w:instrText xml:space="preserve"> ADDIN ZOTERO_ITEM CSL_CITATION {"citationID":"sBzeqcRI","properties":{"formattedCitation":"\\super 38\\nosupersub{}","plainCitation":"38","noteIndex":0},"citationItems":[{"id":585,"uris":["http://zotero.org/users/1143701/items/QJ4VAURX"],"uri":["http://zotero.org/users/1143701/items/QJ4VAURX"],"itemData":{"id":585,"type":"article","title":"PubMed Central Full Text PDF","URL":"http://www.ncbi.nlm.nih.gov/pmc/articles/PMC3905549/pdf/AHJ-04-065.pdf","accessed":{"date-parts":[["2015",8,15]]}}}],"schema":"https://github.com/citation-style-language/schema/raw/master/csl-citation.json"}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38</w:t>
      </w:r>
      <w:r w:rsidRPr="00B417BF">
        <w:rPr>
          <w:rFonts w:asciiTheme="minorHAnsi" w:hAnsiTheme="minorHAnsi"/>
        </w:rPr>
        <w:fldChar w:fldCharType="end"/>
      </w:r>
      <w:r w:rsidRPr="00B417BF">
        <w:rPr>
          <w:rFonts w:asciiTheme="minorHAnsi" w:hAnsiTheme="minorHAnsi"/>
          <w:vertAlign w:val="superscript"/>
        </w:rPr>
        <w:t>,</w:t>
      </w:r>
      <w:r w:rsidR="00FA3F2A" w:rsidRPr="00B417BF">
        <w:rPr>
          <w:rFonts w:asciiTheme="minorHAnsi" w:hAnsiTheme="minorHAnsi"/>
        </w:rPr>
        <w:fldChar w:fldCharType="begin"/>
      </w:r>
      <w:r w:rsidR="00A8221D">
        <w:rPr>
          <w:rFonts w:asciiTheme="minorHAnsi" w:hAnsiTheme="minorHAnsi"/>
        </w:rPr>
        <w:instrText xml:space="preserve"> ADDIN ZOTERO_ITEM CSL_CITATION {"citationID":"ank5u0uk2n","properties":{"formattedCitation":"\\super 39\\nosupersub{}","plainCitation":"39","noteIndex":0},"citationItems":[{"id":437,"uris":["http://zotero.org/users/1143701/items/IJQQPQWD"],"uri":["http://zotero.org/users/1143701/items/IJQQPQWD"],"itemData":{"id":437,"type":"article-journal","title":"Health behaviors and personality in burnout: a third dimension","container-title":"Medical Education Online","volume":"20","source":"PubMed Central","abstract":"The high prevalence of burnout among healthcare professionals warrants a thorough examination aimed at improving the current understanding of its predictors and preventive measures. Cecil et al. have underscored the alarming prevalence of burnout among medical students and assessed its association with demographic, lifestyle, and behavioral factors. Of interest, health behaviors were found to be predictive of burnout. The study suggests certain behaviors (such as high physical activity) to be protective, and thus, calls for their establishment early in college life to prevent the development of this professionally-disabling mental state. Although the adoption of advisable health behaviors may independently reduce the risk of burnout, recognition of the existence and influence of closely related factors allows for an enhanced understanding and a greater precision for any conclusions to be made. Personality, through deductive and inductive reasoning, is likely to exert significant influence on both the student's behavior and his/her susceptibility to burnout. Thus, with personality representing – in and of itself – a principal model for prediction of burnout risk, controlling for personality traits when addressing health behaviors’ influence per se on burnout is essential.","URL":"http://www.ncbi.nlm.nih.gov/pmc/articles/PMC4568184/","DOI":"10.3402/meo.v20.28187","ISSN":"1087-2981","note":"PMID: 26365101\nPMCID: PMC4568184","shortTitle":"Health behaviors and personality in burnout","journalAbbreviation":"Med Educ Online","author":[{"family":"Mustafa","given":"Osama M."}],"issued":{"date-parts":[["2015",9,11]]},"accessed":{"date-parts":[["2016",1,4]]}}}],"schema":"https://github.com/citation-style-language/schema/raw/master/csl-citation.json"} </w:instrText>
      </w:r>
      <w:r w:rsidR="00FA3F2A" w:rsidRPr="00B417BF">
        <w:rPr>
          <w:rFonts w:asciiTheme="minorHAnsi" w:hAnsiTheme="minorHAnsi"/>
        </w:rPr>
        <w:fldChar w:fldCharType="separate"/>
      </w:r>
      <w:r w:rsidR="00A8221D" w:rsidRPr="00A8221D">
        <w:rPr>
          <w:rFonts w:ascii="Cambria" w:hAnsiTheme="minorHAnsi"/>
          <w:vertAlign w:val="superscript"/>
        </w:rPr>
        <w:t>39</w:t>
      </w:r>
      <w:r w:rsidR="00FA3F2A" w:rsidRPr="00B417BF">
        <w:rPr>
          <w:rFonts w:asciiTheme="minorHAnsi" w:hAnsiTheme="minorHAnsi"/>
        </w:rPr>
        <w:fldChar w:fldCharType="end"/>
      </w:r>
      <w:r w:rsidRPr="00B417BF">
        <w:rPr>
          <w:rFonts w:asciiTheme="minorHAnsi" w:hAnsiTheme="minorHAnsi"/>
        </w:rPr>
        <w:t xml:space="preserve">  </w:t>
      </w:r>
    </w:p>
    <w:p w14:paraId="62BCDF73" w14:textId="77777777" w:rsidR="003066B1" w:rsidRDefault="003066B1" w:rsidP="003066B1">
      <w:pPr>
        <w:spacing w:line="480" w:lineRule="auto"/>
        <w:rPr>
          <w:rFonts w:asciiTheme="minorHAnsi" w:hAnsiTheme="minorHAnsi"/>
        </w:rPr>
      </w:pPr>
    </w:p>
    <w:p w14:paraId="17D67C25" w14:textId="5C9F34E3" w:rsidR="00FA004E" w:rsidRPr="00B417BF" w:rsidRDefault="000875CA" w:rsidP="003066B1">
      <w:pPr>
        <w:spacing w:line="480" w:lineRule="auto"/>
        <w:rPr>
          <w:rFonts w:asciiTheme="minorHAnsi" w:hAnsiTheme="minorHAnsi"/>
        </w:rPr>
      </w:pPr>
      <w:r>
        <w:rPr>
          <w:rFonts w:asciiTheme="minorHAnsi" w:hAnsiTheme="minorHAnsi"/>
        </w:rPr>
        <w:t>Poor coping skills can</w:t>
      </w:r>
      <w:r w:rsidR="00FA004E" w:rsidRPr="00B417BF">
        <w:rPr>
          <w:rFonts w:asciiTheme="minorHAnsi" w:hAnsiTheme="minorHAnsi"/>
        </w:rPr>
        <w:t xml:space="preserve"> negatively affect students in every environment.  Based on the theories of Sigmund Freud and his daughter Anna Freud, coping strategies are arranged into a hierarchy:</w:t>
      </w:r>
    </w:p>
    <w:p w14:paraId="1A6565D2" w14:textId="77777777" w:rsidR="00FA004E" w:rsidRPr="00B417BF" w:rsidRDefault="00FA004E" w:rsidP="00FA004E">
      <w:pPr>
        <w:spacing w:before="100" w:beforeAutospacing="1" w:after="100" w:afterAutospacing="1" w:line="480" w:lineRule="auto"/>
        <w:rPr>
          <w:rFonts w:asciiTheme="minorHAnsi" w:hAnsiTheme="minorHAnsi"/>
        </w:rPr>
      </w:pPr>
      <w:r w:rsidRPr="00B417BF">
        <w:rPr>
          <w:rFonts w:asciiTheme="minorHAnsi" w:hAnsiTheme="minorHAnsi"/>
        </w:rPr>
        <w:t>Level I - pathological defenses (psychotic denial, delusional projection)</w:t>
      </w:r>
    </w:p>
    <w:p w14:paraId="3EFFDC9E" w14:textId="77777777" w:rsidR="00FA004E" w:rsidRPr="00B417BF" w:rsidRDefault="00FA004E" w:rsidP="00FA004E">
      <w:pPr>
        <w:spacing w:before="100" w:beforeAutospacing="1" w:after="100" w:afterAutospacing="1" w:line="480" w:lineRule="auto"/>
        <w:rPr>
          <w:rFonts w:asciiTheme="minorHAnsi" w:hAnsiTheme="minorHAnsi"/>
        </w:rPr>
      </w:pPr>
      <w:r w:rsidRPr="00B417BF">
        <w:rPr>
          <w:rFonts w:asciiTheme="minorHAnsi" w:hAnsiTheme="minorHAnsi"/>
        </w:rPr>
        <w:t>Level II - immature defenses (fantasy, projection, passive aggression, acting out)</w:t>
      </w:r>
    </w:p>
    <w:p w14:paraId="78BF5D21" w14:textId="77777777" w:rsidR="00FA004E" w:rsidRPr="00B417BF" w:rsidRDefault="00FA004E" w:rsidP="00FA004E">
      <w:pPr>
        <w:spacing w:before="100" w:beforeAutospacing="1" w:after="100" w:afterAutospacing="1" w:line="480" w:lineRule="auto"/>
        <w:rPr>
          <w:rFonts w:asciiTheme="minorHAnsi" w:hAnsiTheme="minorHAnsi"/>
        </w:rPr>
      </w:pPr>
      <w:r w:rsidRPr="00B417BF">
        <w:rPr>
          <w:rFonts w:asciiTheme="minorHAnsi" w:hAnsiTheme="minorHAnsi"/>
        </w:rPr>
        <w:t>Level III - neurotic defenses (intellectualization, reaction formation, dissociation, rationalization, displacement, repression)</w:t>
      </w:r>
    </w:p>
    <w:p w14:paraId="46AD9995" w14:textId="0137BD80" w:rsidR="003066B1" w:rsidRDefault="00FA004E" w:rsidP="00FA004E">
      <w:pPr>
        <w:spacing w:before="100" w:beforeAutospacing="1" w:after="100" w:afterAutospacing="1" w:line="480" w:lineRule="auto"/>
        <w:rPr>
          <w:rFonts w:asciiTheme="minorHAnsi" w:hAnsiTheme="minorHAnsi"/>
        </w:rPr>
      </w:pPr>
      <w:r w:rsidRPr="00B417BF">
        <w:rPr>
          <w:rFonts w:asciiTheme="minorHAnsi" w:hAnsiTheme="minorHAnsi"/>
        </w:rPr>
        <w:t>Level IV - mature defenses (humor, sublimation, suppression, altruism, anticipation)</w:t>
      </w:r>
      <w:r w:rsidRPr="00B417BF">
        <w:rPr>
          <w:rFonts w:asciiTheme="minorHAnsi" w:hAnsiTheme="minorHAnsi"/>
        </w:rPr>
        <w:fldChar w:fldCharType="begin"/>
      </w:r>
      <w:r w:rsidR="00A8221D">
        <w:rPr>
          <w:rFonts w:asciiTheme="minorHAnsi" w:hAnsiTheme="minorHAnsi"/>
        </w:rPr>
        <w:instrText xml:space="preserve"> ADDIN ZOTERO_ITEM CSL_CITATION {"citationID":"D4DYC9Ez","properties":{"formattedCitation":"\\super 40\\nosupersub{}","plainCitation":"40","noteIndex":0},"citationItems":[{"id":528,"uris":["http://zotero.org/users/1143701/items/UZ24VDDX"],"uri":["http://zotero.org/users/1143701/items/UZ24VDDX"],"itemData":{"id":528,"type":"book","title":"The Ego and the Mechanisms of Defence.  Issue 30 of INternational psycho-analytical library. Volume 2 of Writings of Anna Freud","publisher":"Karnac Books","volume":"2","number-of-pages":"191","edition":"revised","ISBN":"1-85575-038-4","author":[{"family":"Freud","given":"Anna"}],"issued":{"date-parts":[["1992"]]}}}],"schema":"https://github.com/citation-style-language/schema/raw/master/csl-citation.json"}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40</w:t>
      </w:r>
      <w:r w:rsidRPr="00B417BF">
        <w:rPr>
          <w:rFonts w:asciiTheme="minorHAnsi" w:hAnsiTheme="minorHAnsi"/>
        </w:rPr>
        <w:fldChar w:fldCharType="end"/>
      </w:r>
    </w:p>
    <w:p w14:paraId="14990B1A" w14:textId="02D529B4" w:rsidR="00FA004E" w:rsidRPr="00B417BF" w:rsidRDefault="00FA004E" w:rsidP="00FA004E">
      <w:pPr>
        <w:spacing w:before="100" w:beforeAutospacing="1" w:after="100" w:afterAutospacing="1" w:line="480" w:lineRule="auto"/>
        <w:rPr>
          <w:rFonts w:asciiTheme="minorHAnsi" w:hAnsiTheme="minorHAnsi"/>
        </w:rPr>
      </w:pPr>
      <w:r w:rsidRPr="00B417BF">
        <w:rPr>
          <w:rFonts w:asciiTheme="minorHAnsi" w:hAnsiTheme="minorHAnsi"/>
        </w:rPr>
        <w:t xml:space="preserve">There are a range of behaviors and strategies associated with levels of adult maturity and emotional capacity. </w:t>
      </w:r>
      <w:r w:rsidR="009B44EA">
        <w:rPr>
          <w:rFonts w:asciiTheme="minorHAnsi" w:hAnsiTheme="minorHAnsi"/>
        </w:rPr>
        <w:t xml:space="preserve"> Lower</w:t>
      </w:r>
      <w:r w:rsidRPr="00B417BF">
        <w:rPr>
          <w:rFonts w:asciiTheme="minorHAnsi" w:hAnsiTheme="minorHAnsi"/>
        </w:rPr>
        <w:t xml:space="preserve"> level strategies are often seen in conjunction with mental illness as defined by the DSM IV</w:t>
      </w:r>
      <w:r w:rsidR="001668D4">
        <w:rPr>
          <w:rFonts w:asciiTheme="minorHAnsi" w:hAnsiTheme="minorHAnsi"/>
        </w:rPr>
        <w:t>.</w:t>
      </w:r>
      <w:r w:rsidRPr="00B417BF">
        <w:rPr>
          <w:rFonts w:asciiTheme="minorHAnsi" w:hAnsiTheme="minorHAnsi"/>
        </w:rPr>
        <w:fldChar w:fldCharType="begin"/>
      </w:r>
      <w:r w:rsidR="00A8221D">
        <w:rPr>
          <w:rFonts w:asciiTheme="minorHAnsi" w:hAnsiTheme="minorHAnsi"/>
        </w:rPr>
        <w:instrText xml:space="preserve"> ADDIN ZOTERO_ITEM CSL_CITATION {"citationID":"xfQc6cCN","properties":{"formattedCitation":"\\super 41\\nosupersub{}","plainCitation":"41","noteIndex":0},"citationItems":[{"id":427,"uris":["http://zotero.org/users/1143701/items/6G2BJHTT"],"uri":["http://zotero.org/users/1143701/items/6G2BJHTT"],"itemData":{"id":427,"type":"article-journal","title":"Association of Ego Defense Mechanisms with Academic Performance, Anxiety and Depression in Medical Students: A Mixed Methods Study","container-title":"Cureus","source":"CrossRef","URL":"http://www.cureus.com/articles/3241-association-of-ego-defense-mechanisms-with-academic-performance-anxiety-and-depression-in-medical-students-a-mixed-methods-study","DOI":"10.7759/cureus.337","ISSN":"2168-8184","shortTitle":"Association of Ego Defense Mechanisms with Academic Performance, Anxiety and Depression in Medical Students","language":"en","author":[{"family":"Waqas","given":"Ahmed"},{"family":"Rehman","given":"Abdul"},{"family":"Malik","given":"Aamenah"},{"family":"Muhammad","given":"Umer"},{"family":"Khan","given":"Sarah"},{"family":"Mahmood","given":"Nadia"}],"issued":{"date-parts":[["2015",9,30]]},"accessed":{"date-parts":[["2016",1,3]]}}}],"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41</w:t>
      </w:r>
      <w:r w:rsidRPr="00B417BF">
        <w:rPr>
          <w:rFonts w:asciiTheme="minorHAnsi" w:hAnsiTheme="minorHAnsi"/>
        </w:rPr>
        <w:fldChar w:fldCharType="end"/>
      </w:r>
      <w:r w:rsidRPr="00B417BF">
        <w:rPr>
          <w:rFonts w:asciiTheme="minorHAnsi" w:hAnsiTheme="minorHAnsi"/>
        </w:rPr>
        <w:t xml:space="preserve">  Coping strategies of denial, distraction, blaming, and acceptance</w:t>
      </w:r>
      <w:r w:rsidR="001829D4" w:rsidRPr="00B417BF">
        <w:rPr>
          <w:rFonts w:asciiTheme="minorHAnsi" w:hAnsiTheme="minorHAnsi"/>
        </w:rPr>
        <w:t xml:space="preserve"> </w:t>
      </w:r>
      <w:r w:rsidRPr="00B417BF">
        <w:rPr>
          <w:rFonts w:asciiTheme="minorHAnsi" w:hAnsiTheme="minorHAnsi"/>
        </w:rPr>
        <w:t xml:space="preserve">are utilized by all students in </w:t>
      </w:r>
      <w:r w:rsidRPr="00B417BF">
        <w:rPr>
          <w:rFonts w:asciiTheme="minorHAnsi" w:hAnsiTheme="minorHAnsi"/>
        </w:rPr>
        <w:lastRenderedPageBreak/>
        <w:t>certain situations.  However, students with consistently immature coping strategies tend to have lower grades, increased depression, and increased anxiety</w:t>
      </w:r>
      <w:r w:rsidR="001668D4">
        <w:rPr>
          <w:rFonts w:asciiTheme="minorHAnsi" w:hAnsiTheme="minorHAnsi"/>
        </w:rPr>
        <w:t>.</w:t>
      </w:r>
      <w:r w:rsidRPr="00B417BF">
        <w:rPr>
          <w:rFonts w:asciiTheme="minorHAnsi" w:hAnsiTheme="minorHAnsi"/>
        </w:rPr>
        <w:fldChar w:fldCharType="begin"/>
      </w:r>
      <w:r w:rsidR="00A8221D">
        <w:rPr>
          <w:rFonts w:asciiTheme="minorHAnsi" w:hAnsiTheme="minorHAnsi"/>
        </w:rPr>
        <w:instrText xml:space="preserve"> ADDIN ZOTERO_ITEM CSL_CITATION {"citationID":"Ujmu5Dwx","properties":{"formattedCitation":"\\super 41\\nosupersub{}","plainCitation":"41","noteIndex":0},"citationItems":[{"id":427,"uris":["http://zotero.org/users/1143701/items/6G2BJHTT"],"uri":["http://zotero.org/users/1143701/items/6G2BJHTT"],"itemData":{"id":427,"type":"article-journal","title":"Association of Ego Defense Mechanisms with Academic Performance, Anxiety and Depression in Medical Students: A Mixed Methods Study","container-title":"Cureus","source":"CrossRef","URL":"http://www.cureus.com/articles/3241-association-of-ego-defense-mechanisms-with-academic-performance-anxiety-and-depression-in-medical-students-a-mixed-methods-study","DOI":"10.7759/cureus.337","ISSN":"2168-8184","shortTitle":"Association of Ego Defense Mechanisms with Academic Performance, Anxiety and Depression in Medical Students","language":"en","author":[{"family":"Waqas","given":"Ahmed"},{"family":"Rehman","given":"Abdul"},{"family":"Malik","given":"Aamenah"},{"family":"Muhammad","given":"Umer"},{"family":"Khan","given":"Sarah"},{"family":"Mahmood","given":"Nadia"}],"issued":{"date-parts":[["2015",9,30]]},"accessed":{"date-parts":[["2016",1,3]]}}}],"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41</w:t>
      </w:r>
      <w:r w:rsidRPr="00B417BF">
        <w:rPr>
          <w:rFonts w:asciiTheme="minorHAnsi" w:hAnsiTheme="minorHAnsi"/>
        </w:rPr>
        <w:fldChar w:fldCharType="end"/>
      </w:r>
      <w:r w:rsidRPr="00B417BF">
        <w:rPr>
          <w:rFonts w:asciiTheme="minorHAnsi" w:hAnsiTheme="minorHAnsi"/>
        </w:rPr>
        <w:t xml:space="preserve"> </w:t>
      </w:r>
    </w:p>
    <w:p w14:paraId="0DA05A63" w14:textId="694B5FE3" w:rsidR="003066B1" w:rsidRPr="00B417BF" w:rsidRDefault="00FA004E" w:rsidP="003066B1">
      <w:pPr>
        <w:spacing w:line="480" w:lineRule="auto"/>
        <w:rPr>
          <w:rFonts w:asciiTheme="minorHAnsi" w:hAnsiTheme="minorHAnsi"/>
        </w:rPr>
      </w:pPr>
      <w:r w:rsidRPr="00B417BF">
        <w:rPr>
          <w:rFonts w:asciiTheme="minorHAnsi" w:hAnsiTheme="minorHAnsi"/>
        </w:rPr>
        <w:t>Immature coping strategies are also associated with specific personality types such as depression and anxiety disorders.  These personality types and mental health issues can also negatively impact academic performance</w:t>
      </w:r>
      <w:r w:rsidR="001668D4">
        <w:rPr>
          <w:rFonts w:asciiTheme="minorHAnsi" w:hAnsiTheme="minorHAnsi"/>
        </w:rPr>
        <w:t>.</w:t>
      </w:r>
      <w:r w:rsidRPr="00B417BF">
        <w:rPr>
          <w:rFonts w:asciiTheme="minorHAnsi" w:hAnsiTheme="minorHAnsi"/>
        </w:rPr>
        <w:fldChar w:fldCharType="begin"/>
      </w:r>
      <w:r w:rsidR="00A8221D">
        <w:rPr>
          <w:rFonts w:asciiTheme="minorHAnsi" w:hAnsiTheme="minorHAnsi"/>
        </w:rPr>
        <w:instrText xml:space="preserve"> ADDIN ZOTERO_ITEM CSL_CITATION {"citationID":"K28DqguU","properties":{"formattedCitation":"\\super 42\\nosupersub{}","plainCitation":"42","noteIndex":0},"citationItems":[{"id":442,"uris":["http://zotero.org/users/1143701/items/KGWR43MU"],"uri":["http://zotero.org/users/1143701/items/KGWR43MU"],"itemData":{"id":442,"type":"article-journal","title":"Predicting the educational performance of Isfahan University students of medical sciences based on their behaviour profile, mental health and demographic characteristic","container-title":"Journal of Education and Health Promotion","volume":"4","source":"PubMed Central","abstract":"Background:\nThe issue of students’ academic failure is one of the most important educational, economic, and social issues. Cognizance of the factors related to academic downfall is so efficient in its prevention and control and leads to protecting governmental assets and labor force. In order to achieve this goal, this study intends to determine the predictive factors of the students’ academic performance in Isfahan University of Medical Sciences in terms of their personality profile, mental health, and their demographic characteristics.\n\nMaterials and Methods:\nThis study was a descriptive-correlation study on 771 students who entered Isfahan University of Medical Sciences between 2005 and 2007. The information was gathered through using the students’ educational and clinical files (for measuring personality characteristics and mental health) and SAMA Software (To get the mean scores). Minnesota Multiphasic Personality Inventory short form and General Health Questionnaire were used for collecting clinical data. The data were analyzed using SPSS 15 (stepwise regression coefficient, variance analysis, Student's t-test, and Spearman correlation coefficient).\n\nResult:\nThe results showed that the aforementioned students obtained a normal average for their personality profile and mental health indicators. Of all the reviewed variables, education, age, gender, depression, and hypochondria were the predictive factors of the students’ educational performance.\n\nConclusion:\nIt could be concluded that some of the personality features, mental health indicators, and personality profile play such a significant role in the students’ educational life that the disorder in any of them affects the students’ educational performance and academic failure.","URL":"http://www.ncbi.nlm.nih.gov/pmc/articles/PMC4456873/","DOI":"10.4103/2277-9531.157230","ISSN":"2277-9531","note":"PMID: 26097858\nPMCID: PMC4456873","journalAbbreviation":"J Educ Health Promot","author":[{"family":"Samouei","given":"Rahele"},{"family":"Fooladvand","given":"Maryam"},{"family":"Janghorban","given":"Shahla"},{"family":"Khorvash","given":"Fariba"}],"issued":{"date-parts":[["2015",5,19]]},"accessed":{"date-parts":[["2016",1,4]]}}}],"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42</w:t>
      </w:r>
      <w:r w:rsidRPr="00B417BF">
        <w:rPr>
          <w:rFonts w:asciiTheme="minorHAnsi" w:hAnsiTheme="minorHAnsi"/>
        </w:rPr>
        <w:fldChar w:fldCharType="end"/>
      </w:r>
      <w:r w:rsidRPr="00B417BF">
        <w:rPr>
          <w:rFonts w:asciiTheme="minorHAnsi" w:hAnsiTheme="minorHAnsi"/>
        </w:rPr>
        <w:t xml:space="preserve">  Denial, disassociation, rationalization, projection, and displacement are poor long-term coping strategies.</w:t>
      </w:r>
      <w:r w:rsidR="003066B1">
        <w:rPr>
          <w:rFonts w:asciiTheme="minorHAnsi" w:hAnsiTheme="minorHAnsi"/>
        </w:rPr>
        <w:t xml:space="preserve">  </w:t>
      </w:r>
      <w:r w:rsidR="003066B1" w:rsidRPr="00B417BF">
        <w:rPr>
          <w:rFonts w:asciiTheme="minorHAnsi" w:hAnsiTheme="minorHAnsi"/>
        </w:rPr>
        <w:t>Because students have</w:t>
      </w:r>
      <w:r w:rsidR="003066B1">
        <w:rPr>
          <w:rFonts w:asciiTheme="minorHAnsi" w:hAnsiTheme="minorHAnsi"/>
        </w:rPr>
        <w:t xml:space="preserve"> varying</w:t>
      </w:r>
      <w:r w:rsidR="003066B1" w:rsidRPr="00B417BF">
        <w:rPr>
          <w:rFonts w:asciiTheme="minorHAnsi" w:hAnsiTheme="minorHAnsi"/>
        </w:rPr>
        <w:t xml:space="preserve"> maturity</w:t>
      </w:r>
      <w:r w:rsidR="003066B1">
        <w:rPr>
          <w:rFonts w:asciiTheme="minorHAnsi" w:hAnsiTheme="minorHAnsi"/>
        </w:rPr>
        <w:t xml:space="preserve"> levels</w:t>
      </w:r>
      <w:r w:rsidR="003066B1" w:rsidRPr="00B417BF">
        <w:rPr>
          <w:rFonts w:asciiTheme="minorHAnsi" w:hAnsiTheme="minorHAnsi"/>
        </w:rPr>
        <w:t>, personali</w:t>
      </w:r>
      <w:r w:rsidR="003066B1">
        <w:rPr>
          <w:rFonts w:asciiTheme="minorHAnsi" w:hAnsiTheme="minorHAnsi"/>
        </w:rPr>
        <w:t>ties</w:t>
      </w:r>
      <w:r w:rsidR="003066B1" w:rsidRPr="00B417BF">
        <w:rPr>
          <w:rFonts w:asciiTheme="minorHAnsi" w:hAnsiTheme="minorHAnsi"/>
        </w:rPr>
        <w:t xml:space="preserve">, and coping strategies, academic success is unique to the individual. </w:t>
      </w:r>
      <w:r w:rsidR="003066B1">
        <w:rPr>
          <w:rFonts w:asciiTheme="minorHAnsi" w:hAnsiTheme="minorHAnsi"/>
        </w:rPr>
        <w:t xml:space="preserve"> Those with poor long-term coping strategies may require additional support.</w:t>
      </w:r>
    </w:p>
    <w:p w14:paraId="450D2A89" w14:textId="77777777" w:rsidR="00FA004E" w:rsidRPr="00B417BF" w:rsidRDefault="00FA004E" w:rsidP="00FA004E">
      <w:pPr>
        <w:spacing w:line="480" w:lineRule="auto"/>
        <w:rPr>
          <w:rFonts w:asciiTheme="minorHAnsi" w:hAnsiTheme="minorHAnsi"/>
        </w:rPr>
      </w:pPr>
    </w:p>
    <w:p w14:paraId="2525A748" w14:textId="652CA5E5" w:rsidR="00FA004E" w:rsidRPr="00B417BF" w:rsidRDefault="00FA004E" w:rsidP="00855627">
      <w:pPr>
        <w:spacing w:line="480" w:lineRule="auto"/>
        <w:outlineLvl w:val="0"/>
        <w:rPr>
          <w:rFonts w:asciiTheme="minorHAnsi" w:hAnsiTheme="minorHAnsi"/>
        </w:rPr>
      </w:pPr>
      <w:r w:rsidRPr="00B417BF">
        <w:rPr>
          <w:rFonts w:asciiTheme="minorHAnsi" w:hAnsiTheme="minorHAnsi"/>
        </w:rPr>
        <w:t>Stress management and Coping Abilities</w:t>
      </w:r>
      <w:r w:rsidR="00370897" w:rsidRPr="00B417BF">
        <w:rPr>
          <w:rFonts w:asciiTheme="minorHAnsi" w:hAnsiTheme="minorHAnsi"/>
        </w:rPr>
        <w:t>:</w:t>
      </w:r>
    </w:p>
    <w:p w14:paraId="308F4302" w14:textId="16A46229" w:rsidR="00FA004E" w:rsidRPr="00B417BF" w:rsidRDefault="00FA004E" w:rsidP="00FA004E">
      <w:pPr>
        <w:spacing w:line="480" w:lineRule="auto"/>
        <w:rPr>
          <w:rFonts w:asciiTheme="minorHAnsi" w:hAnsiTheme="minorHAnsi"/>
        </w:rPr>
      </w:pPr>
      <w:r w:rsidRPr="00B417BF">
        <w:rPr>
          <w:rFonts w:asciiTheme="minorHAnsi" w:hAnsiTheme="minorHAnsi"/>
        </w:rPr>
        <w:t xml:space="preserve">Stress management and associated metacognitive skills have implications beyond medical school.  The ability to manage high-pressure situations associated with anxiety is a crucial skill for physicians’ long-term success.  </w:t>
      </w:r>
      <w:r w:rsidR="006A19D0" w:rsidRPr="00B417BF">
        <w:rPr>
          <w:rFonts w:asciiTheme="minorHAnsi" w:hAnsiTheme="minorHAnsi"/>
        </w:rPr>
        <w:t xml:space="preserve">Physicians that </w:t>
      </w:r>
      <w:r w:rsidRPr="00B417BF">
        <w:rPr>
          <w:rFonts w:asciiTheme="minorHAnsi" w:hAnsiTheme="minorHAnsi"/>
        </w:rPr>
        <w:t>do not respond well</w:t>
      </w:r>
      <w:r w:rsidR="006A19D0" w:rsidRPr="00B417BF">
        <w:rPr>
          <w:rFonts w:asciiTheme="minorHAnsi" w:hAnsiTheme="minorHAnsi"/>
        </w:rPr>
        <w:t xml:space="preserve"> </w:t>
      </w:r>
      <w:r w:rsidRPr="00B417BF">
        <w:rPr>
          <w:rFonts w:asciiTheme="minorHAnsi" w:hAnsiTheme="minorHAnsi"/>
        </w:rPr>
        <w:t xml:space="preserve">to failure </w:t>
      </w:r>
      <w:r w:rsidR="006A19D0" w:rsidRPr="00B417BF">
        <w:rPr>
          <w:rFonts w:asciiTheme="minorHAnsi" w:hAnsiTheme="minorHAnsi"/>
        </w:rPr>
        <w:t xml:space="preserve">have </w:t>
      </w:r>
      <w:r w:rsidRPr="00B417BF">
        <w:rPr>
          <w:rFonts w:asciiTheme="minorHAnsi" w:hAnsiTheme="minorHAnsi"/>
        </w:rPr>
        <w:t>significantly lower</w:t>
      </w:r>
      <w:r w:rsidR="00377E93">
        <w:rPr>
          <w:rFonts w:asciiTheme="minorHAnsi" w:hAnsiTheme="minorHAnsi"/>
        </w:rPr>
        <w:t xml:space="preserve"> clinical competence and</w:t>
      </w:r>
      <w:r w:rsidRPr="00B417BF">
        <w:rPr>
          <w:rFonts w:asciiTheme="minorHAnsi" w:hAnsiTheme="minorHAnsi"/>
        </w:rPr>
        <w:t xml:space="preserve"> incomes</w:t>
      </w:r>
      <w:r w:rsidR="006A19D0" w:rsidRPr="00B417BF">
        <w:rPr>
          <w:rFonts w:asciiTheme="minorHAnsi" w:hAnsiTheme="minorHAnsi"/>
        </w:rPr>
        <w:t xml:space="preserve">, and </w:t>
      </w:r>
      <w:r w:rsidRPr="00B417BF">
        <w:rPr>
          <w:rFonts w:asciiTheme="minorHAnsi" w:hAnsiTheme="minorHAnsi"/>
        </w:rPr>
        <w:t>higher rates of reported burn out and work dissatisfaction</w:t>
      </w:r>
      <w:r w:rsidR="001668D4">
        <w:rPr>
          <w:rFonts w:asciiTheme="minorHAnsi" w:hAnsiTheme="minorHAnsi"/>
        </w:rPr>
        <w:t>.</w:t>
      </w:r>
      <w:r w:rsidRPr="00B417BF">
        <w:rPr>
          <w:rFonts w:asciiTheme="minorHAnsi" w:hAnsiTheme="minorHAnsi"/>
        </w:rPr>
        <w:fldChar w:fldCharType="begin"/>
      </w:r>
      <w:r w:rsidR="00267983" w:rsidRPr="00B417BF">
        <w:rPr>
          <w:rFonts w:asciiTheme="minorHAnsi" w:hAnsiTheme="minorHAnsi"/>
        </w:rPr>
        <w:instrText xml:space="preserve"> ADDIN ZOTERO_ITEM CSL_CITATION {"citationID":"TKoVQ7wX","properties":{"formattedCitation":"\\super 10\\nosupersub{}","plainCitation":"10","noteIndex":0},"citationItems":[{"id":215,"uris":["http://zotero.org/users/1143701/items/JUPBAF44"],"uri":["http://zotero.org/users/1143701/items/JUPBAF44"],"itemData":{"id":215,"type":"article-journal","title":"Academic achievement, depression and anxiety during medical education predict the styles of success in a medical career: a 10-year longitudinal study","container-title":"Medical Teacher","page":"e611-619","volume":"34","issue":"9","source":"PubMed","abstract":"AIM: Our study investigated the styles of success in the medical career in young physicians, in comparison with the same subjects examined 4-10 years earlier.\nMETHODS: The participants were first studied when they applied to the medical university (1999). Questionnaires were sent to all students each year (2000-2005). Fifty-four medical doctors participated in the first phase of the study completed a questionnaire four years after graduation. The current questionnaire included measures of burnout, satisfaction with medicine as a career, quality of life (QOL) and postgraduate examination results. Previous questionnaires had included measures of academic achievement, depression and anxiety.\nRESULTS: We can describe three different styles of success, which can be predicted during medical education. Physicians with the best professional competence have the lowest income. However, physicians with the lowest professional competence gain the highest income. Those with the highest QOL (general well-being and life satisfaction) have the lowest professional stress and vulnerability to burnout. Anxiety and academic achievement (during the second and fourth year of study) are the significant predictors of specific style belonging.\nCONCLUSIONS: Our results may be useful to medical school admissions and resident selection committees to identify candidates at risk for less satisfaction or less competence.","DOI":"10.3109/0142159X.2012.687478","ISSN":"1466-187X","note":"PMID: 22905663","shortTitle":"Academic achievement, depression and anxiety during medical education predict the styles of success in a medical career","journalAbbreviation":"Med Teach","language":"eng","author":[{"family":"Walkiewicz","given":"Maciej"},{"family":"Tartas","given":"Malgorzata"},{"family":"Majkowicz","given":"Mikolaj"},{"family":"Budzinski","given":"Waldemar"}],"issued":{"date-parts":[["2012"]]}}}],"schema":"https://github.com/citation-style-language/schema/raw/master/csl-citation.json"} </w:instrText>
      </w:r>
      <w:r w:rsidRPr="00B417BF">
        <w:rPr>
          <w:rFonts w:asciiTheme="minorHAnsi" w:hAnsiTheme="minorHAnsi"/>
        </w:rPr>
        <w:fldChar w:fldCharType="separate"/>
      </w:r>
      <w:r w:rsidR="001A780A" w:rsidRPr="001A780A">
        <w:rPr>
          <w:rFonts w:ascii="Cambria" w:hAnsiTheme="minorHAnsi"/>
          <w:vertAlign w:val="superscript"/>
        </w:rPr>
        <w:t>10</w:t>
      </w:r>
      <w:r w:rsidRPr="00B417BF">
        <w:rPr>
          <w:rFonts w:asciiTheme="minorHAnsi" w:hAnsiTheme="minorHAnsi"/>
        </w:rPr>
        <w:fldChar w:fldCharType="end"/>
      </w:r>
      <w:r w:rsidRPr="00B417BF">
        <w:rPr>
          <w:rFonts w:asciiTheme="minorHAnsi" w:hAnsiTheme="minorHAnsi"/>
        </w:rPr>
        <w:t xml:space="preserve"> This relates directly to the ideas of personal maturity previously discussed.  </w:t>
      </w:r>
      <w:r w:rsidR="00377E93">
        <w:rPr>
          <w:rFonts w:asciiTheme="minorHAnsi" w:hAnsiTheme="minorHAnsi"/>
        </w:rPr>
        <w:t xml:space="preserve">The ability to manage failure </w:t>
      </w:r>
      <w:r w:rsidRPr="00B417BF">
        <w:rPr>
          <w:rFonts w:asciiTheme="minorHAnsi" w:hAnsiTheme="minorHAnsi"/>
        </w:rPr>
        <w:t xml:space="preserve">results in more efficient practice that then cycles into less job and school related stress.  </w:t>
      </w:r>
      <w:r w:rsidRPr="00B417BF">
        <w:rPr>
          <w:rFonts w:asciiTheme="minorHAnsi" w:hAnsiTheme="minorHAnsi"/>
        </w:rPr>
        <w:tab/>
      </w:r>
    </w:p>
    <w:p w14:paraId="030A7301" w14:textId="77777777" w:rsidR="00FA004E" w:rsidRPr="00B417BF" w:rsidRDefault="00FA004E" w:rsidP="00FA004E">
      <w:pPr>
        <w:spacing w:line="480" w:lineRule="auto"/>
        <w:rPr>
          <w:rFonts w:asciiTheme="minorHAnsi" w:hAnsiTheme="minorHAnsi"/>
        </w:rPr>
      </w:pPr>
    </w:p>
    <w:p w14:paraId="42EAA795" w14:textId="77777777" w:rsidR="00FA004E" w:rsidRPr="00B417BF" w:rsidRDefault="00FA004E" w:rsidP="00FA004E">
      <w:pPr>
        <w:spacing w:line="480" w:lineRule="auto"/>
        <w:rPr>
          <w:rFonts w:asciiTheme="minorHAnsi" w:hAnsiTheme="minorHAnsi"/>
        </w:rPr>
      </w:pPr>
      <w:r w:rsidRPr="00B417BF">
        <w:rPr>
          <w:rFonts w:asciiTheme="minorHAnsi" w:hAnsiTheme="minorHAnsi"/>
        </w:rPr>
        <w:t>Role of Metacognition:</w:t>
      </w:r>
    </w:p>
    <w:p w14:paraId="3F2BDE24" w14:textId="7F473FA7" w:rsidR="00FA004E" w:rsidRPr="00B417BF" w:rsidRDefault="00FA004E" w:rsidP="00FA004E">
      <w:pPr>
        <w:spacing w:line="480" w:lineRule="auto"/>
        <w:rPr>
          <w:rFonts w:asciiTheme="minorHAnsi" w:hAnsiTheme="minorHAnsi"/>
        </w:rPr>
      </w:pPr>
      <w:r w:rsidRPr="00B417BF">
        <w:rPr>
          <w:rFonts w:asciiTheme="minorHAnsi" w:hAnsiTheme="minorHAnsi"/>
        </w:rPr>
        <w:lastRenderedPageBreak/>
        <w:t>Just as Freud categorized coping strategies into a hierarchy of maturity, Bloom developed a taxonomy of cognitive development with basic receiving and remembering information at the lowest level.  Based on Bloom’s Taxonomy</w:t>
      </w:r>
      <w:r w:rsidR="000875CA">
        <w:rPr>
          <w:rFonts w:asciiTheme="minorHAnsi" w:hAnsiTheme="minorHAnsi"/>
        </w:rPr>
        <w:t xml:space="preserve"> of the “Knowledge Domain</w:t>
      </w:r>
      <w:r w:rsidRPr="00B417BF">
        <w:rPr>
          <w:rFonts w:asciiTheme="minorHAnsi" w:hAnsiTheme="minorHAnsi"/>
        </w:rPr>
        <w:t>,</w:t>
      </w:r>
      <w:r w:rsidR="000875CA">
        <w:rPr>
          <w:rFonts w:asciiTheme="minorHAnsi" w:hAnsiTheme="minorHAnsi"/>
        </w:rPr>
        <w:t>”</w:t>
      </w:r>
      <w:r w:rsidRPr="00B417BF">
        <w:rPr>
          <w:rFonts w:asciiTheme="minorHAnsi" w:hAnsiTheme="minorHAnsi"/>
        </w:rPr>
        <w:t xml:space="preserve"> metacognition is the highest level of learning and cognition</w:t>
      </w:r>
      <w:r w:rsidR="001668D4">
        <w:rPr>
          <w:rFonts w:asciiTheme="minorHAnsi" w:hAnsiTheme="minorHAnsi"/>
        </w:rPr>
        <w:t>.</w:t>
      </w:r>
      <w:r w:rsidR="00D2124E" w:rsidRPr="00B417BF">
        <w:rPr>
          <w:rFonts w:asciiTheme="minorHAnsi" w:hAnsiTheme="minorHAnsi"/>
        </w:rPr>
        <w:fldChar w:fldCharType="begin"/>
      </w:r>
      <w:r w:rsidR="00A8221D">
        <w:rPr>
          <w:rFonts w:asciiTheme="minorHAnsi" w:hAnsiTheme="minorHAnsi"/>
        </w:rPr>
        <w:instrText xml:space="preserve"> ADDIN ZOTERO_ITEM CSL_CITATION {"citationID":"a1cb4i1m3dm","properties":{"formattedCitation":"\\super 43\\nosupersub{}","plainCitation":"43","noteIndex":0},"citationItems":[{"id":1040,"uris":["http://zotero.org/users/1143701/items/6LCDVGGB"],"uri":["http://zotero.org/users/1143701/items/6LCDVGGB"],"itemData":{"id":1040,"type":"article-journal","title":"Blooming Idiots: Education Objectives, Learning Taxonomies and the Peagogy of Benjamin Bloom","container-title":"The College Quarterly or of Seneca College.","page":"1-23","volume":"09","issue":"Fall 2006","abstract":"This article offers a skeletal critique of the pedagogical theory\nand the teaching practices arising from the work of educational\ninnovator, Benjamin Bloom. Professor Bloom’s theory and method\nhave overtly and covertly insinuated themselves into North American\neducational practice over the past half-century. Their impact and\ninfluence have been felt in almost every aspect of teaching and\nlearning, and at almost every level of education. This critique narrowly\nspeaks to certain elements in Bloom’s pedagogical paradigm. It\nspecifically addresses the matter of learning objectives and, more\nparticularly, the admonition to write learning objectives using “action”\nverbs in the construction of course outlines. This article demonstrates\nhow even the selection of the words to be incorporated into college\ncourse outlines are connected to larger domains of ideology and the\noverall mode of production and distribution in contemporary society.","author":[{"family":"Doughty","given":"Howard A"}],"issued":{"date-parts":[["2006"]]}}}],"schema":"https://github.com/citation-style-language/schema/raw/master/csl-citation.json"} </w:instrText>
      </w:r>
      <w:r w:rsidR="00D2124E" w:rsidRPr="00B417BF">
        <w:rPr>
          <w:rFonts w:asciiTheme="minorHAnsi" w:hAnsiTheme="minorHAnsi"/>
        </w:rPr>
        <w:fldChar w:fldCharType="separate"/>
      </w:r>
      <w:r w:rsidR="00A8221D" w:rsidRPr="00A8221D">
        <w:rPr>
          <w:rFonts w:ascii="Cambria" w:hAnsiTheme="minorHAnsi"/>
          <w:vertAlign w:val="superscript"/>
        </w:rPr>
        <w:t>43</w:t>
      </w:r>
      <w:r w:rsidR="00D2124E" w:rsidRPr="00B417BF">
        <w:rPr>
          <w:rFonts w:asciiTheme="minorHAnsi" w:hAnsiTheme="minorHAnsi"/>
        </w:rPr>
        <w:fldChar w:fldCharType="end"/>
      </w:r>
      <w:r w:rsidRPr="00B417BF">
        <w:rPr>
          <w:rFonts w:asciiTheme="minorHAnsi" w:hAnsiTheme="minorHAnsi"/>
        </w:rPr>
        <w:t xml:space="preserve">  Metacognition is referred to as “thinking about thinking,” and describes how students see themselves as learners within their current environment.  Students with developed metacognitive skills adapt their behaviors according to the demands of the learning environment</w:t>
      </w:r>
      <w:r w:rsidR="001668D4">
        <w:rPr>
          <w:rFonts w:asciiTheme="minorHAnsi" w:hAnsiTheme="minorHAnsi"/>
        </w:rPr>
        <w:t>.</w:t>
      </w:r>
      <w:r w:rsidRPr="00B417BF">
        <w:rPr>
          <w:rFonts w:asciiTheme="minorHAnsi" w:hAnsiTheme="minorHAnsi"/>
        </w:rPr>
        <w:fldChar w:fldCharType="begin"/>
      </w:r>
      <w:r w:rsidR="00A8221D">
        <w:rPr>
          <w:rFonts w:asciiTheme="minorHAnsi" w:hAnsiTheme="minorHAnsi"/>
        </w:rPr>
        <w:instrText xml:space="preserve"> ADDIN ZOTERO_ITEM CSL_CITATION {"citationID":"f6ZhrNoc","properties":{"formattedCitation":"\\super 44\\nosupersub{}","plainCitation":"44","noteIndex":0},"citationItems":[{"id":485,"uris":["http://zotero.org/users/1143701/items/JW75PF9P"],"uri":["http://zotero.org/users/1143701/items/JW75PF9P"],"itemData":{"id":485,"type":"article-journal","title":"Thinking about Thinking and Emotion: The Metacognitive Approach to the Medical Humanities that Integrates the Humanities with the Basic and Clinical Sciences","container-title":"The Permanente Journal","page":"64-75","volume":"18","issue":"4","source":"PubMed Central","abstract":"The explosion in medical knowledge has exceeded the capacity of the individual human brain to absorb the entirety of this knowledge. This suggests we can no longer expect medical students to continue simply memorizing facts. Instead, we must develop in students a competency as flexible thinkers and agile learners so they can adeptly deal with new knowledge, complexity, and uncertainty in a rapidly changing world. Such a competency would entail not only cognitive but also emotional skills essential for the holistic development of their professional identity. This article will argue that meta-cognition—“thinking about thinking (and emotion)”—offers the most viable path toward developing this competency., Medical knowledge in recent decades has grown prodigiously and has outstripped the capacity of the human brain to absorb and understand it all. This burgeoning of knowledge has created a dilemma for medical educators. We can no longer expect students to continue memorizing this large body of increasingly complex knowledge. Instead, our efforts should be redirected at developing in students a competency as flexible thinkers and agile learners so they can adeptly deal with new knowledge, complexity, and uncertainty in a rapidly changing world. Such a competency would entail not only cognitive but also emotional skills essential for the holistic development of their professional identity. This article will argue that metacognition—“thinking about thinking (and emotion)”—offers the most viable path toward developing this competency., The overwhelming volume of medical knowledge has driven some medical schools to reduce the time allocated in their curricula to the “soft-option” humanities as they tend to consider them an expendable “luxury.” Vanderbilt University School of Medicine, Nashville, TN, has moved away from the traditional conception of the medical humanities as “the arts,” composed of art, music, and literature, toward an approach that integrates the humanities with the basic and clinical sciences, based on metacognition. This metacognitive approach to the humanities, described in this article, has three goals: 1) to develop students as flexible thinkers and agile learners and to provide them with essential cognitive and emotional skills for navigating medical complexity and uncertainty; 2) to elicit in students empathy and tolerance by making them aware of the immense diversity in human cognition (and emotion); and 3) to integrate the humanities with the basic and clinical sciences., Through this metacognitive approach, students come to understand their patterns of cognition and emotions, and in the group setting, they learn to mindfully calibrate their thinking and emotions. They gain a humbling appreciation of the fallibility of the human mind/brain and how cognitive biases and misperceptions can lead to medical error. They come to appreciate the complex interplay between cognition and emotion, and the importance of cognitive monitoring and emotional regulation., In the group setting, students also gain a sense of perspective of their thinking patterns and emotions in relation to those of their peers. Perspective taking and mindfulness engender tolerance and empathy, which ultimately serves as a platform for working collaboratively in teams as medical professionals. Students become aware of the social context in which thinking and learning occur, and this further shapes their professional identity. Thinking, learning, and interacting in the group setting ultimately induces a shift from self-preoccupation and an individualistic approach to knowledge toward an appreciation of collective cognition and empathy towards others., In this article, I describe the metacognitive approach to the medical humanities at Vanderbilt University School of Medicine and how it is designed to develop students as agile learners and flexible thinkers with the mindful capacity for cognitive and emotional monitoring and regulation. Thinking and learning in the group setting of the colloquium ultimately also fosters the student’s professional identity.","URL":"http://www.ncbi.nlm.nih.gov/pmc/articles/PMC4206174/","DOI":"10.7812/TPP/14-027","ISSN":"1552-5767","note":"PMID: 25662528\nPMCID: PMC4206174","shortTitle":"Thinking about Thinking and Emotion","journalAbbreviation":"Perm J","author":[{"family":"Eichbaum","given":"Quentin G"}],"issued":{"date-parts":[["2014"]]},"accessed":{"date-parts":[["2015",8,15]]}}}],"schema":"https://github.com/citation-style-language/schema/raw/master/csl-citation.json"}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44</w:t>
      </w:r>
      <w:r w:rsidRPr="00B417BF">
        <w:rPr>
          <w:rFonts w:asciiTheme="minorHAnsi" w:hAnsiTheme="minorHAnsi"/>
        </w:rPr>
        <w:fldChar w:fldCharType="end"/>
      </w:r>
      <w:r w:rsidRPr="00B417BF">
        <w:rPr>
          <w:rFonts w:asciiTheme="minorHAnsi" w:hAnsiTheme="minorHAnsi"/>
          <w:vertAlign w:val="superscript"/>
        </w:rPr>
        <w:t>,</w:t>
      </w:r>
      <w:r w:rsidRPr="00B417BF">
        <w:rPr>
          <w:rFonts w:asciiTheme="minorHAnsi" w:hAnsiTheme="minorHAnsi"/>
        </w:rPr>
        <w:fldChar w:fldCharType="begin"/>
      </w:r>
      <w:r w:rsidR="00A8221D">
        <w:rPr>
          <w:rFonts w:asciiTheme="minorHAnsi" w:hAnsiTheme="minorHAnsi"/>
        </w:rPr>
        <w:instrText xml:space="preserve"> ADDIN ZOTERO_ITEM CSL_CITATION {"citationID":"gDieXonc","properties":{"formattedCitation":"\\super 45\\nosupersub{}","plainCitation":"45","noteIndex":0},"citationItems":[{"id":614,"uris":["http://zotero.org/users/1143701/items/WNQAC8E7"],"uri":["http://zotero.org/users/1143701/items/WNQAC8E7"],"itemData":{"id":614,"type":"article-journal","title":"A Revision of Bloom's Taxonomy: An Overview","container-title":"Theory Into Practice","page":"212-218","volume":"41","issue":"4","source":"Taylor and Francis+NEJM","URL":"http://dx.doi.org/10.1207/s15430421tip4104_2","DOI":"10.1207/s15430421tip4104_2","ISSN":"0040-5841","shortTitle":"A Revision of Bloom's Taxonomy","author":[{"family":"Krathwohl","given":"David R."}],"issued":{"date-parts":[["2002",11,1]]},"accessed":{"date-parts":[["2015",8,17]]}}}],"schema":"https://github.com/citation-style-language/schema/raw/master/csl-citation.json"}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45</w:t>
      </w:r>
      <w:r w:rsidRPr="00B417BF">
        <w:rPr>
          <w:rFonts w:asciiTheme="minorHAnsi" w:hAnsiTheme="minorHAnsi"/>
        </w:rPr>
        <w:fldChar w:fldCharType="end"/>
      </w:r>
      <w:r w:rsidRPr="00B417BF">
        <w:rPr>
          <w:rFonts w:asciiTheme="minorHAnsi" w:hAnsiTheme="minorHAnsi"/>
        </w:rPr>
        <w:t xml:space="preserve"> </w:t>
      </w:r>
      <w:r w:rsidR="003066B1">
        <w:rPr>
          <w:rFonts w:asciiTheme="minorHAnsi" w:hAnsiTheme="minorHAnsi"/>
        </w:rPr>
        <w:t xml:space="preserve"> Successful identification of strength and weaknesses guides students with developed metacognition </w:t>
      </w:r>
      <w:r w:rsidR="002F2356">
        <w:rPr>
          <w:rFonts w:asciiTheme="minorHAnsi" w:hAnsiTheme="minorHAnsi"/>
        </w:rPr>
        <w:t>to utilize and develop new behaviors and academic skills.</w:t>
      </w:r>
    </w:p>
    <w:p w14:paraId="10F5E1D9" w14:textId="77777777" w:rsidR="00FA004E" w:rsidRPr="00B417BF" w:rsidRDefault="00FA004E" w:rsidP="00FA004E">
      <w:pPr>
        <w:spacing w:line="480" w:lineRule="auto"/>
        <w:rPr>
          <w:rFonts w:asciiTheme="minorHAnsi" w:hAnsiTheme="minorHAnsi"/>
        </w:rPr>
      </w:pPr>
    </w:p>
    <w:p w14:paraId="43E60258" w14:textId="3449AC43" w:rsidR="00FA004E" w:rsidRPr="00B417BF" w:rsidRDefault="00FA004E" w:rsidP="00FA004E">
      <w:pPr>
        <w:spacing w:line="480" w:lineRule="auto"/>
        <w:rPr>
          <w:rFonts w:asciiTheme="minorHAnsi" w:hAnsiTheme="minorHAnsi"/>
        </w:rPr>
      </w:pPr>
      <w:r w:rsidRPr="00B417BF">
        <w:rPr>
          <w:rFonts w:asciiTheme="minorHAnsi" w:hAnsiTheme="minorHAnsi"/>
        </w:rPr>
        <w:t>Decreased metacognition is correlated with procrastination, anxiety</w:t>
      </w:r>
      <w:r w:rsidR="000E7DD5">
        <w:rPr>
          <w:rFonts w:asciiTheme="minorHAnsi" w:hAnsiTheme="minorHAnsi"/>
        </w:rPr>
        <w:t>,</w:t>
      </w:r>
      <w:r w:rsidRPr="00B417BF">
        <w:rPr>
          <w:rFonts w:asciiTheme="minorHAnsi" w:hAnsiTheme="minorHAnsi"/>
        </w:rPr>
        <w:t xml:space="preserve"> and decreased </w:t>
      </w:r>
      <w:r w:rsidR="002E6792">
        <w:rPr>
          <w:rFonts w:asciiTheme="minorHAnsi" w:hAnsiTheme="minorHAnsi"/>
        </w:rPr>
        <w:t>help-seeking</w:t>
      </w:r>
      <w:r w:rsidRPr="00B417BF">
        <w:rPr>
          <w:rFonts w:asciiTheme="minorHAnsi" w:hAnsiTheme="minorHAnsi"/>
        </w:rPr>
        <w:t xml:space="preserve">.  Students with poor metacognition often display poor </w:t>
      </w:r>
      <w:r w:rsidR="006A19D0" w:rsidRPr="00B417BF">
        <w:rPr>
          <w:rFonts w:asciiTheme="minorHAnsi" w:hAnsiTheme="minorHAnsi"/>
        </w:rPr>
        <w:t>self-awareness</w:t>
      </w:r>
      <w:r w:rsidR="002F2356">
        <w:rPr>
          <w:rFonts w:asciiTheme="minorHAnsi" w:hAnsiTheme="minorHAnsi"/>
        </w:rPr>
        <w:t>,</w:t>
      </w:r>
      <w:r w:rsidR="001829D4" w:rsidRPr="00B417BF">
        <w:rPr>
          <w:rFonts w:asciiTheme="minorHAnsi" w:hAnsiTheme="minorHAnsi"/>
        </w:rPr>
        <w:t xml:space="preserve"> judgment</w:t>
      </w:r>
      <w:r w:rsidR="002F2356">
        <w:rPr>
          <w:rFonts w:asciiTheme="minorHAnsi" w:hAnsiTheme="minorHAnsi"/>
        </w:rPr>
        <w:t>, and</w:t>
      </w:r>
      <w:r w:rsidR="001829D4" w:rsidRPr="00B417BF">
        <w:rPr>
          <w:rFonts w:asciiTheme="minorHAnsi" w:hAnsiTheme="minorHAnsi"/>
        </w:rPr>
        <w:t xml:space="preserve"> </w:t>
      </w:r>
      <w:r w:rsidRPr="00B417BF">
        <w:rPr>
          <w:rFonts w:asciiTheme="minorHAnsi" w:hAnsiTheme="minorHAnsi"/>
        </w:rPr>
        <w:t>impaired ability to implement strategies to improve performance</w:t>
      </w:r>
      <w:r w:rsidR="001668D4">
        <w:rPr>
          <w:rFonts w:asciiTheme="minorHAnsi" w:hAnsiTheme="minorHAnsi"/>
        </w:rPr>
        <w:t>.</w:t>
      </w:r>
      <w:r w:rsidRPr="00B417BF">
        <w:rPr>
          <w:rFonts w:asciiTheme="minorHAnsi" w:hAnsiTheme="minorHAnsi"/>
        </w:rPr>
        <w:fldChar w:fldCharType="begin"/>
      </w:r>
      <w:r w:rsidR="00A8221D">
        <w:rPr>
          <w:rFonts w:asciiTheme="minorHAnsi" w:hAnsiTheme="minorHAnsi"/>
        </w:rPr>
        <w:instrText xml:space="preserve"> ADDIN ZOTERO_ITEM CSL_CITATION {"citationID":"ohPgbByn","properties":{"formattedCitation":"\\super 46\\nosupersub{}","plainCitation":"46","noteIndex":0},"citationItems":[{"id":604,"uris":["http://zotero.org/users/1143701/items/R8MHB2QG"],"uri":["http://zotero.org/users/1143701/items/R8MHB2QG"],"itemData":{"id":604,"type":"article-journal","title":"When I say … metacognition","container-title":"Medical Education","page":"561-562","volume":"48","issue":"6","source":"Wiley Online Library","URL":"http://onlinelibrary.wiley.com/doi/10.1111/medu.12374/abstract","DOI":"10.1111/medu.12374","ISSN":"1365-2923","journalAbbreviation":"Med Educ","language":"en","author":[{"family":"Driessen","given":"Erik"}],"issued":{"date-parts":[["2014",6,1]]},"accessed":{"date-parts":[["2015",8,15]]}}}],"schema":"https://github.com/citation-style-language/schema/raw/master/csl-citation.json"}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46</w:t>
      </w:r>
      <w:r w:rsidRPr="00B417BF">
        <w:rPr>
          <w:rFonts w:asciiTheme="minorHAnsi" w:hAnsiTheme="minorHAnsi"/>
        </w:rPr>
        <w:fldChar w:fldCharType="end"/>
      </w:r>
      <w:r w:rsidRPr="00B417BF">
        <w:rPr>
          <w:rFonts w:asciiTheme="minorHAnsi" w:hAnsiTheme="minorHAnsi"/>
          <w:vertAlign w:val="superscript"/>
        </w:rPr>
        <w:t>,</w:t>
      </w:r>
      <w:r w:rsidRPr="00B417BF">
        <w:rPr>
          <w:rFonts w:asciiTheme="minorHAnsi" w:hAnsiTheme="minorHAnsi"/>
        </w:rPr>
        <w:fldChar w:fldCharType="begin"/>
      </w:r>
      <w:r w:rsidR="00A8221D">
        <w:rPr>
          <w:rFonts w:asciiTheme="minorHAnsi" w:hAnsiTheme="minorHAnsi"/>
        </w:rPr>
        <w:instrText xml:space="preserve"> ADDIN ZOTERO_ITEM CSL_CITATION {"citationID":"DDvJNIzI","properties":{"formattedCitation":"\\super 47\\nosupersub{}","plainCitation":"47","noteIndex":0},"citationItems":[{"id":610,"uris":["http://zotero.org/users/1143701/items/6AB9ISC9"],"uri":["http://zotero.org/users/1143701/items/6AB9ISC9"],"itemData":{"id":610,"type":"article-journal","title":"Reflective writing as a tool for assessing teamwork in bioscience: Insights into student performance and understanding of teamwork","container-title":"Biochemistry and Molecular Biology Education","page":"234-240","volume":"40","issue":"4","source":"Wiley Online Library","abstract":"To ensure a modern bioscience curriculum that responds to the current needs of stakeholders, there is a need to embed a range of generic capabilities that enables graduates to succeed in and contribute to a rapidly changing world, as well as building strong bioscience skills and knowledge. The curriculum must also prepare students for a rapidly evolving competitive work place and align with the needs of industry. This creates a challenge, how do we develop generic capabilities without losing discipline content. This report analyses teamwork projects embedded in an undergraduate Biotechnology degree designed to promote teamwork skills along with a deeper understanding of the underpinning biochemistry. Student reflective writing was used to capture students' understanding and experience of teamwork as well as provide insight into their metacognition. The analysis demonstrates that 73% of Year 3 and 93% of Year 4 students were capable of learning about teamwork through reflective writing. While the importance of frequent high quality communication was a common theme, evidence suggests that many students were unsophisticated in their use of communication software. The analysis also highlighted the depth of metacognition that underpins successful team function and the significant weaknesses in self-insight some students possess. These findings challenge assumptions regarding student capacity for leadership and the ability of some students to contribute to successful team outcomes. It is essential for the design of teamwork experiences to fully understand the competencies that underlie teamwork, the metacognitive processes required, and ensure that assessments are fair and measure individual academic performance.","URL":"http://onlinelibrary.wiley.com/doi/10.1002/bmb.20621/abstract","DOI":"10.1002/bmb.20621","ISSN":"1539-3429","shortTitle":"Reflective writing as a tool for assessing teamwork in bioscience","journalAbbreviation":"Biochem. Mol. Biol. Educ.","language":"en","author":[{"family":"Mayne","given":"Lynne"}],"issued":{"date-parts":[["2012",7,1]]},"accessed":{"date-parts":[["2015",8,15]]}}}],"schema":"https://github.com/citation-style-language/schema/raw/master/csl-citation.json"}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47</w:t>
      </w:r>
      <w:r w:rsidRPr="00B417BF">
        <w:rPr>
          <w:rFonts w:asciiTheme="minorHAnsi" w:hAnsiTheme="minorHAnsi"/>
        </w:rPr>
        <w:fldChar w:fldCharType="end"/>
      </w:r>
      <w:r w:rsidRPr="00B417BF">
        <w:rPr>
          <w:rFonts w:asciiTheme="minorHAnsi" w:hAnsiTheme="minorHAnsi"/>
        </w:rPr>
        <w:t xml:space="preserve">  Students with poor metacognition tend to have increased depressive thoughts and addictive behaviors</w:t>
      </w:r>
      <w:r w:rsidR="001668D4">
        <w:rPr>
          <w:rFonts w:asciiTheme="minorHAnsi" w:hAnsiTheme="minorHAnsi"/>
        </w:rPr>
        <w:t>.</w:t>
      </w:r>
      <w:r w:rsidRPr="00B417BF">
        <w:rPr>
          <w:rFonts w:asciiTheme="minorHAnsi" w:hAnsiTheme="minorHAnsi"/>
        </w:rPr>
        <w:fldChar w:fldCharType="begin"/>
      </w:r>
      <w:r w:rsidR="00A8221D">
        <w:rPr>
          <w:rFonts w:asciiTheme="minorHAnsi" w:hAnsiTheme="minorHAnsi"/>
        </w:rPr>
        <w:instrText xml:space="preserve"> ADDIN ZOTERO_ITEM CSL_CITATION {"citationID":"klWybg61","properties":{"formattedCitation":"\\super 48\\nosupersub{}","plainCitation":"48","noteIndex":0},"citationItems":[{"id":595,"uris":["http://zotero.org/users/1143701/items/TQ7NP4QD"],"uri":["http://zotero.org/users/1143701/items/TQ7NP4QD"],"itemData":{"id":595,"type":"article-journal","title":"Impulsive-reflective cognitive style, metacognition, and emotion in adolescence","container-title":"Perceptual and Motor Skills","page":"47-57","volume":"84","issue":"1","source":"PubMed","abstract":"The study investigated the relationship between reflective or impulsive cognitive style, metacognitive functioning, and depression in young adolescents. Metacognitive functioning (metacognitive knowledge about reading and memory, monitoring of text comprehension) and self-reported depressive feelings were analyzed in a group of subjects who showed a Reflective or Impulsive cognitive style. The sample consisted of 56 junior high-school students (Grades 6, 7, and 8) selected from a larger original group of 61 subjects. We excluded from the original group those with an IQ below 75 on both the Verbal and Performance subscales on the short form of the WISC-R, those reported by teachers to have a severe learning disability, and those that did not complete the test battery due to long absences from school. The reflective-impulsive cognitive style was identified with the Matching Familiar Figures Test-20. Using the median of the distribution for both Latency (17 sec. per item) and Errors (9 errors) on this task, the sample was divided in four partially overlapping subgroups: 16 with Impulsive cognitive style (Latency below the median, Errors above the median), 13 with Reflective cognitive style (Latency above the median, Error below the median), 4 fast and accurate (both scores below the median), and 11 slow and inaccurate (both scores above the median). Twelve subjects with one or both scores coinciding with the critical value (median) were excluded. Analysis showed that subjects with Impulsive cognitive style had significantly lower scores than those with Reflective cognitive style in monitoring of comprehension of text. No differences were found on monitoring by eighth graders, irrespective of cognitive style. No differences between the two groups were found in metacognitive knowledge. Subjects with Impulsive cognitive style had significantly higher scores than subjects with Reflective cognitive style on a self-rating scale for childhood depression, the Children's Depression Inventory. The implications of these data are discussed.","DOI":"10.2466/pms.1997.84.1.47","ISSN":"0031-5125","note":"PMID: 9132733","journalAbbreviation":"Percept Mot Skills","language":"eng","author":[{"family":"Palladino","given":"P."},{"family":"Poli","given":"P."},{"family":"Masi","given":"G."},{"family":"Marcheschi","given":"M."}],"issued":{"date-parts":[["1997",2]]}}}],"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48</w:t>
      </w:r>
      <w:r w:rsidRPr="00B417BF">
        <w:rPr>
          <w:rFonts w:asciiTheme="minorHAnsi" w:hAnsiTheme="minorHAnsi"/>
        </w:rPr>
        <w:fldChar w:fldCharType="end"/>
      </w:r>
      <w:r w:rsidRPr="00B417BF">
        <w:rPr>
          <w:rFonts w:asciiTheme="minorHAnsi" w:hAnsiTheme="minorHAnsi"/>
          <w:vertAlign w:val="superscript"/>
        </w:rPr>
        <w:t>,</w:t>
      </w:r>
      <w:r w:rsidRPr="00B417BF">
        <w:rPr>
          <w:rFonts w:asciiTheme="minorHAnsi" w:hAnsiTheme="minorHAnsi"/>
        </w:rPr>
        <w:fldChar w:fldCharType="begin"/>
      </w:r>
      <w:r w:rsidR="00A8221D">
        <w:rPr>
          <w:rFonts w:asciiTheme="minorHAnsi" w:hAnsiTheme="minorHAnsi"/>
        </w:rPr>
        <w:instrText xml:space="preserve"> ADDIN ZOTERO_ITEM CSL_CITATION {"citationID":"JsJXlgJ8","properties":{"formattedCitation":"\\super 37\\nosupersub{}","plainCitation":"37","noteIndex":0},"citationItems":[{"id":583,"uris":["http://zotero.org/users/1143701/items/H7EZFA75"],"uri":["http://zotero.org/users/1143701/items/H7EZFA75"],"itemData":{"id":583,"type":"article-journal","title":"The Relationship of Metacognitive Beliefs and Tendency to Addiction in Sistan and Baluchistan University, Zahedan, Iran","container-title":"Addiction &amp; Health","page":"65-72","volume":"4","issue":"1-2","source":"PubMed Central","abstract":"Background\nThe aim of this study was to examine the relationship between metacognitive beliefs and the tendency to addiction in the students of the University of Sistan and Baluchistan, located in the South-East of Iran, during the academic year of 2009-2010.\n\nMethods\nThis was a descriptive, correlational study, and the statistical samples were 200 male BSc students selected with cluster random sampling procedures from the three schools of Literature, Science, and Engineering. The measuring tools were the metacognition Questionnaire-30 (MCQ-30), and Addiction Potential Scale. Data analysis was done by the SPSS software using the Pearson correlation coefficient, and multiple regressions.\n\nFindings\nThe result of data analysis showed that metacognitive beliefs and their subscales had a significant negative relationship with the tendency toward addiction (P &lt; 0.01). The results show that fewer metacognitive characteristics are associated with a high tendency to addiction.\n\nConclusion\nThe findings of this study indicate that disturbed metacognitive beliefs is a good predictor of students tendency to addiction, therefore, teaching strategies metacognition is important in the prevention of young people’s Tendency toward- addiction.","URL":"http://www.ncbi.nlm.nih.gov/pmc/articles/PMC3905549/","ISSN":"2008-4633","note":"PMID: 24494138\nPMCID: PMC3905549","journalAbbreviation":"Addict Health","author":[{"family":"Bahramnejad","given":"Ali"},{"family":"Rabani-Bavojdan","given":"Marjan"},{"family":"Rabani-Bavojdan","given":"Mozhgan"}],"issued":{"date-parts":[["2012"]]},"accessed":{"date-parts":[["2015",8,15]]}}}],"schema":"https://github.com/citation-style-language/schema/raw/master/csl-citation.json"} </w:instrText>
      </w:r>
      <w:r w:rsidRPr="00B417BF">
        <w:rPr>
          <w:rFonts w:asciiTheme="minorHAnsi" w:hAnsiTheme="minorHAnsi"/>
        </w:rPr>
        <w:fldChar w:fldCharType="separate"/>
      </w:r>
      <w:r w:rsidR="00A8221D" w:rsidRPr="00A8221D">
        <w:rPr>
          <w:rFonts w:ascii="Cambria" w:hAnsiTheme="minorHAnsi"/>
          <w:vertAlign w:val="superscript"/>
        </w:rPr>
        <w:t>37</w:t>
      </w:r>
      <w:r w:rsidRPr="00B417BF">
        <w:rPr>
          <w:rFonts w:asciiTheme="minorHAnsi" w:hAnsiTheme="minorHAnsi"/>
        </w:rPr>
        <w:fldChar w:fldCharType="end"/>
      </w:r>
      <w:r w:rsidRPr="00B417BF">
        <w:rPr>
          <w:rFonts w:asciiTheme="minorHAnsi" w:hAnsiTheme="minorHAnsi"/>
        </w:rPr>
        <w:t xml:space="preserve">  Poor metacognition can result in students either over</w:t>
      </w:r>
      <w:r w:rsidR="00A57B40">
        <w:rPr>
          <w:rFonts w:asciiTheme="minorHAnsi" w:hAnsiTheme="minorHAnsi"/>
        </w:rPr>
        <w:t>- or under-</w:t>
      </w:r>
      <w:r w:rsidRPr="00B417BF">
        <w:rPr>
          <w:rFonts w:asciiTheme="minorHAnsi" w:hAnsiTheme="minorHAnsi"/>
        </w:rPr>
        <w:t xml:space="preserve">estimating their future performance.  Longitudinal studies </w:t>
      </w:r>
      <w:r w:rsidR="002F2356">
        <w:rPr>
          <w:rFonts w:asciiTheme="minorHAnsi" w:hAnsiTheme="minorHAnsi"/>
        </w:rPr>
        <w:t xml:space="preserve">have </w:t>
      </w:r>
      <w:r w:rsidRPr="00B417BF">
        <w:rPr>
          <w:rFonts w:asciiTheme="minorHAnsi" w:hAnsiTheme="minorHAnsi"/>
        </w:rPr>
        <w:t>examin</w:t>
      </w:r>
      <w:r w:rsidR="002F2356">
        <w:rPr>
          <w:rFonts w:asciiTheme="minorHAnsi" w:hAnsiTheme="minorHAnsi"/>
        </w:rPr>
        <w:t xml:space="preserve">ed </w:t>
      </w:r>
      <w:r w:rsidRPr="00B417BF">
        <w:rPr>
          <w:rFonts w:asciiTheme="minorHAnsi" w:hAnsiTheme="minorHAnsi"/>
        </w:rPr>
        <w:t>th</w:t>
      </w:r>
      <w:r w:rsidR="000E7DD5">
        <w:rPr>
          <w:rFonts w:asciiTheme="minorHAnsi" w:hAnsiTheme="minorHAnsi"/>
        </w:rPr>
        <w:t>e impact of poor metacognition i</w:t>
      </w:r>
      <w:r w:rsidR="00A57B40">
        <w:rPr>
          <w:rFonts w:asciiTheme="minorHAnsi" w:hAnsiTheme="minorHAnsi"/>
        </w:rPr>
        <w:t>n medical practice</w:t>
      </w:r>
      <w:r w:rsidRPr="00B417BF">
        <w:rPr>
          <w:rFonts w:asciiTheme="minorHAnsi" w:hAnsiTheme="minorHAnsi"/>
        </w:rPr>
        <w:t xml:space="preserve"> setting</w:t>
      </w:r>
      <w:r w:rsidR="003A75D1" w:rsidRPr="00B417BF">
        <w:rPr>
          <w:rFonts w:asciiTheme="minorHAnsi" w:hAnsiTheme="minorHAnsi"/>
        </w:rPr>
        <w:t>s</w:t>
      </w:r>
      <w:r w:rsidR="00CF73F4">
        <w:rPr>
          <w:rFonts w:asciiTheme="minorHAnsi" w:hAnsiTheme="minorHAnsi"/>
        </w:rPr>
        <w:t xml:space="preserve"> and</w:t>
      </w:r>
      <w:r w:rsidRPr="00B417BF">
        <w:rPr>
          <w:rFonts w:asciiTheme="minorHAnsi" w:hAnsiTheme="minorHAnsi"/>
        </w:rPr>
        <w:t xml:space="preserve"> found that both under and over</w:t>
      </w:r>
      <w:r w:rsidR="00A57B40">
        <w:rPr>
          <w:rFonts w:asciiTheme="minorHAnsi" w:hAnsiTheme="minorHAnsi"/>
        </w:rPr>
        <w:t>-</w:t>
      </w:r>
      <w:r w:rsidRPr="00B417BF">
        <w:rPr>
          <w:rFonts w:asciiTheme="minorHAnsi" w:hAnsiTheme="minorHAnsi"/>
        </w:rPr>
        <w:t>confidence can negatively impact accurate clinical decision making and patient care</w:t>
      </w:r>
      <w:r w:rsidR="001668D4">
        <w:rPr>
          <w:rFonts w:asciiTheme="minorHAnsi" w:hAnsiTheme="minorHAnsi"/>
        </w:rPr>
        <w:t>.</w:t>
      </w:r>
      <w:r w:rsidR="00D2124E" w:rsidRPr="00B417BF">
        <w:rPr>
          <w:rFonts w:asciiTheme="minorHAnsi" w:hAnsiTheme="minorHAnsi"/>
        </w:rPr>
        <w:fldChar w:fldCharType="begin"/>
      </w:r>
      <w:r w:rsidR="00A8221D">
        <w:rPr>
          <w:rFonts w:asciiTheme="minorHAnsi" w:hAnsiTheme="minorHAnsi"/>
        </w:rPr>
        <w:instrText xml:space="preserve"> ADDIN ZOTERO_ITEM CSL_CITATION {"citationID":"a1eju6ioerb","properties":{"formattedCitation":"\\super 49\\nosupersub{}","plainCitation":"49","noteIndex":0},"citationItems":[{"id":567,"uris":["http://zotero.org/users/1143701/items/KHBD9BMB"],"uri":["http://zotero.org/users/1143701/items/KHBD9BMB"],"itemData":{"id":567,"type":"article-journal","title":"METACOGNITIVE SCAFFOLDS IMPROVE SELF-JUDGMENTS OF ACCURACY IN A MEDICAL INTELLIGENT TUTORING SYSTEM","container-title":"Instructional science","page":"159-181","volume":"42","issue":"2","source":"PubMed Central","abstract":"In this study, we examined the effect of two metacognitive scaffolds on the accuracy of confidence judgments made while diagnosing dermatopathology slides in SlideTutor. Thirty-one (N = 31) first- to fourth-year pathology and dermatology residents were randomly assigned to one of the two scaffolding conditions. The cases used in this study were selected from the domain of Nodular and Diffuse Dermatitides. Both groups worked with a version of SlideTutor that provided immediate feedback on their actions for two hours before proceeding to solve cases in either the Considering Alternatives or Playback condition. No immediate feedback was provided on actions performed by participants in the scaffolding mode. Measurements included learning gains (pre-test and post-test), as well as metacognitive performance, including Goodman-Kruskal Gamma correlation, bias, and discrimination. Results showed that participants in both conditions improved significantly in terms of their diagnostic scores from pre-test to post-test. More importantly, participants in the Considering Alternatives condition outperformed those in the Playback condition in the accuracy of their confidence judgments and the discrimination of the correctness of their assertions while solving cases. The results suggested that presenting participants with their diagnostic decision paths and highlighting correct and incorrect paths helps them to become more metacognitively accurate in their confidence judgments.","URL":"http://www.ncbi.nlm.nih.gov/pmc/articles/PMC3923630/","DOI":"10.1007/s11251-013-9275-4","ISSN":"0020-4277","note":"PMID: 24532850\nPMCID: PMC3923630","journalAbbreviation":"Instr Sci","author":[{"family":"Feyzi-Behnagh","given":"Reza"},{"family":"Azevedo","given":"Roger"},{"family":"Legowski","given":"Elizabeth"},{"family":"Reitmeyer","given":"Kayse"},{"family":"Tseytlin","given":"Eugene"},{"family":"Crowley","given":"Rebecca S."}],"issued":{"date-parts":[["2014",3]]},"accessed":{"date-parts":[["2015",8,15]]}}}],"schema":"https://github.com/citation-style-language/schema/raw/master/csl-citation.json"} </w:instrText>
      </w:r>
      <w:r w:rsidR="00D2124E" w:rsidRPr="00B417BF">
        <w:rPr>
          <w:rFonts w:asciiTheme="minorHAnsi" w:hAnsiTheme="minorHAnsi"/>
        </w:rPr>
        <w:fldChar w:fldCharType="separate"/>
      </w:r>
      <w:r w:rsidR="002F2356" w:rsidRPr="002F2356">
        <w:rPr>
          <w:rFonts w:ascii="Cambria" w:hAnsiTheme="minorHAnsi"/>
          <w:vertAlign w:val="superscript"/>
        </w:rPr>
        <w:t>49</w:t>
      </w:r>
      <w:r w:rsidR="00D2124E" w:rsidRPr="00B417BF">
        <w:rPr>
          <w:rFonts w:asciiTheme="minorHAnsi" w:hAnsiTheme="minorHAnsi"/>
        </w:rPr>
        <w:fldChar w:fldCharType="end"/>
      </w:r>
      <w:r w:rsidR="002F2356">
        <w:rPr>
          <w:rFonts w:asciiTheme="minorHAnsi" w:hAnsiTheme="minorHAnsi"/>
          <w:vertAlign w:val="superscript"/>
        </w:rPr>
        <w:t>,</w:t>
      </w:r>
      <w:r w:rsidR="002F2356">
        <w:rPr>
          <w:rFonts w:asciiTheme="minorHAnsi" w:hAnsiTheme="minorHAnsi"/>
        </w:rPr>
        <w:fldChar w:fldCharType="begin"/>
      </w:r>
      <w:r w:rsidR="002F2356">
        <w:rPr>
          <w:rFonts w:asciiTheme="minorHAnsi" w:hAnsiTheme="minorHAnsi"/>
        </w:rPr>
        <w:instrText xml:space="preserve"> ADDIN ZOTERO_ITEM CSL_CITATION {"citationID":"0txamJJt","properties":{"formattedCitation":"\\super 50\\nosupersub{}","plainCitation":"50","noteIndex":0},"citationItems":[{"id":501,"uris":["http://zotero.org/users/1143701/items/XX7M8NKH"],"uri":["http://zotero.org/users/1143701/items/XX7M8NKH"],"itemData":{"id":501,"type":"article-journal","title":"The ethical imperative to think about thinking - diagnostics, metacognition, and medical professionalism","container-title":"Cambridge quarterly of healthcare ethics: CQ: the international journal of healthcare ethics committees","page":"386-396","volume":"23","issue":"4","source":"PubMed","abstract":"While the medical ethics literature has well explored the harm to patients, families, and the integrity of the profession in failing to disclose medical errors once they occur, less often addressed are the moral and professional obligations to take all available steps to prevent errors and harm in the first instance. As an expanding body of scholarship further elucidates the causes of medical error, including the considerable extent to which medical errors, particularly in diagnostics, may be attributable to cognitive sources, insufficient progress in systematically evaluating and implementing suggested strategies for improving critical thinking skills and medical judgment is of mounting concern. Continued failure to address pervasive thinking errors in medical decisionmaking imperils patient safety and professionalism, as well as beneficence and nonmaleficence, fairness and justice. We maintain that self-reflective and metacognitive refinement of critical thinking should not be construed as optional but rather should be considered an integral part of medical education, a codified tenet of professionalism, and by extension, a moral and professional duty.","DOI":"10.1017/S0963180114000061","ISSN":"1469-2147","note":"PMID: 25033249","journalAbbreviation":"Camb Q Healthc Ethics","language":"eng","author":[{"family":"Stark","given":"Meredith"},{"family":"Fins","given":"Joseph J."}],"issued":{"date-parts":[["2014",10]]}}}],"schema":"https://github.com/citation-style-language/schema/raw/master/csl-citation.json"} </w:instrText>
      </w:r>
      <w:r w:rsidR="002F2356">
        <w:rPr>
          <w:rFonts w:asciiTheme="minorHAnsi" w:hAnsiTheme="minorHAnsi"/>
        </w:rPr>
        <w:fldChar w:fldCharType="separate"/>
      </w:r>
      <w:r w:rsidR="002F2356" w:rsidRPr="002F2356">
        <w:rPr>
          <w:rFonts w:ascii="Cambria" w:hAnsiTheme="minorHAnsi"/>
          <w:vertAlign w:val="superscript"/>
        </w:rPr>
        <w:t>50</w:t>
      </w:r>
      <w:r w:rsidR="002F2356">
        <w:rPr>
          <w:rFonts w:asciiTheme="minorHAnsi" w:hAnsiTheme="minorHAnsi"/>
        </w:rPr>
        <w:fldChar w:fldCharType="end"/>
      </w:r>
      <w:r w:rsidRPr="00B417BF">
        <w:rPr>
          <w:rFonts w:asciiTheme="minorHAnsi" w:hAnsiTheme="minorHAnsi"/>
        </w:rPr>
        <w:t xml:space="preserve">  </w:t>
      </w:r>
    </w:p>
    <w:p w14:paraId="69F4D2DE" w14:textId="77777777" w:rsidR="00FA004E" w:rsidRPr="00B417BF" w:rsidRDefault="00FA004E" w:rsidP="00FA004E">
      <w:pPr>
        <w:spacing w:line="480" w:lineRule="auto"/>
        <w:rPr>
          <w:rFonts w:asciiTheme="minorHAnsi" w:hAnsiTheme="minorHAnsi"/>
        </w:rPr>
      </w:pPr>
    </w:p>
    <w:p w14:paraId="704A73E0" w14:textId="5D510740" w:rsidR="00FA004E" w:rsidRPr="00B417BF" w:rsidRDefault="003A75D1" w:rsidP="00FA004E">
      <w:pPr>
        <w:spacing w:line="480" w:lineRule="auto"/>
        <w:rPr>
          <w:rFonts w:asciiTheme="minorHAnsi" w:hAnsiTheme="minorHAnsi"/>
        </w:rPr>
      </w:pPr>
      <w:r w:rsidRPr="00B417BF">
        <w:rPr>
          <w:rFonts w:asciiTheme="minorHAnsi" w:hAnsiTheme="minorHAnsi"/>
        </w:rPr>
        <w:lastRenderedPageBreak/>
        <w:t>Decreased</w:t>
      </w:r>
      <w:r w:rsidR="00FA004E" w:rsidRPr="00B417BF">
        <w:rPr>
          <w:rFonts w:asciiTheme="minorHAnsi" w:hAnsiTheme="minorHAnsi"/>
        </w:rPr>
        <w:t xml:space="preserve"> metacognitive skills may be reflected in students’ </w:t>
      </w:r>
      <w:r w:rsidR="002F2356">
        <w:rPr>
          <w:rFonts w:asciiTheme="minorHAnsi" w:hAnsiTheme="minorHAnsi"/>
        </w:rPr>
        <w:t xml:space="preserve">decreased </w:t>
      </w:r>
      <w:r w:rsidR="00FA004E" w:rsidRPr="00B417BF">
        <w:rPr>
          <w:rFonts w:asciiTheme="minorHAnsi" w:hAnsiTheme="minorHAnsi"/>
        </w:rPr>
        <w:t xml:space="preserve">use of resources to </w:t>
      </w:r>
      <w:r w:rsidR="002F2356">
        <w:rPr>
          <w:rFonts w:asciiTheme="minorHAnsi" w:hAnsiTheme="minorHAnsi"/>
        </w:rPr>
        <w:t>reduce</w:t>
      </w:r>
      <w:r w:rsidR="00FA004E" w:rsidRPr="00B417BF">
        <w:rPr>
          <w:rFonts w:asciiTheme="minorHAnsi" w:hAnsiTheme="minorHAnsi"/>
        </w:rPr>
        <w:t xml:space="preserve"> stress and/or improve academic performance.  </w:t>
      </w:r>
      <w:r w:rsidR="002F2356">
        <w:rPr>
          <w:rFonts w:asciiTheme="minorHAnsi" w:hAnsiTheme="minorHAnsi"/>
        </w:rPr>
        <w:t>By contrast, l</w:t>
      </w:r>
      <w:r w:rsidR="00FA004E" w:rsidRPr="00B417BF">
        <w:rPr>
          <w:rFonts w:asciiTheme="minorHAnsi" w:hAnsiTheme="minorHAnsi"/>
        </w:rPr>
        <w:t xml:space="preserve">earners with the ability to </w:t>
      </w:r>
      <w:r w:rsidR="004B1039" w:rsidRPr="00B417BF">
        <w:rPr>
          <w:rFonts w:asciiTheme="minorHAnsi" w:hAnsiTheme="minorHAnsi"/>
        </w:rPr>
        <w:t>self-reflect</w:t>
      </w:r>
      <w:r w:rsidR="00FA004E" w:rsidRPr="00B417BF">
        <w:rPr>
          <w:rFonts w:asciiTheme="minorHAnsi" w:hAnsiTheme="minorHAnsi"/>
        </w:rPr>
        <w:t xml:space="preserve"> and utilize deep learning strategies may have improved academic success and </w:t>
      </w:r>
      <w:r w:rsidR="00377E93">
        <w:rPr>
          <w:rFonts w:asciiTheme="minorHAnsi" w:hAnsiTheme="minorHAnsi"/>
        </w:rPr>
        <w:t xml:space="preserve">higher </w:t>
      </w:r>
      <w:r w:rsidR="00FA004E" w:rsidRPr="00B417BF">
        <w:rPr>
          <w:rFonts w:asciiTheme="minorHAnsi" w:hAnsiTheme="minorHAnsi"/>
        </w:rPr>
        <w:t>quality of life measures</w:t>
      </w:r>
      <w:r w:rsidR="001668D4">
        <w:rPr>
          <w:rFonts w:asciiTheme="minorHAnsi" w:hAnsiTheme="minorHAnsi"/>
        </w:rPr>
        <w:t>.</w:t>
      </w:r>
      <w:r w:rsidR="00FA004E" w:rsidRPr="00B417BF">
        <w:rPr>
          <w:rFonts w:asciiTheme="minorHAnsi" w:hAnsiTheme="minorHAnsi"/>
        </w:rPr>
        <w:fldChar w:fldCharType="begin"/>
      </w:r>
      <w:r w:rsidR="002F2356">
        <w:rPr>
          <w:rFonts w:asciiTheme="minorHAnsi" w:hAnsiTheme="minorHAnsi"/>
        </w:rPr>
        <w:instrText xml:space="preserve"> ADDIN ZOTERO_ITEM CSL_CITATION {"citationID":"Sv4XEFlH","properties":{"formattedCitation":"\\super 51\\nosupersub{}","plainCitation":"51","noteIndex":0},"citationItems":[{"id":680,"uris":["http://zotero.org/users/1143701/items/98TM736U"],"uri":["http://zotero.org/users/1143701/items/98TM736U"],"itemData":{"id":680,"type":"article-journal","title":"Assessing ‘inexperienced’ students' ability to self‐assess: exploring links with learning style and academic personal control","container-title":"Assessment &amp; Evaluation in Higher Education","page":"313-330","volume":"32","issue":"3","source":"CrossRef","URL":"http://www.tandfonline.com/doi/abs/10.1080/02602930600896704","DOI":"10.1080/02602930600896704","ISSN":"0260-2938, 1469-297X","shortTitle":"Assessing ‘inexperienced’ students' ability to self‐assess","language":"en","author":[{"family":"Cassidy","given":"Simon"}],"issued":{"date-parts":[["2007",6]]},"accessed":{"date-parts":[["2016",8,2]]}}}],"schema":"https://github.com/citation-style-language/schema/raw/master/csl-citation.json"} </w:instrText>
      </w:r>
      <w:r w:rsidR="00FA004E" w:rsidRPr="00B417BF">
        <w:rPr>
          <w:rFonts w:asciiTheme="minorHAnsi" w:hAnsiTheme="minorHAnsi"/>
        </w:rPr>
        <w:fldChar w:fldCharType="separate"/>
      </w:r>
      <w:r w:rsidR="002F2356" w:rsidRPr="002F2356">
        <w:rPr>
          <w:rFonts w:ascii="Cambria" w:hAnsiTheme="minorHAnsi"/>
          <w:vertAlign w:val="superscript"/>
        </w:rPr>
        <w:t>51</w:t>
      </w:r>
      <w:r w:rsidR="00FA004E" w:rsidRPr="00B417BF">
        <w:rPr>
          <w:rFonts w:asciiTheme="minorHAnsi" w:hAnsiTheme="minorHAnsi"/>
        </w:rPr>
        <w:fldChar w:fldCharType="end"/>
      </w:r>
      <w:r w:rsidR="00FA004E" w:rsidRPr="00377E93">
        <w:rPr>
          <w:rFonts w:asciiTheme="minorHAnsi" w:hAnsiTheme="minorHAnsi"/>
          <w:vertAlign w:val="superscript"/>
        </w:rPr>
        <w:t>,</w:t>
      </w:r>
      <w:r w:rsidR="00FA004E" w:rsidRPr="00B417BF">
        <w:rPr>
          <w:rFonts w:asciiTheme="minorHAnsi" w:hAnsiTheme="minorHAnsi"/>
        </w:rPr>
        <w:fldChar w:fldCharType="begin"/>
      </w:r>
      <w:r w:rsidR="002F2356">
        <w:rPr>
          <w:rFonts w:asciiTheme="minorHAnsi" w:hAnsiTheme="minorHAnsi"/>
        </w:rPr>
        <w:instrText xml:space="preserve"> ADDIN ZOTERO_ITEM CSL_CITATION {"citationID":"IjGYTUxU","properties":{"formattedCitation":"\\super 52\\nosupersub{}","plainCitation":"52","noteIndex":0},"citationItems":[{"id":674,"uris":["http://zotero.org/users/1143701/items/GV7U73JD"],"uri":["http://zotero.org/users/1143701/items/GV7U73JD"],"itemData":{"id":674,"type":"article-journal","title":"Exam Success at Undergraduate and Graduate-Entry Medical Schools: Is Learning Style or Learning Approach More Important? A Critical Review Exploring Links Between Academic Success, Learning Styles, and Learning Approaches Among School-Leaver Entry (\"Traditional\") and Graduate-Entry (\"Nontraditional\") Medical Students","container-title":"Teaching and Learning in Medicine","page":"237-244","volume":"27","issue":"3","source":"PubMed","abstract":"PHENOMENON: The literature on learning styles over many years has been replete with debate and disagreement. Researchers have yet to elucidate exactly which underlying constructs are measured by the many learning styles questionnaires available. Some academics question whether learning styles exist at all. When it comes to establishing the value of learning styles for medical students, a further issue emerges. The demographics of medical students in the United Kingdom have changed in recent years, so past studies may not be applicable to students today. We wanted to answer a very simple, practical question: what can the literature on learning styles tell us that we can use to help today's medical students succeed academically at medical school?\nAPPROACH: We conducted a literature review to synthesise the available evidence on how two different aspects of learning-the way in which students like to receive information in a learning environment (termed learning \"styles\") and the motivations that drive their learning (termed learning \"approaches\")-can impact on medical students' academic achievement.\nFINDINGS: Our review confirms that although learning \"styles\" do not correlate with exam performance, learning \"approaches\" do: those with \"strategic\" and \"deep\" approaches to learning (i.e., motivated to do well and motivated to learn deeply respectively) perform consistently better in medical school examinations. Changes in medical school entrant demographics in the past decade have not altered these correlations. Optimistically, our review reveals that students' learning approaches can change and more adaptive approaches may be learned. Insights: For educators wishing to help medical students succeed academically, current evidence demonstrates that helping students develop their own positive learning approach using \"growth mind-set\" is a more effective (and more feasible) than attempting to alter students' learning styles. This conclusion holds true for both \"traditional\" and graduate-entry medical students.","DOI":"10.1080/10401334.2015.1046734","ISSN":"1532-8015","note":"PMID: 26158325","shortTitle":"Exam Success at Undergraduate and Graduate-Entry Medical Schools","journalAbbreviation":"Teach Learn Med","language":"eng","author":[{"family":"Feeley","given":"Anne-Marie"},{"family":"Biggerstaff","given":"Deborah L."}],"issued":{"date-parts":[["2015"]]}}}],"schema":"https://github.com/citation-style-language/schema/raw/master/csl-citation.json"} </w:instrText>
      </w:r>
      <w:r w:rsidR="00FA004E" w:rsidRPr="00B417BF">
        <w:rPr>
          <w:rFonts w:asciiTheme="minorHAnsi" w:hAnsiTheme="minorHAnsi"/>
        </w:rPr>
        <w:fldChar w:fldCharType="separate"/>
      </w:r>
      <w:r w:rsidR="002F2356" w:rsidRPr="002F2356">
        <w:rPr>
          <w:rFonts w:ascii="Cambria" w:hAnsiTheme="minorHAnsi"/>
          <w:vertAlign w:val="superscript"/>
        </w:rPr>
        <w:t>52</w:t>
      </w:r>
      <w:r w:rsidR="00FA004E" w:rsidRPr="00B417BF">
        <w:rPr>
          <w:rFonts w:asciiTheme="minorHAnsi" w:hAnsiTheme="minorHAnsi"/>
        </w:rPr>
        <w:fldChar w:fldCharType="end"/>
      </w:r>
      <w:r w:rsidR="00FA004E" w:rsidRPr="00B417BF">
        <w:rPr>
          <w:rFonts w:asciiTheme="minorHAnsi" w:hAnsiTheme="minorHAnsi"/>
        </w:rPr>
        <w:t xml:space="preserve">  Successful students </w:t>
      </w:r>
      <w:r w:rsidRPr="00B417BF">
        <w:rPr>
          <w:rFonts w:asciiTheme="minorHAnsi" w:hAnsiTheme="minorHAnsi"/>
        </w:rPr>
        <w:t xml:space="preserve">tend to </w:t>
      </w:r>
      <w:r w:rsidR="00FA004E" w:rsidRPr="00B417BF">
        <w:rPr>
          <w:rFonts w:asciiTheme="minorHAnsi" w:hAnsiTheme="minorHAnsi"/>
        </w:rPr>
        <w:t>integrate new learning techniques, seek out appropriate academic assistance, and utilize external support systems</w:t>
      </w:r>
      <w:r w:rsidR="001668D4">
        <w:rPr>
          <w:rFonts w:asciiTheme="minorHAnsi" w:hAnsiTheme="minorHAnsi"/>
        </w:rPr>
        <w:t>.</w:t>
      </w:r>
      <w:r w:rsidR="002E4F00" w:rsidRPr="00B417BF">
        <w:rPr>
          <w:rFonts w:asciiTheme="minorHAnsi" w:hAnsiTheme="minorHAnsi"/>
        </w:rPr>
        <w:fldChar w:fldCharType="begin"/>
      </w:r>
      <w:r w:rsidR="002F2356">
        <w:rPr>
          <w:rFonts w:asciiTheme="minorHAnsi" w:hAnsiTheme="minorHAnsi"/>
        </w:rPr>
        <w:instrText xml:space="preserve"> ADDIN ZOTERO_ITEM CSL_CITATION {"citationID":"a2lk8gjhs5f","properties":{"formattedCitation":"\\super 51\\nosupersub{}","plainCitation":"51","noteIndex":0},"citationItems":[{"id":680,"uris":["http://zotero.org/users/1143701/items/98TM736U"],"uri":["http://zotero.org/users/1143701/items/98TM736U"],"itemData":{"id":680,"type":"article-journal","title":"Assessing ‘inexperienced’ students' ability to self‐assess: exploring links with learning style and academic personal control","container-title":"Assessment &amp; Evaluation in Higher Education","page":"313-330","volume":"32","issue":"3","source":"CrossRef","URL":"http://www.tandfonline.com/doi/abs/10.1080/02602930600896704","DOI":"10.1080/02602930600896704","ISSN":"0260-2938, 1469-297X","shortTitle":"Assessing ‘inexperienced’ students' ability to self‐assess","language":"en","author":[{"family":"Cassidy","given":"Simon"}],"issued":{"date-parts":[["2007",6]]},"accessed":{"date-parts":[["2016",8,2]]}}}],"schema":"https://github.com/citation-style-language/schema/raw/master/csl-citation.json"} </w:instrText>
      </w:r>
      <w:r w:rsidR="002E4F00" w:rsidRPr="00B417BF">
        <w:rPr>
          <w:rFonts w:asciiTheme="minorHAnsi" w:hAnsiTheme="minorHAnsi"/>
        </w:rPr>
        <w:fldChar w:fldCharType="separate"/>
      </w:r>
      <w:r w:rsidR="002F2356" w:rsidRPr="002F2356">
        <w:rPr>
          <w:rFonts w:ascii="Cambria" w:hAnsiTheme="minorHAnsi"/>
          <w:vertAlign w:val="superscript"/>
        </w:rPr>
        <w:t>51</w:t>
      </w:r>
      <w:r w:rsidR="002E4F00" w:rsidRPr="00B417BF">
        <w:rPr>
          <w:rFonts w:asciiTheme="minorHAnsi" w:hAnsiTheme="minorHAnsi"/>
        </w:rPr>
        <w:fldChar w:fldCharType="end"/>
      </w:r>
    </w:p>
    <w:p w14:paraId="734C416C" w14:textId="77777777" w:rsidR="00FA004E" w:rsidRPr="00B417BF" w:rsidRDefault="00FA004E" w:rsidP="00FA004E">
      <w:pPr>
        <w:spacing w:line="480" w:lineRule="auto"/>
        <w:rPr>
          <w:rFonts w:asciiTheme="minorHAnsi" w:hAnsiTheme="minorHAnsi"/>
        </w:rPr>
      </w:pPr>
    </w:p>
    <w:p w14:paraId="199F4CAE" w14:textId="3866929E" w:rsidR="00FA004E" w:rsidRPr="00B417BF" w:rsidRDefault="00FA004E" w:rsidP="00FA004E">
      <w:pPr>
        <w:spacing w:line="480" w:lineRule="auto"/>
        <w:rPr>
          <w:rFonts w:asciiTheme="minorHAnsi" w:hAnsiTheme="minorHAnsi"/>
        </w:rPr>
      </w:pPr>
      <w:r w:rsidRPr="00B417BF">
        <w:rPr>
          <w:rFonts w:asciiTheme="minorHAnsi" w:hAnsiTheme="minorHAnsi"/>
        </w:rPr>
        <w:t>Of course</w:t>
      </w:r>
      <w:r w:rsidR="008709C6" w:rsidRPr="00B417BF">
        <w:rPr>
          <w:rFonts w:asciiTheme="minorHAnsi" w:hAnsiTheme="minorHAnsi"/>
        </w:rPr>
        <w:t>,</w:t>
      </w:r>
      <w:r w:rsidRPr="00B417BF">
        <w:rPr>
          <w:rFonts w:asciiTheme="minorHAnsi" w:hAnsiTheme="minorHAnsi"/>
        </w:rPr>
        <w:t xml:space="preserve"> students can acquire metacognitive skills in the classroom.  Just like other learning process</w:t>
      </w:r>
      <w:r w:rsidR="00E94362">
        <w:rPr>
          <w:rFonts w:asciiTheme="minorHAnsi" w:hAnsiTheme="minorHAnsi"/>
        </w:rPr>
        <w:t>es</w:t>
      </w:r>
      <w:r w:rsidRPr="00B417BF">
        <w:rPr>
          <w:rFonts w:asciiTheme="minorHAnsi" w:hAnsiTheme="minorHAnsi"/>
        </w:rPr>
        <w:t xml:space="preserve">, metacognitive skills require feedback and tutoring.  Improved metacognition positively impacts study skills and self-evaluation of learning </w:t>
      </w:r>
      <w:r w:rsidR="00CF73F4">
        <w:rPr>
          <w:rFonts w:asciiTheme="minorHAnsi" w:hAnsiTheme="minorHAnsi"/>
        </w:rPr>
        <w:t xml:space="preserve">techniques </w:t>
      </w:r>
      <w:r w:rsidRPr="00B417BF">
        <w:rPr>
          <w:rFonts w:asciiTheme="minorHAnsi" w:hAnsiTheme="minorHAnsi"/>
        </w:rPr>
        <w:t xml:space="preserve">as well as identification of appropriate and helpful support systems. </w:t>
      </w:r>
      <w:r w:rsidR="000E7DD5">
        <w:rPr>
          <w:rFonts w:asciiTheme="minorHAnsi" w:hAnsiTheme="minorHAnsi"/>
        </w:rPr>
        <w:t xml:space="preserve"> </w:t>
      </w:r>
      <w:r w:rsidRPr="00B417BF">
        <w:rPr>
          <w:rFonts w:asciiTheme="minorHAnsi" w:hAnsiTheme="minorHAnsi"/>
        </w:rPr>
        <w:t xml:space="preserve">Teaching the skill of </w:t>
      </w:r>
      <w:r w:rsidR="006A19D0" w:rsidRPr="00B417BF">
        <w:rPr>
          <w:rFonts w:asciiTheme="minorHAnsi" w:hAnsiTheme="minorHAnsi"/>
        </w:rPr>
        <w:t>self-reflection</w:t>
      </w:r>
      <w:r w:rsidRPr="00B417BF">
        <w:rPr>
          <w:rFonts w:asciiTheme="minorHAnsi" w:hAnsiTheme="minorHAnsi"/>
        </w:rPr>
        <w:t xml:space="preserve"> </w:t>
      </w:r>
      <w:r w:rsidR="00E94362">
        <w:rPr>
          <w:rFonts w:asciiTheme="minorHAnsi" w:hAnsiTheme="minorHAnsi"/>
        </w:rPr>
        <w:t>can be</w:t>
      </w:r>
      <w:r w:rsidRPr="00B417BF">
        <w:rPr>
          <w:rFonts w:asciiTheme="minorHAnsi" w:hAnsiTheme="minorHAnsi"/>
        </w:rPr>
        <w:t xml:space="preserve"> a gateway to introducing students </w:t>
      </w:r>
      <w:r w:rsidR="00CF73F4">
        <w:rPr>
          <w:rFonts w:asciiTheme="minorHAnsi" w:hAnsiTheme="minorHAnsi"/>
        </w:rPr>
        <w:t xml:space="preserve">to </w:t>
      </w:r>
      <w:r w:rsidRPr="00B417BF">
        <w:rPr>
          <w:rFonts w:asciiTheme="minorHAnsi" w:hAnsiTheme="minorHAnsi"/>
        </w:rPr>
        <w:t xml:space="preserve">the empathetic response required in healthcare.  </w:t>
      </w:r>
      <w:r w:rsidR="007A3A84" w:rsidRPr="00B417BF">
        <w:rPr>
          <w:rFonts w:asciiTheme="minorHAnsi" w:hAnsiTheme="minorHAnsi"/>
        </w:rPr>
        <w:t>Structured</w:t>
      </w:r>
      <w:r w:rsidR="00934CDB" w:rsidRPr="00B417BF">
        <w:rPr>
          <w:rFonts w:asciiTheme="minorHAnsi" w:hAnsiTheme="minorHAnsi"/>
        </w:rPr>
        <w:t>, specific</w:t>
      </w:r>
      <w:r w:rsidR="00A57B40">
        <w:rPr>
          <w:rFonts w:asciiTheme="minorHAnsi" w:hAnsiTheme="minorHAnsi"/>
        </w:rPr>
        <w:t xml:space="preserve"> feedback over the long-</w:t>
      </w:r>
      <w:r w:rsidRPr="00B417BF">
        <w:rPr>
          <w:rFonts w:asciiTheme="minorHAnsi" w:hAnsiTheme="minorHAnsi"/>
        </w:rPr>
        <w:t xml:space="preserve">term is not always available in the traditional </w:t>
      </w:r>
      <w:r w:rsidR="001F0E85">
        <w:rPr>
          <w:rFonts w:asciiTheme="minorHAnsi" w:hAnsiTheme="minorHAnsi"/>
        </w:rPr>
        <w:t>lecture</w:t>
      </w:r>
      <w:r w:rsidRPr="00B417BF">
        <w:rPr>
          <w:rFonts w:asciiTheme="minorHAnsi" w:hAnsiTheme="minorHAnsi"/>
        </w:rPr>
        <w:t xml:space="preserve"> classroom.  </w:t>
      </w:r>
      <w:r w:rsidR="00934CDB" w:rsidRPr="00B417BF">
        <w:rPr>
          <w:rFonts w:asciiTheme="minorHAnsi" w:hAnsiTheme="minorHAnsi"/>
        </w:rPr>
        <w:t>I</w:t>
      </w:r>
      <w:r w:rsidRPr="00B417BF">
        <w:rPr>
          <w:rFonts w:asciiTheme="minorHAnsi" w:hAnsiTheme="minorHAnsi"/>
        </w:rPr>
        <w:t>mmediate feedback about academic achievement without active training and coaching has no effect on metacognitive skills.</w:t>
      </w:r>
      <w:r w:rsidR="004B1039">
        <w:rPr>
          <w:rFonts w:asciiTheme="minorHAnsi" w:hAnsiTheme="minorHAnsi"/>
        </w:rPr>
        <w:fldChar w:fldCharType="begin"/>
      </w:r>
      <w:r w:rsidR="002F2356">
        <w:rPr>
          <w:rFonts w:asciiTheme="minorHAnsi" w:hAnsiTheme="minorHAnsi"/>
        </w:rPr>
        <w:instrText xml:space="preserve"> ADDIN ZOTERO_ITEM CSL_CITATION {"citationID":"FmoOi7ep","properties":{"formattedCitation":"\\super 53\\nosupersub{}","plainCitation":"53","noteIndex":0},"citationItems":[{"id":575,"uris":["http://zotero.org/users/1143701/items/IQNG3AR5"],"uri":["http://zotero.org/users/1143701/items/IQNG3AR5"],"itemData":{"id":575,"type":"article-journal","title":"Factors Affecting Feeling-of-knowing in a Medical Intelligent Tutoring System – the role of Immediate Feedback as a Metacognitive Scaffold","container-title":"Advances in health sciences education : theory and practice","page":"9","volume":"15","issue":"1","source":"PubMed Central","abstract":"Objective\nPrevious studies in our laboratory have shown the benefits of immediate feedback on cognitive performance for pathology residents using an Intelligent Tutoring System in Pathology. In this study, we examined the effect of immediate feedback on metacognitive performance, and investigated whether other metacognitive scaffolds will support metacognitive gains when immediate feedback is faded.\n\nMethods\nTwenty-three (23) participants were randomized into intervention and control groups. For both groups, periods working with the ITS under varying conditions were alternated with independent computer-based assessments. On day 1, a within-subjects design was used to evaluate the effect of immediate feedback on cognitive and metacognitive performance. On day 2, a between-subjects design was used to compare the use of other metacognitive scaffolds (intervention group) against no metacognitive scaffolds (control group) on cognitive and metacognitive performance, as immediate feedback was faded. Measurements included learning gains (a measure of cognitive performance), as well as several measures of metacognitive performance, including Goodman-Kruskal Gamma correlation (G), Bias, and Discrimination. For the intervention group, we also computed metacognitive measures during tutoring sessions.\n\nResults\nResults showed that immediate feedback in an intelligent tutoring system had a statistically significant positive effect on learning gains, G and discrimination. Removal of immediate feedback was associated with decreasing metacognitive performance, and this decline was not prevented when students used a version of the tutoring system that provided other metacognitive scaffolds. Results obtained directly from the ITS suggest that other metacognitive scaffolds do have a positive effect on G and Discrimination, as immediate feedback is faded.\n\nConclusions\nImmediate feedback had a positive effect on both metacognitive and cognitive gains in a medical tutoring system. Other metacognitive scaffolds were not sufficient to replace immediate feedback in this study. However, results obtained directly from the tutoring system are not consistent with results obtained from assessments. In order to facilitate transfer to real-world tasks, further research will be needed to determine the optimum methods for supporting metacognition as immediate feedback is faded.","URL":"http://www.ncbi.nlm.nih.gov/pmc/articles/PMC2815142/","DOI":"10.1007/s10459-009-9162-6","ISSN":"1382-4996","note":"PMID: 19434508\nPMCID: PMC2815142","journalAbbreviation":"Adv Health Sci Educ Theory Pract","author":[{"family":"El Saadawi","given":"Gilan M."},{"family":"Azevedo","given":"Roger"},{"family":"Castine","given":"Melissa"},{"family":"Payne","given":"Velma"},{"family":"Medvedeva","given":"Olga"},{"family":"Tseytlin","given":"Eugene"},{"family":"Legowski","given":"Elizabeth"},{"family":"Jukic","given":"Drazen"},{"family":"Crowley","given":"Rebecca S."}],"issued":{"date-parts":[["2010",3]]},"accessed":{"date-parts":[["2015",8,15]]}}}],"schema":"https://github.com/citation-style-language/schema/raw/master/csl-citation.json"} </w:instrText>
      </w:r>
      <w:r w:rsidR="004B1039">
        <w:rPr>
          <w:rFonts w:asciiTheme="minorHAnsi" w:hAnsiTheme="minorHAnsi"/>
        </w:rPr>
        <w:fldChar w:fldCharType="separate"/>
      </w:r>
      <w:r w:rsidR="002F2356" w:rsidRPr="002F2356">
        <w:rPr>
          <w:rFonts w:ascii="Cambria" w:hAnsiTheme="minorHAnsi"/>
          <w:vertAlign w:val="superscript"/>
        </w:rPr>
        <w:t>53</w:t>
      </w:r>
      <w:r w:rsidR="004B1039">
        <w:rPr>
          <w:rFonts w:asciiTheme="minorHAnsi" w:hAnsiTheme="minorHAnsi"/>
        </w:rPr>
        <w:fldChar w:fldCharType="end"/>
      </w:r>
      <w:r w:rsidR="004B1039">
        <w:rPr>
          <w:rFonts w:asciiTheme="minorHAnsi" w:hAnsiTheme="minorHAnsi"/>
        </w:rPr>
        <w:t xml:space="preserve"> </w:t>
      </w:r>
      <w:r w:rsidR="000A24D1">
        <w:rPr>
          <w:rFonts w:asciiTheme="minorHAnsi" w:hAnsiTheme="minorHAnsi"/>
        </w:rPr>
        <w:t xml:space="preserve"> </w:t>
      </w:r>
      <w:r w:rsidRPr="00B417BF">
        <w:rPr>
          <w:rFonts w:asciiTheme="minorHAnsi" w:hAnsiTheme="minorHAnsi"/>
        </w:rPr>
        <w:t xml:space="preserve">Without proper feedback students </w:t>
      </w:r>
      <w:r w:rsidR="00934CDB" w:rsidRPr="00B417BF">
        <w:rPr>
          <w:rFonts w:asciiTheme="minorHAnsi" w:hAnsiTheme="minorHAnsi"/>
        </w:rPr>
        <w:t>may</w:t>
      </w:r>
      <w:r w:rsidRPr="00B417BF">
        <w:rPr>
          <w:rFonts w:asciiTheme="minorHAnsi" w:hAnsiTheme="minorHAnsi"/>
        </w:rPr>
        <w:t xml:space="preserve"> believe they cannot improve and </w:t>
      </w:r>
      <w:r w:rsidR="00934CDB" w:rsidRPr="00B417BF">
        <w:rPr>
          <w:rFonts w:asciiTheme="minorHAnsi" w:hAnsiTheme="minorHAnsi"/>
        </w:rPr>
        <w:t>might</w:t>
      </w:r>
      <w:r w:rsidRPr="00B417BF">
        <w:rPr>
          <w:rFonts w:asciiTheme="minorHAnsi" w:hAnsiTheme="minorHAnsi"/>
        </w:rPr>
        <w:t xml:space="preserve"> not attempt to change </w:t>
      </w:r>
      <w:r w:rsidR="00934CDB" w:rsidRPr="00B417BF">
        <w:rPr>
          <w:rFonts w:asciiTheme="minorHAnsi" w:hAnsiTheme="minorHAnsi"/>
        </w:rPr>
        <w:t xml:space="preserve">detrimental </w:t>
      </w:r>
      <w:r w:rsidRPr="00B417BF">
        <w:rPr>
          <w:rFonts w:asciiTheme="minorHAnsi" w:hAnsiTheme="minorHAnsi"/>
        </w:rPr>
        <w:t>behaviors or seek support.</w:t>
      </w:r>
    </w:p>
    <w:p w14:paraId="0F4D7B7E" w14:textId="77777777" w:rsidR="00FA004E" w:rsidRPr="00B417BF" w:rsidRDefault="00FA004E" w:rsidP="00FA004E">
      <w:pPr>
        <w:spacing w:line="480" w:lineRule="auto"/>
        <w:rPr>
          <w:rFonts w:asciiTheme="minorHAnsi" w:hAnsiTheme="minorHAnsi"/>
        </w:rPr>
      </w:pPr>
    </w:p>
    <w:p w14:paraId="2A8740CE" w14:textId="77777777" w:rsidR="00FA004E" w:rsidRPr="00B417BF" w:rsidRDefault="00FA004E" w:rsidP="00FA004E">
      <w:pPr>
        <w:spacing w:line="480" w:lineRule="auto"/>
        <w:rPr>
          <w:rFonts w:asciiTheme="minorHAnsi" w:hAnsiTheme="minorHAnsi"/>
        </w:rPr>
      </w:pPr>
      <w:r w:rsidRPr="002F2356">
        <w:rPr>
          <w:rFonts w:asciiTheme="minorHAnsi" w:hAnsiTheme="minorHAnsi"/>
        </w:rPr>
        <w:t>Academic Preparedness:</w:t>
      </w:r>
    </w:p>
    <w:p w14:paraId="21CDE2DF" w14:textId="01A83C65" w:rsidR="00FA004E" w:rsidRPr="00B417BF" w:rsidRDefault="00FA004E" w:rsidP="00FA004E">
      <w:pPr>
        <w:spacing w:line="480" w:lineRule="auto"/>
        <w:rPr>
          <w:rFonts w:asciiTheme="minorHAnsi" w:hAnsiTheme="minorHAnsi"/>
        </w:rPr>
      </w:pPr>
      <w:r w:rsidRPr="00B417BF">
        <w:rPr>
          <w:rFonts w:asciiTheme="minorHAnsi" w:hAnsiTheme="minorHAnsi"/>
        </w:rPr>
        <w:t>Learning strategies and knowledge acquisition have been studied extensively in the educational literature.</w:t>
      </w:r>
      <w:r w:rsidR="00C56311">
        <w:rPr>
          <w:rFonts w:asciiTheme="minorHAnsi" w:hAnsiTheme="minorHAnsi"/>
        </w:rPr>
        <w:fldChar w:fldCharType="begin"/>
      </w:r>
      <w:r w:rsidR="002F2356">
        <w:rPr>
          <w:rFonts w:asciiTheme="minorHAnsi" w:hAnsiTheme="minorHAnsi"/>
        </w:rPr>
        <w:instrText xml:space="preserve"> ADDIN ZOTERO_ITEM CSL_CITATION {"citationID":"WpOPBr5P","properties":{"formattedCitation":"\\super 54,55\\nosupersub{}","plainCitation":"54,55","noteIndex":0},"citationItems":[{"id":1016,"uris":["http://zotero.org/users/1143701/items/SHDK2FFX"],"uri":["http://zotero.org/users/1143701/items/SHDK2FFX"],"itemData":{"id":1016,"type":"book","title":"Teaching Adolescents to Become Learners: The Role of Noncognitive Factors in Shaping School Performance--A Critical Literature Review","publisher":"Consortium on Chicago School Research","source":"ERIC","abstract":"President Obama's first address to Congress signaled a shift in educational priorities. He committed his administration to ending the dropout crisis in the nation's public high schools and ensuring that by 2020 America would once again lead the world in the proportion of its population with college degrees. What has not been talked about is that a shift to making high school and college completion the national educational goal requires a corresponding shift in educational policy and practice, \"away from a focus on test scores\" and toward a new emphasis on developing the cognitive and noncognitive factors that lead students to earn high course grades. The emerging recognition of the importance of noncognitive factors to young people's long-term success raises new challenges for teachers seeking to prepare their students for college and careers. To make this shift, educators need to understand how best to help adolescents develop as learners in their classes. By helping students develop the noncognitive skills, strategies, attitudes, and behaviors that are the hallmarks of effective learners, teachers can improve student learning and course performance while also increasing the likelihood that students will be successful in college. This report grew out of the understanding that it is not enough to know that noncognitive factors matter for learning. Researchers from a range of disciplines have provided evidence that such factors are important to students' grades and long-term educational outcomes. However, little work has been done to bring clarity to this wide-ranging evidence, to examine its relevance for practice, or to review actionable strategies for classroom use. The authors' goal was to develop a coherent and evidence-based framework for considering the role of noncognitive factors in academic performance. They conclude by summarizing the most promising levers for change as well as critical gaps in the knowledge base and in the link between research and practice. Appendix: Educational Attainment by Gender, Race, and Ethnicity is Driven by Differences in GPA is included. (Contains 5 figures, 1 table, 3 boxes, and 12 endnotes.) [Additional funding for this paper was provided by the Raikes Foundation.]","URL":"https://eric.ed.gov/?id=ED542543","ISBN":"978-0-9856819-0-6","shortTitle":"Teaching Adolescents to Become Learners","language":"en","author":[{"family":"Farrington","given":"Camille A."},{"family":"Roderick","given":"Melissa"},{"family":"Allensworth","given":"Elaine"},{"family":"Nagaoka","given":"Jenny"},{"family":"Keyes","given":"Tasha Seneca"},{"family":"Johnson","given":"David W."},{"family":"Beechum","given":"Nicole O."}],"issued":{"date-parts":[["2012",6]]},"accessed":{"date-parts":[["2018",2,18]]}}},{"id":292,"uris":["http://zotero.org/users/1143701/items/SSMNC2TZ"],"uri":["http://zotero.org/users/1143701/items/SSMNC2TZ"],"itemData":{"id":292,"type":"report","title":"A New Model of Student Assessment for the 21st Century","publisher":"American Youth Policy Forum","source":"EBSCOhost","archive_location":"American Youth Policy Forum. 1836 Jefferson Place NW, Washington, DC 20036. Tel: 202-775-9731; Fax: 202-775-9733; e-mail: aypf@aypf.org; Web site: http://www.aypf.org/publications/index.htm","abstract":"The chronic academic underperformance and student failure of most American urban high schools are actually created by the antiquated way that schools evaluate student academic performance and award (or deny) course credits. When the school leaders in a small inner-city high school in Chicago began to question the \"received wisdom\" of high school student assessment and common practices of grading, remarkable improvements in student performance followed, not just once, but year after year. By changing the system by which high school students pass courses and earn course credits, the school was able to simultaneously raise graduation requirements and increase graduation rates. These school leaders also created a student assessment database that serves as a model for a new generation of school and district student data systems, using classroom assessment data to inform instruction and to direct support services and remediation. How does a school take urban kids with low test scores and myriad other life challenges and, within a few years, remediate a history of underachievement, significantly improve their chance of graduating, and successfully propel them on to college? This brief case study challenges long-established practices and offers districts possibilities for improving secondary education outcomes by rethinking our understanding of academic success and transforming the structure and tracking of student achievement. (Contains 2 tables and 64 endnotes.)","author":[{"family":"Farrington","given":"Camille A."},{"family":"Small","given":"Margaret H."},{"literal":"American Youth Policy Forum"}],"issued":{"date-parts":[["2008",1,1]]}}}],"schema":"https://github.com/citation-style-language/schema/raw/master/csl-citation.json"} </w:instrText>
      </w:r>
      <w:r w:rsidR="00C56311">
        <w:rPr>
          <w:rFonts w:asciiTheme="minorHAnsi" w:hAnsiTheme="minorHAnsi"/>
        </w:rPr>
        <w:fldChar w:fldCharType="separate"/>
      </w:r>
      <w:r w:rsidR="002F2356" w:rsidRPr="002F2356">
        <w:rPr>
          <w:rFonts w:ascii="Cambria" w:hAnsiTheme="minorHAnsi"/>
          <w:vertAlign w:val="superscript"/>
        </w:rPr>
        <w:t>54,55</w:t>
      </w:r>
      <w:r w:rsidR="00C56311">
        <w:rPr>
          <w:rFonts w:asciiTheme="minorHAnsi" w:hAnsiTheme="minorHAnsi"/>
        </w:rPr>
        <w:fldChar w:fldCharType="end"/>
      </w:r>
      <w:r w:rsidR="00934CDB" w:rsidRPr="00B417BF">
        <w:rPr>
          <w:rFonts w:asciiTheme="minorHAnsi" w:hAnsiTheme="minorHAnsi"/>
          <w:color w:val="FF0000"/>
        </w:rPr>
        <w:t xml:space="preserve"> </w:t>
      </w:r>
      <w:r w:rsidRPr="00B417BF">
        <w:rPr>
          <w:rFonts w:asciiTheme="minorHAnsi" w:hAnsiTheme="minorHAnsi"/>
        </w:rPr>
        <w:t>The behaviorist</w:t>
      </w:r>
      <w:r w:rsidR="00381EAA" w:rsidRPr="00B417BF">
        <w:rPr>
          <w:rFonts w:asciiTheme="minorHAnsi" w:hAnsiTheme="minorHAnsi"/>
        </w:rPr>
        <w:t xml:space="preserve"> </w:t>
      </w:r>
      <w:r w:rsidRPr="00B417BF">
        <w:rPr>
          <w:rFonts w:asciiTheme="minorHAnsi" w:hAnsiTheme="minorHAnsi"/>
        </w:rPr>
        <w:t xml:space="preserve">theory of education </w:t>
      </w:r>
      <w:r w:rsidR="00934CDB" w:rsidRPr="00B417BF">
        <w:rPr>
          <w:rFonts w:asciiTheme="minorHAnsi" w:hAnsiTheme="minorHAnsi"/>
        </w:rPr>
        <w:t>presents a set</w:t>
      </w:r>
      <w:r w:rsidRPr="00B417BF">
        <w:rPr>
          <w:rFonts w:asciiTheme="minorHAnsi" w:hAnsiTheme="minorHAnsi"/>
        </w:rPr>
        <w:t xml:space="preserve"> curriculum in a predetermined format.  </w:t>
      </w:r>
      <w:r w:rsidR="00934CDB" w:rsidRPr="00B417BF">
        <w:rPr>
          <w:rFonts w:asciiTheme="minorHAnsi" w:hAnsiTheme="minorHAnsi"/>
        </w:rPr>
        <w:t>Behaviorist theory</w:t>
      </w:r>
      <w:r w:rsidRPr="00B417BF">
        <w:rPr>
          <w:rFonts w:asciiTheme="minorHAnsi" w:hAnsiTheme="minorHAnsi"/>
        </w:rPr>
        <w:t xml:space="preserve"> assumes students </w:t>
      </w:r>
      <w:r w:rsidRPr="00B417BF">
        <w:rPr>
          <w:rFonts w:asciiTheme="minorHAnsi" w:hAnsiTheme="minorHAnsi"/>
        </w:rPr>
        <w:lastRenderedPageBreak/>
        <w:t xml:space="preserve">understand their own </w:t>
      </w:r>
      <w:r w:rsidR="00CF73F4">
        <w:rPr>
          <w:rFonts w:asciiTheme="minorHAnsi" w:hAnsiTheme="minorHAnsi"/>
        </w:rPr>
        <w:t>learning techniques</w:t>
      </w:r>
      <w:r w:rsidRPr="00B417BF">
        <w:rPr>
          <w:rFonts w:asciiTheme="minorHAnsi" w:hAnsiTheme="minorHAnsi"/>
        </w:rPr>
        <w:t xml:space="preserve"> and needs and can independently engage in building their knowledge</w:t>
      </w:r>
      <w:r w:rsidR="001668D4">
        <w:rPr>
          <w:rFonts w:asciiTheme="minorHAnsi" w:hAnsiTheme="minorHAnsi"/>
        </w:rPr>
        <w:t>.</w:t>
      </w:r>
      <w:r w:rsidRPr="00B417BF">
        <w:rPr>
          <w:rFonts w:asciiTheme="minorHAnsi" w:hAnsiTheme="minorHAnsi"/>
        </w:rPr>
        <w:fldChar w:fldCharType="begin"/>
      </w:r>
      <w:r w:rsidR="002F2356">
        <w:rPr>
          <w:rFonts w:asciiTheme="minorHAnsi" w:hAnsiTheme="minorHAnsi"/>
        </w:rPr>
        <w:instrText xml:space="preserve"> ADDIN ZOTERO_ITEM CSL_CITATION {"citationID":"yLJJVSmd","properties":{"formattedCitation":"\\super 56\\nosupersub{}","plainCitation":"56","noteIndex":0},"citationItems":[{"id":679,"uris":["http://zotero.org/users/1143701/items/E2ZNKWS6"],"uri":["http://zotero.org/users/1143701/items/E2ZNKWS6"],"itemData":{"id":679,"type":"article-journal","title":"Making sense of how I learn: Metacognitive capital and the first year university student","container-title":"The International Journal of the First Year in Higher Education","volume":"5","issue":"1","source":"CrossRef","URL":"https://fyhejournal.com/article/view/193","DOI":"10.5204/intjfyhe.v5i1.193","ISSN":"1838-2959","shortTitle":"Making sense of how I learn","author":[{"family":"Larmar","given":"Stephen"},{"family":"Lodge","given":"Jason Micheal"}],"issued":{"date-parts":[["2014",2,27]]},"accessed":{"date-parts":[["2016",8,2]]}}}],"schema":"https://github.com/citation-style-language/schema/raw/master/csl-citation.json"} </w:instrText>
      </w:r>
      <w:r w:rsidRPr="00B417BF">
        <w:rPr>
          <w:rFonts w:asciiTheme="minorHAnsi" w:hAnsiTheme="minorHAnsi"/>
        </w:rPr>
        <w:fldChar w:fldCharType="separate"/>
      </w:r>
      <w:r w:rsidR="002F2356" w:rsidRPr="002F2356">
        <w:rPr>
          <w:rFonts w:ascii="Cambria" w:hAnsiTheme="minorHAnsi"/>
          <w:vertAlign w:val="superscript"/>
        </w:rPr>
        <w:t>56</w:t>
      </w:r>
      <w:r w:rsidRPr="00B417BF">
        <w:rPr>
          <w:rFonts w:asciiTheme="minorHAnsi" w:hAnsiTheme="minorHAnsi"/>
        </w:rPr>
        <w:fldChar w:fldCharType="end"/>
      </w:r>
      <w:r w:rsidRPr="00B417BF">
        <w:rPr>
          <w:rFonts w:asciiTheme="minorHAnsi" w:hAnsiTheme="minorHAnsi"/>
        </w:rPr>
        <w:t xml:space="preserve">  </w:t>
      </w:r>
      <w:r w:rsidR="00934CDB" w:rsidRPr="00B417BF">
        <w:rPr>
          <w:rFonts w:asciiTheme="minorHAnsi" w:hAnsiTheme="minorHAnsi"/>
        </w:rPr>
        <w:t>A strictly b</w:t>
      </w:r>
      <w:r w:rsidRPr="00B417BF">
        <w:rPr>
          <w:rFonts w:asciiTheme="minorHAnsi" w:hAnsiTheme="minorHAnsi"/>
        </w:rPr>
        <w:t>ehaviorist curriculum</w:t>
      </w:r>
      <w:r w:rsidR="00934CDB" w:rsidRPr="00B417BF">
        <w:rPr>
          <w:rFonts w:asciiTheme="minorHAnsi" w:hAnsiTheme="minorHAnsi"/>
        </w:rPr>
        <w:t xml:space="preserve"> focused on discrete information</w:t>
      </w:r>
      <w:r w:rsidRPr="00B417BF">
        <w:rPr>
          <w:rFonts w:asciiTheme="minorHAnsi" w:hAnsiTheme="minorHAnsi"/>
        </w:rPr>
        <w:t xml:space="preserve"> reinforces the use of lower level learning and reduces the need for metacognitive skills.</w:t>
      </w:r>
    </w:p>
    <w:p w14:paraId="72855C27" w14:textId="77777777" w:rsidR="00FA004E" w:rsidRPr="00B417BF" w:rsidRDefault="00FA004E" w:rsidP="00FA004E">
      <w:pPr>
        <w:spacing w:line="480" w:lineRule="auto"/>
        <w:rPr>
          <w:rFonts w:asciiTheme="minorHAnsi" w:hAnsiTheme="minorHAnsi"/>
        </w:rPr>
      </w:pPr>
    </w:p>
    <w:p w14:paraId="012D2787" w14:textId="7BC595C4" w:rsidR="00FA004E" w:rsidRPr="00B417BF" w:rsidRDefault="00FA004E" w:rsidP="00FA004E">
      <w:pPr>
        <w:spacing w:line="480" w:lineRule="auto"/>
        <w:rPr>
          <w:rFonts w:asciiTheme="minorHAnsi" w:hAnsiTheme="minorHAnsi"/>
        </w:rPr>
      </w:pPr>
      <w:r w:rsidRPr="00B417BF">
        <w:rPr>
          <w:rFonts w:asciiTheme="minorHAnsi" w:hAnsiTheme="minorHAnsi"/>
        </w:rPr>
        <w:t xml:space="preserve">At some point, successful students and practitioners move </w:t>
      </w:r>
      <w:r w:rsidR="000E7DD5">
        <w:rPr>
          <w:rFonts w:asciiTheme="minorHAnsi" w:hAnsiTheme="minorHAnsi"/>
        </w:rPr>
        <w:t>beyond the behaviorist appr</w:t>
      </w:r>
      <w:r w:rsidR="00645AF8">
        <w:rPr>
          <w:rFonts w:asciiTheme="minorHAnsi" w:hAnsiTheme="minorHAnsi"/>
        </w:rPr>
        <w:t>oach of</w:t>
      </w:r>
      <w:r w:rsidRPr="00B417BF">
        <w:rPr>
          <w:rFonts w:asciiTheme="minorHAnsi" w:hAnsiTheme="minorHAnsi"/>
        </w:rPr>
        <w:t xml:space="preserve"> superficial </w:t>
      </w:r>
      <w:r w:rsidR="00F459DB" w:rsidRPr="00B417BF">
        <w:rPr>
          <w:rFonts w:asciiTheme="minorHAnsi" w:hAnsiTheme="minorHAnsi"/>
        </w:rPr>
        <w:t xml:space="preserve">retention </w:t>
      </w:r>
      <w:r w:rsidRPr="00B417BF">
        <w:rPr>
          <w:rFonts w:asciiTheme="minorHAnsi" w:hAnsiTheme="minorHAnsi"/>
        </w:rPr>
        <w:t>to deep</w:t>
      </w:r>
      <w:r w:rsidR="00F459DB" w:rsidRPr="00B417BF">
        <w:rPr>
          <w:rFonts w:asciiTheme="minorHAnsi" w:hAnsiTheme="minorHAnsi"/>
        </w:rPr>
        <w:t>er</w:t>
      </w:r>
      <w:r w:rsidRPr="00B417BF">
        <w:rPr>
          <w:rFonts w:asciiTheme="minorHAnsi" w:hAnsiTheme="minorHAnsi"/>
        </w:rPr>
        <w:t xml:space="preserve"> learning. Graduate students who have mastered techniques of deep learning report significantly less stress and have corresponding</w:t>
      </w:r>
      <w:r w:rsidR="00E94362">
        <w:rPr>
          <w:rFonts w:asciiTheme="minorHAnsi" w:hAnsiTheme="minorHAnsi"/>
        </w:rPr>
        <w:t>ly</w:t>
      </w:r>
      <w:r w:rsidRPr="00B417BF">
        <w:rPr>
          <w:rFonts w:asciiTheme="minorHAnsi" w:hAnsiTheme="minorHAnsi"/>
        </w:rPr>
        <w:t xml:space="preserve"> higher academic achievement than those who report only superficial learning</w:t>
      </w:r>
      <w:r w:rsidR="001668D4">
        <w:rPr>
          <w:rFonts w:asciiTheme="minorHAnsi" w:hAnsiTheme="minorHAnsi"/>
        </w:rPr>
        <w:t>.</w:t>
      </w:r>
      <w:r w:rsidRPr="00B417BF">
        <w:rPr>
          <w:rFonts w:asciiTheme="minorHAnsi" w:hAnsiTheme="minorHAnsi"/>
        </w:rPr>
        <w:fldChar w:fldCharType="begin"/>
      </w:r>
      <w:r w:rsidR="002F2356">
        <w:rPr>
          <w:rFonts w:asciiTheme="minorHAnsi" w:hAnsiTheme="minorHAnsi"/>
        </w:rPr>
        <w:instrText xml:space="preserve"> ADDIN ZOTERO_ITEM CSL_CITATION {"citationID":"IFUp6s4S","properties":{"formattedCitation":"\\super 57\\nosupersub{}","plainCitation":"57","noteIndex":0},"citationItems":[{"id":148,"uris":["http://zotero.org/users/1143701/items/KXZ2N9G5"],"uri":["http://zotero.org/users/1143701/items/KXZ2N9G5"],"itemData":{"id":148,"type":"article-journal","title":"Relationships between Learning Strategies, Stress, and Study Success Among First-Year Veterinary Students During an Educational Transition Phase","container-title":"Journal of Veterinary Medical Education","page":"284-293","volume":"41","issue":"3","source":"jvme.utpjournals.press (Atypon)","abstract":"We investigated the relationships between stress, learning strategies, and study success among first-year veterinary students at the very beginning of their veterinary studies. The study was carried out during the first course on macroscopic anatomy (osteology), which students have in the past found to be exceptionally stressful. Students (N=45) completed a questionnaire concerning their self-reported views on stress and learning strategies, which were compared with their self-reported written-test scores. Participants who had previously gained university credits did not have significantly better test scores, but they achieved the learning goals with significantly less stress than other participants. Previous experience of university study helped students not only to adjust to a new type of course content and to achieve the learning goal of the osteology course, but also to cope with the stress experienced from taking concurrently running courses. Of the respondents who specifically named factors relating to self-regulation and modification of their learning strategy, all had gained prior credits. These students were able to use their study time efficiently and adjust their schedules according to the course demands.","URL":"http://jvme.utpjournals.press/doi/abs/10.3138/jvme.0214-016R1","DOI":"10.3138/jvme.0214-016R1","ISSN":"0748-321X","journalAbbreviation":"Journal of Veterinary Medical Education","author":[{"family":"Laakkonen","given":"Juha"},{"family":"Nevgi","given":"Anne"}],"issued":{"date-parts":[["2014",6,30]]},"accessed":{"date-parts":[["2015",10,13]]}}}],"schema":"https://github.com/citation-style-language/schema/raw/master/csl-citation.json"} </w:instrText>
      </w:r>
      <w:r w:rsidRPr="00B417BF">
        <w:rPr>
          <w:rFonts w:asciiTheme="minorHAnsi" w:hAnsiTheme="minorHAnsi"/>
        </w:rPr>
        <w:fldChar w:fldCharType="separate"/>
      </w:r>
      <w:r w:rsidR="002F2356" w:rsidRPr="002F2356">
        <w:rPr>
          <w:rFonts w:ascii="Cambria" w:hAnsiTheme="minorHAnsi"/>
          <w:vertAlign w:val="superscript"/>
        </w:rPr>
        <w:t>57</w:t>
      </w:r>
      <w:r w:rsidRPr="00B417BF">
        <w:rPr>
          <w:rFonts w:asciiTheme="minorHAnsi" w:hAnsiTheme="minorHAnsi"/>
        </w:rPr>
        <w:fldChar w:fldCharType="end"/>
      </w:r>
      <w:r w:rsidRPr="001668D4">
        <w:rPr>
          <w:rFonts w:asciiTheme="minorHAnsi" w:hAnsiTheme="minorHAnsi"/>
          <w:vertAlign w:val="superscript"/>
        </w:rPr>
        <w:t>,</w:t>
      </w:r>
      <w:r w:rsidRPr="00B417BF">
        <w:rPr>
          <w:rFonts w:asciiTheme="minorHAnsi" w:hAnsiTheme="minorHAnsi"/>
        </w:rPr>
        <w:fldChar w:fldCharType="begin"/>
      </w:r>
      <w:r w:rsidR="002F2356">
        <w:rPr>
          <w:rFonts w:asciiTheme="minorHAnsi" w:hAnsiTheme="minorHAnsi"/>
        </w:rPr>
        <w:instrText xml:space="preserve"> ADDIN ZOTERO_ITEM CSL_CITATION {"citationID":"07MHaid3","properties":{"formattedCitation":"\\super 58\\nosupersub{}","plainCitation":"58","noteIndex":0},"citationItems":[{"id":130,"uris":["http://zotero.org/users/1143701/items/FNBUTNBH"],"uri":["http://zotero.org/users/1143701/items/FNBUTNBH"],"itemData":{"id":130,"type":"article-journal","title":"First year medical student stress and coping in a problem-based learning medical curriculum","container-title":"Medical Education","page":"482-491","volume":"38","issue":"5","source":"Wiley Online Library","abstract":"Objective  To examine the prevalence of psychological morbidity, sources of stress and coping mechanisms in first year students in a problem-based learning undergraduate medical curriculum. Design  Longitudinal cohort questionnaire survey. Setting  Glasgow University Medical School. Participants  All first year students (n = 275) in the 1997–98 intake. Main outcome measures  Scores on the 12-item General Health Questionnaire (GHQ-12), sources of stress and coping strategies. Results  The prevalence of psychological morbidity and mean GHQ-12 scores increased significantly between term 1 and term 3, with no significant gender differences. Principal stressors were related to medical training rather than to personal problems, in particular uncertainty about individual study behaviour, progress and aptitude, with specific concerns about assessment and the availability of learning materials. The group learning environment, including tutor performance, and interactions with peers and patients caused little stress. Students generally used active coping strategies. Both stressor group scoring and coping strategies showed some variation with gender and GHQ caseness. Conclusions  Increased student feedback and guidance about progress throughout the year and the provision of adequate learning resources may reduce student stress. Educational or pastoral intervention regarding effective coping strategies may also be beneficial. Continued follow-up of this cohort could provide information to inform further curriculum development and, if appropriate, aid the design of programmes for the prevention of stress-related problems.","URL":"http://onlinelibrary.wiley.com/doi/10.1046/j.1365-2929.2004.01814.x/abstract","DOI":"10.1046/j.1365-2929.2004.01814.x","ISSN":"1365-2923","language":"en","author":[{"family":"Moffat","given":"Katrina J"},{"family":"McConnachie","given":"Alex"},{"family":"Ross","given":"Sue"},{"family":"Morrison","given":"Jillian M"}],"issued":{"date-parts":[["2004",5,1]]},"accessed":{"date-parts":[["2015",10,13]]}}}],"schema":"https://github.com/citation-style-language/schema/raw/master/csl-citation.json"} </w:instrText>
      </w:r>
      <w:r w:rsidRPr="00B417BF">
        <w:rPr>
          <w:rFonts w:asciiTheme="minorHAnsi" w:hAnsiTheme="minorHAnsi"/>
        </w:rPr>
        <w:fldChar w:fldCharType="separate"/>
      </w:r>
      <w:r w:rsidR="002F2356" w:rsidRPr="002F2356">
        <w:rPr>
          <w:rFonts w:ascii="Cambria" w:hAnsiTheme="minorHAnsi"/>
          <w:vertAlign w:val="superscript"/>
        </w:rPr>
        <w:t>58</w:t>
      </w:r>
      <w:r w:rsidRPr="00B417BF">
        <w:rPr>
          <w:rFonts w:asciiTheme="minorHAnsi" w:hAnsiTheme="minorHAnsi"/>
        </w:rPr>
        <w:fldChar w:fldCharType="end"/>
      </w:r>
      <w:r w:rsidRPr="00B417BF">
        <w:rPr>
          <w:rFonts w:asciiTheme="minorHAnsi" w:hAnsiTheme="minorHAnsi"/>
        </w:rPr>
        <w:t xml:space="preserve"> </w:t>
      </w:r>
      <w:r w:rsidR="00CF73F4">
        <w:rPr>
          <w:rFonts w:asciiTheme="minorHAnsi" w:hAnsiTheme="minorHAnsi"/>
        </w:rPr>
        <w:t xml:space="preserve"> </w:t>
      </w:r>
      <w:r w:rsidRPr="00B417BF">
        <w:rPr>
          <w:rFonts w:asciiTheme="minorHAnsi" w:hAnsiTheme="minorHAnsi"/>
        </w:rPr>
        <w:t>This is partly due</w:t>
      </w:r>
      <w:r w:rsidR="00E94362">
        <w:rPr>
          <w:rFonts w:asciiTheme="minorHAnsi" w:hAnsiTheme="minorHAnsi"/>
        </w:rPr>
        <w:t xml:space="preserve"> to</w:t>
      </w:r>
      <w:r w:rsidRPr="00B417BF">
        <w:rPr>
          <w:rFonts w:asciiTheme="minorHAnsi" w:hAnsiTheme="minorHAnsi"/>
        </w:rPr>
        <w:t xml:space="preserve"> understanding learning goals and continuous </w:t>
      </w:r>
      <w:r w:rsidR="00C56B2A" w:rsidRPr="00B417BF">
        <w:rPr>
          <w:rFonts w:asciiTheme="minorHAnsi" w:hAnsiTheme="minorHAnsi"/>
        </w:rPr>
        <w:t>self-monitoring</w:t>
      </w:r>
      <w:r w:rsidRPr="00B417BF">
        <w:rPr>
          <w:rFonts w:asciiTheme="minorHAnsi" w:hAnsiTheme="minorHAnsi"/>
        </w:rPr>
        <w:t xml:space="preserve"> of mastery</w:t>
      </w:r>
      <w:r w:rsidR="001668D4">
        <w:rPr>
          <w:rFonts w:asciiTheme="minorHAnsi" w:hAnsiTheme="minorHAnsi"/>
        </w:rPr>
        <w:t>.</w:t>
      </w:r>
      <w:r w:rsidRPr="00B417BF">
        <w:rPr>
          <w:rFonts w:asciiTheme="minorHAnsi" w:hAnsiTheme="minorHAnsi"/>
        </w:rPr>
        <w:fldChar w:fldCharType="begin"/>
      </w:r>
      <w:r w:rsidR="002F2356">
        <w:rPr>
          <w:rFonts w:asciiTheme="minorHAnsi" w:hAnsiTheme="minorHAnsi"/>
        </w:rPr>
        <w:instrText xml:space="preserve"> ADDIN ZOTERO_ITEM CSL_CITATION {"citationID":"Hq6tn90H","properties":{"formattedCitation":"\\super 59\\nosupersub{}","plainCitation":"59","noteIndex":0},"citationItems":[{"id":663,"uris":["http://zotero.org/users/1143701/items/UXGP8DWF"],"uri":["http://zotero.org/users/1143701/items/UXGP8DWF"],"itemData":{"id":663,"type":"article-journal","title":"Impact of Combined modular assessment on deep learning and personal development of medical students","container-title":"Pakistan Journal of Medical Sciences","page":"191-195","volume":"32","issue":"1","source":"PubMed Central","abstract":"Objective:\nTo determine the effect of transition of summative assessment from frequent modular to combined block assessment and its role on learning of medical students.\n\nMethods:\nA descriptive study was carried out at Islamic International Medical College. A questionnaire comprizing of 8 questions with Likert scale (1-5) was designed for 3rd year students. The questions were grouped in three categories which included learning acquired, personal development and efficacy of assessment tools used in combined block assessment and frequent modular exam separately. Results of end of year exams were analyzed for difference in performance of students in two exams. The received data was analyzed by using SPPS 21.\n\nResults:\nAbout 60% students agreed that they need to study regularly in frequent modular exams. Combined block assessment promoted more indepth studies and multiple revisions 51% and 55% students respectively. About 42% students, in comparison with 33%, agreed that CBA helped in their personal development while 42% students agreed to assessment tools used in CBA while only 28% students to those used in frequent modular exam. About 47% students agreed that assessment tools in CBA were useful for deep learning and 47% students agreed that time given in CBA was enough in exam preparation. Comparison of all results (x 2 tests) was statistically significant. The comparison of end of year performance showed improvement in the mean of total marks obtained and decrease in the number of failed students in combined block assessment.\n\nConclusion:\nTransition from frequent to combined block assessment with regular formative assessment has positive effect on learning, personal grooming and performance in summative assessment.","URL":"http://www.ncbi.nlm.nih.gov/pmc/articles/PMC4795866/","DOI":"10.12669/pjms.321.9007","ISSN":"1682-024X","note":"PMID: 27022373\nPMCID: PMC4795866","journalAbbreviation":"Pak J Med Sci","author":[{"family":"Ali","given":"Shabana"},{"family":"Khan","given":"Humaira Fayyaz"}],"issued":{"date-parts":[["2016"]]},"accessed":{"date-parts":[["2016",8,1]]}}}],"schema":"https://github.com/citation-style-language/schema/raw/master/csl-citation.json"} </w:instrText>
      </w:r>
      <w:r w:rsidRPr="00B417BF">
        <w:rPr>
          <w:rFonts w:asciiTheme="minorHAnsi" w:hAnsiTheme="minorHAnsi"/>
        </w:rPr>
        <w:fldChar w:fldCharType="separate"/>
      </w:r>
      <w:r w:rsidR="002F2356" w:rsidRPr="002F2356">
        <w:rPr>
          <w:rFonts w:ascii="Cambria" w:hAnsiTheme="minorHAnsi"/>
          <w:vertAlign w:val="superscript"/>
        </w:rPr>
        <w:t>59</w:t>
      </w:r>
      <w:r w:rsidRPr="00B417BF">
        <w:rPr>
          <w:rFonts w:asciiTheme="minorHAnsi" w:hAnsiTheme="minorHAnsi"/>
        </w:rPr>
        <w:fldChar w:fldCharType="end"/>
      </w:r>
      <w:r w:rsidR="008709C6" w:rsidRPr="00B417BF">
        <w:rPr>
          <w:rFonts w:asciiTheme="minorHAnsi" w:hAnsiTheme="minorHAnsi"/>
        </w:rPr>
        <w:t xml:space="preserve"> </w:t>
      </w:r>
      <w:r w:rsidRPr="00B417BF">
        <w:rPr>
          <w:rFonts w:asciiTheme="minorHAnsi" w:hAnsiTheme="minorHAnsi"/>
        </w:rPr>
        <w:t xml:space="preserve"> </w:t>
      </w:r>
      <w:r w:rsidR="00F459DB" w:rsidRPr="00B417BF">
        <w:rPr>
          <w:rFonts w:asciiTheme="minorHAnsi" w:hAnsiTheme="minorHAnsi"/>
        </w:rPr>
        <w:t>Deep learners</w:t>
      </w:r>
      <w:r w:rsidRPr="00B417BF">
        <w:rPr>
          <w:rFonts w:asciiTheme="minorHAnsi" w:hAnsiTheme="minorHAnsi"/>
        </w:rPr>
        <w:t xml:space="preserve"> also demonstrate intrinsi</w:t>
      </w:r>
      <w:r w:rsidR="00CA51F9">
        <w:rPr>
          <w:rFonts w:asciiTheme="minorHAnsi" w:hAnsiTheme="minorHAnsi"/>
        </w:rPr>
        <w:t>c focus and motivation to learn</w:t>
      </w:r>
      <w:r w:rsidR="001668D4">
        <w:rPr>
          <w:rFonts w:asciiTheme="minorHAnsi" w:hAnsiTheme="minorHAnsi"/>
        </w:rPr>
        <w:t>.</w:t>
      </w:r>
      <w:r w:rsidRPr="00B417BF">
        <w:rPr>
          <w:rFonts w:asciiTheme="minorHAnsi" w:hAnsiTheme="minorHAnsi"/>
        </w:rPr>
        <w:fldChar w:fldCharType="begin"/>
      </w:r>
      <w:r w:rsidR="002F2356">
        <w:rPr>
          <w:rFonts w:asciiTheme="minorHAnsi" w:hAnsiTheme="minorHAnsi"/>
        </w:rPr>
        <w:instrText xml:space="preserve"> ADDIN ZOTERO_ITEM CSL_CITATION {"citationID":"h9mE5Gpk","properties":{"formattedCitation":"\\super 52\\nosupersub{}","plainCitation":"52","noteIndex":0},"citationItems":[{"id":674,"uris":["http://zotero.org/users/1143701/items/GV7U73JD"],"uri":["http://zotero.org/users/1143701/items/GV7U73JD"],"itemData":{"id":674,"type":"article-journal","title":"Exam Success at Undergraduate and Graduate-Entry Medical Schools: Is Learning Style or Learning Approach More Important? A Critical Review Exploring Links Between Academic Success, Learning Styles, and Learning Approaches Among School-Leaver Entry (\"Traditional\") and Graduate-Entry (\"Nontraditional\") Medical Students","container-title":"Teaching and Learning in Medicine","page":"237-244","volume":"27","issue":"3","source":"PubMed","abstract":"PHENOMENON: The literature on learning styles over many years has been replete with debate and disagreement. Researchers have yet to elucidate exactly which underlying constructs are measured by the many learning styles questionnaires available. Some academics question whether learning styles exist at all. When it comes to establishing the value of learning styles for medical students, a further issue emerges. The demographics of medical students in the United Kingdom have changed in recent years, so past studies may not be applicable to students today. We wanted to answer a very simple, practical question: what can the literature on learning styles tell us that we can use to help today's medical students succeed academically at medical school?\nAPPROACH: We conducted a literature review to synthesise the available evidence on how two different aspects of learning-the way in which students like to receive information in a learning environment (termed learning \"styles\") and the motivations that drive their learning (termed learning \"approaches\")-can impact on medical students' academic achievement.\nFINDINGS: Our review confirms that although learning \"styles\" do not correlate with exam performance, learning \"approaches\" do: those with \"strategic\" and \"deep\" approaches to learning (i.e., motivated to do well and motivated to learn deeply respectively) perform consistently better in medical school examinations. Changes in medical school entrant demographics in the past decade have not altered these correlations. Optimistically, our review reveals that students' learning approaches can change and more adaptive approaches may be learned. Insights: For educators wishing to help medical students succeed academically, current evidence demonstrates that helping students develop their own positive learning approach using \"growth mind-set\" is a more effective (and more feasible) than attempting to alter students' learning styles. This conclusion holds true for both \"traditional\" and graduate-entry medical students.","DOI":"10.1080/10401334.2015.1046734","ISSN":"1532-8015","note":"PMID: 26158325","shortTitle":"Exam Success at Undergraduate and Graduate-Entry Medical Schools","journalAbbreviation":"Teach Learn Med","language":"eng","author":[{"family":"Feeley","given":"Anne-Marie"},{"family":"Biggerstaff","given":"Deborah L."}],"issued":{"date-parts":[["2015"]]}}}],"schema":"https://github.com/citation-style-language/schema/raw/master/csl-citation.json"} </w:instrText>
      </w:r>
      <w:r w:rsidRPr="00B417BF">
        <w:rPr>
          <w:rFonts w:asciiTheme="minorHAnsi" w:hAnsiTheme="minorHAnsi"/>
        </w:rPr>
        <w:fldChar w:fldCharType="separate"/>
      </w:r>
      <w:r w:rsidR="002F2356" w:rsidRPr="002F2356">
        <w:rPr>
          <w:rFonts w:ascii="Cambria" w:hAnsiTheme="minorHAnsi"/>
          <w:vertAlign w:val="superscript"/>
        </w:rPr>
        <w:t>52</w:t>
      </w:r>
      <w:r w:rsidRPr="00B417BF">
        <w:rPr>
          <w:rFonts w:asciiTheme="minorHAnsi" w:hAnsiTheme="minorHAnsi"/>
        </w:rPr>
        <w:fldChar w:fldCharType="end"/>
      </w:r>
      <w:r w:rsidRPr="00B417BF">
        <w:rPr>
          <w:rFonts w:asciiTheme="minorHAnsi" w:hAnsiTheme="minorHAnsi"/>
        </w:rPr>
        <w:t xml:space="preserve">  Th</w:t>
      </w:r>
      <w:r w:rsidR="00E94362">
        <w:rPr>
          <w:rFonts w:asciiTheme="minorHAnsi" w:hAnsiTheme="minorHAnsi"/>
        </w:rPr>
        <w:t>e</w:t>
      </w:r>
      <w:r w:rsidRPr="00B417BF">
        <w:rPr>
          <w:rFonts w:asciiTheme="minorHAnsi" w:hAnsiTheme="minorHAnsi"/>
        </w:rPr>
        <w:t xml:space="preserve"> decrease in perceived stress pertaining to learning translate</w:t>
      </w:r>
      <w:r w:rsidR="002F2356">
        <w:rPr>
          <w:rFonts w:asciiTheme="minorHAnsi" w:hAnsiTheme="minorHAnsi"/>
        </w:rPr>
        <w:t>s</w:t>
      </w:r>
      <w:r w:rsidR="00E94362">
        <w:rPr>
          <w:rFonts w:asciiTheme="minorHAnsi" w:hAnsiTheme="minorHAnsi"/>
        </w:rPr>
        <w:t xml:space="preserve"> into the ability to</w:t>
      </w:r>
      <w:r w:rsidRPr="00B417BF">
        <w:rPr>
          <w:rFonts w:asciiTheme="minorHAnsi" w:hAnsiTheme="minorHAnsi"/>
        </w:rPr>
        <w:t xml:space="preserve"> continue learning</w:t>
      </w:r>
      <w:r w:rsidR="00D2124E" w:rsidRPr="00B417BF">
        <w:rPr>
          <w:rFonts w:asciiTheme="minorHAnsi" w:hAnsiTheme="minorHAnsi"/>
        </w:rPr>
        <w:t xml:space="preserve"> </w:t>
      </w:r>
      <w:r w:rsidR="00E802AC">
        <w:rPr>
          <w:rFonts w:asciiTheme="minorHAnsi" w:hAnsiTheme="minorHAnsi"/>
        </w:rPr>
        <w:t xml:space="preserve">and </w:t>
      </w:r>
      <w:r w:rsidRPr="00B417BF">
        <w:rPr>
          <w:rFonts w:asciiTheme="minorHAnsi" w:hAnsiTheme="minorHAnsi"/>
        </w:rPr>
        <w:t xml:space="preserve">adapt to challenges.  Students with deep learning skills also </w:t>
      </w:r>
      <w:r w:rsidR="00E94362">
        <w:rPr>
          <w:rFonts w:asciiTheme="minorHAnsi" w:hAnsiTheme="minorHAnsi"/>
        </w:rPr>
        <w:t xml:space="preserve">tend to </w:t>
      </w:r>
      <w:r w:rsidRPr="00B417BF">
        <w:rPr>
          <w:rFonts w:asciiTheme="minorHAnsi" w:hAnsiTheme="minorHAnsi"/>
        </w:rPr>
        <w:t>accurately evaluate their o</w:t>
      </w:r>
      <w:r w:rsidR="00F459DB" w:rsidRPr="00B417BF">
        <w:rPr>
          <w:rFonts w:asciiTheme="minorHAnsi" w:hAnsiTheme="minorHAnsi"/>
        </w:rPr>
        <w:t>wn competence and skill mastery which</w:t>
      </w:r>
      <w:r w:rsidRPr="00B417BF">
        <w:rPr>
          <w:rFonts w:asciiTheme="minorHAnsi" w:hAnsiTheme="minorHAnsi"/>
        </w:rPr>
        <w:t xml:space="preserve"> decreases</w:t>
      </w:r>
      <w:r w:rsidR="00D2124E" w:rsidRPr="00B417BF">
        <w:rPr>
          <w:rFonts w:asciiTheme="minorHAnsi" w:hAnsiTheme="minorHAnsi"/>
        </w:rPr>
        <w:t xml:space="preserve"> </w:t>
      </w:r>
      <w:r w:rsidRPr="00B417BF">
        <w:rPr>
          <w:rFonts w:asciiTheme="minorHAnsi" w:hAnsiTheme="minorHAnsi"/>
        </w:rPr>
        <w:t>anxiety surrounding new tasks</w:t>
      </w:r>
      <w:r w:rsidR="001668D4">
        <w:rPr>
          <w:rFonts w:asciiTheme="minorHAnsi" w:hAnsiTheme="minorHAnsi"/>
        </w:rPr>
        <w:t>.</w:t>
      </w:r>
      <w:r w:rsidRPr="00B417BF">
        <w:rPr>
          <w:rFonts w:asciiTheme="minorHAnsi" w:hAnsiTheme="minorHAnsi"/>
        </w:rPr>
        <w:fldChar w:fldCharType="begin"/>
      </w:r>
      <w:r w:rsidR="002F2356">
        <w:rPr>
          <w:rFonts w:asciiTheme="minorHAnsi" w:hAnsiTheme="minorHAnsi"/>
        </w:rPr>
        <w:instrText xml:space="preserve"> ADDIN ZOTERO_ITEM CSL_CITATION {"citationID":"6oUeG17C","properties":{"formattedCitation":"\\super 51\\nosupersub{}","plainCitation":"51","noteIndex":0},"citationItems":[{"id":680,"uris":["http://zotero.org/users/1143701/items/98TM736U"],"uri":["http://zotero.org/users/1143701/items/98TM736U"],"itemData":{"id":680,"type":"article-journal","title":"Assessing ‘inexperienced’ students' ability to self‐assess: exploring links with learning style and academic personal control","container-title":"Assessment &amp; Evaluation in Higher Education","page":"313-330","volume":"32","issue":"3","source":"CrossRef","URL":"http://www.tandfonline.com/doi/abs/10.1080/02602930600896704","DOI":"10.1080/02602930600896704","ISSN":"0260-2938, 1469-297X","shortTitle":"Assessing ‘inexperienced’ students' ability to self‐assess","language":"en","author":[{"family":"Cassidy","given":"Simon"}],"issued":{"date-parts":[["2007",6]]},"accessed":{"date-parts":[["2016",8,2]]}}}],"schema":"https://github.com/citation-style-language/schema/raw/master/csl-citation.json"} </w:instrText>
      </w:r>
      <w:r w:rsidRPr="00B417BF">
        <w:rPr>
          <w:rFonts w:asciiTheme="minorHAnsi" w:hAnsiTheme="minorHAnsi"/>
        </w:rPr>
        <w:fldChar w:fldCharType="separate"/>
      </w:r>
      <w:r w:rsidR="002F2356" w:rsidRPr="002F2356">
        <w:rPr>
          <w:rFonts w:ascii="Cambria" w:hAnsiTheme="minorHAnsi"/>
          <w:vertAlign w:val="superscript"/>
        </w:rPr>
        <w:t>51</w:t>
      </w:r>
      <w:r w:rsidRPr="00B417BF">
        <w:rPr>
          <w:rFonts w:asciiTheme="minorHAnsi" w:hAnsiTheme="minorHAnsi"/>
        </w:rPr>
        <w:fldChar w:fldCharType="end"/>
      </w:r>
    </w:p>
    <w:p w14:paraId="3C521420" w14:textId="77777777" w:rsidR="00FA004E" w:rsidRPr="00B417BF" w:rsidRDefault="00FA004E" w:rsidP="00FA004E">
      <w:pPr>
        <w:spacing w:line="480" w:lineRule="auto"/>
        <w:rPr>
          <w:rFonts w:asciiTheme="minorHAnsi" w:hAnsiTheme="minorHAnsi"/>
        </w:rPr>
      </w:pPr>
    </w:p>
    <w:p w14:paraId="33DADE4D" w14:textId="001950BE" w:rsidR="00FA004E" w:rsidRPr="00B417BF" w:rsidRDefault="00FA004E" w:rsidP="00FA004E">
      <w:pPr>
        <w:spacing w:line="480" w:lineRule="auto"/>
        <w:rPr>
          <w:rFonts w:asciiTheme="minorHAnsi" w:hAnsiTheme="minorHAnsi"/>
        </w:rPr>
      </w:pPr>
      <w:r w:rsidRPr="00B417BF">
        <w:rPr>
          <w:rFonts w:asciiTheme="minorHAnsi" w:hAnsiTheme="minorHAnsi"/>
        </w:rPr>
        <w:t>Several researchers</w:t>
      </w:r>
      <w:r w:rsidR="00E94362">
        <w:rPr>
          <w:rFonts w:asciiTheme="minorHAnsi" w:hAnsiTheme="minorHAnsi"/>
        </w:rPr>
        <w:t xml:space="preserve"> have</w:t>
      </w:r>
      <w:r w:rsidRPr="00B417BF">
        <w:rPr>
          <w:rFonts w:asciiTheme="minorHAnsi" w:hAnsiTheme="minorHAnsi"/>
        </w:rPr>
        <w:t xml:space="preserve"> demonstrated that </w:t>
      </w:r>
      <w:r w:rsidR="00F459DB" w:rsidRPr="00B417BF">
        <w:rPr>
          <w:rFonts w:asciiTheme="minorHAnsi" w:hAnsiTheme="minorHAnsi"/>
        </w:rPr>
        <w:t xml:space="preserve">deep learning and adaptability </w:t>
      </w:r>
      <w:r w:rsidRPr="00B417BF">
        <w:rPr>
          <w:rFonts w:asciiTheme="minorHAnsi" w:hAnsiTheme="minorHAnsi"/>
        </w:rPr>
        <w:t xml:space="preserve">can be modified at various points. </w:t>
      </w:r>
      <w:r w:rsidR="008709C6" w:rsidRPr="00B417BF">
        <w:rPr>
          <w:rFonts w:asciiTheme="minorHAnsi" w:hAnsiTheme="minorHAnsi"/>
          <w:color w:val="FF0000"/>
        </w:rPr>
        <w:t xml:space="preserve"> </w:t>
      </w:r>
      <w:r w:rsidRPr="00B417BF">
        <w:rPr>
          <w:rFonts w:asciiTheme="minorHAnsi" w:hAnsiTheme="minorHAnsi"/>
        </w:rPr>
        <w:t xml:space="preserve">Kumar and Chacko </w:t>
      </w:r>
      <w:r w:rsidR="00F459DB" w:rsidRPr="00B417BF">
        <w:rPr>
          <w:rFonts w:asciiTheme="minorHAnsi" w:hAnsiTheme="minorHAnsi"/>
        </w:rPr>
        <w:t xml:space="preserve">demonstrated the implementation of </w:t>
      </w:r>
      <w:r w:rsidRPr="00B417BF">
        <w:rPr>
          <w:rFonts w:asciiTheme="minorHAnsi" w:hAnsiTheme="minorHAnsi"/>
        </w:rPr>
        <w:t xml:space="preserve">learning </w:t>
      </w:r>
      <w:r w:rsidR="00E802AC">
        <w:rPr>
          <w:rFonts w:asciiTheme="minorHAnsi" w:hAnsiTheme="minorHAnsi"/>
        </w:rPr>
        <w:t>skill</w:t>
      </w:r>
      <w:r w:rsidRPr="00B417BF">
        <w:rPr>
          <w:rFonts w:asciiTheme="minorHAnsi" w:hAnsiTheme="minorHAnsi"/>
        </w:rPr>
        <w:t xml:space="preserve"> awareness training that positively impacted student awareness and study skills.</w:t>
      </w:r>
      <w:r w:rsidR="000A24D1">
        <w:rPr>
          <w:rFonts w:asciiTheme="minorHAnsi" w:hAnsiTheme="minorHAnsi"/>
        </w:rPr>
        <w:fldChar w:fldCharType="begin"/>
      </w:r>
      <w:r w:rsidR="000A24D1">
        <w:rPr>
          <w:rFonts w:asciiTheme="minorHAnsi" w:hAnsiTheme="minorHAnsi"/>
        </w:rPr>
        <w:instrText xml:space="preserve"> ADDIN ZOTERO_ITEM CSL_CITATION {"citationID":"an3gev44qk","properties":{"formattedCitation":"\\super 60\\nosupersub{}","plainCitation":"60","noteIndex":0},"citationItems":[{"id":685,"uris":["http://zotero.org/users/1143701/items/ERZ2IZWZ"],"uri":["http://zotero.org/users/1143701/items/ERZ2IZWZ"],"itemData":{"id":685,"type":"article-journal","title":"Using appreciative inquiry on learning styles to facilitate student learning","container-title":"Medical Education","page":"1121-1122","volume":"44","issue":"11","source":"Wiley Online Library","URL":"http://onlinelibrary.wiley.com/doi/10.1111/j.1365-2923.2010.03842.x/abstract","DOI":"10.1111/j.1365-2923.2010.03842.x","ISSN":"1365-2923","language":"en","author":[{"family":"Kumar","given":"Latha Rajendra"},{"family":"Chacko","given":"Thomas V"}],"issued":{"date-parts":[["2010",11,1]]},"accessed":{"date-parts":[["2016",8,2]]}}}],"schema":"https://github.com/citation-style-language/schema/raw/master/csl-citation.json"} </w:instrText>
      </w:r>
      <w:r w:rsidR="000A24D1">
        <w:rPr>
          <w:rFonts w:asciiTheme="minorHAnsi" w:hAnsiTheme="minorHAnsi"/>
        </w:rPr>
        <w:fldChar w:fldCharType="separate"/>
      </w:r>
      <w:r w:rsidR="000A24D1" w:rsidRPr="002F2356">
        <w:rPr>
          <w:rFonts w:ascii="Cambria" w:hAnsiTheme="minorHAnsi"/>
          <w:vertAlign w:val="superscript"/>
        </w:rPr>
        <w:t>60</w:t>
      </w:r>
      <w:r w:rsidR="000A24D1">
        <w:rPr>
          <w:rFonts w:asciiTheme="minorHAnsi" w:hAnsiTheme="minorHAnsi"/>
        </w:rPr>
        <w:fldChar w:fldCharType="end"/>
      </w:r>
      <w:r w:rsidRPr="00B417BF">
        <w:rPr>
          <w:rFonts w:asciiTheme="minorHAnsi" w:hAnsiTheme="minorHAnsi"/>
        </w:rPr>
        <w:t xml:space="preserve"> </w:t>
      </w:r>
      <w:r w:rsidR="008709C6" w:rsidRPr="00B417BF">
        <w:rPr>
          <w:rFonts w:asciiTheme="minorHAnsi" w:hAnsiTheme="minorHAnsi"/>
        </w:rPr>
        <w:t xml:space="preserve"> </w:t>
      </w:r>
      <w:r w:rsidRPr="00B417BF">
        <w:rPr>
          <w:rFonts w:asciiTheme="minorHAnsi" w:hAnsiTheme="minorHAnsi"/>
        </w:rPr>
        <w:t>Similarly, Moffat et a</w:t>
      </w:r>
      <w:r w:rsidR="001668D4">
        <w:rPr>
          <w:rFonts w:asciiTheme="minorHAnsi" w:hAnsiTheme="minorHAnsi"/>
        </w:rPr>
        <w:t>l.</w:t>
      </w:r>
      <w:r w:rsidR="00645AF8" w:rsidRPr="00645AF8">
        <w:rPr>
          <w:rFonts w:asciiTheme="minorHAnsi" w:hAnsiTheme="minorHAnsi"/>
        </w:rPr>
        <w:t xml:space="preserve"> </w:t>
      </w:r>
      <w:r w:rsidR="00B94C97">
        <w:rPr>
          <w:rFonts w:asciiTheme="minorHAnsi" w:hAnsiTheme="minorHAnsi"/>
        </w:rPr>
        <w:t>managed</w:t>
      </w:r>
      <w:r w:rsidRPr="00B417BF">
        <w:rPr>
          <w:rFonts w:asciiTheme="minorHAnsi" w:hAnsiTheme="minorHAnsi"/>
        </w:rPr>
        <w:t xml:space="preserve"> to </w:t>
      </w:r>
      <w:r w:rsidR="00B94C97">
        <w:rPr>
          <w:rFonts w:asciiTheme="minorHAnsi" w:hAnsiTheme="minorHAnsi"/>
        </w:rPr>
        <w:t xml:space="preserve">explicitly </w:t>
      </w:r>
      <w:r w:rsidRPr="00B417BF">
        <w:rPr>
          <w:rFonts w:asciiTheme="minorHAnsi" w:hAnsiTheme="minorHAnsi"/>
        </w:rPr>
        <w:t xml:space="preserve">train students </w:t>
      </w:r>
      <w:r w:rsidR="00A16E61">
        <w:rPr>
          <w:rFonts w:asciiTheme="minorHAnsi" w:hAnsiTheme="minorHAnsi"/>
        </w:rPr>
        <w:t>to better manage stress</w:t>
      </w:r>
      <w:r w:rsidRPr="00B417BF">
        <w:rPr>
          <w:rFonts w:asciiTheme="minorHAnsi" w:hAnsiTheme="minorHAnsi"/>
        </w:rPr>
        <w:t>.</w:t>
      </w:r>
      <w:r w:rsidR="00645AF8" w:rsidRPr="00B417BF">
        <w:rPr>
          <w:rFonts w:asciiTheme="minorHAnsi" w:hAnsiTheme="minorHAnsi"/>
        </w:rPr>
        <w:fldChar w:fldCharType="begin"/>
      </w:r>
      <w:r w:rsidR="00645AF8">
        <w:rPr>
          <w:rFonts w:asciiTheme="minorHAnsi" w:hAnsiTheme="minorHAnsi"/>
        </w:rPr>
        <w:instrText xml:space="preserve"> ADDIN ZOTERO_ITEM CSL_CITATION {"citationID":"hJJOdQJ4","properties":{"formattedCitation":"\\super 61\\nosupersub{}","plainCitation":"61","noteIndex":0},"citationItems":[{"id":105,"uris":["http://zotero.org/users/1143701/items/Q3HWJFQZ"],"uri":["http://zotero.org/users/1143701/items/Q3HWJFQZ"],"itemData":{"id":105,"type":"article-journal","title":"Students' perceptions of educational environment: a comparison of academic achievers and under-achievers at kasturba medical college, India","container-title":"Education for Health (Abingdon, England)","page":"280-291","volume":"17","issue":"3","source":"PubMed","abstract":"CONTEXT: No country, least of all poorly resourced countries such as India, can afford to lose too many medical students in their undergraduate years. It would be useful to have an instrument to identify those students who are vulnerable to academic failure at this level of training and to identify the features of the educational environment that they perceive differently from students who are succeeding academically in order to design intervention strategies. Gender differences in perceptions of the educational environment might well emerge in particular academic or cultural contexts, with particular curricula. The present study was motivated by this concern and focused on comparisons between academic achievers and under-achievers and male and female students of Kasturba Medical College, India.\nOBJECTIVES: (1) To compare the perceptions of the educational environment of academic achievers and under-achievers and to identify problem areas that should be remediated. (2) To identify whether there is any gender difference in the perceptions.\nMETHODS: The Dundee Ready Educational Environment Measure (DREEM) was administered to 508 medical students studying in the clinical years at the Kasturba Medical College in India. Item as well as scale scores were compared between academic achievers and under-achievers.\nFINDINGS: Overall sample of the present study rated educational environment in this institution as average. The overall mean DREEM score was significantly higher for academic achievers. Compared to under-achievers, academic achievers scored significantly higher on perceptions regarding teachers, academic atmosphere and social self-perceptions. In addition to this, the overall rating (total DREEM score) of female students was significantly less compared to males in the academically vulnerable group.\nCONCLUSIONS: Perceptions of poor performers are significantly different from those of better performers in the same institution. More importance should be given to the perceptions of students to improve the educational environment, as perceptions are associated positively with learning outcome, learning approach and attitude toward studying. Use of the DREEM as a monitoring tool might permit timely interventions to remediate problematic educational environments.","DOI":"10.1080/13576280400002445","ISSN":"1357-6283","note":"PMID: 15848815","shortTitle":"Students' perceptions of educational environment","journalAbbreviation":"Educ Health (Abingdon)","language":"eng","author":[{"family":"Mayya","given":"Shreemathi"},{"family":"Roff","given":"Sue"}],"issued":{"date-parts":[["2004",11]]}}}],"schema":"https://github.com/citation-style-language/schema/raw/master/csl-citation.json"} </w:instrText>
      </w:r>
      <w:r w:rsidR="00645AF8" w:rsidRPr="00B417BF">
        <w:rPr>
          <w:rFonts w:asciiTheme="minorHAnsi" w:hAnsiTheme="minorHAnsi"/>
        </w:rPr>
        <w:fldChar w:fldCharType="separate"/>
      </w:r>
      <w:r w:rsidR="00645AF8" w:rsidRPr="002F2356">
        <w:rPr>
          <w:rFonts w:ascii="Cambria" w:hAnsiTheme="minorHAnsi"/>
          <w:vertAlign w:val="superscript"/>
        </w:rPr>
        <w:t>61</w:t>
      </w:r>
      <w:r w:rsidR="00645AF8" w:rsidRPr="00B417BF">
        <w:rPr>
          <w:rFonts w:asciiTheme="minorHAnsi" w:hAnsiTheme="minorHAnsi"/>
        </w:rPr>
        <w:fldChar w:fldCharType="end"/>
      </w:r>
      <w:r w:rsidRPr="00B417BF">
        <w:rPr>
          <w:rFonts w:asciiTheme="minorHAnsi" w:hAnsiTheme="minorHAnsi"/>
        </w:rPr>
        <w:t xml:space="preserve">  Studies demonstrating the ability of students to initiate </w:t>
      </w:r>
      <w:r w:rsidR="00B94C97">
        <w:rPr>
          <w:rFonts w:asciiTheme="minorHAnsi" w:hAnsiTheme="minorHAnsi"/>
        </w:rPr>
        <w:t xml:space="preserve">novel metacognitive strategies are not pertinent to </w:t>
      </w:r>
      <w:r w:rsidR="00B94C97">
        <w:rPr>
          <w:rFonts w:asciiTheme="minorHAnsi" w:hAnsiTheme="minorHAnsi"/>
        </w:rPr>
        <w:lastRenderedPageBreak/>
        <w:t>this study</w:t>
      </w:r>
      <w:r w:rsidRPr="00B417BF">
        <w:rPr>
          <w:rFonts w:asciiTheme="minorHAnsi" w:hAnsiTheme="minorHAnsi"/>
        </w:rPr>
        <w:t xml:space="preserve">.  </w:t>
      </w:r>
      <w:r w:rsidR="00F459DB" w:rsidRPr="00B417BF">
        <w:rPr>
          <w:rFonts w:asciiTheme="minorHAnsi" w:hAnsiTheme="minorHAnsi"/>
        </w:rPr>
        <w:t>Students</w:t>
      </w:r>
      <w:r w:rsidRPr="00B417BF">
        <w:rPr>
          <w:rFonts w:asciiTheme="minorHAnsi" w:hAnsiTheme="minorHAnsi"/>
        </w:rPr>
        <w:t xml:space="preserve"> may lack the </w:t>
      </w:r>
      <w:r w:rsidR="00F459DB" w:rsidRPr="00B417BF">
        <w:rPr>
          <w:rFonts w:asciiTheme="minorHAnsi" w:hAnsiTheme="minorHAnsi"/>
        </w:rPr>
        <w:t>knowledge and skills</w:t>
      </w:r>
      <w:r w:rsidRPr="00B417BF">
        <w:rPr>
          <w:rFonts w:asciiTheme="minorHAnsi" w:hAnsiTheme="minorHAnsi"/>
        </w:rPr>
        <w:t xml:space="preserve"> to seek support </w:t>
      </w:r>
      <w:r w:rsidR="00F459DB" w:rsidRPr="00B417BF">
        <w:rPr>
          <w:rFonts w:asciiTheme="minorHAnsi" w:hAnsiTheme="minorHAnsi"/>
        </w:rPr>
        <w:t>or</w:t>
      </w:r>
      <w:r w:rsidRPr="00B417BF">
        <w:rPr>
          <w:rFonts w:asciiTheme="minorHAnsi" w:hAnsiTheme="minorHAnsi"/>
        </w:rPr>
        <w:t xml:space="preserve"> </w:t>
      </w:r>
      <w:r w:rsidR="00F459DB" w:rsidRPr="00B417BF">
        <w:rPr>
          <w:rFonts w:asciiTheme="minorHAnsi" w:hAnsiTheme="minorHAnsi"/>
        </w:rPr>
        <w:t>know how</w:t>
      </w:r>
      <w:r w:rsidRPr="00B417BF">
        <w:rPr>
          <w:rFonts w:asciiTheme="minorHAnsi" w:hAnsiTheme="minorHAnsi"/>
        </w:rPr>
        <w:t xml:space="preserve"> to initiate positive change and academic improvement. </w:t>
      </w:r>
    </w:p>
    <w:p w14:paraId="6E8F0AA2" w14:textId="77777777" w:rsidR="00FA004E" w:rsidRPr="00B417BF" w:rsidRDefault="00FA004E" w:rsidP="00FA004E">
      <w:pPr>
        <w:spacing w:line="480" w:lineRule="auto"/>
        <w:rPr>
          <w:rFonts w:asciiTheme="minorHAnsi" w:hAnsiTheme="minorHAnsi"/>
        </w:rPr>
      </w:pPr>
    </w:p>
    <w:p w14:paraId="0097E0D1" w14:textId="7C51CA1E" w:rsidR="00FA004E" w:rsidRPr="00B417BF" w:rsidRDefault="002E6792" w:rsidP="00FA004E">
      <w:pPr>
        <w:spacing w:line="480" w:lineRule="auto"/>
        <w:rPr>
          <w:rFonts w:asciiTheme="minorHAnsi" w:hAnsiTheme="minorHAnsi"/>
        </w:rPr>
      </w:pPr>
      <w:r>
        <w:rPr>
          <w:rFonts w:asciiTheme="minorHAnsi" w:hAnsiTheme="minorHAnsi"/>
        </w:rPr>
        <w:t>Help-seeking</w:t>
      </w:r>
      <w:r w:rsidR="00FA004E" w:rsidRPr="00B417BF">
        <w:rPr>
          <w:rFonts w:asciiTheme="minorHAnsi" w:hAnsiTheme="minorHAnsi"/>
        </w:rPr>
        <w:t>:</w:t>
      </w:r>
    </w:p>
    <w:p w14:paraId="5D985E0F" w14:textId="3948D464" w:rsidR="00FA004E" w:rsidRPr="00B417BF" w:rsidRDefault="002E6792" w:rsidP="00FA004E">
      <w:pPr>
        <w:spacing w:line="480" w:lineRule="auto"/>
        <w:rPr>
          <w:rFonts w:asciiTheme="minorHAnsi" w:hAnsiTheme="minorHAnsi"/>
        </w:rPr>
      </w:pPr>
      <w:r>
        <w:rPr>
          <w:rFonts w:asciiTheme="minorHAnsi" w:hAnsiTheme="minorHAnsi"/>
        </w:rPr>
        <w:t>Help-seeking</w:t>
      </w:r>
      <w:r w:rsidR="00FA004E" w:rsidRPr="00B417BF">
        <w:rPr>
          <w:rFonts w:asciiTheme="minorHAnsi" w:hAnsiTheme="minorHAnsi"/>
        </w:rPr>
        <w:t xml:space="preserve"> behaviors </w:t>
      </w:r>
      <w:r w:rsidR="00A16E61">
        <w:rPr>
          <w:rFonts w:asciiTheme="minorHAnsi" w:hAnsiTheme="minorHAnsi"/>
        </w:rPr>
        <w:t>can be defined as th</w:t>
      </w:r>
      <w:r w:rsidR="002F2356">
        <w:rPr>
          <w:rFonts w:asciiTheme="minorHAnsi" w:hAnsiTheme="minorHAnsi"/>
        </w:rPr>
        <w:t>ose</w:t>
      </w:r>
      <w:r w:rsidR="00A16E61">
        <w:rPr>
          <w:rFonts w:asciiTheme="minorHAnsi" w:hAnsiTheme="minorHAnsi"/>
        </w:rPr>
        <w:t xml:space="preserve"> times when</w:t>
      </w:r>
      <w:r w:rsidR="00FA004E" w:rsidRPr="00B417BF">
        <w:rPr>
          <w:rFonts w:asciiTheme="minorHAnsi" w:hAnsiTheme="minorHAnsi"/>
        </w:rPr>
        <w:t xml:space="preserve"> individual</w:t>
      </w:r>
      <w:r w:rsidR="00A16E61">
        <w:rPr>
          <w:rFonts w:asciiTheme="minorHAnsi" w:hAnsiTheme="minorHAnsi"/>
        </w:rPr>
        <w:t>s</w:t>
      </w:r>
      <w:r w:rsidR="00FA004E" w:rsidRPr="00B417BF">
        <w:rPr>
          <w:rFonts w:asciiTheme="minorHAnsi" w:hAnsiTheme="minorHAnsi"/>
        </w:rPr>
        <w:t xml:space="preserve"> seek out additional assistance outside of their daily routine.</w:t>
      </w:r>
      <w:r w:rsidR="00FA004E" w:rsidRPr="00B417BF">
        <w:rPr>
          <w:rFonts w:asciiTheme="minorHAnsi" w:hAnsiTheme="minorHAnsi"/>
        </w:rPr>
        <w:fldChar w:fldCharType="begin"/>
      </w:r>
      <w:r w:rsidR="002F2356">
        <w:rPr>
          <w:rFonts w:asciiTheme="minorHAnsi" w:hAnsiTheme="minorHAnsi"/>
        </w:rPr>
        <w:instrText xml:space="preserve"> ADDIN ZOTERO_ITEM CSL_CITATION {"citationID":"28ppf1c0ap","properties":{"formattedCitation":"\\super 62\\nosupersub{}","plainCitation":"62","noteIndex":0},"citationItems":[{"id":108,"uris":["http://zotero.org/users/1143701/items/S8RIUFJV"],"uri":["http://zotero.org/users/1143701/items/S8RIUFJV"],"itemData":{"id":108,"type":"article-journal","title":"\"Should I Ask for Help?\" The Role of Motivation and Attitudes in Adolescents' Help Seeking in Math Class","container-title":"Journal of Educational Psychology","page":"329-41","volume":"89","issue":"2","source":"EBSCOhost","abstract":"Motivational influences on help-seeking behavior in mathematics were studied with 203 seventh and eighth graders. Perceived benefits and threats were important influences on avoidance of help-seeking behavior, but only benefits predicted adaptive help seeking. Social competence had an indirect effect on avoidance of help seeking. (SLD)","URL":"http://libraries.ou.edu/access.aspx?url=http://search.ebscohost.com/login.aspx?direct=true&amp;db=eric&amp;AN=EJ550057&amp;site=ehost-live","ISSN":"0022-0663","shortTitle":"\"Should I Ask for Help?","journalAbbreviation":"Journal of Educational Psychology","author":[{"family":"Ryan","given":"Allison M."},{"family":"Pintrich","given":"Paul R."}],"issued":{"date-parts":[["1997",6,1]]},"accessed":{"date-parts":[["2014",10,5]]}}}],"schema":"https://github.com/citation-style-language/schema/raw/master/csl-citation.json"} </w:instrText>
      </w:r>
      <w:r w:rsidR="00FA004E" w:rsidRPr="00B417BF">
        <w:rPr>
          <w:rFonts w:asciiTheme="minorHAnsi" w:hAnsiTheme="minorHAnsi"/>
        </w:rPr>
        <w:fldChar w:fldCharType="separate"/>
      </w:r>
      <w:r w:rsidR="002F2356" w:rsidRPr="002F2356">
        <w:rPr>
          <w:rFonts w:ascii="Cambria" w:hAnsiTheme="minorHAnsi"/>
          <w:vertAlign w:val="superscript"/>
        </w:rPr>
        <w:t>62</w:t>
      </w:r>
      <w:r w:rsidR="00FA004E" w:rsidRPr="00B417BF">
        <w:rPr>
          <w:rFonts w:asciiTheme="minorHAnsi" w:hAnsiTheme="minorHAnsi"/>
        </w:rPr>
        <w:fldChar w:fldCharType="end"/>
      </w:r>
      <w:r w:rsidR="00FA004E" w:rsidRPr="00B417BF">
        <w:rPr>
          <w:rFonts w:asciiTheme="minorHAnsi" w:hAnsiTheme="minorHAnsi"/>
          <w:vertAlign w:val="superscript"/>
        </w:rPr>
        <w:t>,</w:t>
      </w:r>
      <w:r w:rsidR="00FA004E" w:rsidRPr="00B417BF">
        <w:rPr>
          <w:rFonts w:asciiTheme="minorHAnsi" w:hAnsiTheme="minorHAnsi"/>
        </w:rPr>
        <w:fldChar w:fldCharType="begin"/>
      </w:r>
      <w:r w:rsidR="002C6551">
        <w:rPr>
          <w:rFonts w:asciiTheme="minorHAnsi" w:hAnsiTheme="minorHAnsi"/>
        </w:rPr>
        <w:instrText xml:space="preserve"> ADDIN ZOTERO_ITEM CSL_CITATION {"citationID":"14ais27tjk","properties":{"formattedCitation":"\\super 63\\nosupersub{}","plainCitation":"63","noteIndex":0},"citationItems":[{"id":"LTQK2Tdj/ETcHkLQ8","uris":["http://zotero.org/users/1143701/items/BJV23IE4"],"uri":["http://zotero.org/users/1143701/items/BJV23IE4"],"itemData":{"id":161,"type":"article-journal","title":"Medical students seeking medical help: a qualitative study.","container-title":"Medical Teacher","page":"164-6","volume":"32","issue":"2","source":"Ovid (Ovid MEDLINE(R))","abstract":"CONCLUSION: Medical students reflect on issues related to seeking medical help, their choice of GP and the decision whether to divulge they are medical students.","DOI":"http://dx.doi.org/10.3109/01421590903434177","shortTitle":"Medical students seeking medical help","author":[{"family":"Thistlethwaite","given":"J"},{"family":"Quirk","given":"F"},{"family":"Evans","given":"R"}],"issued":{"date-parts":[["2010"]]},"accessed":{"date-parts":[["2014",10,5]]}}}],"schema":"https://github.com/citation-style-language/schema/raw/master/csl-citation.json"} </w:instrText>
      </w:r>
      <w:r w:rsidR="00FA004E" w:rsidRPr="00B417BF">
        <w:rPr>
          <w:rFonts w:asciiTheme="minorHAnsi" w:hAnsiTheme="minorHAnsi"/>
        </w:rPr>
        <w:fldChar w:fldCharType="separate"/>
      </w:r>
      <w:r w:rsidR="002F2356" w:rsidRPr="002F2356">
        <w:rPr>
          <w:rFonts w:ascii="Cambria" w:hAnsiTheme="minorHAnsi"/>
          <w:vertAlign w:val="superscript"/>
        </w:rPr>
        <w:t>63</w:t>
      </w:r>
      <w:r w:rsidR="00FA004E" w:rsidRPr="00B417BF">
        <w:rPr>
          <w:rFonts w:asciiTheme="minorHAnsi" w:hAnsiTheme="minorHAnsi"/>
        </w:rPr>
        <w:fldChar w:fldCharType="end"/>
      </w:r>
      <w:r w:rsidR="00FA004E" w:rsidRPr="00B417BF">
        <w:rPr>
          <w:rFonts w:asciiTheme="minorHAnsi" w:hAnsiTheme="minorHAnsi"/>
          <w:vertAlign w:val="superscript"/>
        </w:rPr>
        <w:t>,</w:t>
      </w:r>
      <w:r w:rsidR="00FA004E" w:rsidRPr="00B417BF">
        <w:rPr>
          <w:rFonts w:asciiTheme="minorHAnsi" w:hAnsiTheme="minorHAnsi"/>
        </w:rPr>
        <w:fldChar w:fldCharType="begin"/>
      </w:r>
      <w:r w:rsidR="002C6551">
        <w:rPr>
          <w:rFonts w:asciiTheme="minorHAnsi" w:hAnsiTheme="minorHAnsi"/>
        </w:rPr>
        <w:instrText xml:space="preserve"> ADDIN ZOTERO_ITEM CSL_CITATION {"citationID":"9lfk5a5m7","properties":{"formattedCitation":"\\super 64\\nosupersub{}","plainCitation":"64","noteIndex":0},"citationItems":[{"id":"LTQK2Tdj/3p8jKbDN","uris":["http://zotero.org/users/1143701/items/45N5SXSH"],"uri":["http://zotero.org/users/1143701/items/45N5SXSH"],"itemData":{"id":165,"type":"article-journal","title":"Academic help seeking: theory and strategies for nursing faculty. [Review] [35 refs]","container-title":"Journal of Nursing Education","page":"468-75","volume":"46","issue":"10","source":"Ovid (Ovid MEDLINE(R))","abstract":"This article examines the topic of academic student help seeking and its significance to nursing faculty. Content includes definitions of help seeking, pertinent theory and research on the influence of individual and environmental factors on academic help-seeking behaviors, and suggested strategies in assisting undergraduate nursing students in help seeking endeavors. [References: 35]","ISSN":"0148-4834","shortTitle":"Academic help seeking","author":[{"family":"Lee","given":"CJ"}],"issued":{"date-parts":[["2007",10]]},"accessed":{"date-parts":[["2014",10,5]]}}}],"schema":"https://github.com/citation-style-language/schema/raw/master/csl-citation.json"} </w:instrText>
      </w:r>
      <w:r w:rsidR="00FA004E" w:rsidRPr="00B417BF">
        <w:rPr>
          <w:rFonts w:asciiTheme="minorHAnsi" w:hAnsiTheme="minorHAnsi"/>
        </w:rPr>
        <w:fldChar w:fldCharType="separate"/>
      </w:r>
      <w:r w:rsidR="002F2356" w:rsidRPr="002F2356">
        <w:rPr>
          <w:rFonts w:ascii="Cambria" w:hAnsiTheme="minorHAnsi"/>
          <w:vertAlign w:val="superscript"/>
        </w:rPr>
        <w:t>64</w:t>
      </w:r>
      <w:r w:rsidR="00FA004E" w:rsidRPr="00B417BF">
        <w:rPr>
          <w:rFonts w:asciiTheme="minorHAnsi" w:hAnsiTheme="minorHAnsi"/>
        </w:rPr>
        <w:fldChar w:fldCharType="end"/>
      </w:r>
      <w:r w:rsidR="00B94C97">
        <w:rPr>
          <w:rFonts w:asciiTheme="minorHAnsi" w:hAnsiTheme="minorHAnsi"/>
        </w:rPr>
        <w:t xml:space="preserve">  For d</w:t>
      </w:r>
      <w:r w:rsidR="00FA004E" w:rsidRPr="00B417BF">
        <w:rPr>
          <w:rFonts w:asciiTheme="minorHAnsi" w:hAnsiTheme="minorHAnsi"/>
        </w:rPr>
        <w:t xml:space="preserve">ental and PA students, </w:t>
      </w:r>
      <w:r>
        <w:rPr>
          <w:rFonts w:asciiTheme="minorHAnsi" w:hAnsiTheme="minorHAnsi"/>
        </w:rPr>
        <w:t>help-seeking</w:t>
      </w:r>
      <w:r w:rsidR="00A16E61">
        <w:rPr>
          <w:rFonts w:asciiTheme="minorHAnsi" w:hAnsiTheme="minorHAnsi"/>
        </w:rPr>
        <w:t xml:space="preserve"> behaviors</w:t>
      </w:r>
      <w:r w:rsidR="00FA004E" w:rsidRPr="00B417BF">
        <w:rPr>
          <w:rFonts w:asciiTheme="minorHAnsi" w:hAnsiTheme="minorHAnsi"/>
        </w:rPr>
        <w:t xml:space="preserve"> </w:t>
      </w:r>
      <w:r w:rsidR="003A7CC1">
        <w:rPr>
          <w:rFonts w:asciiTheme="minorHAnsi" w:hAnsiTheme="minorHAnsi"/>
        </w:rPr>
        <w:t>include:</w:t>
      </w:r>
      <w:r w:rsidR="00FA004E" w:rsidRPr="00B417BF">
        <w:rPr>
          <w:rFonts w:asciiTheme="minorHAnsi" w:hAnsiTheme="minorHAnsi"/>
        </w:rPr>
        <w:t xml:space="preserve"> utilizing counseling, student services, extra tutoring, or online learning aides</w:t>
      </w:r>
      <w:r w:rsidR="001668D4">
        <w:rPr>
          <w:rFonts w:asciiTheme="minorHAnsi" w:hAnsiTheme="minorHAnsi"/>
        </w:rPr>
        <w:t>.</w:t>
      </w:r>
      <w:r w:rsidR="00FA004E" w:rsidRPr="00B417BF">
        <w:rPr>
          <w:rFonts w:asciiTheme="minorHAnsi" w:hAnsiTheme="minorHAnsi"/>
        </w:rPr>
        <w:fldChar w:fldCharType="begin"/>
      </w:r>
      <w:r w:rsidR="002C6551">
        <w:rPr>
          <w:rFonts w:asciiTheme="minorHAnsi" w:hAnsiTheme="minorHAnsi"/>
        </w:rPr>
        <w:instrText xml:space="preserve"> ADDIN ZOTERO_ITEM CSL_CITATION {"citationID":"2g3qs0i7vo","properties":{"formattedCitation":"\\super 63,65\\nosupersub{}","plainCitation":"63,65","noteIndex":0},"citationItems":[{"id":"LTQK2Tdj/qsmD77oQ","uris":["http://zotero.org/users/1143701/items/6F4JAP44"],"uri":["http://zotero.org/users/1143701/items/6F4JAP44"],"itemData":{"id":154,"type":"article-journal","title":"Treatment Utilization on College Campuses: Who Seeks Help for What?","container-title":"Journal of College Counseling","page":"258-274","volume":"16","issue":"3","source":"EBSCOhost","archive_location":"Wiley-Blackwell. 350 Main Street, Malden, MA 02148. Tel: 800-835-6770; Tel: 781-388-8598; Fax: 781-388-8232; e-mail: cs-journals@wiley.com; Web site: http://www.wiley.com/WileyCDA","abstract":"The purpose of this study was to develop a better understanding of why college students seek psychological treatment by examining indicators of psychological distress. A secondary goal was to assess the utility of screening for treatment need via a brief self-report measure of distress. Two samples (1 clinical, 1 nonclinical; N= 8,380) were examined via logistic regression analyses to identify meaningful predictors of treatment-seeking behavior. Clinical applications are discussed.","ISSN":"1099-0399","shortTitle":"Treatment Utilization on College Campuses","journalAbbreviation":"Journal of College Counseling","author":[{"family":"Nordberg","given":"Samuel S."},{"family":"Hayes","given":"Jeffrey A."},{"family":"McAleavey","given":"Andrew A."},{"family":"Castonguay","given":"Louis G."},{"family":"Locke","given":"Benjamin D."}],"issued":{"date-parts":[["2013",10,1]]},"accessed":{"date-parts":[["2014",10,5]]}}},{"id":"LTQK2Tdj/ETcHkLQ8","uris":["http://zotero.org/users/1143701/items/BJV23IE4"],"uri":["http://zotero.org/users/1143701/items/BJV23IE4"],"itemData":{"id":161,"type":"article-journal","title":"Medical students seeking medical help: a qualitative study.","container-title":"Medical Teacher","page":"164-6","volume":"32","issue":"2","source":"Ovid (Ovid MEDLINE(R))","abstract":"CONCLUSION: Medical students reflect on issues related to seeking medical help, their choice of GP and the decision whether to divulge they are medical students.","DOI":"http://dx.doi.org/10.3109/01421590903434177","shortTitle":"Medical students seeking medical help","author":[{"family":"Thistlethwaite","given":"J"},{"family":"Quirk","given":"F"},{"family":"Evans","given":"R"}],"issued":{"date-parts":[["2010"]]},"accessed":{"date-parts":[["2014",10,5]]}}}],"schema":"https://github.com/citation-style-language/schema/raw/master/csl-citation.json"} </w:instrText>
      </w:r>
      <w:r w:rsidR="00FA004E" w:rsidRPr="00B417BF">
        <w:rPr>
          <w:rFonts w:asciiTheme="minorHAnsi" w:hAnsiTheme="minorHAnsi"/>
        </w:rPr>
        <w:fldChar w:fldCharType="separate"/>
      </w:r>
      <w:r w:rsidR="002F2356" w:rsidRPr="002F2356">
        <w:rPr>
          <w:rFonts w:ascii="Cambria" w:hAnsiTheme="minorHAnsi"/>
          <w:vertAlign w:val="superscript"/>
        </w:rPr>
        <w:t>63,65</w:t>
      </w:r>
      <w:r w:rsidR="00FA004E" w:rsidRPr="00B417BF">
        <w:rPr>
          <w:rFonts w:asciiTheme="minorHAnsi" w:hAnsiTheme="minorHAnsi"/>
        </w:rPr>
        <w:fldChar w:fldCharType="end"/>
      </w:r>
      <w:r w:rsidR="00FA004E" w:rsidRPr="00B417BF">
        <w:rPr>
          <w:rFonts w:asciiTheme="minorHAnsi" w:hAnsiTheme="minorHAnsi"/>
        </w:rPr>
        <w:t xml:space="preserve">  Unfortunately, research </w:t>
      </w:r>
      <w:r w:rsidR="00F521B2">
        <w:rPr>
          <w:rFonts w:asciiTheme="minorHAnsi" w:hAnsiTheme="minorHAnsi"/>
        </w:rPr>
        <w:t>indicates</w:t>
      </w:r>
      <w:r w:rsidR="00FA004E" w:rsidRPr="00B417BF">
        <w:rPr>
          <w:rFonts w:asciiTheme="minorHAnsi" w:hAnsiTheme="minorHAnsi"/>
        </w:rPr>
        <w:t xml:space="preserve"> college and medical students are hesitant to display help-seeking behaviors for a variety of reasons</w:t>
      </w:r>
      <w:r w:rsidR="009320D2">
        <w:rPr>
          <w:rFonts w:asciiTheme="minorHAnsi" w:hAnsiTheme="minorHAnsi"/>
        </w:rPr>
        <w:t>.</w:t>
      </w:r>
      <w:r w:rsidR="00FA004E" w:rsidRPr="00B417BF">
        <w:rPr>
          <w:rFonts w:asciiTheme="minorHAnsi" w:hAnsiTheme="minorHAnsi"/>
          <w:vertAlign w:val="superscript"/>
        </w:rPr>
        <w:fldChar w:fldCharType="begin"/>
      </w:r>
      <w:r w:rsidR="002C6551">
        <w:rPr>
          <w:rFonts w:asciiTheme="minorHAnsi" w:hAnsiTheme="minorHAnsi"/>
          <w:vertAlign w:val="superscript"/>
        </w:rPr>
        <w:instrText xml:space="preserve"> ADDIN ZOTERO_ITEM CSL_CITATION {"citationID":"17l756muc9","properties":{"formattedCitation":"\\super 66\\nosupersub{}","plainCitation":"66","noteIndex":0},"citationItems":[{"id":"LTQK2Tdj/U5LhBcmi","uris":["http://zotero.org/users/1143701/items/WEE94QPU"],"uri":["http://zotero.org/users/1143701/items/WEE94QPU"],"itemData":{"id":364,"type":"article-journal","title":"Level of stress and common coping strategies among physician assistant students","container-title":"The Journal of Physician Assistant Education: The Official Journal of the Physician Assistant Education Association","page":"25-29","volume":"23","issue":"4","source":"NCBI PubMed","abstract":"PURPOSE: This study assessed levels of stress and coping strategies in physician assistant (PA) students.\nMETHODS: The study used a descriptive, cross-sectional design. Data were collected through an electronic survey that was sent to all current student members of the Texas Academy of Physician Assistants (N = 560). The Perceived Stress Scale was used to measure level of stress, and the Brief COPE Inventory was used to measure coping strategies.\nRESULTS: A total of 146 (26.3%) students participated in the study. Most respondents were female, young, single, and Caucasian/non-Hispanic. The mean stress score was 33.3, higher than that reported in the overall general US population. Areas of most concern included feeling nervous and stressed, feeling upset about unexpected happenings, and an inability to control life's irritations and manage personal problems. Self-distraction, venting, and self-blame were the most frequently used unhealthy coping strategies. Acceptance, active coping, and emotional support were the most frequently used positive coping strategies.\nCONCLUSION: The results of this study indicated that students in PA training experience higher levels of stress than the general population in the United States, making healthy coping strategies among PA students particularly important. The results of this study can inform future research, curriculum design, teaching methods, and educational intervention in PA training programs.","ISSN":"1941-9430","note":"PMID: 23437619","journalAbbreviation":"J Physician Assist Educ","language":"eng","author":[{"family":"O'Brien","given":"Lucille"},{"family":"Mathieson","given":"Kathleen"},{"family":"Leafman","given":"Joan"},{"family":"Rice-Spearman","given":"Lori"}],"issued":{"date-parts":[["2012"]]},"PMID":"23437619"}}],"schema":"https://github.com/citation-style-language/schema/raw/master/csl-citation.json"} </w:instrText>
      </w:r>
      <w:r w:rsidR="00FA004E" w:rsidRPr="00B417BF">
        <w:rPr>
          <w:rFonts w:asciiTheme="minorHAnsi" w:hAnsiTheme="minorHAnsi"/>
          <w:vertAlign w:val="superscript"/>
        </w:rPr>
        <w:fldChar w:fldCharType="separate"/>
      </w:r>
      <w:r w:rsidR="002F2356" w:rsidRPr="002F2356">
        <w:rPr>
          <w:rFonts w:ascii="Cambria" w:hAnsiTheme="minorHAnsi"/>
          <w:vertAlign w:val="superscript"/>
        </w:rPr>
        <w:t>66</w:t>
      </w:r>
      <w:r w:rsidR="00FA004E" w:rsidRPr="00B417BF">
        <w:rPr>
          <w:rFonts w:asciiTheme="minorHAnsi" w:hAnsiTheme="minorHAnsi"/>
          <w:vertAlign w:val="superscript"/>
        </w:rPr>
        <w:fldChar w:fldCharType="end"/>
      </w:r>
      <w:r w:rsidR="00FA004E" w:rsidRPr="00B417BF">
        <w:rPr>
          <w:rFonts w:asciiTheme="minorHAnsi" w:hAnsiTheme="minorHAnsi"/>
          <w:vertAlign w:val="superscript"/>
        </w:rPr>
        <w:t xml:space="preserve"> </w:t>
      </w:r>
      <w:r w:rsidR="00FA004E" w:rsidRPr="00B417BF">
        <w:rPr>
          <w:rFonts w:asciiTheme="minorHAnsi" w:hAnsiTheme="minorHAnsi"/>
        </w:rPr>
        <w:t xml:space="preserve"> Struggling students are often burdened with shame, denial, helplessness, and poor self-awareness of their predicament</w:t>
      </w:r>
      <w:r w:rsidR="003B5338">
        <w:rPr>
          <w:rFonts w:asciiTheme="minorHAnsi" w:hAnsiTheme="minorHAnsi"/>
        </w:rPr>
        <w:t>.</w:t>
      </w:r>
      <w:r w:rsidR="00FA004E" w:rsidRPr="00B417BF">
        <w:rPr>
          <w:rFonts w:asciiTheme="minorHAnsi" w:hAnsiTheme="minorHAnsi"/>
        </w:rPr>
        <w:fldChar w:fldCharType="begin"/>
      </w:r>
      <w:r w:rsidR="002F2356">
        <w:rPr>
          <w:rFonts w:asciiTheme="minorHAnsi" w:hAnsiTheme="minorHAnsi"/>
        </w:rPr>
        <w:instrText xml:space="preserve"> ADDIN ZOTERO_ITEM CSL_CITATION {"citationID":"1miruku9uk","properties":{"formattedCitation":"\\super 67\\nosupersub{}","plainCitation":"67","noteIndex":0},"citationItems":[{"id":159,"uris":["http://zotero.org/users/1143701/items/T9DAGHXX"],"uri":["http://zotero.org/users/1143701/items/T9DAGHXX"],"itemData":{"id":159,"type":"article-journal","title":"Mental distress, alcohol use and help-seeking among medical and business students: a cross-sectional comparative study.","container-title":"BMC Medical Education","source":"Ovid (Ovid MEDLINE(R))","abstract":"CONCLUSIONS: Medical students may not be more stressed than other high achieving student populations. The more cohesive structure of medical school and a higher awareness of a healthy lifestyle may be beneficial factors.","URL":"http://webproxy.ouhsc.edu/login?url=http://ovidsp.ovid.com/ovidweb.cgi?T=JS&amp;CSC=Y&amp;NEWS=N&amp;PAGE=fulltext&amp;D=medl&amp;AN=22059598","DOI":"http://dx.doi.org/10.1186/1472-6920-11-92","shortTitle":"Mental distress, alcohol use and help-seeking among medical and business students","author":[{"family":"Dahlin","given":"M"},{"family":"Nilsson","given":"C"},{"family":"Stotzer","given":"E"},{"family":"Runeson","given":"B"}],"issued":{"date-parts":[["2011"]]},"accessed":{"date-parts":[["2014",10,5]]}}}],"schema":"https://github.com/citation-style-language/schema/raw/master/csl-citation.json"} </w:instrText>
      </w:r>
      <w:r w:rsidR="00FA004E" w:rsidRPr="00B417BF">
        <w:rPr>
          <w:rFonts w:asciiTheme="minorHAnsi" w:hAnsiTheme="minorHAnsi"/>
        </w:rPr>
        <w:fldChar w:fldCharType="separate"/>
      </w:r>
      <w:r w:rsidR="002F2356" w:rsidRPr="002F2356">
        <w:rPr>
          <w:rFonts w:ascii="Cambria" w:hAnsiTheme="minorHAnsi"/>
          <w:vertAlign w:val="superscript"/>
        </w:rPr>
        <w:t>67</w:t>
      </w:r>
      <w:r w:rsidR="00FA004E" w:rsidRPr="00B417BF">
        <w:rPr>
          <w:rFonts w:asciiTheme="minorHAnsi" w:hAnsiTheme="minorHAnsi"/>
        </w:rPr>
        <w:fldChar w:fldCharType="end"/>
      </w:r>
      <w:r w:rsidR="00FA004E" w:rsidRPr="00B417BF">
        <w:rPr>
          <w:rFonts w:asciiTheme="minorHAnsi" w:hAnsiTheme="minorHAnsi"/>
        </w:rPr>
        <w:t xml:space="preserve">  Predictive tools to identify these students prior to academic problems could help prevent academic failure as well as mental and medical health issues such as depression, substance abuse, and isolation.  </w:t>
      </w:r>
      <w:r w:rsidR="004F578B" w:rsidRPr="00B417BF">
        <w:rPr>
          <w:rFonts w:asciiTheme="minorHAnsi" w:hAnsiTheme="minorHAnsi"/>
        </w:rPr>
        <w:t>Seeking intervention for</w:t>
      </w:r>
      <w:r w:rsidR="00FA004E" w:rsidRPr="00B417BF">
        <w:rPr>
          <w:rFonts w:asciiTheme="minorHAnsi" w:hAnsiTheme="minorHAnsi"/>
        </w:rPr>
        <w:t xml:space="preserve"> these more serious problems</w:t>
      </w:r>
      <w:r w:rsidR="00B84109">
        <w:rPr>
          <w:rFonts w:asciiTheme="minorHAnsi" w:hAnsiTheme="minorHAnsi"/>
        </w:rPr>
        <w:t xml:space="preserve"> may</w:t>
      </w:r>
      <w:r w:rsidR="00FA004E" w:rsidRPr="00B417BF">
        <w:rPr>
          <w:rFonts w:asciiTheme="minorHAnsi" w:hAnsiTheme="minorHAnsi"/>
        </w:rPr>
        <w:t xml:space="preserve"> require </w:t>
      </w:r>
      <w:r w:rsidR="004F578B" w:rsidRPr="00B417BF">
        <w:rPr>
          <w:rFonts w:asciiTheme="minorHAnsi" w:hAnsiTheme="minorHAnsi"/>
        </w:rPr>
        <w:t>reporting</w:t>
      </w:r>
      <w:r w:rsidR="00FA004E" w:rsidRPr="00B417BF">
        <w:rPr>
          <w:rFonts w:asciiTheme="minorHAnsi" w:hAnsiTheme="minorHAnsi"/>
        </w:rPr>
        <w:t xml:space="preserve"> to the supervising Medical Board</w:t>
      </w:r>
      <w:r w:rsidR="00B84109">
        <w:rPr>
          <w:rFonts w:asciiTheme="minorHAnsi" w:hAnsiTheme="minorHAnsi"/>
        </w:rPr>
        <w:t>,</w:t>
      </w:r>
      <w:r w:rsidR="004F578B" w:rsidRPr="00B417BF">
        <w:rPr>
          <w:rFonts w:asciiTheme="minorHAnsi" w:hAnsiTheme="minorHAnsi"/>
        </w:rPr>
        <w:t xml:space="preserve"> a significant</w:t>
      </w:r>
      <w:r w:rsidR="00B84109">
        <w:rPr>
          <w:rFonts w:asciiTheme="minorHAnsi" w:hAnsiTheme="minorHAnsi"/>
        </w:rPr>
        <w:t xml:space="preserve"> potential</w:t>
      </w:r>
      <w:r w:rsidR="004F578B" w:rsidRPr="00B417BF">
        <w:rPr>
          <w:rFonts w:asciiTheme="minorHAnsi" w:hAnsiTheme="minorHAnsi"/>
        </w:rPr>
        <w:t xml:space="preserve"> deterrent for students and new professionals needing mental health services</w:t>
      </w:r>
      <w:r w:rsidR="003B5338">
        <w:rPr>
          <w:rFonts w:asciiTheme="minorHAnsi" w:hAnsiTheme="minorHAnsi"/>
        </w:rPr>
        <w:t>.</w:t>
      </w:r>
      <w:r w:rsidR="00B84109" w:rsidRPr="00B417BF">
        <w:rPr>
          <w:rFonts w:asciiTheme="minorHAnsi" w:hAnsiTheme="minorHAnsi"/>
        </w:rPr>
        <w:fldChar w:fldCharType="begin"/>
      </w:r>
      <w:r w:rsidR="002F2356">
        <w:rPr>
          <w:rFonts w:asciiTheme="minorHAnsi" w:hAnsiTheme="minorHAnsi"/>
        </w:rPr>
        <w:instrText xml:space="preserve"> ADDIN ZOTERO_ITEM CSL_CITATION {"citationID":"1k8df6qg4n","properties":{"formattedCitation":"\\super 68\\nosupersub{}","plainCitation":"68","noteIndex":0},"citationItems":[{"id":167,"uris":["http://zotero.org/users/1143701/items/U23WXRSC"],"uri":["http://zotero.org/users/1143701/items/U23WXRSC"],"itemData":{"id":167,"type":"article-journal","title":"'I wouldn't want it on my CV or their records': medical students' experiences of help-seeking for mental health problems.","container-title":"Medical Education","page":"873-80","volume":"37","issue":"10","source":"Ovid (Ovid MEDLINE(R))","abstract":"CONCLUSION: The preparation of medical students for life as doctors involves more than facilitation of the acquisition of knowledge and skills, so that new doctors can conform to the principals of professional conduct. Support and mentoring are required so that stress can be identified early and dealt with appropriately.","URL":"http://webproxy.ouhsc.edu/login?url=http://ovidsp.ovid.com/ovidweb.cgi?T=JS&amp;CSC=Y&amp;NEWS=N&amp;PAGE=fulltext&amp;D=med4&amp;AN=12974841","ISSN":"0308-0110","shortTitle":"'I wouldn't want it on my CV or their records'","author":[{"family":"Chew-Graham","given":"CA"},{"family":"Rogers","given":"A"},{"family":"Yassin","given":"N"}],"issued":{"date-parts":[["2003",10]]},"accessed":{"date-parts":[["2014",10,5]]}}}],"schema":"https://github.com/citation-style-language/schema/raw/master/csl-citation.json"} </w:instrText>
      </w:r>
      <w:r w:rsidR="00B84109" w:rsidRPr="00B417BF">
        <w:rPr>
          <w:rFonts w:asciiTheme="minorHAnsi" w:hAnsiTheme="minorHAnsi"/>
        </w:rPr>
        <w:fldChar w:fldCharType="separate"/>
      </w:r>
      <w:r w:rsidR="002F2356" w:rsidRPr="002F2356">
        <w:rPr>
          <w:rFonts w:ascii="Cambria" w:hAnsiTheme="minorHAnsi"/>
          <w:vertAlign w:val="superscript"/>
        </w:rPr>
        <w:t>68</w:t>
      </w:r>
      <w:r w:rsidR="00B84109" w:rsidRPr="00B417BF">
        <w:rPr>
          <w:rFonts w:asciiTheme="minorHAnsi" w:hAnsiTheme="minorHAnsi"/>
        </w:rPr>
        <w:fldChar w:fldCharType="end"/>
      </w:r>
      <w:r w:rsidR="00B84109" w:rsidRPr="00B84109">
        <w:rPr>
          <w:rFonts w:asciiTheme="minorHAnsi" w:hAnsiTheme="minorHAnsi"/>
          <w:vertAlign w:val="superscript"/>
        </w:rPr>
        <w:t>,</w:t>
      </w:r>
      <w:r w:rsidR="00B84109" w:rsidRPr="00B417BF">
        <w:rPr>
          <w:rFonts w:asciiTheme="minorHAnsi" w:hAnsiTheme="minorHAnsi"/>
        </w:rPr>
        <w:fldChar w:fldCharType="begin"/>
      </w:r>
      <w:r w:rsidR="002F2356">
        <w:rPr>
          <w:rFonts w:asciiTheme="minorHAnsi" w:hAnsiTheme="minorHAnsi"/>
        </w:rPr>
        <w:instrText xml:space="preserve"> ADDIN ZOTERO_ITEM CSL_CITATION {"citationID":"js5EYHgt","properties":{"formattedCitation":"\\super 69\\nosupersub{}","plainCitation":"69","noteIndex":0},"citationItems":[{"id":188,"uris":["http://zotero.org/users/1143701/items/BB5RMQIN"],"uri":["http://zotero.org/users/1143701/items/BB5RMQIN"],"itemData":{"id":188,"type":"article-journal","title":"Educational innovations","source":"Google Scholar","author":[{"family":"Lee","given":"Carolyn J."}]}}],"schema":"https://github.com/citation-style-language/schema/raw/master/csl-citation.json"} </w:instrText>
      </w:r>
      <w:r w:rsidR="00B84109" w:rsidRPr="00B417BF">
        <w:rPr>
          <w:rFonts w:asciiTheme="minorHAnsi" w:hAnsiTheme="minorHAnsi"/>
        </w:rPr>
        <w:fldChar w:fldCharType="separate"/>
      </w:r>
      <w:r w:rsidR="002F2356" w:rsidRPr="002F2356">
        <w:rPr>
          <w:rFonts w:ascii="Cambria" w:hAnsiTheme="minorHAnsi"/>
          <w:vertAlign w:val="superscript"/>
        </w:rPr>
        <w:t>69</w:t>
      </w:r>
      <w:r w:rsidR="00B84109" w:rsidRPr="00B417BF">
        <w:rPr>
          <w:rFonts w:asciiTheme="minorHAnsi" w:hAnsiTheme="minorHAnsi"/>
        </w:rPr>
        <w:fldChar w:fldCharType="end"/>
      </w:r>
      <w:r w:rsidR="004F578B" w:rsidRPr="00B417BF">
        <w:rPr>
          <w:rFonts w:asciiTheme="minorHAnsi" w:hAnsiTheme="minorHAnsi"/>
        </w:rPr>
        <w:t xml:space="preserve"> </w:t>
      </w:r>
    </w:p>
    <w:p w14:paraId="395D3EC4" w14:textId="77777777" w:rsidR="00FA004E" w:rsidRPr="00B417BF" w:rsidRDefault="00FA004E" w:rsidP="00FA004E">
      <w:pPr>
        <w:spacing w:line="480" w:lineRule="auto"/>
        <w:rPr>
          <w:rFonts w:asciiTheme="minorHAnsi" w:hAnsiTheme="minorHAnsi"/>
        </w:rPr>
      </w:pPr>
    </w:p>
    <w:p w14:paraId="086D591C" w14:textId="42C6E10C" w:rsidR="000A24D1" w:rsidRDefault="00FA004E" w:rsidP="00FA004E">
      <w:pPr>
        <w:spacing w:line="480" w:lineRule="auto"/>
        <w:rPr>
          <w:rFonts w:asciiTheme="minorHAnsi" w:hAnsiTheme="minorHAnsi"/>
        </w:rPr>
      </w:pPr>
      <w:r w:rsidRPr="00B417BF">
        <w:rPr>
          <w:rFonts w:asciiTheme="minorHAnsi" w:hAnsiTheme="minorHAnsi"/>
        </w:rPr>
        <w:t xml:space="preserve">One way to measure student stress and external factors affecting their performance is to look at the amount and types of support </w:t>
      </w:r>
      <w:r w:rsidR="00B94C97">
        <w:rPr>
          <w:rFonts w:asciiTheme="minorHAnsi" w:hAnsiTheme="minorHAnsi"/>
        </w:rPr>
        <w:t xml:space="preserve">that </w:t>
      </w:r>
      <w:r w:rsidR="00EB6F16">
        <w:rPr>
          <w:rFonts w:asciiTheme="minorHAnsi" w:hAnsiTheme="minorHAnsi"/>
        </w:rPr>
        <w:t>students</w:t>
      </w:r>
      <w:r w:rsidRPr="00B417BF">
        <w:rPr>
          <w:rFonts w:asciiTheme="minorHAnsi" w:hAnsiTheme="minorHAnsi"/>
        </w:rPr>
        <w:t xml:space="preserve"> seek for both academic and personal issues.  </w:t>
      </w:r>
      <w:r w:rsidR="00607FB5">
        <w:rPr>
          <w:rFonts w:asciiTheme="minorHAnsi" w:hAnsiTheme="minorHAnsi"/>
        </w:rPr>
        <w:t>The term “</w:t>
      </w:r>
      <w:r w:rsidR="002E6792">
        <w:rPr>
          <w:rFonts w:asciiTheme="minorHAnsi" w:hAnsiTheme="minorHAnsi"/>
        </w:rPr>
        <w:t>help-seeking</w:t>
      </w:r>
      <w:r w:rsidR="00607FB5">
        <w:rPr>
          <w:rFonts w:asciiTheme="minorHAnsi" w:hAnsiTheme="minorHAnsi"/>
        </w:rPr>
        <w:t xml:space="preserve"> behaviors,” </w:t>
      </w:r>
      <w:r w:rsidRPr="00B417BF">
        <w:rPr>
          <w:rFonts w:asciiTheme="minorHAnsi" w:hAnsiTheme="minorHAnsi"/>
        </w:rPr>
        <w:t xml:space="preserve">was originally developed regarding students with substance abuse problems, but it has expanded to include any request or action that involves asking for </w:t>
      </w:r>
      <w:r w:rsidRPr="00B417BF">
        <w:rPr>
          <w:rFonts w:asciiTheme="minorHAnsi" w:hAnsiTheme="minorHAnsi"/>
        </w:rPr>
        <w:lastRenderedPageBreak/>
        <w:t>assistance outside of normal daily activity</w:t>
      </w:r>
      <w:r w:rsidR="003B5338">
        <w:rPr>
          <w:rFonts w:asciiTheme="minorHAnsi" w:hAnsiTheme="minorHAnsi"/>
        </w:rPr>
        <w:t>.</w:t>
      </w:r>
      <w:r w:rsidRPr="00B417BF">
        <w:rPr>
          <w:rFonts w:asciiTheme="minorHAnsi" w:hAnsiTheme="minorHAnsi"/>
        </w:rPr>
        <w:fldChar w:fldCharType="begin"/>
      </w:r>
      <w:r w:rsidR="002C6551">
        <w:rPr>
          <w:rFonts w:asciiTheme="minorHAnsi" w:hAnsiTheme="minorHAnsi"/>
        </w:rPr>
        <w:instrText xml:space="preserve"> ADDIN ZOTERO_ITEM CSL_CITATION {"citationID":"2pkrh8vbcc","properties":{"formattedCitation":"\\super 65,67,70\\nosupersub{}","plainCitation":"65,67,70","noteIndex":0},"citationItems":[{"id":"LTQK2Tdj/qsmD77oQ","uris":["http://zotero.org/users/1143701/items/6F4JAP44"],"uri":["http://zotero.org/users/1143701/items/6F4JAP44"],"itemData":{"id":154,"type":"article-journal","title":"Treatment Utilization on College Campuses: Who Seeks Help for What?","container-title":"Journal of College Counseling","page":"258-274","volume":"16","issue":"3","source":"EBSCOhost","archive_location":"Wiley-Blackwell. 350 Main Street, Malden, MA 02148. Tel: 800-835-6770; Tel: 781-388-8598; Fax: 781-388-8232; e-mail: cs-journals@wiley.com; Web site: http://www.wiley.com/WileyCDA","abstract":"The purpose of this study was to develop a better understanding of why college students seek psychological treatment by examining indicators of psychological distress. A secondary goal was to assess the utility of screening for treatment need via a brief self-report measure of distress. Two samples (1 clinical, 1 nonclinical; N= 8,380) were examined via logistic regression analyses to identify meaningful predictors of treatment-seeking behavior. Clinical applications are discussed.","ISSN":"1099-0399","shortTitle":"Treatment Utilization on College Campuses","journalAbbreviation":"Journal of College Counseling","author":[{"family":"Nordberg","given":"Samuel S."},{"family":"Hayes","given":"Jeffrey A."},{"family":"McAleavey","given":"Andrew A."},{"family":"Castonguay","given":"Louis G."},{"family":"Locke","given":"Benjamin D."}],"issued":{"date-parts":[["2013",10,1]]},"accessed":{"date-parts":[["2014",10,5]]}}},{"id":"LTQK2Tdj/WIpTDt9F","uris":["http://zotero.org/users/1143701/items/5EFTE4XB"],"uri":["http://zotero.org/users/1143701/items/5EFTE4XB"],"itemData":{"id":105,"type":"article-journal","title":"College Students' Help-Seeking Preferences for Personal Problems.","source":"eric.ed.gov","abstract":"College students face a great deal of pressure which can lead to problems of a non-academic nature. This study examined where college students prefer to seek help with personal problems (n=113). Surveyed students rank ordered seven potential help sources with regard to nine different problem areas. The seven potential sources of help were: self, close friend, close relative, clergyman, counselor, faculty member, and staff member/advisor. The nine problem areas were: romantic relationships, family, friends, substance abuse, sexuality, depression, interpersonal relationships, self-understanding, and emotional stability. Students were also asked if they had previous counseling experience and whether it was helpful. Results showed that college students generally prefer to utilize the self or close friend for help with all problem areas. Counselors were generally ranked as the fourth choice. Previous counseling appeared to increase a student's tendency to prefer counseling again. Type of","URL":"http://eric.ed.gov/?id=ED390005","language":"en","author":[{"family":"McGrath","given":"John N."}],"issued":{"date-parts":[["1995",5]]},"accessed":{"date-parts":[["2014",10,5]]}}},{"id":159,"uris":["http://zotero.org/users/1143701/items/T9DAGHXX"],"uri":["http://zotero.org/users/1143701/items/T9DAGHXX"],"itemData":{"id":159,"type":"article-journal","title":"Mental distress, alcohol use and help-seeking among medical and business students: a cross-sectional comparative study.","container-title":"BMC Medical Education","source":"Ovid (Ovid MEDLINE(R))","abstract":"CONCLUSIONS: Medical students may not be more stressed than other high achieving student populations. The more cohesive structure of medical school and a higher awareness of a healthy lifestyle may be beneficial factors.","URL":"http://webproxy.ouhsc.edu/login?url=http://ovidsp.ovid.com/ovidweb.cgi?T=JS&amp;CSC=Y&amp;NEWS=N&amp;PAGE=fulltext&amp;D=medl&amp;AN=22059598","DOI":"http://dx.doi.org/10.1186/1472-6920-11-92","shortTitle":"Mental distress, alcohol use and help-seeking among medical and business students","author":[{"family":"Dahlin","given":"M"},{"family":"Nilsson","given":"C"},{"family":"Stotzer","given":"E"},{"family":"Runeson","given":"B"}],"issued":{"date-parts":[["2011"]]},"accessed":{"date-parts":[["2014",10,5]]}}}],"schema":"https://github.com/citation-style-language/schema/raw/master/csl-citation.json"} </w:instrText>
      </w:r>
      <w:r w:rsidRPr="00B417BF">
        <w:rPr>
          <w:rFonts w:asciiTheme="minorHAnsi" w:hAnsiTheme="minorHAnsi"/>
        </w:rPr>
        <w:fldChar w:fldCharType="separate"/>
      </w:r>
      <w:r w:rsidR="002F2356" w:rsidRPr="002F2356">
        <w:rPr>
          <w:rFonts w:ascii="Cambria" w:hAnsiTheme="minorHAnsi"/>
          <w:vertAlign w:val="superscript"/>
        </w:rPr>
        <w:t>65,67,70</w:t>
      </w:r>
      <w:r w:rsidRPr="00B417BF">
        <w:rPr>
          <w:rFonts w:asciiTheme="minorHAnsi" w:hAnsiTheme="minorHAnsi"/>
        </w:rPr>
        <w:fldChar w:fldCharType="end"/>
      </w:r>
      <w:r w:rsidRPr="00B417BF">
        <w:rPr>
          <w:rFonts w:asciiTheme="minorHAnsi" w:hAnsiTheme="minorHAnsi"/>
        </w:rPr>
        <w:t xml:space="preserve">  This expansion of definition has increased tracking of service utilization and research into students that need additional support both in and out of the classroom</w:t>
      </w:r>
      <w:r w:rsidR="003B5338">
        <w:rPr>
          <w:rFonts w:asciiTheme="minorHAnsi" w:hAnsiTheme="minorHAnsi"/>
        </w:rPr>
        <w:t>.</w:t>
      </w:r>
      <w:r w:rsidRPr="00B417BF">
        <w:rPr>
          <w:rFonts w:asciiTheme="minorHAnsi" w:hAnsiTheme="minorHAnsi"/>
        </w:rPr>
        <w:fldChar w:fldCharType="begin"/>
      </w:r>
      <w:r w:rsidR="002C6551">
        <w:rPr>
          <w:rFonts w:asciiTheme="minorHAnsi" w:hAnsiTheme="minorHAnsi"/>
        </w:rPr>
        <w:instrText xml:space="preserve"> ADDIN ZOTERO_ITEM CSL_CITATION {"citationID":"229tj958ed","properties":{"formattedCitation":"\\super 64,71,72\\nosupersub{}","plainCitation":"64,71,72","noteIndex":0},"citationItems":[{"id":222,"uris":["http://zotero.org/users/1143701/items/MCNJ9899"],"uri":["http://zotero.org/users/1143701/items/MCNJ9899"],"itemData":{"id":222,"type":"article-journal","title":"The at-risk medical student--what more can we do?","container-title":"Irish Medical Journal","page":"295-296","volume":"107","issue":"9","source":"NCBI PubMed","abstract":"Securing a place in medical school is extremely difficult-students who are successful all have similar high levels of academic achievement. So why do some students, and not others, have difficulty with the course, and in some cases, leave the programme? Studies on medical school attrition offer valuable insight into why medical students under-perform. Identification of the 'at-risk' student can trigger additional support and early remediation, helping some students remain in their chosen profession.","ISSN":"0332-3102","note":"PMID: 25417393","journalAbbreviation":"Ir Med J","language":"eng","author":[{"family":"Maher","given":"B."},{"family":"Hynes","given":"H."},{"family":"Sweeney","given":"C."},{"family":"Khashan","given":"A."},{"family":"Doran","given":"K."},{"family":"O'Rourke","given":"M."},{"family":"Harris","given":"A. M."},{"family":"O'Flynn","given":"S."}],"issued":{"date-parts":[["2014",10]]}}},{"id":"LTQK2Tdj/3p8jKbDN","uris":["http://zotero.org/users/1143701/items/45N5SXSH"],"uri":["http://zotero.org/users/1143701/items/45N5SXSH"],"itemData":{"id":165,"type":"article-journal","title":"Academic help seeking: theory and strategies for nursing faculty. [Review] [35 refs]","container-title":"Journal of Nursing Education","page":"468-75","volume":"46","issue":"10","source":"Ovid (Ovid MEDLINE(R))","abstract":"This article examines the topic of academic student help seeking and its significance to nursing faculty. Content includes definitions of help seeking, pertinent theory and research on the influence of individual and environmental factors on academic help-seeking behaviors, and suggested strategies in assisting undergraduate nursing students in help seeking endeavors. [References: 35]","ISSN":"0148-4834","shortTitle":"Academic help seeking","author":[{"family":"Lee","given":"CJ"}],"issued":{"date-parts":[["2007",10]]},"accessed":{"date-parts":[["2014",10,5]]}}},{"id":168,"uris":["http://zotero.org/users/1143701/items/7SXBTPH3"],"uri":["http://zotero.org/users/1143701/items/7SXBTPH3"],"itemData":{"id":168,"type":"article-journal","title":"Distress and help-seeking as a function of person-environment fit and self-efficacy: a causal model.","container-title":"Journal of Community Psychology","page":"657-76","volume":"14","issue":"6","source":"Ovid (Ovid MEDLINE(R))","abstract":"Self-efficacy, indicators of distress (state anxiety and frequency of physical symptoms), help-seeking (visits to the campus health center, an outside physician, and a counselor), and two measures of person-environment (P-E) fit were assessed on 152 college students and examined in a LISREL model. The two P-E fit measures were perceived discrepancy, the profile difference score between how each student would like their residence floor and how each viewed it as being, and actual discrepancy, the profile difference score between how each would like the floor to be and the mean rating for how floor residents viewed the floor. It was found that self-efficacy and perceived discrepancy had independent and moderate effects on distress but not on help-seeking, whereas actual discrepancy was found to have a strong effect on help-seeking and no direct effect on distress. Help-seeking was found to have a strong negative effect on distress.","URL":"http://webproxy.ouhsc.edu/login?url=http://ovidsp.ovid.com/ovidweb.cgi?T=JS&amp;CSC=Y&amp;NEWS=N&amp;PAGE=fulltext&amp;D=med2&amp;AN=3799555","ISSN":"0091-0562","shortTitle":"Distress and help-seeking as a function of person-environment fit and self-efficacy","author":[{"family":"Tracey","given":"TJ"},{"family":"Sherry","given":"P"},{"family":"Keitel","given":"M"}],"issued":{"date-parts":[["1986",12]]},"accessed":{"date-parts":[["2014",10,5]]}}}],"schema":"https://github.com/citation-style-language/schema/raw/master/csl-citation.json"} </w:instrText>
      </w:r>
      <w:r w:rsidRPr="00B417BF">
        <w:rPr>
          <w:rFonts w:asciiTheme="minorHAnsi" w:hAnsiTheme="minorHAnsi"/>
        </w:rPr>
        <w:fldChar w:fldCharType="separate"/>
      </w:r>
      <w:r w:rsidR="002F2356" w:rsidRPr="002F2356">
        <w:rPr>
          <w:rFonts w:ascii="Cambria" w:hAnsiTheme="minorHAnsi"/>
          <w:vertAlign w:val="superscript"/>
        </w:rPr>
        <w:t>64,71,72</w:t>
      </w:r>
      <w:r w:rsidRPr="00B417BF">
        <w:rPr>
          <w:rFonts w:asciiTheme="minorHAnsi" w:hAnsiTheme="minorHAnsi"/>
        </w:rPr>
        <w:fldChar w:fldCharType="end"/>
      </w:r>
      <w:r w:rsidRPr="00B417BF">
        <w:rPr>
          <w:rFonts w:asciiTheme="minorHAnsi" w:hAnsiTheme="minorHAnsi"/>
        </w:rPr>
        <w:t xml:space="preserve"> </w:t>
      </w:r>
      <w:r w:rsidR="00607FB5">
        <w:rPr>
          <w:rFonts w:asciiTheme="minorHAnsi" w:hAnsiTheme="minorHAnsi"/>
        </w:rPr>
        <w:t xml:space="preserve"> </w:t>
      </w:r>
    </w:p>
    <w:p w14:paraId="32553E4A" w14:textId="77777777" w:rsidR="000A24D1" w:rsidRDefault="000A24D1" w:rsidP="00FA004E">
      <w:pPr>
        <w:spacing w:line="480" w:lineRule="auto"/>
        <w:rPr>
          <w:rFonts w:asciiTheme="minorHAnsi" w:hAnsiTheme="minorHAnsi"/>
        </w:rPr>
      </w:pPr>
    </w:p>
    <w:p w14:paraId="5FC5C6F4" w14:textId="66003DF1" w:rsidR="00FA004E" w:rsidRPr="00B417BF" w:rsidRDefault="00607FB5" w:rsidP="00FA004E">
      <w:pPr>
        <w:spacing w:line="480" w:lineRule="auto"/>
        <w:rPr>
          <w:rFonts w:asciiTheme="minorHAnsi" w:hAnsiTheme="minorHAnsi"/>
        </w:rPr>
      </w:pPr>
      <w:r>
        <w:rPr>
          <w:rFonts w:asciiTheme="minorHAnsi" w:hAnsiTheme="minorHAnsi"/>
        </w:rPr>
        <w:t>U</w:t>
      </w:r>
      <w:r w:rsidR="00FA004E" w:rsidRPr="00B417BF">
        <w:rPr>
          <w:rFonts w:asciiTheme="minorHAnsi" w:hAnsiTheme="minorHAnsi"/>
        </w:rPr>
        <w:t>nderperforming or struggling students often have decreased metacognitive skil</w:t>
      </w:r>
      <w:r w:rsidR="00C56B2A" w:rsidRPr="00B417BF">
        <w:rPr>
          <w:rFonts w:asciiTheme="minorHAnsi" w:hAnsiTheme="minorHAnsi"/>
        </w:rPr>
        <w:t>ls and seek help less often than</w:t>
      </w:r>
      <w:r w:rsidR="00FA004E" w:rsidRPr="00B417BF">
        <w:rPr>
          <w:rFonts w:asciiTheme="minorHAnsi" w:hAnsiTheme="minorHAnsi"/>
        </w:rPr>
        <w:t xml:space="preserve"> their successful peers</w:t>
      </w:r>
      <w:r w:rsidR="003B5338">
        <w:rPr>
          <w:rFonts w:asciiTheme="minorHAnsi" w:hAnsiTheme="minorHAnsi"/>
        </w:rPr>
        <w:t>.</w:t>
      </w:r>
      <w:r w:rsidRPr="00B417BF">
        <w:rPr>
          <w:rFonts w:asciiTheme="minorHAnsi" w:hAnsiTheme="minorHAnsi"/>
        </w:rPr>
        <w:fldChar w:fldCharType="begin"/>
      </w:r>
      <w:r w:rsidR="002F2356">
        <w:rPr>
          <w:rFonts w:asciiTheme="minorHAnsi" w:hAnsiTheme="minorHAnsi"/>
        </w:rPr>
        <w:instrText xml:space="preserve"> ADDIN ZOTERO_ITEM CSL_CITATION {"citationID":"fSYx8oW9","properties":{"formattedCitation":"\\super 73\\nosupersub{}","plainCitation":"73","noteIndex":0},"citationItems":[{"id":142,"uris":["http://zotero.org/users/1143701/items/WNP6U9QV"],"uri":["http://zotero.org/users/1143701/items/WNP6U9QV"],"itemData":{"id":142,"type":"article-journal","title":"Asking for Help: A Relational Perspective on Help Seeking in the Workplace","container-title":"Vocations and Learning","page":"259-279","volume":"6","issue":"2","source":"EBSCOhost","archive_location":"Springer. 233 Spring Street, New York, NY 10013. Tel: 800-777-4643; Tel: 212-460-1500; Fax: 212-348-4505; e-mail: service-ny@springer.com; Web site: http://www.springerlink.com","abstract":"In the context of the complexity of today's organizations, help seeking behavior is considered as an important step to problem solving and learning in organizations. Yet, help seeking has received less attention in organizational literature. To increase the potential impact of help seeking on learning, it is essential to understand which mechanisms affect help seeking. The present study questioned whether the characteristics of the relationships that employees have in the workplace are related to help seeking behavior. This study draws on a social network perspective to investigate the employees' relationships within their professional network. In particular, the role of accessibility, awareness of expertise, trust, and hierarchy in help seeking was explored. Results indicated that the perceptions of the help provider's expertise, accessibility and trust were positively associated with the likelihood to seek help, frequency by which help is sought, and perceived quality of the help. Moreover, employees seem more likely to seek help upward from higher status individuals and less likely downward from lower status individuals. Employees perceived the help of higher status individuals as more useful and constructive. These results highlight the importance of investing in the strength of relationships, ensuring the accessibility of expertise and fostering a work environment, in which employees trust and respect each other. Furthermore, the results suggest valuable and promising avenues for future research and practice.","ISSN":"1874-785X","shortTitle":"Asking for Help","journalAbbreviation":"Vocations and Learning","author":[{"family":"Rijt","given":"Janine","non-dropping-particle":"van der"},{"family":"Van den Bossche","given":"Piet"},{"family":"Wiel","given":"Margje W. J.","non-dropping-particle":"van de"},{"family":"De Maeyer","given":"Sven"},{"family":"Gijselaers","given":"Wim H."},{"family":"Segers","given":"Mien S. R."}],"issued":{"date-parts":[["2013",7,1]]}}}],"schema":"https://github.com/citation-style-language/schema/raw/master/csl-citation.json"} </w:instrText>
      </w:r>
      <w:r w:rsidRPr="00B417BF">
        <w:rPr>
          <w:rFonts w:asciiTheme="minorHAnsi" w:hAnsiTheme="minorHAnsi"/>
        </w:rPr>
        <w:fldChar w:fldCharType="separate"/>
      </w:r>
      <w:r w:rsidR="002F2356" w:rsidRPr="002F2356">
        <w:rPr>
          <w:rFonts w:ascii="Cambria" w:hAnsiTheme="minorHAnsi"/>
          <w:vertAlign w:val="superscript"/>
        </w:rPr>
        <w:t>73</w:t>
      </w:r>
      <w:r w:rsidRPr="00B417BF">
        <w:rPr>
          <w:rFonts w:asciiTheme="minorHAnsi" w:hAnsiTheme="minorHAnsi"/>
        </w:rPr>
        <w:fldChar w:fldCharType="end"/>
      </w:r>
      <w:r w:rsidR="00FA004E" w:rsidRPr="00B417BF">
        <w:rPr>
          <w:rFonts w:asciiTheme="minorHAnsi" w:hAnsiTheme="minorHAnsi"/>
        </w:rPr>
        <w:t xml:space="preserve">  They may falsely believe that failing does not apply to their current situation or that they do not differ from their more successful peers.   As a result, they may not reach out for support or assistance.  Other metacognitive barriers also exist.  Students that utilize primarily superficial learning strategies are unable to independently move toward deeper and more effective learning strategies</w:t>
      </w:r>
      <w:r w:rsidR="003B5338">
        <w:rPr>
          <w:rFonts w:asciiTheme="minorHAnsi" w:hAnsiTheme="minorHAnsi"/>
        </w:rPr>
        <w:t>.</w:t>
      </w:r>
      <w:r w:rsidR="00FA004E" w:rsidRPr="00B417BF">
        <w:rPr>
          <w:rFonts w:asciiTheme="minorHAnsi" w:hAnsiTheme="minorHAnsi"/>
        </w:rPr>
        <w:fldChar w:fldCharType="begin"/>
      </w:r>
      <w:r w:rsidR="002F2356">
        <w:rPr>
          <w:rFonts w:asciiTheme="minorHAnsi" w:hAnsiTheme="minorHAnsi"/>
        </w:rPr>
        <w:instrText xml:space="preserve"> ADDIN ZOTERO_ITEM CSL_CITATION {"citationID":"g2b4UPlH","properties":{"formattedCitation":"\\super 52\\nosupersub{}","plainCitation":"52","noteIndex":0},"citationItems":[{"id":674,"uris":["http://zotero.org/users/1143701/items/GV7U73JD"],"uri":["http://zotero.org/users/1143701/items/GV7U73JD"],"itemData":{"id":674,"type":"article-journal","title":"Exam Success at Undergraduate and Graduate-Entry Medical Schools: Is Learning Style or Learning Approach More Important? A Critical Review Exploring Links Between Academic Success, Learning Styles, and Learning Approaches Among School-Leaver Entry (\"Traditional\") and Graduate-Entry (\"Nontraditional\") Medical Students","container-title":"Teaching and Learning in Medicine","page":"237-244","volume":"27","issue":"3","source":"PubMed","abstract":"PHENOMENON: The literature on learning styles over many years has been replete with debate and disagreement. Researchers have yet to elucidate exactly which underlying constructs are measured by the many learning styles questionnaires available. Some academics question whether learning styles exist at all. When it comes to establishing the value of learning styles for medical students, a further issue emerges. The demographics of medical students in the United Kingdom have changed in recent years, so past studies may not be applicable to students today. We wanted to answer a very simple, practical question: what can the literature on learning styles tell us that we can use to help today's medical students succeed academically at medical school?\nAPPROACH: We conducted a literature review to synthesise the available evidence on how two different aspects of learning-the way in which students like to receive information in a learning environment (termed learning \"styles\") and the motivations that drive their learning (termed learning \"approaches\")-can impact on medical students' academic achievement.\nFINDINGS: Our review confirms that although learning \"styles\" do not correlate with exam performance, learning \"approaches\" do: those with \"strategic\" and \"deep\" approaches to learning (i.e., motivated to do well and motivated to learn deeply respectively) perform consistently better in medical school examinations. Changes in medical school entrant demographics in the past decade have not altered these correlations. Optimistically, our review reveals that students' learning approaches can change and more adaptive approaches may be learned. Insights: For educators wishing to help medical students succeed academically, current evidence demonstrates that helping students develop their own positive learning approach using \"growth mind-set\" is a more effective (and more feasible) than attempting to alter students' learning styles. This conclusion holds true for both \"traditional\" and graduate-entry medical students.","DOI":"10.1080/10401334.2015.1046734","ISSN":"1532-8015","note":"PMID: 26158325","shortTitle":"Exam Success at Undergraduate and Graduate-Entry Medical Schools","journalAbbreviation":"Teach Learn Med","language":"eng","author":[{"family":"Feeley","given":"Anne-Marie"},{"family":"Biggerstaff","given":"Deborah L."}],"issued":{"date-parts":[["2015"]]}}}],"schema":"https://github.com/citation-style-language/schema/raw/master/csl-citation.json"} </w:instrText>
      </w:r>
      <w:r w:rsidR="00FA004E" w:rsidRPr="00B417BF">
        <w:rPr>
          <w:rFonts w:asciiTheme="minorHAnsi" w:hAnsiTheme="minorHAnsi"/>
        </w:rPr>
        <w:fldChar w:fldCharType="separate"/>
      </w:r>
      <w:r w:rsidR="002F2356" w:rsidRPr="002F2356">
        <w:rPr>
          <w:rFonts w:ascii="Cambria" w:hAnsiTheme="minorHAnsi"/>
          <w:vertAlign w:val="superscript"/>
        </w:rPr>
        <w:t>52</w:t>
      </w:r>
      <w:r w:rsidR="00FA004E" w:rsidRPr="00B417BF">
        <w:rPr>
          <w:rFonts w:asciiTheme="minorHAnsi" w:hAnsiTheme="minorHAnsi"/>
        </w:rPr>
        <w:fldChar w:fldCharType="end"/>
      </w:r>
      <w:r w:rsidR="00FA004E" w:rsidRPr="00B417BF">
        <w:rPr>
          <w:rFonts w:asciiTheme="minorHAnsi" w:hAnsiTheme="minorHAnsi"/>
        </w:rPr>
        <w:t xml:space="preserve"> </w:t>
      </w:r>
    </w:p>
    <w:p w14:paraId="416E5FE6" w14:textId="77777777" w:rsidR="00FA004E" w:rsidRPr="00B417BF" w:rsidRDefault="00FA004E" w:rsidP="00FA004E">
      <w:pPr>
        <w:spacing w:line="480" w:lineRule="auto"/>
        <w:rPr>
          <w:rFonts w:asciiTheme="minorHAnsi" w:hAnsiTheme="minorHAnsi"/>
        </w:rPr>
      </w:pPr>
    </w:p>
    <w:p w14:paraId="4261CB8D" w14:textId="699975F3" w:rsidR="00FA004E" w:rsidRPr="00B417BF" w:rsidRDefault="00FA004E" w:rsidP="00FA004E">
      <w:pPr>
        <w:spacing w:line="480" w:lineRule="auto"/>
        <w:rPr>
          <w:rFonts w:asciiTheme="minorHAnsi" w:hAnsiTheme="minorHAnsi"/>
        </w:rPr>
      </w:pPr>
      <w:r w:rsidRPr="00B417BF">
        <w:rPr>
          <w:rFonts w:asciiTheme="minorHAnsi" w:hAnsiTheme="minorHAnsi"/>
        </w:rPr>
        <w:t>Peer-to-peer interaction has been demonstrated to help these students</w:t>
      </w:r>
      <w:r w:rsidR="00F521B2">
        <w:rPr>
          <w:rFonts w:asciiTheme="minorHAnsi" w:hAnsiTheme="minorHAnsi"/>
        </w:rPr>
        <w:t>.</w:t>
      </w:r>
      <w:r w:rsidR="00F521B2">
        <w:rPr>
          <w:rFonts w:asciiTheme="minorHAnsi" w:hAnsiTheme="minorHAnsi"/>
        </w:rPr>
        <w:fldChar w:fldCharType="begin"/>
      </w:r>
      <w:r w:rsidR="00F521B2">
        <w:rPr>
          <w:rFonts w:asciiTheme="minorHAnsi" w:hAnsiTheme="minorHAnsi"/>
        </w:rPr>
        <w:instrText xml:space="preserve"> ADDIN ZOTERO_ITEM CSL_CITATION {"citationID":"e7cdM2PP","properties":{"formattedCitation":"\\super 74\\nosupersub{}","plainCitation":"74","noteIndex":0},"citationItems":[{"id":671,"uris":["http://zotero.org/users/1143701/items/K37MXXKW"],"uri":["http://zotero.org/users/1143701/items/K37MXXKW"],"itemData":{"id":671,"type":"article-journal","title":"Does self-reflection and peer-assessment improve Saudi pharmacy students’ academic performance and metacognitive skills?","container-title":"Saudi Pharmaceutical Journal : SPJ","page":"266-275","volume":"23","issue":"3","source":"PubMed Central","abstract":"Background: The patient-centered focus of clinical pharmacy practice which demands nuanced application of specialized knowledge and skills targeted to meeting patient-specific therapeutic needs warrant that the training strategy used for PharmD graduates must empower with the ability to use the higher level cognitive processes and critical thinking effectively in service delivery. However, the historical disposition to learning in the Middle East and among Saudi students appeared heavily focused on rote memorization and recall of memorized facts. Objectives: To assess the impact of active pedagogic strategies such as self-reflection and peer assessment on pharmacy students’ academic performance and metacognitive skills, and evaluate students’ feedback on the impact of these active pedagogic strategies on their overall learning experience. Method: An exploratory prospective cohort study was conducted among 4th year students at the College of Clinical Pharmacy, King Faisal University, Saudi Arabia to assess the impact of self-reflection and peer-assessment in a semester-wide assessment tasks in two compulsory first semester 4th year courses (Therapeutics-3 and Pharmacoeconomics). An end-of-course evaluation survey with a pre-tested 5-item open-ended questionnaire was also conducted to evaluate students’ feedback on the impact of active pedagogic strategies on their overall learning experience. Result: Male students (study group) constituted 40.7% of the cohort while 59.3% were females (control group) with mean ± SD age of 23.2 ± 5.6 and 22.1 ± 4.9 years respectively. The mean ± SD scores for quizzes, mid-term and final exams, and the overall percentage pass were significantly higher in the study group for both courses (P &lt; 0.001). The majority of the students in the study group opined that the exposure to active pedagogic strategies enabled them to improve their use of critical thinking, facilitated deeper engagement with their learning and improved their clinical decision-making and discussion skills. Conclusion: The use of active pedagogic strategies such as self-reflection and peer-assessment appeared to significantly improve examination performance, facilitate deep and constructive engagement with learning and fostered students’ confidence in the use of critical thinking and clinical decision-making.","URL":"http://www.ncbi.nlm.nih.gov/pmc/articles/PMC4475852/","DOI":"10.1016/j.jsps.2014.11.018","ISSN":"1319-0164","note":"PMID: 26106275\nPMCID: PMC4475852","journalAbbreviation":"Saudi Pharm J","author":[{"family":"Yusuff","given":"Kazeem B."}],"issued":{"date-parts":[["2015",7]]},"accessed":{"date-parts":[["2016",8,1]]}}}],"schema":"https://github.com/citation-style-language/schema/raw/master/csl-citation.json"} </w:instrText>
      </w:r>
      <w:r w:rsidR="00F521B2">
        <w:rPr>
          <w:rFonts w:asciiTheme="minorHAnsi" w:hAnsiTheme="minorHAnsi"/>
        </w:rPr>
        <w:fldChar w:fldCharType="separate"/>
      </w:r>
      <w:r w:rsidR="00F521B2" w:rsidRPr="00F521B2">
        <w:rPr>
          <w:rFonts w:ascii="Cambria" w:hAnsiTheme="minorHAnsi"/>
          <w:vertAlign w:val="superscript"/>
        </w:rPr>
        <w:t>74</w:t>
      </w:r>
      <w:r w:rsidR="00F521B2">
        <w:rPr>
          <w:rFonts w:asciiTheme="minorHAnsi" w:hAnsiTheme="minorHAnsi"/>
        </w:rPr>
        <w:fldChar w:fldCharType="end"/>
      </w:r>
      <w:r w:rsidRPr="00B417BF">
        <w:rPr>
          <w:rFonts w:asciiTheme="minorHAnsi" w:hAnsiTheme="minorHAnsi"/>
        </w:rPr>
        <w:t xml:space="preserve"> </w:t>
      </w:r>
      <w:r w:rsidR="00F521B2">
        <w:rPr>
          <w:rFonts w:asciiTheme="minorHAnsi" w:hAnsiTheme="minorHAnsi"/>
          <w:color w:val="FF0000"/>
        </w:rPr>
        <w:t xml:space="preserve"> </w:t>
      </w:r>
      <w:r w:rsidRPr="00B417BF">
        <w:rPr>
          <w:rFonts w:asciiTheme="minorHAnsi" w:hAnsiTheme="minorHAnsi"/>
        </w:rPr>
        <w:t>Peer teaching and mentoring ca</w:t>
      </w:r>
      <w:r w:rsidR="004F578B" w:rsidRPr="00B417BF">
        <w:rPr>
          <w:rFonts w:asciiTheme="minorHAnsi" w:hAnsiTheme="minorHAnsi"/>
        </w:rPr>
        <w:t>n provide both</w:t>
      </w:r>
      <w:r w:rsidR="00607FB5">
        <w:rPr>
          <w:rFonts w:asciiTheme="minorHAnsi" w:hAnsiTheme="minorHAnsi"/>
        </w:rPr>
        <w:t xml:space="preserve"> immediate</w:t>
      </w:r>
      <w:r w:rsidR="004F578B" w:rsidRPr="00B417BF">
        <w:rPr>
          <w:rFonts w:asciiTheme="minorHAnsi" w:hAnsiTheme="minorHAnsi"/>
        </w:rPr>
        <w:t xml:space="preserve"> empathy </w:t>
      </w:r>
      <w:r w:rsidRPr="00B417BF">
        <w:rPr>
          <w:rFonts w:asciiTheme="minorHAnsi" w:hAnsiTheme="minorHAnsi"/>
        </w:rPr>
        <w:t xml:space="preserve">and insights into what academic skills are lacking.  Peer or </w:t>
      </w:r>
      <w:r w:rsidR="004F578B" w:rsidRPr="00B417BF">
        <w:rPr>
          <w:rFonts w:asciiTheme="minorHAnsi" w:hAnsiTheme="minorHAnsi"/>
        </w:rPr>
        <w:t>near-peer mentoring may provide</w:t>
      </w:r>
      <w:r w:rsidRPr="00B417BF">
        <w:rPr>
          <w:rFonts w:asciiTheme="minorHAnsi" w:hAnsiTheme="minorHAnsi"/>
        </w:rPr>
        <w:t xml:space="preserve"> a more relaxed environment to address specific gaps in learning.    However, peer assistance may not be sufficient for mental health intervention or large academic gaps</w:t>
      </w:r>
      <w:r w:rsidR="003B5338">
        <w:rPr>
          <w:rFonts w:asciiTheme="minorHAnsi" w:hAnsiTheme="minorHAnsi"/>
        </w:rPr>
        <w:t>.</w:t>
      </w:r>
      <w:r w:rsidRPr="00B417BF">
        <w:rPr>
          <w:rFonts w:asciiTheme="minorHAnsi" w:hAnsiTheme="minorHAnsi"/>
        </w:rPr>
        <w:fldChar w:fldCharType="begin"/>
      </w:r>
      <w:r w:rsidR="00F521B2">
        <w:rPr>
          <w:rFonts w:asciiTheme="minorHAnsi" w:hAnsiTheme="minorHAnsi"/>
        </w:rPr>
        <w:instrText xml:space="preserve"> ADDIN ZOTERO_ITEM CSL_CITATION {"citationID":"bOhmqJm1","properties":{"formattedCitation":"\\super 75\\nosupersub{}","plainCitation":"75","noteIndex":0},"citationItems":[{"id":250,"uris":["http://zotero.org/users/1143701/items/KX9URZED"],"uri":["http://zotero.org/users/1143701/items/KX9URZED"],"itemData":{"id":250,"type":"article-journal","title":"Peers in doctoral education: Unrecognized learning partners","container-title":"New Directions for Higher Education","page":"73-83","volume":"2012","issue":"157","source":"CrossRef","URL":"http://doi.wiley.com/10.1002/he.20007","DOI":"10.1002/he.20007","ISSN":"02710560","shortTitle":"Peers in doctoral education","language":"en","author":[{"family":"Floresh-Scott","given":"Emma M."},{"family":"Nerad","given":"Maresi"}],"issued":{"date-parts":[["2012",3]]},"accessed":{"date-parts":[["2015",10,19]]}}}],"schema":"https://github.com/citation-style-language/schema/raw/master/csl-citation.json"} </w:instrText>
      </w:r>
      <w:r w:rsidRPr="00B417BF">
        <w:rPr>
          <w:rFonts w:asciiTheme="minorHAnsi" w:hAnsiTheme="minorHAnsi"/>
        </w:rPr>
        <w:fldChar w:fldCharType="separate"/>
      </w:r>
      <w:r w:rsidR="00F521B2" w:rsidRPr="00F521B2">
        <w:rPr>
          <w:rFonts w:ascii="Cambria" w:hAnsiTheme="minorHAnsi"/>
          <w:vertAlign w:val="superscript"/>
        </w:rPr>
        <w:t>75</w:t>
      </w:r>
      <w:r w:rsidRPr="00B417BF">
        <w:rPr>
          <w:rFonts w:asciiTheme="minorHAnsi" w:hAnsiTheme="minorHAnsi"/>
        </w:rPr>
        <w:fldChar w:fldCharType="end"/>
      </w:r>
      <w:r w:rsidRPr="00B417BF">
        <w:rPr>
          <w:rFonts w:asciiTheme="minorHAnsi" w:hAnsiTheme="minorHAnsi"/>
        </w:rPr>
        <w:t xml:space="preserve">  In addition, </w:t>
      </w:r>
      <w:r w:rsidR="00607FB5">
        <w:rPr>
          <w:rFonts w:asciiTheme="minorHAnsi" w:hAnsiTheme="minorHAnsi"/>
        </w:rPr>
        <w:t>peer</w:t>
      </w:r>
      <w:r w:rsidRPr="00B417BF">
        <w:rPr>
          <w:rFonts w:asciiTheme="minorHAnsi" w:hAnsiTheme="minorHAnsi"/>
        </w:rPr>
        <w:t xml:space="preserve">s often lack sufficient training and experience to address significant academic unpreparedness. </w:t>
      </w:r>
    </w:p>
    <w:p w14:paraId="3CCAC7A0" w14:textId="31B609DD" w:rsidR="00FA004E" w:rsidRDefault="00FA004E" w:rsidP="00FA004E">
      <w:pPr>
        <w:spacing w:line="480" w:lineRule="auto"/>
        <w:rPr>
          <w:rFonts w:asciiTheme="minorHAnsi" w:hAnsiTheme="minorHAnsi"/>
        </w:rPr>
      </w:pPr>
    </w:p>
    <w:p w14:paraId="2FA52CF1" w14:textId="6EB9E23B" w:rsidR="00FF6CC9" w:rsidRDefault="00FF6CC9" w:rsidP="00FA004E">
      <w:pPr>
        <w:spacing w:line="480" w:lineRule="auto"/>
        <w:rPr>
          <w:rFonts w:asciiTheme="minorHAnsi" w:hAnsiTheme="minorHAnsi"/>
        </w:rPr>
      </w:pPr>
    </w:p>
    <w:p w14:paraId="6C28D29D" w14:textId="77777777" w:rsidR="00FF6CC9" w:rsidRPr="00B417BF" w:rsidRDefault="00FF6CC9" w:rsidP="00FA004E">
      <w:pPr>
        <w:spacing w:line="480" w:lineRule="auto"/>
        <w:rPr>
          <w:rFonts w:asciiTheme="minorHAnsi" w:hAnsiTheme="minorHAnsi"/>
        </w:rPr>
      </w:pPr>
    </w:p>
    <w:p w14:paraId="4C6AEB8C" w14:textId="77777777" w:rsidR="00FA004E" w:rsidRPr="00B417BF" w:rsidRDefault="00FA004E" w:rsidP="00FA004E">
      <w:pPr>
        <w:spacing w:line="480" w:lineRule="auto"/>
        <w:rPr>
          <w:rFonts w:asciiTheme="minorHAnsi" w:hAnsiTheme="minorHAnsi"/>
        </w:rPr>
      </w:pPr>
    </w:p>
    <w:p w14:paraId="3CDB43E2" w14:textId="77777777" w:rsidR="00FA004E" w:rsidRPr="00B417BF" w:rsidRDefault="00FA004E" w:rsidP="00FA004E">
      <w:pPr>
        <w:spacing w:line="480" w:lineRule="auto"/>
        <w:rPr>
          <w:rFonts w:asciiTheme="minorHAnsi" w:hAnsiTheme="minorHAnsi"/>
        </w:rPr>
      </w:pPr>
      <w:r w:rsidRPr="00B417BF">
        <w:rPr>
          <w:rFonts w:asciiTheme="minorHAnsi" w:hAnsiTheme="minorHAnsi"/>
        </w:rPr>
        <w:lastRenderedPageBreak/>
        <w:t>Types of support available:</w:t>
      </w:r>
    </w:p>
    <w:p w14:paraId="468BC946" w14:textId="1B6F852D" w:rsidR="00F521B2" w:rsidRDefault="00FA004E" w:rsidP="00FA004E">
      <w:pPr>
        <w:spacing w:line="480" w:lineRule="auto"/>
        <w:rPr>
          <w:rFonts w:asciiTheme="minorHAnsi" w:hAnsiTheme="minorHAnsi"/>
        </w:rPr>
      </w:pPr>
      <w:r w:rsidRPr="00B417BF">
        <w:rPr>
          <w:rFonts w:asciiTheme="minorHAnsi" w:hAnsiTheme="minorHAnsi"/>
        </w:rPr>
        <w:t>Support services available on college campus</w:t>
      </w:r>
      <w:r w:rsidR="00F521B2">
        <w:rPr>
          <w:rFonts w:asciiTheme="minorHAnsi" w:hAnsiTheme="minorHAnsi"/>
        </w:rPr>
        <w:t>es</w:t>
      </w:r>
      <w:r w:rsidRPr="00B417BF">
        <w:rPr>
          <w:rFonts w:asciiTheme="minorHAnsi" w:hAnsiTheme="minorHAnsi"/>
        </w:rPr>
        <w:t xml:space="preserve"> are utilized for a variety of reason</w:t>
      </w:r>
      <w:r w:rsidR="003B5338">
        <w:rPr>
          <w:rFonts w:asciiTheme="minorHAnsi" w:hAnsiTheme="minorHAnsi"/>
        </w:rPr>
        <w:t>s.</w:t>
      </w:r>
      <w:r w:rsidRPr="00B417BF">
        <w:rPr>
          <w:rFonts w:asciiTheme="minorHAnsi" w:hAnsiTheme="minorHAnsi"/>
          <w:vertAlign w:val="superscript"/>
        </w:rPr>
        <w:fldChar w:fldCharType="begin"/>
      </w:r>
      <w:r w:rsidR="00F521B2">
        <w:rPr>
          <w:rFonts w:asciiTheme="minorHAnsi" w:hAnsiTheme="minorHAnsi"/>
          <w:vertAlign w:val="superscript"/>
        </w:rPr>
        <w:instrText xml:space="preserve"> ADDIN ZOTERO_ITEM CSL_CITATION {"citationID":"1r7l2ur3ps","properties":{"formattedCitation":"\\super 76\\nosupersub{}","plainCitation":"76","noteIndex":0},"citationItems":[{"id":198,"uris":["http://zotero.org/users/1143701/items/4S5FGPM8"],"uri":["http://zotero.org/users/1143701/items/4S5FGPM8"],"itemData":{"id":198,"type":"article-journal","title":"An overview of research on student support: helping students to achieve or achieving institutional targets? Nurture or de-nature?","container-title":"Teaching in Higher Education","page":"683-695","volume":"12","issue":"5/6","source":"EBSCOhost","abstract":"In the quasi-marketised environment of the new, mass higher education (HE), centralised policy continues to dictate conditions, and traditionally stable sources of income are being made increasingly unreliable. An increasing emphasis on student support within HE institutions (HEIs) has been made necessary by targets for student numbers and the funding that rests on these numbers. These tensions have been added to for 'post-1992' universities, by the Widening Participation initiative that brings with it particular issues around recruitment and retention. Rather than focusing on the models and systems of support that are being developed in different HE settings and their effectiveness, the aim of this paper is to theorise the imperatives behind these, to look again at the context that informs their inception and how the various support structures position and identify students. Through this, the tensions that exist between financial incentives, 'bums on seats', Widening Participation and academic achievement rates will be explored.","URL":"http://libraries.ou.edu/access.aspx?url=http://search.ebscohost.com/login.aspx?direct=true&amp;db=afh&amp;AN=27176058&amp;site=ehost-live","DOI":"10.1080/13562510701596240","ISSN":"13562517","shortTitle":"An overview of research on student support","journalAbbreviation":"Teaching in Higher Education","author":[{"family":"Smith","given":"Rob"}],"issued":{"date-parts":[["2007",10]]},"accessed":{"date-parts":[["2014",10,14]]}}}],"schema":"https://github.com/citation-style-language/schema/raw/master/csl-citation.json"} </w:instrText>
      </w:r>
      <w:r w:rsidRPr="00B417BF">
        <w:rPr>
          <w:rFonts w:asciiTheme="minorHAnsi" w:hAnsiTheme="minorHAnsi"/>
          <w:vertAlign w:val="superscript"/>
        </w:rPr>
        <w:fldChar w:fldCharType="separate"/>
      </w:r>
      <w:r w:rsidR="00F521B2" w:rsidRPr="00F521B2">
        <w:rPr>
          <w:rFonts w:ascii="Cambria" w:hAnsiTheme="minorHAnsi"/>
          <w:vertAlign w:val="superscript"/>
        </w:rPr>
        <w:t>76</w:t>
      </w:r>
      <w:r w:rsidRPr="00B417BF">
        <w:rPr>
          <w:rFonts w:asciiTheme="minorHAnsi" w:hAnsiTheme="minorHAnsi"/>
          <w:vertAlign w:val="superscript"/>
        </w:rPr>
        <w:fldChar w:fldCharType="end"/>
      </w:r>
      <w:r w:rsidRPr="00B417BF">
        <w:rPr>
          <w:rFonts w:asciiTheme="minorHAnsi" w:hAnsiTheme="minorHAnsi"/>
        </w:rPr>
        <w:t xml:space="preserve"> </w:t>
      </w:r>
      <w:r w:rsidR="00576C5D" w:rsidRPr="00B417BF">
        <w:rPr>
          <w:rFonts w:asciiTheme="minorHAnsi" w:hAnsiTheme="minorHAnsi"/>
        </w:rPr>
        <w:t xml:space="preserve"> S</w:t>
      </w:r>
      <w:r w:rsidRPr="00B417BF">
        <w:rPr>
          <w:rFonts w:asciiTheme="minorHAnsi" w:hAnsiTheme="minorHAnsi"/>
        </w:rPr>
        <w:t xml:space="preserve">upport services at the </w:t>
      </w:r>
      <w:r w:rsidR="009C2467">
        <w:rPr>
          <w:rFonts w:asciiTheme="minorHAnsi" w:hAnsiTheme="minorHAnsi"/>
        </w:rPr>
        <w:t>research site</w:t>
      </w:r>
      <w:r w:rsidRPr="00B417BF">
        <w:rPr>
          <w:rFonts w:asciiTheme="minorHAnsi" w:hAnsiTheme="minorHAnsi"/>
        </w:rPr>
        <w:t xml:space="preserve"> include, but are not limited to, a student health clinic, counseling services, a writing center, instructor office hours, deans of students in each college, and assigned peer mentors and </w:t>
      </w:r>
      <w:r w:rsidR="009C2467">
        <w:rPr>
          <w:rFonts w:asciiTheme="minorHAnsi" w:hAnsiTheme="minorHAnsi"/>
        </w:rPr>
        <w:t xml:space="preserve">study groups.  When students </w:t>
      </w:r>
      <w:r w:rsidRPr="00B417BF">
        <w:rPr>
          <w:rFonts w:asciiTheme="minorHAnsi" w:hAnsiTheme="minorHAnsi"/>
        </w:rPr>
        <w:t>seek help and support for academic or personal reasons, there can be obstacles and confounding situations that make successful outcomes difficult.  Campus support services are reported by students to be difficult to access and are not utilized</w:t>
      </w:r>
      <w:r w:rsidR="003B5338">
        <w:rPr>
          <w:rFonts w:asciiTheme="minorHAnsi" w:hAnsiTheme="minorHAnsi"/>
        </w:rPr>
        <w:t>.</w:t>
      </w:r>
      <w:r w:rsidRPr="00B417BF">
        <w:rPr>
          <w:rFonts w:asciiTheme="minorHAnsi" w:hAnsiTheme="minorHAnsi"/>
        </w:rPr>
        <w:fldChar w:fldCharType="begin"/>
      </w:r>
      <w:r w:rsidR="002C6551">
        <w:rPr>
          <w:rFonts w:asciiTheme="minorHAnsi" w:hAnsiTheme="minorHAnsi"/>
        </w:rPr>
        <w:instrText xml:space="preserve"> ADDIN ZOTERO_ITEM CSL_CITATION {"citationID":"2ltvct7amk","properties":{"formattedCitation":"\\super 65,77\\nosupersub{}","plainCitation":"65,77","noteIndex":0},"citationItems":[{"id":"LTQK2Tdj/qsmD77oQ","uris":["http://zotero.org/users/1143701/items/6F4JAP44"],"uri":["http://zotero.org/users/1143701/items/6F4JAP44"],"itemData":{"id":154,"type":"article-journal","title":"Treatment Utilization on College Campuses: Who Seeks Help for What?","container-title":"Journal of College Counseling","page":"258-274","volume":"16","issue":"3","source":"EBSCOhost","archive_location":"Wiley-Blackwell. 350 Main Street, Malden, MA 02148. Tel: 800-835-6770; Tel: 781-388-8598; Fax: 781-388-8232; e-mail: cs-journals@wiley.com; Web site: http://www.wiley.com/WileyCDA","abstract":"The purpose of this study was to develop a better understanding of why college students seek psychological treatment by examining indicators of psychological distress. A secondary goal was to assess the utility of screening for treatment need via a brief self-report measure of distress. Two samples (1 clinical, 1 nonclinical; N= 8,380) were examined via logistic regression analyses to identify meaningful predictors of treatment-seeking behavior. Clinical applications are discussed.","ISSN":"1099-0399","shortTitle":"Treatment Utilization on College Campuses","journalAbbreviation":"Journal of College Counseling","author":[{"family":"Nordberg","given":"Samuel S."},{"family":"Hayes","given":"Jeffrey A."},{"family":"McAleavey","given":"Andrew A."},{"family":"Castonguay","given":"Louis G."},{"family":"Locke","given":"Benjamin D."}],"issued":{"date-parts":[["2013",10,1]]},"accessed":{"date-parts":[["2014",10,5]]}}},{"id":156,"uris":["http://zotero.org/users/1143701/items/WEN8B757"],"uri":["http://zotero.org/users/1143701/items/WEN8B757"],"itemData":{"id":156,"type":"article-journal","title":"Academic Help-Seeking Behavior Among Student Pharmacists","container-title":"American Journal of Pharmaceutical Education","page":"7","volume":"77","issue":"1","source":"CrossRef","URL":"http://www.ncbi.nlm.nih.gov.webproxy.ouhsc.edu/pmc/articles/PMC3578339/","DOI":"10.5688/ajpe7717","ISSN":"0002-9459, 1553-6467","language":"en","author":[{"family":"Payakachat","given":"Nalin"},{"family":"Gubbins","given":"Paul O."},{"family":"Ragland","given":"Denise"},{"family":"Norman","given":"Sarah E."},{"family":"Flowers","given":"Schwanda K."},{"family":"Stowe","given":"Cindy D."},{"family":"DeHart","given":"Renee M."},{"family":"Pace","given":"Anne"},{"family":"Hastings","given":"Jan K."}],"issued":{"date-parts":[["2013",2]]},"accessed":{"date-parts":[["2014",10,5]]}}}],"schema":"https://github.com/citation-style-language/schema/raw/master/csl-citation.json"} </w:instrText>
      </w:r>
      <w:r w:rsidRPr="00B417BF">
        <w:rPr>
          <w:rFonts w:asciiTheme="minorHAnsi" w:hAnsiTheme="minorHAnsi"/>
        </w:rPr>
        <w:fldChar w:fldCharType="separate"/>
      </w:r>
      <w:r w:rsidR="00F521B2" w:rsidRPr="00F521B2">
        <w:rPr>
          <w:rFonts w:ascii="Cambria" w:hAnsiTheme="minorHAnsi"/>
          <w:vertAlign w:val="superscript"/>
        </w:rPr>
        <w:t>65,77</w:t>
      </w:r>
      <w:r w:rsidRPr="00B417BF">
        <w:rPr>
          <w:rFonts w:asciiTheme="minorHAnsi" w:hAnsiTheme="minorHAnsi"/>
        </w:rPr>
        <w:fldChar w:fldCharType="end"/>
      </w:r>
      <w:r w:rsidRPr="00B417BF">
        <w:rPr>
          <w:rFonts w:asciiTheme="minorHAnsi" w:hAnsiTheme="minorHAnsi"/>
        </w:rPr>
        <w:t xml:space="preserve">   In the United States, less than 20% of students reporting and seeking assistance for suicidal ideation received treatment</w:t>
      </w:r>
      <w:r w:rsidR="003B5338">
        <w:rPr>
          <w:rFonts w:asciiTheme="minorHAnsi" w:hAnsiTheme="minorHAnsi"/>
        </w:rPr>
        <w:t>.</w:t>
      </w:r>
      <w:r w:rsidR="002C6551">
        <w:rPr>
          <w:rFonts w:asciiTheme="minorHAnsi" w:hAnsiTheme="minorHAnsi"/>
        </w:rPr>
        <w:fldChar w:fldCharType="begin"/>
      </w:r>
      <w:r w:rsidR="002C6551">
        <w:rPr>
          <w:rFonts w:asciiTheme="minorHAnsi" w:hAnsiTheme="minorHAnsi"/>
        </w:rPr>
        <w:instrText xml:space="preserve"> ADDIN ZOTERO_ITEM CSL_CITATION {"citationID":"DW4MjzNa","properties":{"formattedCitation":"\\super 78\\nosupersub{}","plainCitation":"78","noteIndex":0},"citationItems":[{"id":601,"uris":["http://zotero.org/users/1143701/items/3KSK93SM"],"uri":["http://zotero.org/users/1143701/items/3KSK93SM"],"itemData":{"id":601,"type":"article-journal","title":"Prevention and early intervention to improve mental health in higher education students: a review","container-title":"Early Intervention in Psychiatry","page":"132-142","volume":"4","issue":"2","source":"Wiley Online Library","abstract":"Background: The age at which most young people are in higher education is also the age of peak onset for mental and substance use disorders, with these having their first onset before age 24 in 75% of cases. In most developed countries, over 50% of young people are in higher education. Aims: To review the evidence for prevention and early intervention in mental health problems in higher education students. The review was limited to interventions targeted to anxiety, depression and alcohol misuse. Methods: Interventions to review were identified by searching PubMed, PsycINFO and the Cochrane Database of Systematic Reviews. Interventions were included if they were designed to specifically prevent or intervene early in the general (non-health professional) higher education student population, in one or more of the following areas: anxiety, depression or alcohol misuse symptoms, mental health literacy, stigma and one or more behavioural outcomes. Results: For interventions to prevent or intervene early for alcohol misuse, evidence of effectiveness is strongest for brief motivational interventions and for personalized normative interventions delivered using computers or in individual face-to-face sessions. Few interventions to prevent or intervene early with depression or anxiety were identified. These were mostly face-to-face, cognitive–behavioural/skill-based interventions. One social marketing intervention to raise awareness of depression and treatments showed some evidence of effectiveness. Conclusions: There is very limited evidence that interventions are effective in preventing or intervening early with depression and anxiety disorders in higher education students. Further studies, possibly involving interventions that have shown promise in other populations, are needed.","URL":"http://onlinelibrary.wiley.com/doi/10.1111/j.1751-7893.2010.00167.x/abstract","DOI":"10.1111/j.1751-7893.2010.00167.x","ISSN":"1751-7893","shortTitle":"Prevention and early intervention to improve mental health in higher education students","language":"en","author":[{"family":"Reavley","given":"Nicola"},{"family":"Jorm","given":"Anthony F."}],"issued":{"date-parts":[["2010",5,1]]},"accessed":{"date-parts":[["2015",8,15]]}}}],"schema":"https://github.com/citation-style-language/schema/raw/master/csl-citation.json"} </w:instrText>
      </w:r>
      <w:r w:rsidR="002C6551">
        <w:rPr>
          <w:rFonts w:asciiTheme="minorHAnsi" w:hAnsiTheme="minorHAnsi"/>
        </w:rPr>
        <w:fldChar w:fldCharType="separate"/>
      </w:r>
      <w:r w:rsidR="002C6551" w:rsidRPr="002C6551">
        <w:rPr>
          <w:rFonts w:ascii="Cambria" w:hAnsiTheme="minorHAnsi"/>
          <w:vertAlign w:val="superscript"/>
        </w:rPr>
        <w:t>78</w:t>
      </w:r>
      <w:r w:rsidR="002C6551">
        <w:rPr>
          <w:rFonts w:asciiTheme="minorHAnsi" w:hAnsiTheme="minorHAnsi"/>
        </w:rPr>
        <w:fldChar w:fldCharType="end"/>
      </w:r>
      <w:r w:rsidRPr="00B417BF">
        <w:rPr>
          <w:rFonts w:asciiTheme="minorHAnsi" w:hAnsiTheme="minorHAnsi"/>
        </w:rPr>
        <w:t xml:space="preserve">  </w:t>
      </w:r>
      <w:r w:rsidR="009C2467">
        <w:rPr>
          <w:rFonts w:asciiTheme="minorHAnsi" w:hAnsiTheme="minorHAnsi"/>
        </w:rPr>
        <w:t>Even when</w:t>
      </w:r>
      <w:r w:rsidRPr="00B417BF">
        <w:rPr>
          <w:rFonts w:asciiTheme="minorHAnsi" w:hAnsiTheme="minorHAnsi"/>
        </w:rPr>
        <w:t xml:space="preserve"> </w:t>
      </w:r>
      <w:r w:rsidR="009C2467">
        <w:rPr>
          <w:rFonts w:asciiTheme="minorHAnsi" w:hAnsiTheme="minorHAnsi"/>
        </w:rPr>
        <w:t>services</w:t>
      </w:r>
      <w:r w:rsidRPr="00B417BF">
        <w:rPr>
          <w:rFonts w:asciiTheme="minorHAnsi" w:hAnsiTheme="minorHAnsi"/>
        </w:rPr>
        <w:t xml:space="preserve"> are available, instructors and help line </w:t>
      </w:r>
      <w:r w:rsidR="00576C5D" w:rsidRPr="00B417BF">
        <w:rPr>
          <w:rFonts w:asciiTheme="minorHAnsi" w:hAnsiTheme="minorHAnsi"/>
        </w:rPr>
        <w:t xml:space="preserve">volunteers </w:t>
      </w:r>
      <w:r w:rsidR="009C2467">
        <w:rPr>
          <w:rFonts w:asciiTheme="minorHAnsi" w:hAnsiTheme="minorHAnsi"/>
        </w:rPr>
        <w:t>may not be</w:t>
      </w:r>
      <w:r w:rsidRPr="00B417BF">
        <w:rPr>
          <w:rFonts w:asciiTheme="minorHAnsi" w:hAnsiTheme="minorHAnsi"/>
        </w:rPr>
        <w:t xml:space="preserve"> skilled or licensed practitioners.   </w:t>
      </w:r>
      <w:r w:rsidR="000A24D1">
        <w:rPr>
          <w:rFonts w:asciiTheme="minorHAnsi" w:hAnsiTheme="minorHAnsi"/>
        </w:rPr>
        <w:t>In addition, m</w:t>
      </w:r>
      <w:r w:rsidR="00F521B2">
        <w:rPr>
          <w:rFonts w:asciiTheme="minorHAnsi" w:hAnsiTheme="minorHAnsi"/>
        </w:rPr>
        <w:t>any campuses lack</w:t>
      </w:r>
      <w:r w:rsidRPr="00B417BF">
        <w:rPr>
          <w:rFonts w:asciiTheme="minorHAnsi" w:hAnsiTheme="minorHAnsi"/>
        </w:rPr>
        <w:t xml:space="preserve"> 24-hour support hotlines or </w:t>
      </w:r>
      <w:r w:rsidR="00576C5D" w:rsidRPr="00B417BF">
        <w:rPr>
          <w:rFonts w:asciiTheme="minorHAnsi" w:hAnsiTheme="minorHAnsi"/>
        </w:rPr>
        <w:t>after-hours</w:t>
      </w:r>
      <w:r w:rsidRPr="00B417BF">
        <w:rPr>
          <w:rFonts w:asciiTheme="minorHAnsi" w:hAnsiTheme="minorHAnsi"/>
        </w:rPr>
        <w:t xml:space="preserve"> clinics.  </w:t>
      </w:r>
    </w:p>
    <w:p w14:paraId="7908E492" w14:textId="77777777" w:rsidR="00F521B2" w:rsidRDefault="00F521B2" w:rsidP="00FA004E">
      <w:pPr>
        <w:spacing w:line="480" w:lineRule="auto"/>
        <w:rPr>
          <w:rFonts w:asciiTheme="minorHAnsi" w:hAnsiTheme="minorHAnsi"/>
        </w:rPr>
      </w:pPr>
    </w:p>
    <w:p w14:paraId="3B289F41" w14:textId="77777777" w:rsidR="00F521B2" w:rsidRDefault="00F521B2" w:rsidP="00FA004E">
      <w:pPr>
        <w:spacing w:line="480" w:lineRule="auto"/>
        <w:rPr>
          <w:rFonts w:asciiTheme="minorHAnsi" w:hAnsiTheme="minorHAnsi"/>
        </w:rPr>
      </w:pPr>
      <w:r>
        <w:rPr>
          <w:rFonts w:asciiTheme="minorHAnsi" w:hAnsiTheme="minorHAnsi"/>
        </w:rPr>
        <w:t xml:space="preserve">Faculty </w:t>
      </w:r>
      <w:r w:rsidR="00FA004E" w:rsidRPr="00B417BF">
        <w:rPr>
          <w:rFonts w:asciiTheme="minorHAnsi" w:hAnsiTheme="minorHAnsi"/>
        </w:rPr>
        <w:t>members are not trained in identifying students needing support services or how to refer them to the most appropriate venue</w:t>
      </w:r>
      <w:r w:rsidR="003B5338">
        <w:rPr>
          <w:rFonts w:asciiTheme="minorHAnsi" w:hAnsiTheme="minorHAnsi"/>
        </w:rPr>
        <w:t>.</w:t>
      </w:r>
      <w:r w:rsidR="00FA004E" w:rsidRPr="00B417BF">
        <w:rPr>
          <w:rFonts w:asciiTheme="minorHAnsi" w:hAnsiTheme="minorHAnsi"/>
        </w:rPr>
        <w:fldChar w:fldCharType="begin"/>
      </w:r>
      <w:r w:rsidR="002F2356">
        <w:rPr>
          <w:rFonts w:asciiTheme="minorHAnsi" w:hAnsiTheme="minorHAnsi"/>
        </w:rPr>
        <w:instrText xml:space="preserve"> ADDIN ZOTERO_ITEM CSL_CITATION {"citationID":"1ugs7tvj32","properties":{"formattedCitation":"\\super 14,72\\nosupersub{}","plainCitation":"14,72","noteIndex":0},"citationItems":[{"id":168,"uris":["http://zotero.org/users/1143701/items/7SXBTPH3"],"uri":["http://zotero.org/users/1143701/items/7SXBTPH3"],"itemData":{"id":168,"type":"article-journal","title":"Distress and help-seeking as a function of person-environment fit and self-efficacy: a causal model.","container-title":"Journal of Community Psychology","page":"657-76","volume":"14","issue":"6","source":"Ovid (Ovid MEDLINE(R))","abstract":"Self-efficacy, indicators of distress (state anxiety and frequency of physical symptoms), help-seeking (visits to the campus health center, an outside physician, and a counselor), and two measures of person-environment (P-E) fit were assessed on 152 college students and examined in a LISREL model. The two P-E fit measures were perceived discrepancy, the profile difference score between how each student would like their residence floor and how each viewed it as being, and actual discrepancy, the profile difference score between how each would like the floor to be and the mean rating for how floor residents viewed the floor. It was found that self-efficacy and perceived discrepancy had independent and moderate effects on distress but not on help-seeking, whereas actual discrepancy was found to have a strong effect on help-seeking and no direct effect on distress. Help-seeking was found to have a strong negative effect on distress.","URL":"http://webproxy.ouhsc.edu/login?url=http://ovidsp.ovid.com/ovidweb.cgi?T=JS&amp;CSC=Y&amp;NEWS=N&amp;PAGE=fulltext&amp;D=med2&amp;AN=3799555","ISSN":"0091-0562","shortTitle":"Distress and help-seeking as a function of person-environment fit and self-efficacy","author":[{"family":"Tracey","given":"TJ"},{"family":"Sherry","given":"P"},{"family":"Keitel","given":"M"}],"issued":{"date-parts":[["1986",12]]},"accessed":{"date-parts":[["2014",10,5]]}}},{"id":238,"uris":["http://zotero.org/users/1143701/items/K3PDNGH4"],"uri":["http://zotero.org/users/1143701/items/K3PDNGH4"],"itemData":{"id":238,"type":"article-journal","title":"A holistic review of the medical school admission process: examining correlates of academic underperformance","container-title":"Medical Education Online","volume":"19","source":"PubMed Central","abstract":"Background\nDespite medical school admission committees’ best efforts, a handful of seemingly capable students invariably struggle during their first year of study. Yet, even as entrance criteria continue to broaden beyond cognitive qualifications, attention inevitably reverts back to such factors when seeking to understand these phenomena. Using a host of applicant, admission, and post-admission variables, the purpose of this inductive study, then, was to identify a constellation of student characteristics that, taken collectively, would be predictive of students at-risk of underperforming during the first year of medical school. In it, we hypothesize that a wider range of factors than previously recognized could conceivably play roles in understanding why students experience academic problems early in the medical educational continuum.\n\nMethods\nThe study sample consisted of the five most recent matriculant cohorts from a large, southeastern medical school (n=537). Independent variables reflected: 1) the personal demographics of applicants (e.g., age, gender); 2) academic criteria (e.g., undergraduate grade point averages [GPA], medical college admission test); 3) selection processes (e.g., entrance track, interview scores, committee votes); and 4) other indicators of personality and professionalism (e.g., Mayer-Salovey-Caruso Emotional Intelligence Test™ emotional intelligence scores, NEO PI-R™ personality profiles, and appearances before the Professional Code Committee [PCC]). The dependent variable, first-year underperformance, was defined as ANY action (repeat, conditionally advance, or dismiss) by the college's Student Progress and Promotions Committee (SPPC) in response to predefined academic criteria. This study protocol was approved by the local medical institutional review board (IRB).\n\nResults\nOf the 537 students comprising the study sample, 61 (11.4%) met the specified criterion for academic underperformance. Significantly increased academic risks were identified among students who 1) had lower mean undergraduate science GPAs (OR=0.24, p=0.001); 2) entered medical school via an accelerated BS/MD track (OR=16.15, p=0.002); 3) were 31 years of age or older (OR=14.76, p=0.005); and 4) were non-unanimous admission committee admits (OR=0.53, p=0.042). Two dimensions of the NEO PI-R™ personality inventory, openness (+) and conscientiousness (−), were modestly but significantly correlated with academic underperformance. Only for the latter, however, were mean scores found to differ significantly between academic performers and underperformers. Finally, appearing before the college's PCC (OR=4.21, p=0.056) fell just short of statistical significance.\n\nConclusions\nOur review of various correlates across the matriculation process highlights the heterogeneity of factors underlying students’ underperformance during the first year of medical school and challenges medical educators to understand the complexity of predicting who, among admitted matriculants, may be at future academic risk.","URL":"http://www.ncbi.nlm.nih.gov/pmc/articles/PMC3974177/","DOI":"10.3402/meo.v19.22919","ISSN":"1087-2981","note":"PMID: 24695362\nPMCID: PMC3974177","shortTitle":"A holistic review of the medical school admission process","journalAbbreviation":"Med Educ Online","author":[{"family":"Stratton","given":"Terry D."},{"family":"Elam","given":"Carol L."}],"issued":{"date-parts":[["2014",4,1]]},"accessed":{"date-parts":[["2014",12,29]]}}}],"schema":"https://github.com/citation-style-language/schema/raw/master/csl-citation.json"} </w:instrText>
      </w:r>
      <w:r w:rsidR="00FA004E" w:rsidRPr="00B417BF">
        <w:rPr>
          <w:rFonts w:asciiTheme="minorHAnsi" w:hAnsiTheme="minorHAnsi"/>
        </w:rPr>
        <w:fldChar w:fldCharType="separate"/>
      </w:r>
      <w:r w:rsidR="002F2356" w:rsidRPr="002F2356">
        <w:rPr>
          <w:rFonts w:ascii="Cambria" w:hAnsiTheme="minorHAnsi"/>
          <w:vertAlign w:val="superscript"/>
        </w:rPr>
        <w:t>14,72</w:t>
      </w:r>
      <w:r w:rsidR="00FA004E" w:rsidRPr="00B417BF">
        <w:rPr>
          <w:rFonts w:asciiTheme="minorHAnsi" w:hAnsiTheme="minorHAnsi"/>
        </w:rPr>
        <w:fldChar w:fldCharType="end"/>
      </w:r>
      <w:r w:rsidR="00FA004E" w:rsidRPr="00B417BF">
        <w:rPr>
          <w:rFonts w:asciiTheme="minorHAnsi" w:hAnsiTheme="minorHAnsi"/>
        </w:rPr>
        <w:t xml:space="preserve">  According to Monrouxe et al,</w:t>
      </w:r>
      <w:r w:rsidR="003B5338" w:rsidRPr="00B417BF">
        <w:rPr>
          <w:rFonts w:asciiTheme="minorHAnsi" w:hAnsiTheme="minorHAnsi"/>
        </w:rPr>
        <w:fldChar w:fldCharType="begin"/>
      </w:r>
      <w:r>
        <w:rPr>
          <w:rFonts w:asciiTheme="minorHAnsi" w:hAnsiTheme="minorHAnsi"/>
        </w:rPr>
        <w:instrText xml:space="preserve"> ADDIN ZOTERO_ITEM CSL_CITATION {"citationID":"AxvlCUJ1","properties":{"formattedCitation":"\\super 79\\nosupersub{}","plainCitation":"79","noteIndex":0},"citationItems":[{"id":289,"uris":["http://zotero.org/users/1143701/items/XTQKE7BE"],"uri":["http://zotero.org/users/1143701/items/XTQKE7BE"],"itemData":{"id":289,"type":"article-journal","title":"Medical educators’ social acts of explaining passing underperformance in students: a qualitative study","container-title":"Advances in Health Sciences Education","page":"239-252","volume":"16","issue":"2","source":"CrossRef","URL":"http://link.springer.com/10.1007/s10459-010-9259-y","DOI":"10.1007/s10459-010-9259-y","ISSN":"1382-4996, 1573-1677","shortTitle":"Medical educators’ social acts of explaining passing underperformance in students","language":"en","author":[{"family":"Monrouxe","given":"Lynn V."},{"family":"Rees","given":"Charlotte E."},{"family":"Lewis","given":"Natalie J."},{"family":"Cleland","given":"Jennifer A."}],"issued":{"date-parts":[["2011",5]]},"accessed":{"date-parts":[["2015",10,19]]}}}],"schema":"https://github.com/citation-style-language/schema/raw/master/csl-citation.json"} </w:instrText>
      </w:r>
      <w:r w:rsidR="003B5338" w:rsidRPr="00B417BF">
        <w:rPr>
          <w:rFonts w:asciiTheme="minorHAnsi" w:hAnsiTheme="minorHAnsi"/>
        </w:rPr>
        <w:fldChar w:fldCharType="separate"/>
      </w:r>
      <w:r w:rsidRPr="00F521B2">
        <w:rPr>
          <w:rFonts w:ascii="Cambria" w:hAnsiTheme="minorHAnsi"/>
          <w:vertAlign w:val="superscript"/>
        </w:rPr>
        <w:t>79</w:t>
      </w:r>
      <w:r w:rsidR="003B5338" w:rsidRPr="00B417BF">
        <w:rPr>
          <w:rFonts w:asciiTheme="minorHAnsi" w:hAnsiTheme="minorHAnsi"/>
        </w:rPr>
        <w:fldChar w:fldCharType="end"/>
      </w:r>
      <w:r w:rsidR="00FA004E" w:rsidRPr="00B417BF">
        <w:rPr>
          <w:rFonts w:asciiTheme="minorHAnsi" w:hAnsiTheme="minorHAnsi"/>
        </w:rPr>
        <w:t xml:space="preserve"> medical educators lack basic language and discourse skills to communicate about students’ shortfalls and underperformance.  </w:t>
      </w:r>
      <w:r w:rsidR="00D01A40">
        <w:rPr>
          <w:rFonts w:asciiTheme="minorHAnsi" w:hAnsiTheme="minorHAnsi"/>
        </w:rPr>
        <w:t>Most</w:t>
      </w:r>
      <w:r w:rsidR="00FA004E" w:rsidRPr="00B417BF">
        <w:rPr>
          <w:rFonts w:asciiTheme="minorHAnsi" w:hAnsiTheme="minorHAnsi"/>
        </w:rPr>
        <w:t xml:space="preserve"> instructors </w:t>
      </w:r>
      <w:r w:rsidR="00D01A40">
        <w:rPr>
          <w:rFonts w:asciiTheme="minorHAnsi" w:hAnsiTheme="minorHAnsi"/>
        </w:rPr>
        <w:t xml:space="preserve">are not </w:t>
      </w:r>
      <w:r w:rsidR="00FA004E" w:rsidRPr="00B417BF">
        <w:rPr>
          <w:rFonts w:asciiTheme="minorHAnsi" w:hAnsiTheme="minorHAnsi"/>
        </w:rPr>
        <w:t>trained in assisting students through the administrative process of service access</w:t>
      </w:r>
      <w:r w:rsidR="003B5338">
        <w:rPr>
          <w:rFonts w:asciiTheme="minorHAnsi" w:hAnsiTheme="minorHAnsi"/>
        </w:rPr>
        <w:t>.</w:t>
      </w:r>
      <w:r w:rsidR="002142E4" w:rsidRPr="00B417BF">
        <w:rPr>
          <w:rFonts w:asciiTheme="minorHAnsi" w:hAnsiTheme="minorHAnsi"/>
        </w:rPr>
        <w:fldChar w:fldCharType="begin"/>
      </w:r>
      <w:r>
        <w:rPr>
          <w:rFonts w:asciiTheme="minorHAnsi" w:hAnsiTheme="minorHAnsi"/>
        </w:rPr>
        <w:instrText xml:space="preserve"> ADDIN ZOTERO_ITEM CSL_CITATION {"citationID":"23j119olrn","properties":{"formattedCitation":"\\super 80\\nosupersub{}","plainCitation":"80","noteIndex":0},"citationItems":[{"id":94,"uris":["http://zotero.org/users/1143701/items/X9D6IAWT"],"uri":["http://zotero.org/users/1143701/items/X9D6IAWT"],"itemData":{"id":94,"type":"article-journal","title":"Accountable Care Organization Readiness and Academic Medical Centers. [Miscellaneous Article]","container-title":"Academic Medicine September 2014","page":"1210-1215","volume":"89","issue":"9","source":"Ovid (Your Journals@Ovid)","abstract":"As academic medical centers (AMCs) consider becoming accountable care organizations (ACOs) under Medicare, they must assess their readiness for this transition. Of the 253 Medicare ACOs prior to 2014, 51 (20%) are AMCs. Three critical components of ACO readiness are institutional and ACO structure, leadership, and governance; robust information technology and analytic systems; and care coordination and management to improve care delivery and health at the population level. All of these must be viewed through the lens of unique AMC mission-driven goals., There is clear benefit to developing and maintaining a centralized internal leadership when it comes to driving change within an ACO, yet there is also the need for broad stakeholder involvement. Other important structural features are an extensive primary care foundation; concomitant operation of a managed care plan or risk-bearing entity; or maintaining a close relationship with post-acute-care or skilled nursing facilities, which provide valuable expertise in coordinating care across the continuum. ACOs also require comprehensive and integrated data and analytic systems that provide meaningful population data to inform care teams in real time, promote quality improvement, and monitor spending trends. AMCs will require proven care coordination and management strategies within a population health framework and deployment of an innovative workforce., AMC core functions of providing high-quality subspecialty and primary care, generating new knowledge, and training future health care leaders can be well aligned with a transition to an ACO model. Further study of results from Medicare-related ACO programs and commercial ACOs will help define best practices., (C) 2014 by the Association of American Medical Colleges","URL":"http://webproxy.ouhsc.edu/login?url=http://ovidsp.ovid.com/ovidweb.cgi?T=JS&amp;CSC=Y&amp;NEWS=N&amp;PAGE=fulltext&amp;D=yrovfto&amp;AN=00001888-201409000-00010","DOI":"10.1097/ACM.0000000000000365","ISSN":"1040-2446","author":[{"family":"Berkowitz","given":"Scott A."},{"family":"Pahira","given":"Jennifer"}],"issued":{"date-parts":[["2014"]]},"accessed":{"date-parts":[["2014",9,9]]}}}],"schema":"https://github.com/citation-style-language/schema/raw/master/csl-citation.json"} </w:instrText>
      </w:r>
      <w:r w:rsidR="002142E4" w:rsidRPr="00B417BF">
        <w:rPr>
          <w:rFonts w:asciiTheme="minorHAnsi" w:hAnsiTheme="minorHAnsi"/>
        </w:rPr>
        <w:fldChar w:fldCharType="separate"/>
      </w:r>
      <w:r w:rsidRPr="00F521B2">
        <w:rPr>
          <w:rFonts w:ascii="Cambria" w:hAnsiTheme="minorHAnsi"/>
          <w:vertAlign w:val="superscript"/>
        </w:rPr>
        <w:t>80</w:t>
      </w:r>
      <w:r w:rsidR="002142E4" w:rsidRPr="00B417BF">
        <w:rPr>
          <w:rFonts w:asciiTheme="minorHAnsi" w:hAnsiTheme="minorHAnsi"/>
        </w:rPr>
        <w:fldChar w:fldCharType="end"/>
      </w:r>
      <w:r w:rsidR="00FA004E" w:rsidRPr="00B417BF">
        <w:rPr>
          <w:rFonts w:asciiTheme="minorHAnsi" w:hAnsiTheme="minorHAnsi"/>
        </w:rPr>
        <w:t xml:space="preserve"> </w:t>
      </w:r>
      <w:r w:rsidR="002142E4">
        <w:rPr>
          <w:rFonts w:asciiTheme="minorHAnsi" w:hAnsiTheme="minorHAnsi"/>
        </w:rPr>
        <w:t xml:space="preserve"> </w:t>
      </w:r>
    </w:p>
    <w:p w14:paraId="5FCDF13F" w14:textId="77777777" w:rsidR="00F521B2" w:rsidRDefault="00F521B2" w:rsidP="00FA004E">
      <w:pPr>
        <w:spacing w:line="480" w:lineRule="auto"/>
        <w:rPr>
          <w:rFonts w:asciiTheme="minorHAnsi" w:hAnsiTheme="minorHAnsi"/>
        </w:rPr>
      </w:pPr>
    </w:p>
    <w:p w14:paraId="42C80FC4" w14:textId="3AF5A83B" w:rsidR="00FA004E" w:rsidRPr="00B417BF" w:rsidRDefault="00F521B2" w:rsidP="00FA004E">
      <w:pPr>
        <w:spacing w:line="480" w:lineRule="auto"/>
        <w:rPr>
          <w:rFonts w:asciiTheme="minorHAnsi" w:hAnsiTheme="minorHAnsi"/>
        </w:rPr>
      </w:pPr>
      <w:r>
        <w:rPr>
          <w:rFonts w:asciiTheme="minorHAnsi" w:hAnsiTheme="minorHAnsi"/>
        </w:rPr>
        <w:t xml:space="preserve">Classrooms may have other inherent barriers to help-seeking.  </w:t>
      </w:r>
      <w:r w:rsidR="00FA004E" w:rsidRPr="00B417BF">
        <w:rPr>
          <w:rFonts w:asciiTheme="minorHAnsi" w:hAnsiTheme="minorHAnsi"/>
        </w:rPr>
        <w:t xml:space="preserve">In classes that have mandatory attendance policies, students can find it difficult to use services </w:t>
      </w:r>
      <w:r w:rsidR="00FA004E" w:rsidRPr="00B417BF">
        <w:rPr>
          <w:rFonts w:asciiTheme="minorHAnsi" w:hAnsiTheme="minorHAnsi"/>
        </w:rPr>
        <w:lastRenderedPageBreak/>
        <w:t>during business hours without the support of faculty members.</w:t>
      </w:r>
      <w:r w:rsidRPr="00B417BF">
        <w:rPr>
          <w:rFonts w:asciiTheme="minorHAnsi" w:hAnsiTheme="minorHAnsi"/>
        </w:rPr>
        <w:fldChar w:fldCharType="begin"/>
      </w:r>
      <w:r>
        <w:rPr>
          <w:rFonts w:asciiTheme="minorHAnsi" w:hAnsiTheme="minorHAnsi"/>
        </w:rPr>
        <w:instrText xml:space="preserve"> ADDIN ZOTERO_ITEM CSL_CITATION {"citationID":"1afsod5c9t","properties":{"formattedCitation":"\\super 81\\nosupersub{}","plainCitation":"81","noteIndex":0},"citationItems":[{"id":252,"uris":["http://zotero.org/users/1143701/items/QCG3MEVZ"],"uri":["http://zotero.org/users/1143701/items/QCG3MEVZ"],"itemData":{"id":252,"type":"article-journal","title":"Is it me or is it them? Factors that influence the passing of underperforming students","container-title":"Medical Education","page":"800-809","volume":"42","issue":"8","source":"Wiley Online Library","abstract":"Context  Research has found that clinical assessments do not always accurately reflect medical student performance. Barriers to failing underperformance in students have been identified in other vocational settings. Is ‘failure to fail’ an issue for medical educators in the UK, and, if so, what are its determinants? Methods  We carried out a qualitative focus group study exploring the views of medical educators (general practitioners, hospital doctors and non-clinical tutors) from two different UK medical schools. To make sense of a potential multitude of factors impacting on failure to fail, we selected the integrative model of behavioural prediction to underpin our data collection and analysis. Results  Ten focus groups were carried out with 70 participants. Using both theory and data-driven framework analysis, we identified six main themes relevant to the integrative model of behavioural prediction. These are: tutor attitudes towards an individual student; tutor attitudes towards failing a student; normative beliefs and motivation to comply; efficacy beliefs (self-efficacy); skills and knowledge, and environmental constraints. Discussion  Many different factors impact on medical educators’ failure to report underperformance in students. There are conflicts between these factors and the need to report competence accurately (i.e. duty to protect the public). Although some of the barriers identified are similar to those found in previous studies, using a theory-based approach added value in that it facilitated a richer exploration of failure to fail. Insights offered in this study will be used to plan a questionnaire study and subsequent intervention to support medical educators in accurately reporting underperformance in students.","URL":"http://onlinelibrary.wiley.com/doi/10.1111/j.1365-2923.2008.03113.x/abstract","DOI":"10.1111/j.1365-2923.2008.03113.x","ISSN":"1365-2923","shortTitle":"Is it me or is it them?","language":"en","author":[{"family":"Cleland","given":"Jennifer A"},{"family":"Knight","given":"Lynn V"},{"family":"Rees","given":"Charlotte E"},{"family":"Tracey","given":"Susan"},{"family":"Bond","given":"Christine M"}],"issued":{"date-parts":[["2008"]]},"accessed":{"date-parts":[["2014",12,29]]}}}],"schema":"https://github.com/citation-style-language/schema/raw/master/csl-citation.json"} </w:instrText>
      </w:r>
      <w:r w:rsidRPr="00B417BF">
        <w:rPr>
          <w:rFonts w:asciiTheme="minorHAnsi" w:hAnsiTheme="minorHAnsi"/>
        </w:rPr>
        <w:fldChar w:fldCharType="separate"/>
      </w:r>
      <w:r w:rsidRPr="00F521B2">
        <w:rPr>
          <w:rFonts w:ascii="Cambria" w:hAnsiTheme="minorHAnsi"/>
          <w:vertAlign w:val="superscript"/>
        </w:rPr>
        <w:t>81</w:t>
      </w:r>
      <w:r w:rsidRPr="00B417BF">
        <w:rPr>
          <w:rFonts w:asciiTheme="minorHAnsi" w:hAnsiTheme="minorHAnsi"/>
        </w:rPr>
        <w:fldChar w:fldCharType="end"/>
      </w:r>
      <w:r w:rsidR="00FA004E" w:rsidRPr="00B417BF">
        <w:rPr>
          <w:rFonts w:asciiTheme="minorHAnsi" w:hAnsiTheme="minorHAnsi"/>
        </w:rPr>
        <w:t xml:space="preserve">  </w:t>
      </w:r>
      <w:r>
        <w:rPr>
          <w:rFonts w:asciiTheme="minorHAnsi" w:hAnsiTheme="minorHAnsi"/>
        </w:rPr>
        <w:t>The</w:t>
      </w:r>
      <w:r w:rsidR="00FA004E" w:rsidRPr="00B417BF">
        <w:rPr>
          <w:rFonts w:asciiTheme="minorHAnsi" w:hAnsiTheme="minorHAnsi"/>
        </w:rPr>
        <w:t xml:space="preserve"> impersonal setting of the lecture hall </w:t>
      </w:r>
      <w:r w:rsidR="00576C5D" w:rsidRPr="00B417BF">
        <w:rPr>
          <w:rFonts w:asciiTheme="minorHAnsi" w:hAnsiTheme="minorHAnsi"/>
        </w:rPr>
        <w:t>also decreases the likelihood students</w:t>
      </w:r>
      <w:r w:rsidR="00FA004E" w:rsidRPr="00B417BF">
        <w:rPr>
          <w:rFonts w:asciiTheme="minorHAnsi" w:hAnsiTheme="minorHAnsi"/>
        </w:rPr>
        <w:t xml:space="preserve"> will seek assistance for academic or personal difficulties</w:t>
      </w:r>
      <w:r w:rsidR="003B5338">
        <w:rPr>
          <w:rFonts w:asciiTheme="minorHAnsi" w:hAnsiTheme="minorHAnsi"/>
        </w:rPr>
        <w:t>.</w:t>
      </w:r>
      <w:r w:rsidR="00FA004E" w:rsidRPr="00B417BF">
        <w:rPr>
          <w:rFonts w:asciiTheme="minorHAnsi" w:hAnsiTheme="minorHAnsi"/>
        </w:rPr>
        <w:t xml:space="preserve">  </w:t>
      </w:r>
      <w:r w:rsidR="00576C5D" w:rsidRPr="00B417BF">
        <w:rPr>
          <w:rFonts w:asciiTheme="minorHAnsi" w:hAnsiTheme="minorHAnsi"/>
        </w:rPr>
        <w:t>S</w:t>
      </w:r>
      <w:r w:rsidR="00FA004E" w:rsidRPr="00B417BF">
        <w:rPr>
          <w:rFonts w:asciiTheme="minorHAnsi" w:hAnsiTheme="minorHAnsi"/>
        </w:rPr>
        <w:t>maller class sizes offer more personal interaction b</w:t>
      </w:r>
      <w:r w:rsidR="00B94C97">
        <w:rPr>
          <w:rFonts w:asciiTheme="minorHAnsi" w:hAnsiTheme="minorHAnsi"/>
        </w:rPr>
        <w:t xml:space="preserve">etween students and instructors, yet </w:t>
      </w:r>
      <w:r w:rsidR="00FA004E" w:rsidRPr="00B417BF">
        <w:rPr>
          <w:rFonts w:asciiTheme="minorHAnsi" w:hAnsiTheme="minorHAnsi"/>
        </w:rPr>
        <w:t xml:space="preserve">students may defer assistance if they feel they will be stigmatized or have their academic work scrutinized.  </w:t>
      </w:r>
      <w:r w:rsidR="00842C93">
        <w:rPr>
          <w:rFonts w:asciiTheme="minorHAnsi" w:hAnsiTheme="minorHAnsi"/>
        </w:rPr>
        <w:t>Because several states mandate reporting of mental health treatment</w:t>
      </w:r>
      <w:r w:rsidR="00FA004E" w:rsidRPr="00B417BF">
        <w:rPr>
          <w:rFonts w:asciiTheme="minorHAnsi" w:hAnsiTheme="minorHAnsi"/>
        </w:rPr>
        <w:t xml:space="preserve"> to their state medical boards prior to receiving state licensure</w:t>
      </w:r>
      <w:r w:rsidR="002142E4">
        <w:rPr>
          <w:rFonts w:asciiTheme="minorHAnsi" w:hAnsiTheme="minorHAnsi"/>
        </w:rPr>
        <w:t xml:space="preserve">, </w:t>
      </w:r>
      <w:r w:rsidR="00842C93">
        <w:rPr>
          <w:rFonts w:asciiTheme="minorHAnsi" w:hAnsiTheme="minorHAnsi"/>
        </w:rPr>
        <w:t xml:space="preserve">students view </w:t>
      </w:r>
      <w:r w:rsidR="002E6792">
        <w:rPr>
          <w:rFonts w:asciiTheme="minorHAnsi" w:hAnsiTheme="minorHAnsi"/>
        </w:rPr>
        <w:t>help-seeking</w:t>
      </w:r>
      <w:r w:rsidR="002142E4">
        <w:rPr>
          <w:rFonts w:asciiTheme="minorHAnsi" w:hAnsiTheme="minorHAnsi"/>
        </w:rPr>
        <w:t xml:space="preserve"> </w:t>
      </w:r>
      <w:r w:rsidR="00842C93">
        <w:rPr>
          <w:rFonts w:asciiTheme="minorHAnsi" w:hAnsiTheme="minorHAnsi"/>
        </w:rPr>
        <w:t xml:space="preserve">from professors as </w:t>
      </w:r>
      <w:r w:rsidR="002142E4">
        <w:rPr>
          <w:rFonts w:asciiTheme="minorHAnsi" w:hAnsiTheme="minorHAnsi"/>
        </w:rPr>
        <w:t>possibly detrimental to a medical career</w:t>
      </w:r>
      <w:r w:rsidR="003B5338">
        <w:rPr>
          <w:rFonts w:asciiTheme="minorHAnsi" w:hAnsiTheme="minorHAnsi"/>
        </w:rPr>
        <w:t>.</w:t>
      </w:r>
      <w:r w:rsidR="00576C5D" w:rsidRPr="00B417BF">
        <w:rPr>
          <w:rFonts w:asciiTheme="minorHAnsi" w:hAnsiTheme="minorHAnsi"/>
        </w:rPr>
        <w:fldChar w:fldCharType="begin"/>
      </w:r>
      <w:r w:rsidR="002F2356">
        <w:rPr>
          <w:rFonts w:asciiTheme="minorHAnsi" w:hAnsiTheme="minorHAnsi"/>
        </w:rPr>
        <w:instrText xml:space="preserve"> ADDIN ZOTERO_ITEM CSL_CITATION {"citationID":"anlnd2s8qm","properties":{"formattedCitation":"\\super 68\\nosupersub{}","plainCitation":"68","noteIndex":0},"citationItems":[{"id":167,"uris":["http://zotero.org/users/1143701/items/U23WXRSC"],"uri":["http://zotero.org/users/1143701/items/U23WXRSC"],"itemData":{"id":167,"type":"article-journal","title":"'I wouldn't want it on my CV or their records': medical students' experiences of help-seeking for mental health problems.","container-title":"Medical Education","page":"873-80","volume":"37","issue":"10","source":"Ovid (Ovid MEDLINE(R))","abstract":"CONCLUSION: The preparation of medical students for life as doctors involves more than facilitation of the acquisition of knowledge and skills, so that new doctors can conform to the principals of professional conduct. Support and mentoring are required so that stress can be identified early and dealt with appropriately.","URL":"http://webproxy.ouhsc.edu/login?url=http://ovidsp.ovid.com/ovidweb.cgi?T=JS&amp;CSC=Y&amp;NEWS=N&amp;PAGE=fulltext&amp;D=med4&amp;AN=12974841","ISSN":"0308-0110","shortTitle":"'I wouldn't want it on my CV or their records'","author":[{"family":"Chew-Graham","given":"CA"},{"family":"Rogers","given":"A"},{"family":"Yassin","given":"N"}],"issued":{"date-parts":[["2003",10]]},"accessed":{"date-parts":[["2014",10,5]]}}}],"schema":"https://github.com/citation-style-language/schema/raw/master/csl-citation.json"} </w:instrText>
      </w:r>
      <w:r w:rsidR="00576C5D" w:rsidRPr="00B417BF">
        <w:rPr>
          <w:rFonts w:asciiTheme="minorHAnsi" w:hAnsiTheme="minorHAnsi"/>
        </w:rPr>
        <w:fldChar w:fldCharType="separate"/>
      </w:r>
      <w:r w:rsidR="002F2356" w:rsidRPr="002F2356">
        <w:rPr>
          <w:rFonts w:ascii="Cambria" w:hAnsiTheme="minorHAnsi"/>
          <w:vertAlign w:val="superscript"/>
        </w:rPr>
        <w:t>68</w:t>
      </w:r>
      <w:r w:rsidR="00576C5D" w:rsidRPr="00B417BF">
        <w:rPr>
          <w:rFonts w:asciiTheme="minorHAnsi" w:hAnsiTheme="minorHAnsi"/>
        </w:rPr>
        <w:fldChar w:fldCharType="end"/>
      </w:r>
      <w:r w:rsidR="00842C93">
        <w:rPr>
          <w:rFonts w:asciiTheme="minorHAnsi" w:hAnsiTheme="minorHAnsi"/>
        </w:rPr>
        <w:t xml:space="preserve"> </w:t>
      </w:r>
    </w:p>
    <w:p w14:paraId="1011A3CE" w14:textId="77777777" w:rsidR="00FA004E" w:rsidRPr="00B417BF" w:rsidRDefault="00FA004E" w:rsidP="00FA004E">
      <w:pPr>
        <w:spacing w:line="480" w:lineRule="auto"/>
        <w:rPr>
          <w:rFonts w:asciiTheme="minorHAnsi" w:hAnsiTheme="minorHAnsi"/>
        </w:rPr>
      </w:pPr>
    </w:p>
    <w:p w14:paraId="0FC5C1E6" w14:textId="31298384" w:rsidR="00FA004E" w:rsidRDefault="00FA004E" w:rsidP="00FA004E">
      <w:pPr>
        <w:spacing w:line="480" w:lineRule="auto"/>
        <w:rPr>
          <w:rFonts w:asciiTheme="minorHAnsi" w:hAnsiTheme="minorHAnsi"/>
        </w:rPr>
      </w:pPr>
      <w:r w:rsidRPr="00B417BF">
        <w:rPr>
          <w:rFonts w:asciiTheme="minorHAnsi" w:hAnsiTheme="minorHAnsi"/>
        </w:rPr>
        <w:t xml:space="preserve">Universities are continually developing new programs in an effort to address the emotional and mental health needs of students.  Because there is not </w:t>
      </w:r>
      <w:r w:rsidR="00E802AC">
        <w:rPr>
          <w:rFonts w:asciiTheme="minorHAnsi" w:hAnsiTheme="minorHAnsi"/>
        </w:rPr>
        <w:t xml:space="preserve">a </w:t>
      </w:r>
      <w:r w:rsidRPr="00B417BF">
        <w:rPr>
          <w:rFonts w:asciiTheme="minorHAnsi" w:hAnsiTheme="minorHAnsi"/>
        </w:rPr>
        <w:t xml:space="preserve">standard formula for these, the effectiveness and structure </w:t>
      </w:r>
      <w:r w:rsidR="00B417BF" w:rsidRPr="00B417BF">
        <w:rPr>
          <w:rFonts w:asciiTheme="minorHAnsi" w:hAnsiTheme="minorHAnsi"/>
        </w:rPr>
        <w:t>vary</w:t>
      </w:r>
      <w:r w:rsidRPr="00B417BF">
        <w:rPr>
          <w:rFonts w:asciiTheme="minorHAnsi" w:hAnsiTheme="minorHAnsi"/>
        </w:rPr>
        <w:t xml:space="preserve"> widely.  Many of the programs in the last 10 years have focused on mindfulness</w:t>
      </w:r>
      <w:r w:rsidR="003B5338">
        <w:rPr>
          <w:rFonts w:asciiTheme="minorHAnsi" w:hAnsiTheme="minorHAnsi"/>
        </w:rPr>
        <w:t>.</w:t>
      </w:r>
      <w:r w:rsidRPr="00B417BF">
        <w:rPr>
          <w:rFonts w:asciiTheme="minorHAnsi" w:hAnsiTheme="minorHAnsi"/>
        </w:rPr>
        <w:fldChar w:fldCharType="begin"/>
      </w:r>
      <w:r w:rsidR="00F521B2">
        <w:rPr>
          <w:rFonts w:asciiTheme="minorHAnsi" w:hAnsiTheme="minorHAnsi"/>
        </w:rPr>
        <w:instrText xml:space="preserve"> ADDIN ZOTERO_ITEM CSL_CITATION {"citationID":"a1rbqpss0uv","properties":{"formattedCitation":"\\super 82\\nosupersub{}","plainCitation":"82","noteIndex":0},"citationItems":[{"id":901,"uris":["http://zotero.org/users/1143701/items/E9KB29S3"],"uri":["http://zotero.org/users/1143701/items/E9KB29S3"],"itemData":{"id":901,"type":"article-journal","title":"Effects of a brief mindfulness-based intervention program for stress management among medical students: the Mindful-Gym randomized controlled study","container-title":"Advances in Health Sciences Education","page":"1115-1134","volume":"20","issue":"5","source":"link-springer-com.webproxy2.ouhsc.edu","abstract":"Pursuing undergraduate medical training can be very stressful and academically challenging experience. A 5-week mindfulness-based stress management (MBSM/Mindful-Gym) program was developed to help medical students cope with stress. The aim of this study was to evaluate the effectiveness of the intervention in reducing stress among students in a medical school in Malaysia. Seventy-five medical students participated in the program. They were stratified according to years of studies and randomly allocated to intervention (N = 37) and control groups (N = 38). The following outcome variables were measured at pre- and post-intervention: mindfulness (with Mindful Awareness Attention Scale); perceived stress (with Perceived Stress Scale); mental distress (with General Health Questionnaire), and self-efficacy (with General Self-efficacy Scale). Hierarchical multiple regressions were used to analyse the effect of group (intervention vs. control) on changes in the outcome variables. There were significant improvements at one week post-intervention in all outcome variables: mindfulness (β = 0.19, ΔR2 = 0.04, p = .040, f2 = 0.05), perceived stress (β = −0.26, ΔR2 = 0.07, p = .009, f2 = 0.10); mental distress (β = −0.28, ΔR2 = 0.10, p = .003, f2 = 0.15); and self-efficacy (β = 0.30, ΔR2 = 0.09, p &lt; .001, f2 = 0.21). Six months after the intervention, those who had joined the program reported higher self-efficacy compared to those in the control group (β = 0.24, ΔR2 = 0.06, p = .020, f2 = 0.08); but there was no difference in other outcome measures. More than 90 % of the participants found the program applicable in helping patients and all reported that they would recommend it to others. This study indicates that the program is potentially an effective stress management program for medical students in Malaysia.","URL":"https://link.springer.com/article/10.1007/s10459-015-9591-3","DOI":"10.1007/s10459-015-9591-3","ISSN":"1382-4996, 1573-1677","shortTitle":"Effects of a brief mindfulness-based intervention program for stress management among medical students","journalAbbreviation":"Adv in Health Sci Educ","language":"en","author":[{"family":"Phang","given":"Cheng Kar"},{"family":"Mukhtar","given":"Firdaus"},{"family":"Ibrahim","given":"Normala"},{"family":"Keng","given":"Shian-Ling"},{"family":"Sidik","given":"Sherina Mohd"}],"issued":{"date-parts":[["2015",12,1]]},"accessed":{"date-parts":[["2018",1,6]]}}}],"schema":"https://github.com/citation-style-language/schema/raw/master/csl-citation.json"} </w:instrText>
      </w:r>
      <w:r w:rsidRPr="00B417BF">
        <w:rPr>
          <w:rFonts w:asciiTheme="minorHAnsi" w:hAnsiTheme="minorHAnsi"/>
        </w:rPr>
        <w:fldChar w:fldCharType="separate"/>
      </w:r>
      <w:r w:rsidR="00F521B2" w:rsidRPr="00F521B2">
        <w:rPr>
          <w:rFonts w:ascii="Cambria" w:hAnsiTheme="minorHAnsi"/>
          <w:vertAlign w:val="superscript"/>
        </w:rPr>
        <w:t>82</w:t>
      </w:r>
      <w:r w:rsidRPr="00B417BF">
        <w:rPr>
          <w:rFonts w:asciiTheme="minorHAnsi" w:hAnsiTheme="minorHAnsi"/>
        </w:rPr>
        <w:fldChar w:fldCharType="end"/>
      </w:r>
      <w:r w:rsidRPr="00B417BF">
        <w:rPr>
          <w:rFonts w:asciiTheme="minorHAnsi" w:hAnsiTheme="minorHAnsi"/>
          <w:vertAlign w:val="superscript"/>
        </w:rPr>
        <w:t>,</w:t>
      </w:r>
      <w:r w:rsidRPr="00B417BF">
        <w:rPr>
          <w:rFonts w:asciiTheme="minorHAnsi" w:hAnsiTheme="minorHAnsi"/>
          <w:vertAlign w:val="superscript"/>
        </w:rPr>
        <w:fldChar w:fldCharType="begin"/>
      </w:r>
      <w:r w:rsidR="00F521B2">
        <w:rPr>
          <w:rFonts w:asciiTheme="minorHAnsi" w:hAnsiTheme="minorHAnsi"/>
          <w:vertAlign w:val="superscript"/>
        </w:rPr>
        <w:instrText xml:space="preserve"> ADDIN ZOTERO_ITEM CSL_CITATION {"citationID":"ab01aija9v","properties":{"formattedCitation":"\\super 83\\nosupersub{}","plainCitation":"83","noteIndex":0},"citationItems":[{"id":491,"uris":["http://zotero.org/users/1143701/items/IHVNE3P5"],"uri":["http://zotero.org/users/1143701/items/IHVNE3P5"],"itemData":{"id":491,"type":"article-journal","title":"A mindfulness-based stress prevention training for medical students (MediMind): study protocol for a randomized controlled trial","container-title":"Trials","volume":"16","source":"PubMed Central","abstract":"Background\nMedical training is very demanding and associated with a high prevalence of psychological distress. Compared to the general population, medical students are at a greater risk of developing a psychological disorder. Various attempts of stress management training in medical school have achieved positive results on minimizing psychological distress; however, there are often limitations. Therefore, the use of a rigorous scientific method is needed. The present study protocol describes a randomized controlled trial to examine the effectiveness of a specifically developed mindfulness-based stress prevention training for medical students that includes selected elements of cognitive behavioral strategies (MediMind).\n\nMethods/Design\nThis study protocol presents a prospective randomized controlled trial, involving four assessment time points: baseline, post-intervention, one-year follow-up and five-year follow-up. The aims include evaluating the effect on stress, coping, psychological morbidity and personality traits with validated measures. Participants are allocated randomly to one of three conditions: MediMind, Autogenic Training or control group. Eligible participants are medical or dental students in the second or eighth semester of a German university. They form a population of approximately 420 students in each academic term. A final total sample size of 126 (at five-year follow-up) is targeted. The trainings (MediMind and Autogenic Training) comprise five weekly sessions lasting 90 minutes each. MediMind will be offered to participants of the control group once the five-year follow-up is completed. The allotment is randomized with a stratified allocation ratio by course of studies, semester, and gender. After descriptive statistics have been evaluated, inferential statistical analysis will be carried out with a repeated measures ANOVA-design with interactions between time and group. Effect sizes will be calculated using partial η-square values.\n\nDiscussion\nPotential limitations of this study are voluntary participation and the risk of attrition, especially concerning participants that are allocated to the control group. Strengths are the study design, namely random allocation, follow-up assessment, the use of control groups and inclusion of participants at different stages of medical training with the possibility of differential analysis.\n\nTrial registration\nThis trial is recorded at German Clinical Trials Register under the number DRKS00005354 (08 November 2013).","URL":"http://www.ncbi.nlm.nih.gov/pmc/articles/PMC4328883/","DOI":"10.1186/s13063-014-0533-9","ISSN":"1745-6215","note":"PMID: 25887430\nPMCID: PMC4328883","shortTitle":"A mindfulness-based stress prevention training for medical students (MediMind)","journalAbbreviation":"Trials","author":[{"family":"Kuhlmann","given":"Sophie Merle"},{"family":"Bürger","given":"Arne"},{"family":"Esser","given":"Günter"},{"family":"Hammerle","given":"Florian"}],"issued":{"date-parts":[["2015",2,8]]},"accessed":{"date-parts":[["2015",6,22]]}}}],"schema":"https://github.com/citation-style-language/schema/raw/master/csl-citation.json"} </w:instrText>
      </w:r>
      <w:r w:rsidRPr="00B417BF">
        <w:rPr>
          <w:rFonts w:asciiTheme="minorHAnsi" w:hAnsiTheme="minorHAnsi"/>
          <w:vertAlign w:val="superscript"/>
        </w:rPr>
        <w:fldChar w:fldCharType="separate"/>
      </w:r>
      <w:r w:rsidR="00F521B2" w:rsidRPr="00F521B2">
        <w:rPr>
          <w:rFonts w:ascii="Cambria" w:hAnsiTheme="minorHAnsi"/>
          <w:vertAlign w:val="superscript"/>
        </w:rPr>
        <w:t>83</w:t>
      </w:r>
      <w:r w:rsidRPr="00B417BF">
        <w:rPr>
          <w:rFonts w:asciiTheme="minorHAnsi" w:hAnsiTheme="minorHAnsi"/>
          <w:vertAlign w:val="superscript"/>
        </w:rPr>
        <w:fldChar w:fldCharType="end"/>
      </w:r>
      <w:r w:rsidRPr="00B417BF">
        <w:rPr>
          <w:rFonts w:asciiTheme="minorHAnsi" w:hAnsiTheme="minorHAnsi"/>
          <w:vertAlign w:val="superscript"/>
        </w:rPr>
        <w:t>,</w:t>
      </w:r>
      <w:r w:rsidRPr="00B417BF">
        <w:rPr>
          <w:rFonts w:asciiTheme="minorHAnsi" w:hAnsiTheme="minorHAnsi"/>
          <w:vertAlign w:val="superscript"/>
        </w:rPr>
        <w:fldChar w:fldCharType="begin"/>
      </w:r>
      <w:r w:rsidR="00F521B2">
        <w:rPr>
          <w:rFonts w:asciiTheme="minorHAnsi" w:hAnsiTheme="minorHAnsi"/>
          <w:vertAlign w:val="superscript"/>
        </w:rPr>
        <w:instrText xml:space="preserve"> ADDIN ZOTERO_ITEM CSL_CITATION {"citationID":"a85pgf1qjs","properties":{"formattedCitation":"\\super 84\\nosupersub{}","plainCitation":"84","noteIndex":0},"citationItems":[{"id":906,"uris":["http://zotero.org/users/1143701/items/AD9IMEKA"],"uri":["http://zotero.org/users/1143701/items/AD9IMEKA"],"itemData":{"id":906,"type":"article-journal","title":"A Stress Management Program for Higher Risk Medical Students: Preliminary Findings","container-title":"Applied Psychophysiology &amp; Biofeedback","page":"301-305","volume":"41","issue":"3","source":"EBSCOhost","abstract":"Approximately 10 % of first year medical students have clinically relevant anxiety or depression which may affect academic success and quality of life. This study tested the effects of a stress management intervention on indicators of anxiety, depression and self-efficacy in self-selected first year medical students. Forty two medical students volunteered to participate and provided informed consent. An eight session intervention was offered and focused on building relaxation skills, adaptive coping, and basic nutrition. Anxiety, depression, and self-efficacy were assessed pre and post intervention. This group of students had significantly higher baseline values of depression and anxiety but lower self-efficacy compared to a previous study of medical students at the same institution ( p &lt; 0.03). After the intervention, statistically significant improvements were observed in anxiety ( p &lt; 0.05), and self-efficacy ( p &lt; 0.05), but not in depression. The entering levels of anxiety and depression in this group suggested that these students were at risk for later clinical syndromes. Intervention directed to decreasing the effects of stress was associated with improvement in indicators of distress and may modify the longer term risk.","URL":"http://search.ebscohost.com/login.aspx?direct=true&amp;db=aph&amp;AN=117574680&amp;site=ehost-live","DOI":"10.1007/s10484-016-9333-1","ISSN":"10900586","shortTitle":"A Stress Management Program for Higher Risk Medical Students","journalAbbreviation":"Applied Psychophysiology &amp; Biofeedback","author":[{"family":"Brennan","given":"Julie"},{"family":"McGrady","given":"Angele"},{"family":"Lynch","given":"Denis"},{"family":"Schaefer","given":"Paul"},{"family":"Whearty","given":"Kary"}],"issued":{"date-parts":[["2016",9]]},"accessed":{"date-parts":[["2018",1,6]]}}}],"schema":"https://github.com/citation-style-language/schema/raw/master/csl-citation.json"} </w:instrText>
      </w:r>
      <w:r w:rsidRPr="00B417BF">
        <w:rPr>
          <w:rFonts w:asciiTheme="minorHAnsi" w:hAnsiTheme="minorHAnsi"/>
          <w:vertAlign w:val="superscript"/>
        </w:rPr>
        <w:fldChar w:fldCharType="separate"/>
      </w:r>
      <w:r w:rsidR="00F521B2" w:rsidRPr="00F521B2">
        <w:rPr>
          <w:rFonts w:ascii="Cambria" w:hAnsiTheme="minorHAnsi"/>
          <w:vertAlign w:val="superscript"/>
        </w:rPr>
        <w:t>84</w:t>
      </w:r>
      <w:r w:rsidRPr="00B417BF">
        <w:rPr>
          <w:rFonts w:asciiTheme="minorHAnsi" w:hAnsiTheme="minorHAnsi"/>
          <w:vertAlign w:val="superscript"/>
        </w:rPr>
        <w:fldChar w:fldCharType="end"/>
      </w:r>
      <w:r w:rsidRPr="00B417BF">
        <w:rPr>
          <w:rFonts w:asciiTheme="minorHAnsi" w:hAnsiTheme="minorHAnsi"/>
        </w:rPr>
        <w:t xml:space="preserve">  This usually contains</w:t>
      </w:r>
      <w:r w:rsidR="00842C93">
        <w:rPr>
          <w:rFonts w:asciiTheme="minorHAnsi" w:hAnsiTheme="minorHAnsi"/>
        </w:rPr>
        <w:t xml:space="preserve"> a curriculum of</w:t>
      </w:r>
      <w:r w:rsidRPr="00B417BF">
        <w:rPr>
          <w:rFonts w:asciiTheme="minorHAnsi" w:hAnsiTheme="minorHAnsi"/>
        </w:rPr>
        <w:t xml:space="preserve"> relaxation</w:t>
      </w:r>
      <w:r w:rsidR="00842C93">
        <w:rPr>
          <w:rFonts w:asciiTheme="minorHAnsi" w:hAnsiTheme="minorHAnsi"/>
        </w:rPr>
        <w:t xml:space="preserve"> training</w:t>
      </w:r>
      <w:r w:rsidRPr="00B417BF">
        <w:rPr>
          <w:rFonts w:asciiTheme="minorHAnsi" w:hAnsiTheme="minorHAnsi"/>
        </w:rPr>
        <w:t xml:space="preserve">, self-reflection, and screening for mental illnesses.  </w:t>
      </w:r>
    </w:p>
    <w:p w14:paraId="05A610A7" w14:textId="77777777" w:rsidR="00842C93" w:rsidRPr="00B417BF" w:rsidRDefault="00842C93" w:rsidP="00FA004E">
      <w:pPr>
        <w:spacing w:line="480" w:lineRule="auto"/>
        <w:rPr>
          <w:rFonts w:asciiTheme="minorHAnsi" w:hAnsiTheme="minorHAnsi"/>
        </w:rPr>
      </w:pPr>
    </w:p>
    <w:p w14:paraId="30AC408A" w14:textId="355DCAF0" w:rsidR="00FA004E" w:rsidRPr="00B417BF" w:rsidRDefault="00B94C97" w:rsidP="00FA004E">
      <w:pPr>
        <w:spacing w:line="480" w:lineRule="auto"/>
        <w:rPr>
          <w:rFonts w:asciiTheme="minorHAnsi" w:hAnsiTheme="minorHAnsi"/>
        </w:rPr>
      </w:pPr>
      <w:r>
        <w:rPr>
          <w:rFonts w:asciiTheme="minorHAnsi" w:hAnsiTheme="minorHAnsi"/>
        </w:rPr>
        <w:t>T</w:t>
      </w:r>
      <w:r w:rsidR="00FA004E" w:rsidRPr="00B417BF">
        <w:rPr>
          <w:rFonts w:asciiTheme="minorHAnsi" w:hAnsiTheme="minorHAnsi"/>
        </w:rPr>
        <w:t>hese programs</w:t>
      </w:r>
      <w:r>
        <w:rPr>
          <w:rFonts w:asciiTheme="minorHAnsi" w:hAnsiTheme="minorHAnsi"/>
        </w:rPr>
        <w:t xml:space="preserve"> typically</w:t>
      </w:r>
      <w:r w:rsidR="00FA004E" w:rsidRPr="00B417BF">
        <w:rPr>
          <w:rFonts w:asciiTheme="minorHAnsi" w:hAnsiTheme="minorHAnsi"/>
        </w:rPr>
        <w:t xml:space="preserve"> measure effectiveness pre and post intervention.  While these short programs show an immediate positive effect, there is </w:t>
      </w:r>
      <w:r w:rsidR="002E4308">
        <w:rPr>
          <w:rFonts w:asciiTheme="minorHAnsi" w:hAnsiTheme="minorHAnsi"/>
        </w:rPr>
        <w:t>little</w:t>
      </w:r>
      <w:r w:rsidR="00FA004E" w:rsidRPr="00B417BF">
        <w:rPr>
          <w:rFonts w:asciiTheme="minorHAnsi" w:hAnsiTheme="minorHAnsi"/>
        </w:rPr>
        <w:t xml:space="preserve"> long-term follow up to investigate retention of benefit or skill utilization.  The few studies that </w:t>
      </w:r>
      <w:r>
        <w:rPr>
          <w:rFonts w:asciiTheme="minorHAnsi" w:hAnsiTheme="minorHAnsi"/>
        </w:rPr>
        <w:t>have</w:t>
      </w:r>
      <w:r w:rsidR="00FA004E" w:rsidRPr="00B417BF">
        <w:rPr>
          <w:rFonts w:asciiTheme="minorHAnsi" w:hAnsiTheme="minorHAnsi"/>
        </w:rPr>
        <w:t xml:space="preserve"> follow</w:t>
      </w:r>
      <w:r>
        <w:rPr>
          <w:rFonts w:asciiTheme="minorHAnsi" w:hAnsiTheme="minorHAnsi"/>
        </w:rPr>
        <w:t>ed</w:t>
      </w:r>
      <w:r w:rsidR="00FA004E" w:rsidRPr="00B417BF">
        <w:rPr>
          <w:rFonts w:asciiTheme="minorHAnsi" w:hAnsiTheme="minorHAnsi"/>
        </w:rPr>
        <w:t xml:space="preserve"> </w:t>
      </w:r>
      <w:r w:rsidR="00FA004E" w:rsidRPr="00842C93">
        <w:rPr>
          <w:rFonts w:asciiTheme="minorHAnsi" w:hAnsiTheme="minorHAnsi"/>
        </w:rPr>
        <w:t>students long term</w:t>
      </w:r>
      <w:r w:rsidR="00FA004E" w:rsidRPr="00B417BF">
        <w:rPr>
          <w:rFonts w:asciiTheme="minorHAnsi" w:hAnsiTheme="minorHAnsi"/>
        </w:rPr>
        <w:t xml:space="preserve"> showed little benefit in self-reported anxiety or depression scores</w:t>
      </w:r>
      <w:r w:rsidR="003B5338">
        <w:rPr>
          <w:rFonts w:asciiTheme="minorHAnsi" w:hAnsiTheme="minorHAnsi"/>
        </w:rPr>
        <w:t>.</w:t>
      </w:r>
      <w:r w:rsidR="00166AA9" w:rsidRPr="00B417BF">
        <w:rPr>
          <w:rFonts w:asciiTheme="minorHAnsi" w:hAnsiTheme="minorHAnsi"/>
        </w:rPr>
        <w:fldChar w:fldCharType="begin"/>
      </w:r>
      <w:r w:rsidR="00F521B2">
        <w:rPr>
          <w:rFonts w:asciiTheme="minorHAnsi" w:hAnsiTheme="minorHAnsi"/>
        </w:rPr>
        <w:instrText xml:space="preserve"> ADDIN ZOTERO_ITEM CSL_CITATION {"citationID":"a1to015kfed","properties":{"formattedCitation":"\\super 85\\nosupersub{}","plainCitation":"85","noteIndex":0},"citationItems":[{"id":886,"uris":["http://zotero.org/users/1143701/items/FVF4TZET"],"uri":["http://zotero.org/users/1143701/items/FVF4TZET"],"itemData":{"id":886,"type":"article-journal","title":"Efficacy of Burnout Interventions in the Medical Education Pipeline","container-title":"Academic Psychiatry","page":"47-54","volume":"39","issue":"1","source":"link.springer.com","abstract":"ObjectiveLittle is known about the efficacy of current interventions to mitigate burnout among medical students and residents, despite its association with mood disorders, absenteeism, low job satisfaction, and medical errors. This review summarizes the efficacy data of burnout interventions and how each modality is used.MethodOVID-SP Medline, Google Scholar and PsychINFO were searched for combinations of medical subject headings (MeSH) terms: premedical students, medical students, internships, intern, medical graduate, clinical clerkship, and residents in combination with a keyword group of burnout, professional burnout, suicide, attempted suicide, and prevention. Studies with data on the efficacy from burnout prevention programs were included for review.ResultsNineteen studies were selected for inclusion in this review. Eleven different types of interventions and combinations of interventions were used. There were six studies on the impact of the 2003 duty-hour restrictions by the Accreditation Council for Graduate Medical Education on burnout. Other approaches included self-development groups, conversion to a pass-fail grading system and training in mindfulness, communication, and stress management. Half of the intervention approaches had at least one study demonstrating benefit in reducing burnout. Self-development groups, the Respiratory One Method for relaxation, and conversion to a pass-fail grading system appear to reduce burnout. The burnout data on mindfulness training and the 2003 resident duty-hour restrictions are mixed. There were no studies available on burnout among premedical students or suicide prevention among medical students or residents.ConclusionsThere is a growing body of evidence-based interventions to mitigate burnout which can be used in the development of future programs. More research is needed to identify and intervene against burnout earlier in the medical education pipeline, including at the undergraduate level.","URL":"https://link.springer.com/article/10.1007/s40596-014-0197-5","DOI":"10.1007/s40596-014-0197-5","ISSN":"1042-9670, 1545-7230","journalAbbreviation":"Acad Psychiatry","language":"en","author":[{"family":"Williams","given":"Daniel"},{"family":"Tricomi","given":"Gian"},{"family":"Gupta","given":"Jay"},{"family":"Janise","given":"Annie"}],"issued":{"date-parts":[["2015",2,1]]},"accessed":{"date-parts":[["2018",1,6]]}}}],"schema":"https://github.com/citation-style-language/schema/raw/master/csl-citation.json"} </w:instrText>
      </w:r>
      <w:r w:rsidR="00166AA9" w:rsidRPr="00B417BF">
        <w:rPr>
          <w:rFonts w:asciiTheme="minorHAnsi" w:hAnsiTheme="minorHAnsi"/>
        </w:rPr>
        <w:fldChar w:fldCharType="separate"/>
      </w:r>
      <w:r w:rsidR="00F521B2" w:rsidRPr="00F521B2">
        <w:rPr>
          <w:rFonts w:ascii="Cambria" w:hAnsiTheme="minorHAnsi"/>
          <w:vertAlign w:val="superscript"/>
        </w:rPr>
        <w:t>85</w:t>
      </w:r>
      <w:r w:rsidR="00166AA9" w:rsidRPr="00B417BF">
        <w:rPr>
          <w:rFonts w:asciiTheme="minorHAnsi" w:hAnsiTheme="minorHAnsi"/>
        </w:rPr>
        <w:fldChar w:fldCharType="end"/>
      </w:r>
      <w:r w:rsidR="00FA004E" w:rsidRPr="00B417BF">
        <w:rPr>
          <w:rFonts w:asciiTheme="minorHAnsi" w:hAnsiTheme="minorHAnsi"/>
        </w:rPr>
        <w:t xml:space="preserve">  </w:t>
      </w:r>
    </w:p>
    <w:p w14:paraId="5B34B982" w14:textId="77777777" w:rsidR="00FA004E" w:rsidRPr="00B417BF" w:rsidRDefault="00FA004E" w:rsidP="00FA004E">
      <w:pPr>
        <w:spacing w:line="480" w:lineRule="auto"/>
        <w:rPr>
          <w:rFonts w:asciiTheme="minorHAnsi" w:hAnsiTheme="minorHAnsi"/>
        </w:rPr>
      </w:pPr>
    </w:p>
    <w:p w14:paraId="5C223454" w14:textId="26EE8938" w:rsidR="00FA004E" w:rsidRPr="00B417BF" w:rsidRDefault="00FA004E" w:rsidP="00FA004E">
      <w:pPr>
        <w:spacing w:line="480" w:lineRule="auto"/>
        <w:rPr>
          <w:rFonts w:asciiTheme="minorHAnsi" w:hAnsiTheme="minorHAnsi"/>
        </w:rPr>
      </w:pPr>
      <w:r w:rsidRPr="00B417BF">
        <w:rPr>
          <w:rFonts w:asciiTheme="minorHAnsi" w:hAnsiTheme="minorHAnsi"/>
        </w:rPr>
        <w:lastRenderedPageBreak/>
        <w:t xml:space="preserve">Another limitation of </w:t>
      </w:r>
      <w:r w:rsidR="002142E4">
        <w:rPr>
          <w:rFonts w:asciiTheme="minorHAnsi" w:hAnsiTheme="minorHAnsi"/>
        </w:rPr>
        <w:t>e</w:t>
      </w:r>
      <w:r w:rsidR="00D15ECA">
        <w:rPr>
          <w:rFonts w:asciiTheme="minorHAnsi" w:hAnsiTheme="minorHAnsi"/>
        </w:rPr>
        <w:t xml:space="preserve">ffectiveness may be the voluntary nature of </w:t>
      </w:r>
      <w:r w:rsidR="002E6792">
        <w:rPr>
          <w:rFonts w:asciiTheme="minorHAnsi" w:hAnsiTheme="minorHAnsi"/>
        </w:rPr>
        <w:t>help-seeking</w:t>
      </w:r>
      <w:r w:rsidR="00B94C97">
        <w:rPr>
          <w:rFonts w:asciiTheme="minorHAnsi" w:hAnsiTheme="minorHAnsi"/>
        </w:rPr>
        <w:t xml:space="preserve"> behaviors</w:t>
      </w:r>
      <w:r w:rsidRPr="00B417BF">
        <w:rPr>
          <w:rFonts w:asciiTheme="minorHAnsi" w:hAnsiTheme="minorHAnsi"/>
        </w:rPr>
        <w:t xml:space="preserve">.  </w:t>
      </w:r>
      <w:r w:rsidR="00B94C97">
        <w:rPr>
          <w:rFonts w:asciiTheme="minorHAnsi" w:hAnsiTheme="minorHAnsi"/>
        </w:rPr>
        <w:t>S</w:t>
      </w:r>
      <w:r w:rsidRPr="00B417BF">
        <w:rPr>
          <w:rFonts w:asciiTheme="minorHAnsi" w:hAnsiTheme="minorHAnsi"/>
        </w:rPr>
        <w:t>tudents</w:t>
      </w:r>
      <w:r w:rsidR="00B94C97">
        <w:rPr>
          <w:rFonts w:asciiTheme="minorHAnsi" w:hAnsiTheme="minorHAnsi"/>
        </w:rPr>
        <w:t xml:space="preserve"> who</w:t>
      </w:r>
      <w:r w:rsidRPr="00B417BF">
        <w:rPr>
          <w:rFonts w:asciiTheme="minorHAnsi" w:hAnsiTheme="minorHAnsi"/>
        </w:rPr>
        <w:t xml:space="preserve"> </w:t>
      </w:r>
      <w:r w:rsidR="00B94C97">
        <w:rPr>
          <w:rFonts w:asciiTheme="minorHAnsi" w:hAnsiTheme="minorHAnsi"/>
        </w:rPr>
        <w:t>actively seek</w:t>
      </w:r>
      <w:r w:rsidR="00D15ECA">
        <w:rPr>
          <w:rFonts w:asciiTheme="minorHAnsi" w:hAnsiTheme="minorHAnsi"/>
        </w:rPr>
        <w:t xml:space="preserve"> help</w:t>
      </w:r>
      <w:r w:rsidRPr="00B417BF">
        <w:rPr>
          <w:rFonts w:asciiTheme="minorHAnsi" w:hAnsiTheme="minorHAnsi"/>
        </w:rPr>
        <w:t xml:space="preserve"> </w:t>
      </w:r>
      <w:r w:rsidR="00B94C97">
        <w:rPr>
          <w:rFonts w:asciiTheme="minorHAnsi" w:hAnsiTheme="minorHAnsi"/>
        </w:rPr>
        <w:t>may</w:t>
      </w:r>
      <w:r w:rsidRPr="00B417BF">
        <w:rPr>
          <w:rFonts w:asciiTheme="minorHAnsi" w:hAnsiTheme="minorHAnsi"/>
        </w:rPr>
        <w:t xml:space="preserve"> have more pronounced ment</w:t>
      </w:r>
      <w:r w:rsidR="00E802AC">
        <w:rPr>
          <w:rFonts w:asciiTheme="minorHAnsi" w:hAnsiTheme="minorHAnsi"/>
        </w:rPr>
        <w:t>al health or academic needs than</w:t>
      </w:r>
      <w:r w:rsidRPr="00B417BF">
        <w:rPr>
          <w:rFonts w:asciiTheme="minorHAnsi" w:hAnsiTheme="minorHAnsi"/>
        </w:rPr>
        <w:t xml:space="preserve"> the general student population.  In order to reach all students, the University of Missouri Medical School developed required curricular components addressing metacognition, stress management, and interpersonal interactions.</w:t>
      </w:r>
      <w:r w:rsidR="00B90606" w:rsidRPr="00B90606">
        <w:rPr>
          <w:rFonts w:asciiTheme="minorHAnsi" w:hAnsiTheme="minorHAnsi"/>
        </w:rPr>
        <w:t xml:space="preserve"> </w:t>
      </w:r>
      <w:r w:rsidR="00B90606" w:rsidRPr="00B417BF">
        <w:rPr>
          <w:rFonts w:asciiTheme="minorHAnsi" w:hAnsiTheme="minorHAnsi"/>
        </w:rPr>
        <w:fldChar w:fldCharType="begin"/>
      </w:r>
      <w:r w:rsidR="00F521B2">
        <w:rPr>
          <w:rFonts w:asciiTheme="minorHAnsi" w:hAnsiTheme="minorHAnsi"/>
        </w:rPr>
        <w:instrText xml:space="preserve"> ADDIN ZOTERO_ITEM CSL_CITATION {"citationID":"a3q1ecc6d1","properties":{"formattedCitation":"\\super 86\\nosupersub{}","plainCitation":"86","noteIndex":0},"citationItems":[{"id":913,"uris":["http://zotero.org/users/1143701/items/WL2JQE2H"],"uri":["http://zotero.org/users/1143701/items/WL2JQE2H"],"itemData":{"id":913,"type":"article-journal","title":"Medical Student Mental Health 3.0: Improving Student Wellness Through Curricular Changes","container-title":"Academic Medicine","page":"573-577","volume":"89","issue":"4","source":"PubMed Central","abstract":"Medical education can have significant negative effects on the well-being of medical students. To date, efforts to improve student mental health have focused largely on improving access to mental health providers, reducing the stigma and other barriers to mental health treatment, and implementing ancillary wellness programs. Still, new and innovative models that build on these efforts by directly addressing the root causes of stress that lie within the curriculum itself are needed to properly promote student wellness. In this article, the authors present a new paradigm for improving medical student mental health, by describing an integrated, multifaceted, preclinical curricular change program implemented through the Office of Curricular Affairs at the Saint Louis University School of Medicine starting in the 2009–2010 academic year. The authors found that significant but efficient changes to course content, contact hours, scheduling, grading, electives, learning communities, and required resilience/mindfulness experiences were associated with significantly lower levels of depression symptoms, anxiety symptoms, and stress, and significantly higher levels of community cohesion, in medical students who participated in the expanded wellness program compared with those who preceded its implementation. The authors discuss the utility and relevance of such curricular changes as an overlooked component of change models for improving medical student mental health.","URL":"https://www.ncbi.nlm.nih.gov/pmc/articles/PMC4885556/","DOI":"10.1097/ACM.0000000000000166","ISSN":"1040-2446","note":"PMID: 24556765\nPMCID: PMC4885556","shortTitle":"Medical Student Mental Health 3.0","journalAbbreviation":"Acad Med","author":[{"family":"Slavin","given":"Stuart J."},{"family":"Schindler","given":"Debra L."},{"family":"Chibnall","given":"John T."}],"issued":{"date-parts":[["2014",4]]},"accessed":{"date-parts":[["2018",1,7]]}}}],"schema":"https://github.com/citation-style-language/schema/raw/master/csl-citation.json"} </w:instrText>
      </w:r>
      <w:r w:rsidR="00B90606" w:rsidRPr="00B417BF">
        <w:rPr>
          <w:rFonts w:asciiTheme="minorHAnsi" w:hAnsiTheme="minorHAnsi"/>
        </w:rPr>
        <w:fldChar w:fldCharType="separate"/>
      </w:r>
      <w:r w:rsidR="00F521B2" w:rsidRPr="00F521B2">
        <w:rPr>
          <w:rFonts w:ascii="Cambria" w:hAnsiTheme="minorHAnsi"/>
          <w:vertAlign w:val="superscript"/>
        </w:rPr>
        <w:t>86</w:t>
      </w:r>
      <w:r w:rsidR="00B90606" w:rsidRPr="00B417BF">
        <w:rPr>
          <w:rFonts w:asciiTheme="minorHAnsi" w:hAnsiTheme="minorHAnsi"/>
        </w:rPr>
        <w:fldChar w:fldCharType="end"/>
      </w:r>
      <w:r w:rsidR="00B90606" w:rsidRPr="00B417BF">
        <w:rPr>
          <w:rFonts w:asciiTheme="minorHAnsi" w:hAnsiTheme="minorHAnsi"/>
        </w:rPr>
        <w:t xml:space="preserve"> </w:t>
      </w:r>
      <w:r w:rsidRPr="00B417BF">
        <w:rPr>
          <w:rFonts w:asciiTheme="minorHAnsi" w:hAnsiTheme="minorHAnsi"/>
        </w:rPr>
        <w:t xml:space="preserve">  These seminars were placed throug</w:t>
      </w:r>
      <w:r w:rsidR="00842C93">
        <w:rPr>
          <w:rFonts w:asciiTheme="minorHAnsi" w:hAnsiTheme="minorHAnsi"/>
        </w:rPr>
        <w:t>hout the four-year curriculum.  P</w:t>
      </w:r>
      <w:r w:rsidRPr="00B417BF">
        <w:rPr>
          <w:rFonts w:asciiTheme="minorHAnsi" w:hAnsiTheme="minorHAnsi"/>
        </w:rPr>
        <w:t>roject</w:t>
      </w:r>
      <w:r w:rsidR="00842C93">
        <w:rPr>
          <w:rFonts w:asciiTheme="minorHAnsi" w:hAnsiTheme="minorHAnsi"/>
        </w:rPr>
        <w:t xml:space="preserve"> data</w:t>
      </w:r>
      <w:r w:rsidRPr="00B417BF">
        <w:rPr>
          <w:rFonts w:asciiTheme="minorHAnsi" w:hAnsiTheme="minorHAnsi"/>
        </w:rPr>
        <w:t xml:space="preserve"> </w:t>
      </w:r>
      <w:r w:rsidR="00B90606">
        <w:rPr>
          <w:rFonts w:asciiTheme="minorHAnsi" w:hAnsiTheme="minorHAnsi"/>
        </w:rPr>
        <w:t>found</w:t>
      </w:r>
      <w:r w:rsidRPr="00B417BF">
        <w:rPr>
          <w:rFonts w:asciiTheme="minorHAnsi" w:hAnsiTheme="minorHAnsi"/>
        </w:rPr>
        <w:t xml:space="preserve"> significant decreases in stress and anxiety levels as compared to previous student cohorts</w:t>
      </w:r>
      <w:r w:rsidR="00B90606">
        <w:rPr>
          <w:rFonts w:asciiTheme="minorHAnsi" w:hAnsiTheme="minorHAnsi"/>
        </w:rPr>
        <w:t xml:space="preserve"> without the focused seminars</w:t>
      </w:r>
      <w:r w:rsidR="003B5338">
        <w:rPr>
          <w:rFonts w:asciiTheme="minorHAnsi" w:hAnsiTheme="minorHAnsi"/>
        </w:rPr>
        <w:t>.</w:t>
      </w:r>
      <w:r w:rsidRPr="00B417BF">
        <w:rPr>
          <w:rFonts w:asciiTheme="minorHAnsi" w:hAnsiTheme="minorHAnsi"/>
        </w:rPr>
        <w:t xml:space="preserve"> </w:t>
      </w:r>
    </w:p>
    <w:p w14:paraId="2D777F00" w14:textId="5C4FEBE7" w:rsidR="00370897" w:rsidRPr="00B417BF" w:rsidRDefault="00370897" w:rsidP="00FA004E">
      <w:pPr>
        <w:spacing w:line="480" w:lineRule="auto"/>
        <w:rPr>
          <w:rFonts w:asciiTheme="minorHAnsi" w:hAnsiTheme="minorHAnsi"/>
        </w:rPr>
      </w:pPr>
    </w:p>
    <w:p w14:paraId="5B8C5164" w14:textId="77777777" w:rsidR="00370897" w:rsidRPr="00B417BF" w:rsidRDefault="00370897" w:rsidP="00370897">
      <w:pPr>
        <w:spacing w:line="480" w:lineRule="auto"/>
        <w:outlineLvl w:val="0"/>
        <w:rPr>
          <w:rFonts w:asciiTheme="minorHAnsi" w:hAnsiTheme="minorHAnsi"/>
        </w:rPr>
      </w:pPr>
      <w:r w:rsidRPr="00B417BF">
        <w:rPr>
          <w:rFonts w:asciiTheme="minorHAnsi" w:hAnsiTheme="minorHAnsi"/>
        </w:rPr>
        <w:t>Knowledge Versus Action:</w:t>
      </w:r>
    </w:p>
    <w:p w14:paraId="311B55FA" w14:textId="102BE11D" w:rsidR="00370897" w:rsidRPr="00B417BF" w:rsidRDefault="00370897" w:rsidP="00370897">
      <w:pPr>
        <w:spacing w:line="480" w:lineRule="auto"/>
        <w:rPr>
          <w:rFonts w:asciiTheme="minorHAnsi" w:hAnsiTheme="minorHAnsi"/>
        </w:rPr>
      </w:pPr>
      <w:r w:rsidRPr="00B417BF">
        <w:rPr>
          <w:rFonts w:asciiTheme="minorHAnsi" w:hAnsiTheme="minorHAnsi"/>
        </w:rPr>
        <w:t xml:space="preserve">Ideally, once a student has sought help, they are given knowledge and resources to address their needs and possible deficiencies.  </w:t>
      </w:r>
      <w:r w:rsidR="00842C93">
        <w:rPr>
          <w:rFonts w:asciiTheme="minorHAnsi" w:hAnsiTheme="minorHAnsi"/>
        </w:rPr>
        <w:t xml:space="preserve">When </w:t>
      </w:r>
      <w:r w:rsidR="00E802AC">
        <w:rPr>
          <w:rFonts w:asciiTheme="minorHAnsi" w:hAnsiTheme="minorHAnsi"/>
        </w:rPr>
        <w:t>a student</w:t>
      </w:r>
      <w:r w:rsidR="00842C93">
        <w:rPr>
          <w:rFonts w:asciiTheme="minorHAnsi" w:hAnsiTheme="minorHAnsi"/>
        </w:rPr>
        <w:t xml:space="preserve"> </w:t>
      </w:r>
      <w:r w:rsidR="00A875F9">
        <w:rPr>
          <w:rFonts w:asciiTheme="minorHAnsi" w:hAnsiTheme="minorHAnsi"/>
        </w:rPr>
        <w:t>requires</w:t>
      </w:r>
      <w:r w:rsidR="00842C93">
        <w:rPr>
          <w:rFonts w:asciiTheme="minorHAnsi" w:hAnsiTheme="minorHAnsi"/>
        </w:rPr>
        <w:t xml:space="preserve"> help or support</w:t>
      </w:r>
      <w:r w:rsidRPr="00B417BF">
        <w:rPr>
          <w:rFonts w:asciiTheme="minorHAnsi" w:hAnsiTheme="minorHAnsi"/>
        </w:rPr>
        <w:t>, the presumption is that the student will be able to</w:t>
      </w:r>
      <w:r w:rsidR="00A875F9">
        <w:rPr>
          <w:rFonts w:asciiTheme="minorHAnsi" w:hAnsiTheme="minorHAnsi"/>
        </w:rPr>
        <w:t xml:space="preserve"> access assistance and </w:t>
      </w:r>
      <w:r w:rsidRPr="00B417BF">
        <w:rPr>
          <w:rFonts w:asciiTheme="minorHAnsi" w:hAnsiTheme="minorHAnsi"/>
        </w:rPr>
        <w:t xml:space="preserve">positively change </w:t>
      </w:r>
      <w:r w:rsidR="00B90606">
        <w:rPr>
          <w:rFonts w:asciiTheme="minorHAnsi" w:hAnsiTheme="minorHAnsi"/>
        </w:rPr>
        <w:t xml:space="preserve">his or her </w:t>
      </w:r>
      <w:r w:rsidRPr="00B417BF">
        <w:rPr>
          <w:rFonts w:asciiTheme="minorHAnsi" w:hAnsiTheme="minorHAnsi"/>
        </w:rPr>
        <w:t>behavior.  Unfortunately, there is evidence that knowledge of assistance or services does not guarantee positive behavioral change</w:t>
      </w:r>
      <w:r w:rsidR="003B5338">
        <w:rPr>
          <w:rFonts w:asciiTheme="minorHAnsi" w:hAnsiTheme="minorHAnsi"/>
        </w:rPr>
        <w:t>.</w:t>
      </w:r>
      <w:r w:rsidRPr="00B417BF">
        <w:rPr>
          <w:rFonts w:asciiTheme="minorHAnsi" w:hAnsiTheme="minorHAnsi"/>
        </w:rPr>
        <w:fldChar w:fldCharType="begin"/>
      </w:r>
      <w:r w:rsidR="00F521B2">
        <w:rPr>
          <w:rFonts w:asciiTheme="minorHAnsi" w:hAnsiTheme="minorHAnsi"/>
        </w:rPr>
        <w:instrText xml:space="preserve"> ADDIN ZOTERO_ITEM CSL_CITATION {"citationID":"a68fja0lat","properties":{"formattedCitation":"\\super 87\\nosupersub{}","plainCitation":"87","noteIndex":0},"citationItems":[{"id":846,"uris":["http://zotero.org/users/1143701/items/ZJFAIWFZ"],"uri":["http://zotero.org/users/1143701/items/ZJFAIWFZ"],"itemData":{"id":846,"type":"article-journal","title":"Stroke Awareness in Urban and Rural Populations from Northern Portugal: Knowledge and Action Are Independent","container-title":"Neuroepidemiology","page":"265-273","volume":"36","issue":"4","source":"www.karger.com","abstract":"&lt;i&gt;Background:&lt;/i&gt; Several studies conducted in hospital emergency departments have shown that most patients delay in responding to stroke symptoms. In the general population, recognition","URL":"http://www.karger.com/Article/FullText/328867","DOI":"10.1159/000328867","ISSN":"0251-5350, 1423-0208","note":"PMID: 21701200","shortTitle":"Stroke Awareness in Urban and Rural Populations from Northern Portugal","journalAbbreviation":"NED","language":"english","author":[{"family":"Moreira","given":"Emília"},{"family":"Correia","given":"Manuel"},{"family":"Magalhães","given":"Rui"},{"family":"Silva","given":"M. Carolina"}],"issued":{"date-parts":[["2011"]]},"accessed":{"date-parts":[["2017",12,31]]}}}],"schema":"https://github.com/citation-style-language/schema/raw/master/csl-citation.json"} </w:instrText>
      </w:r>
      <w:r w:rsidRPr="00B417BF">
        <w:rPr>
          <w:rFonts w:asciiTheme="minorHAnsi" w:hAnsiTheme="minorHAnsi"/>
        </w:rPr>
        <w:fldChar w:fldCharType="separate"/>
      </w:r>
      <w:r w:rsidR="00F521B2" w:rsidRPr="00F521B2">
        <w:rPr>
          <w:rFonts w:ascii="Cambria" w:hAnsiTheme="minorHAnsi"/>
          <w:vertAlign w:val="superscript"/>
        </w:rPr>
        <w:t>87</w:t>
      </w:r>
      <w:r w:rsidRPr="00B417BF">
        <w:rPr>
          <w:rFonts w:asciiTheme="minorHAnsi" w:hAnsiTheme="minorHAnsi"/>
        </w:rPr>
        <w:fldChar w:fldCharType="end"/>
      </w:r>
    </w:p>
    <w:p w14:paraId="00BE254D" w14:textId="77777777" w:rsidR="00370897" w:rsidRPr="00B417BF" w:rsidRDefault="00370897" w:rsidP="00370897">
      <w:pPr>
        <w:spacing w:line="480" w:lineRule="auto"/>
        <w:rPr>
          <w:rFonts w:asciiTheme="minorHAnsi" w:hAnsiTheme="minorHAnsi"/>
        </w:rPr>
      </w:pPr>
    </w:p>
    <w:p w14:paraId="273E61C5" w14:textId="7F4883E7" w:rsidR="00FA004E" w:rsidRPr="00B417BF" w:rsidRDefault="00370897" w:rsidP="00FA004E">
      <w:pPr>
        <w:spacing w:line="480" w:lineRule="auto"/>
        <w:rPr>
          <w:rFonts w:asciiTheme="minorHAnsi" w:hAnsiTheme="minorHAnsi"/>
        </w:rPr>
      </w:pPr>
      <w:r w:rsidRPr="00B417BF">
        <w:rPr>
          <w:rFonts w:asciiTheme="minorHAnsi" w:hAnsiTheme="minorHAnsi"/>
        </w:rPr>
        <w:t>Over the last decade, large scale public health initiatives have been rolled out in the United States. These</w:t>
      </w:r>
      <w:r w:rsidR="00B90606">
        <w:rPr>
          <w:rFonts w:asciiTheme="minorHAnsi" w:hAnsiTheme="minorHAnsi"/>
        </w:rPr>
        <w:t xml:space="preserve"> have</w:t>
      </w:r>
      <w:r w:rsidRPr="00B417BF">
        <w:rPr>
          <w:rFonts w:asciiTheme="minorHAnsi" w:hAnsiTheme="minorHAnsi"/>
        </w:rPr>
        <w:t xml:space="preserve"> include</w:t>
      </w:r>
      <w:r w:rsidR="00B90606">
        <w:rPr>
          <w:rFonts w:asciiTheme="minorHAnsi" w:hAnsiTheme="minorHAnsi"/>
        </w:rPr>
        <w:t>d initiations for</w:t>
      </w:r>
      <w:r w:rsidRPr="00B417BF">
        <w:rPr>
          <w:rFonts w:asciiTheme="minorHAnsi" w:hAnsiTheme="minorHAnsi"/>
        </w:rPr>
        <w:t xml:space="preserve"> improved nutrition, signs and symptoms of stroke, basic life saving measures in case of cardiac arrest, and addictive behaviors. The primary goal of these initiatives is to change behavior and increase health over the entire U</w:t>
      </w:r>
      <w:r w:rsidR="00C077B0">
        <w:rPr>
          <w:rFonts w:asciiTheme="minorHAnsi" w:hAnsiTheme="minorHAnsi"/>
        </w:rPr>
        <w:t>.</w:t>
      </w:r>
      <w:r w:rsidRPr="00B417BF">
        <w:rPr>
          <w:rFonts w:asciiTheme="minorHAnsi" w:hAnsiTheme="minorHAnsi"/>
        </w:rPr>
        <w:t>S</w:t>
      </w:r>
      <w:r w:rsidR="00C077B0">
        <w:rPr>
          <w:rFonts w:asciiTheme="minorHAnsi" w:hAnsiTheme="minorHAnsi"/>
        </w:rPr>
        <w:t>.</w:t>
      </w:r>
      <w:r w:rsidRPr="00B417BF">
        <w:rPr>
          <w:rFonts w:asciiTheme="minorHAnsi" w:hAnsiTheme="minorHAnsi"/>
        </w:rPr>
        <w:t xml:space="preserve"> population</w:t>
      </w:r>
      <w:r w:rsidR="003B5338">
        <w:rPr>
          <w:rFonts w:asciiTheme="minorHAnsi" w:hAnsiTheme="minorHAnsi"/>
        </w:rPr>
        <w:t>.</w:t>
      </w:r>
      <w:r w:rsidRPr="00B417BF">
        <w:rPr>
          <w:rFonts w:asciiTheme="minorHAnsi" w:hAnsiTheme="minorHAnsi"/>
        </w:rPr>
        <w:fldChar w:fldCharType="begin"/>
      </w:r>
      <w:r w:rsidR="00F521B2">
        <w:rPr>
          <w:rFonts w:asciiTheme="minorHAnsi" w:hAnsiTheme="minorHAnsi"/>
        </w:rPr>
        <w:instrText xml:space="preserve"> ADDIN ZOTERO_ITEM CSL_CITATION {"citationID":"a18fn1r91sb","properties":{"formattedCitation":"\\super 88\\nosupersub{}","plainCitation":"88","noteIndex":0},"citationItems":[{"id":866,"uris":["http://zotero.org/users/1143701/items/F4RX2X64"],"uri":["http://zotero.org/users/1143701/items/F4RX2X64"],"itemData":{"id":866,"type":"article-journal","title":"Population-level effects of the national diabetes prevention programme (FIN-D2D) on the body weight, the waist circumference, and the prevalence of obesity","container-title":"BMC Public Health","page":"350","volume":"11","source":"PubMed Central","abstract":"Background\nThe implementation project of the national diabetes prevention programme in Finland, FIN-D2D, was carried out in primary health care in the area of five hospital districts during 2003-2007.\n\nMethods\nThe population strategy of FIN-D2D was primarily aimed at increasing the awareness of type 2 diabetes and preventing obesity. To investigate the effects of this strategy, we studied the changes in the prevalence of obesity, overweight, and central obesity among a random independent sample of individuals aged 45-74 years in the FIN-D2D area; and assessed whether they differed from a sample of individuals in the control area, which consisted of four geographical areas not participating in FIN-D2D (FINRISK study). Data was obtained for 5850/ 6406 (in the beginning/ in the end) individuals. The duration of the observation period varied from three to five years.\n\nResults\nThe mean body weight decreased from 78.7 to 78.1 kg (p = 0.041) in the FIN-D2D area, and from 78.7 to 78.0 kg (p = NS) in the control area. The prevalence of obesity (BMI ≥30 kg/m2) decreased in the FIN-D2D area (26.5% vs. 24.4%, p = 0.015), and in the control area (28.4% vs. 25.2%, p = 0.005). The prevalence of morbid obesity (BMI ≥40 kg/m2) remained unchanged in the FIN-D2D area, but increased in the control area (1.2% vs. 2.3%, p = 0.007). The mean waist circumference remained unchanged in the FIN-D2D area, but increased in the control area (92.8 vs. 94.0 cm, p = 0.005).\n\nConclusions\nThe prevalence of obesity may be decreasing among 45-74 year old Finns. We still need a longer time perspective and future studies to see whether this favourable trend can be sustained in Finland. The actions of this implementation project can at least partly explain the differences in the mean waist circumference and the prevalence of morbid obesity between the intervention and control areas.","URL":"https://www.ncbi.nlm.nih.gov/pmc/articles/PMC3118241/","DOI":"10.1186/1471-2458-11-350","ISSN":"1471-2458","note":"PMID: 21595955\nPMCID: PMC3118241","journalAbbreviation":"BMC Public Health","author":[{"family":"Salopuro","given":"Titta M"},{"family":"Saaristo","given":"Timo"},{"family":"Oksa","given":"Heikki"},{"family":"Puolijoki","given":"Hannu"},{"family":"Vanhala","given":"Mauno"},{"family":"Ebeling","given":"Tapani"},{"family":"Niskanen","given":"Leo"},{"family":"Tuomilehto","given":"Jaakko"},{"family":"Uusitupa","given":"Matti"},{"family":"Peltonen","given":"Markku"}],"issued":{"date-parts":[["2011",5,19]]},"accessed":{"date-parts":[["2017",12,31]]}}}],"schema":"https://github.com/citation-style-language/schema/raw/master/csl-citation.json"} </w:instrText>
      </w:r>
      <w:r w:rsidRPr="00B417BF">
        <w:rPr>
          <w:rFonts w:asciiTheme="minorHAnsi" w:hAnsiTheme="minorHAnsi"/>
        </w:rPr>
        <w:fldChar w:fldCharType="separate"/>
      </w:r>
      <w:r w:rsidR="00F521B2" w:rsidRPr="00F521B2">
        <w:rPr>
          <w:rFonts w:ascii="Cambria" w:hAnsiTheme="minorHAnsi"/>
          <w:vertAlign w:val="superscript"/>
        </w:rPr>
        <w:t>88</w:t>
      </w:r>
      <w:r w:rsidRPr="00B417BF">
        <w:rPr>
          <w:rFonts w:asciiTheme="minorHAnsi" w:hAnsiTheme="minorHAnsi"/>
        </w:rPr>
        <w:fldChar w:fldCharType="end"/>
      </w:r>
      <w:r w:rsidRPr="00B417BF">
        <w:rPr>
          <w:rFonts w:asciiTheme="minorHAnsi" w:hAnsiTheme="minorHAnsi"/>
        </w:rPr>
        <w:t xml:space="preserve">  Unfortunately, follow up studies </w:t>
      </w:r>
      <w:r w:rsidR="00B90606">
        <w:rPr>
          <w:rFonts w:asciiTheme="minorHAnsi" w:hAnsiTheme="minorHAnsi"/>
        </w:rPr>
        <w:t xml:space="preserve">often </w:t>
      </w:r>
      <w:r w:rsidRPr="00B417BF">
        <w:rPr>
          <w:rFonts w:asciiTheme="minorHAnsi" w:hAnsiTheme="minorHAnsi"/>
        </w:rPr>
        <w:t>show little change in behavior.</w:t>
      </w:r>
      <w:r w:rsidR="00B90606" w:rsidRPr="00B90606">
        <w:rPr>
          <w:rFonts w:asciiTheme="minorHAnsi" w:hAnsiTheme="minorHAnsi"/>
        </w:rPr>
        <w:t xml:space="preserve"> </w:t>
      </w:r>
      <w:r w:rsidR="00B90606" w:rsidRPr="00B417BF">
        <w:rPr>
          <w:rFonts w:asciiTheme="minorHAnsi" w:hAnsiTheme="minorHAnsi"/>
        </w:rPr>
        <w:fldChar w:fldCharType="begin"/>
      </w:r>
      <w:r w:rsidR="00F521B2">
        <w:rPr>
          <w:rFonts w:asciiTheme="minorHAnsi" w:hAnsiTheme="minorHAnsi"/>
        </w:rPr>
        <w:instrText xml:space="preserve"> ADDIN ZOTERO_ITEM CSL_CITATION {"citationID":"arkrhbg5g4","properties":{"formattedCitation":"\\super 89\\nosupersub{}","plainCitation":"89","noteIndex":0},"citationItems":[{"id":843,"uris":["http://zotero.org/users/1143701/items/4DC2HQ2R"],"uri":["http://zotero.org/users/1143701/items/4DC2HQ2R"],"itemData":{"id":843,"type":"article-journal","title":"Calling 911 in Response to Stroke: No Change following a Four-Year Educational Campaign","container-title":"Cerebrovascular Diseases","page":"342-348","volume":"32","issue":"4","source":"www.karger.com","abstract":"&lt;i&gt;Background:&lt;/i&gt; Public awareness campaigns are conducted to increase stroke awareness, yet evidence of their long-term effectiveness is limited. Since 2006, the Czech Stroke Society has","URL":"http://www.karger.com/Article/FullText/330339","DOI":"10.1159/000330339","ISSN":"1015-9770, 1421-9786","note":"PMID: 21921597","shortTitle":"Calling 911 in Response to Stroke","journalAbbreviation":"CED","language":"english","author":[{"family":"Mikulík","given":"R."},{"family":"Goldemund","given":"D."},{"family":"Reif","given":"M."},{"family":"Brichta","given":"J."},{"family":"Neumann","given":"J."},{"family":"Jarkovský","given":"J."},{"family":"Krýza","given":"J."}],"issued":{"date-parts":[["2011"]]},"accessed":{"date-parts":[["2017",12,31]]}}}],"schema":"https://github.com/citation-style-language/schema/raw/master/csl-citation.json"} </w:instrText>
      </w:r>
      <w:r w:rsidR="00B90606" w:rsidRPr="00B417BF">
        <w:rPr>
          <w:rFonts w:asciiTheme="minorHAnsi" w:hAnsiTheme="minorHAnsi"/>
        </w:rPr>
        <w:fldChar w:fldCharType="separate"/>
      </w:r>
      <w:r w:rsidR="00F521B2" w:rsidRPr="00F521B2">
        <w:rPr>
          <w:rFonts w:ascii="Cambria" w:hAnsiTheme="minorHAnsi"/>
          <w:vertAlign w:val="superscript"/>
        </w:rPr>
        <w:t>89</w:t>
      </w:r>
      <w:r w:rsidR="00B90606" w:rsidRPr="00B417BF">
        <w:rPr>
          <w:rFonts w:asciiTheme="minorHAnsi" w:hAnsiTheme="minorHAnsi"/>
        </w:rPr>
        <w:fldChar w:fldCharType="end"/>
      </w:r>
      <w:r w:rsidR="00B90606" w:rsidRPr="00B417BF">
        <w:rPr>
          <w:rFonts w:asciiTheme="minorHAnsi" w:hAnsiTheme="minorHAnsi"/>
          <w:vertAlign w:val="superscript"/>
        </w:rPr>
        <w:t>,</w:t>
      </w:r>
      <w:r w:rsidR="00B90606" w:rsidRPr="00B417BF">
        <w:rPr>
          <w:rFonts w:asciiTheme="minorHAnsi" w:hAnsiTheme="minorHAnsi"/>
          <w:vertAlign w:val="superscript"/>
        </w:rPr>
        <w:fldChar w:fldCharType="begin"/>
      </w:r>
      <w:r w:rsidR="00F521B2">
        <w:rPr>
          <w:rFonts w:asciiTheme="minorHAnsi" w:hAnsiTheme="minorHAnsi"/>
          <w:vertAlign w:val="superscript"/>
        </w:rPr>
        <w:instrText xml:space="preserve"> ADDIN ZOTERO_ITEM CSL_CITATION {"citationID":"a3mvcihncl","properties":{"formattedCitation":"\\super 90\\nosupersub{}","plainCitation":"90","noteIndex":0},"citationItems":[{"id":840,"uris":["http://zotero.org/users/1143701/items/27TPRL46"],"uri":["http://zotero.org/users/1143701/items/27TPRL46"],"itemData":{"id":840,"type":"article-journal","title":"Poststroke Knowledge and Symptom Awareness: A Global Issue for Secondary Stroke Prevention","container-title":"Cerebrovascular Diseases","page":"572-581","volume":"35","issue":"6","source":"www.karger.com","abstract":"&lt;b&gt;&lt;i&gt;Background:&lt;/i&gt;&lt;/b&gt; Stroke survivors are at a substantial risk of repeat stroke. Despite this, many stroke survivors continue their unhealthy prestroke lifestyles.&lt;b&amp;g","URL":"http://www.karger.com/Article/FullText/351209","DOI":"10.1159/000351209","ISSN":"1015-9770, 1421-9786","note":"PMID: 23838851","shortTitle":"Poststroke Knowledge and Symptom Awareness","journalAbbreviation":"CED","language":"english","author":[{"family":"Ellis","given":"Charles"},{"family":"Barley","given":"Jessica"},{"family":"Grubaugh","given":"Anouk"}],"issued":{"date-parts":[["2013"]]},"accessed":{"date-parts":[["2017",12,31]]}}}],"schema":"https://github.com/citation-style-language/schema/raw/master/csl-citation.json"} </w:instrText>
      </w:r>
      <w:r w:rsidR="00B90606" w:rsidRPr="00B417BF">
        <w:rPr>
          <w:rFonts w:asciiTheme="minorHAnsi" w:hAnsiTheme="minorHAnsi"/>
          <w:vertAlign w:val="superscript"/>
        </w:rPr>
        <w:fldChar w:fldCharType="separate"/>
      </w:r>
      <w:r w:rsidR="00F521B2" w:rsidRPr="00F521B2">
        <w:rPr>
          <w:rFonts w:ascii="Cambria" w:hAnsiTheme="minorHAnsi"/>
          <w:vertAlign w:val="superscript"/>
        </w:rPr>
        <w:t>90</w:t>
      </w:r>
      <w:r w:rsidR="00B90606" w:rsidRPr="00B417BF">
        <w:rPr>
          <w:rFonts w:asciiTheme="minorHAnsi" w:hAnsiTheme="minorHAnsi"/>
          <w:vertAlign w:val="superscript"/>
        </w:rPr>
        <w:fldChar w:fldCharType="end"/>
      </w:r>
      <w:r w:rsidRPr="00B417BF">
        <w:rPr>
          <w:rFonts w:asciiTheme="minorHAnsi" w:hAnsiTheme="minorHAnsi"/>
        </w:rPr>
        <w:t xml:space="preserve">  Surveyed individuals have </w:t>
      </w:r>
      <w:r w:rsidRPr="00B417BF">
        <w:rPr>
          <w:rFonts w:asciiTheme="minorHAnsi" w:hAnsiTheme="minorHAnsi"/>
        </w:rPr>
        <w:lastRenderedPageBreak/>
        <w:t xml:space="preserve">increased knowledge of what they should do; however, they </w:t>
      </w:r>
      <w:r w:rsidR="00B90606">
        <w:rPr>
          <w:rFonts w:asciiTheme="minorHAnsi" w:hAnsiTheme="minorHAnsi"/>
        </w:rPr>
        <w:t xml:space="preserve">often </w:t>
      </w:r>
      <w:r w:rsidRPr="00B417BF">
        <w:rPr>
          <w:rFonts w:asciiTheme="minorHAnsi" w:hAnsiTheme="minorHAnsi"/>
        </w:rPr>
        <w:t>do not change their behavior as a result</w:t>
      </w:r>
      <w:r w:rsidR="003B5338">
        <w:rPr>
          <w:rFonts w:asciiTheme="minorHAnsi" w:hAnsiTheme="minorHAnsi"/>
        </w:rPr>
        <w:t>.</w:t>
      </w:r>
      <w:r w:rsidRPr="00B417BF">
        <w:rPr>
          <w:rFonts w:asciiTheme="minorHAnsi" w:hAnsiTheme="minorHAnsi"/>
        </w:rPr>
        <w:t xml:space="preserve">  There is some indication that individuals with higher metacognitive and self-reflection skills are the most likely to change their behavior based on new knowledge</w:t>
      </w:r>
      <w:r w:rsidR="003B5338">
        <w:rPr>
          <w:rFonts w:asciiTheme="minorHAnsi" w:hAnsiTheme="minorHAnsi"/>
        </w:rPr>
        <w:t>.</w:t>
      </w:r>
      <w:r w:rsidRPr="00B417BF">
        <w:rPr>
          <w:rFonts w:asciiTheme="minorHAnsi" w:hAnsiTheme="minorHAnsi"/>
        </w:rPr>
        <w:fldChar w:fldCharType="begin"/>
      </w:r>
      <w:r w:rsidR="00F521B2">
        <w:rPr>
          <w:rFonts w:asciiTheme="minorHAnsi" w:hAnsiTheme="minorHAnsi"/>
        </w:rPr>
        <w:instrText xml:space="preserve"> ADDIN ZOTERO_ITEM CSL_CITATION {"citationID":"a1at5qfqvrg","properties":{"formattedCitation":"\\super 91\\nosupersub{}","plainCitation":"91","noteIndex":0},"citationItems":[{"id":860,"uris":["http://zotero.org/users/1143701/items/9YD4UZEH"],"uri":["http://zotero.org/users/1143701/items/9YD4UZEH"],"itemData":{"id":860,"type":"article-journal","title":"Motivators for resolving or seeking help for gambling problems: a review of the empirical literature","container-title":"Journal of Gambling Studies","page":"1-33","volume":"26","issue":"1","source":"PubMed","abstract":"This literature review summarizes recent empirical research on the reasons disordered gamblers try, through treatment or otherwise, to resolve or reduce their gambling problems. Relevant databases and bibliographies were searched for English-language studies, published since 1998, that asked gamblers themselves about motivators for action. Found were ten studies addressing reasons for trying to resolve or reduce gambling problems, five addressing reasons for seeking help and four addressing reasons for requesting self-exclusion from casinos. Help-seeking occurred largely in response to gambling-related harms (especially financial problems, relationship issues and negative emotions) that had already happened or that were imminent. Resolution was often motivated by the same kinds of harms but evaluation/decision-making and changes in lifestyle or environment played a more prominent role. Self-exclusion was motivated by harms, evaluation/decision-making and a wish to regain control. Awareness and educational materials could incorporate messages that might encourage heavy gamblers to make changes before harms became too great. Intervention development could also benefit from more research on the motivators leading to successful (vs. failed) resolution, as well as on the ways in which disordered gamblers are able to overcome specific barriers to seeking help or reaching resolution.","DOI":"10.1007/s10899-009-9151-y","ISSN":"1573-3602","note":"PMID: 19768660","shortTitle":"Motivators for resolving or seeking help for gambling problems","journalAbbreviation":"J Gambl Stud","language":"eng","author":[{"family":"Suurvali","given":"Helen"},{"family":"Hodgins","given":"David C."},{"family":"Cunningham","given":"John A."}],"issued":{"date-parts":[["2010",3]]}}}],"schema":"https://github.com/citation-style-language/schema/raw/master/csl-citation.json"} </w:instrText>
      </w:r>
      <w:r w:rsidRPr="00B417BF">
        <w:rPr>
          <w:rFonts w:asciiTheme="minorHAnsi" w:hAnsiTheme="minorHAnsi"/>
        </w:rPr>
        <w:fldChar w:fldCharType="separate"/>
      </w:r>
      <w:r w:rsidR="00F521B2" w:rsidRPr="00F521B2">
        <w:rPr>
          <w:rFonts w:ascii="Cambria" w:hAnsiTheme="minorHAnsi"/>
          <w:vertAlign w:val="superscript"/>
        </w:rPr>
        <w:t>91</w:t>
      </w:r>
      <w:r w:rsidRPr="00B417BF">
        <w:rPr>
          <w:rFonts w:asciiTheme="minorHAnsi" w:hAnsiTheme="minorHAnsi"/>
        </w:rPr>
        <w:fldChar w:fldCharType="end"/>
      </w:r>
      <w:r w:rsidRPr="00B417BF">
        <w:rPr>
          <w:rFonts w:asciiTheme="minorHAnsi" w:hAnsiTheme="minorHAnsi"/>
          <w:vertAlign w:val="superscript"/>
        </w:rPr>
        <w:t>,</w:t>
      </w:r>
      <w:r w:rsidRPr="00B417BF">
        <w:rPr>
          <w:rFonts w:asciiTheme="minorHAnsi" w:hAnsiTheme="minorHAnsi"/>
          <w:vertAlign w:val="superscript"/>
        </w:rPr>
        <w:fldChar w:fldCharType="begin"/>
      </w:r>
      <w:r w:rsidR="00F521B2">
        <w:rPr>
          <w:rFonts w:asciiTheme="minorHAnsi" w:hAnsiTheme="minorHAnsi"/>
          <w:vertAlign w:val="superscript"/>
        </w:rPr>
        <w:instrText xml:space="preserve"> ADDIN ZOTERO_ITEM CSL_CITATION {"citationID":"a27h2l6626g","properties":{"formattedCitation":"\\super 92\\nosupersub{}","plainCitation":"92","noteIndex":0},"citationItems":[{"id":856,"uris":["http://zotero.org/users/1143701/items/392H44S5"],"uri":["http://zotero.org/users/1143701/items/392H44S5"],"itemData":{"id":856,"type":"article-journal","title":"Self-regulation and performance level of elite and non-elite youth soccer players","container-title":"Journal of Sports Sciences","page":"1509-1517","volume":"27","issue":"14","source":"PubMed","abstract":"In learning and development, self-regulation can be described as the extent to which individuals are metacognitively, motivationally, and behaviourally proactive participants in their learning process (Zimmerman, 1989, 2006). We examined the relationship between self-regulation and performance level in elite (n = 159) and non-elite (n = 285) youth soccer players aged 11-17 years (mean 14.5 years, s = 1.4). The players completed a questionnaire that assessed planning, self-monitoring, evaluation, reflection, effort, and self-efficacy. A logistic regression analysis was performed (controlling for age) to determine which self-regulatory aspects were associated with players' performance level (elite vs. non-elite). High scores on reflection and effort were associated with a higher level of performance. Findings suggest that elite players may be more aware of their strong and weak points as well as better able to translate this awareness into action. In addition, elite players appear to be more willing to invest effort into practice and competition. It is suggested that these better developed self-regulatory skills may translate into a more effective learning environment and ultimately result in an increased capacity for performance in elite players relative to their non-elite peers.","DOI":"10.1080/02640410903369919","ISSN":"1466-447X","note":"PMID: 19967593","journalAbbreviation":"J Sports Sci","language":"eng","author":[{"family":"Toering","given":"T. T."},{"family":"Elferink-Gemser","given":"M. T."},{"family":"Jordet","given":"G."},{"family":"Visscher","given":"C."}],"issued":{"date-parts":[["2009",12]]}}}],"schema":"https://github.com/citation-style-language/schema/raw/master/csl-citation.json"} </w:instrText>
      </w:r>
      <w:r w:rsidRPr="00B417BF">
        <w:rPr>
          <w:rFonts w:asciiTheme="minorHAnsi" w:hAnsiTheme="minorHAnsi"/>
          <w:vertAlign w:val="superscript"/>
        </w:rPr>
        <w:fldChar w:fldCharType="separate"/>
      </w:r>
      <w:r w:rsidR="00F521B2" w:rsidRPr="00F521B2">
        <w:rPr>
          <w:rFonts w:ascii="Cambria" w:hAnsiTheme="minorHAnsi"/>
          <w:vertAlign w:val="superscript"/>
        </w:rPr>
        <w:t>92</w:t>
      </w:r>
      <w:r w:rsidRPr="00B417BF">
        <w:rPr>
          <w:rFonts w:asciiTheme="minorHAnsi" w:hAnsiTheme="minorHAnsi"/>
          <w:vertAlign w:val="superscript"/>
        </w:rPr>
        <w:fldChar w:fldCharType="end"/>
      </w:r>
      <w:r w:rsidRPr="00B417BF">
        <w:rPr>
          <w:rFonts w:asciiTheme="minorHAnsi" w:hAnsiTheme="minorHAnsi"/>
        </w:rPr>
        <w:t xml:space="preserve">  </w:t>
      </w:r>
      <w:r w:rsidR="002E7530">
        <w:rPr>
          <w:rFonts w:asciiTheme="minorHAnsi" w:hAnsiTheme="minorHAnsi"/>
        </w:rPr>
        <w:t>S</w:t>
      </w:r>
      <w:r w:rsidRPr="00B417BF">
        <w:rPr>
          <w:rFonts w:asciiTheme="minorHAnsi" w:hAnsiTheme="minorHAnsi"/>
        </w:rPr>
        <w:t>imilar studies in the PA or Dental student literature</w:t>
      </w:r>
      <w:r w:rsidR="002E7530">
        <w:rPr>
          <w:rFonts w:asciiTheme="minorHAnsi" w:hAnsiTheme="minorHAnsi"/>
        </w:rPr>
        <w:t xml:space="preserve"> is scant</w:t>
      </w:r>
      <w:r w:rsidRPr="00B417BF">
        <w:rPr>
          <w:rFonts w:asciiTheme="minorHAnsi" w:hAnsiTheme="minorHAnsi"/>
        </w:rPr>
        <w:t xml:space="preserve">, but it is worth </w:t>
      </w:r>
      <w:r w:rsidR="002E7530">
        <w:rPr>
          <w:rFonts w:asciiTheme="minorHAnsi" w:hAnsiTheme="minorHAnsi"/>
        </w:rPr>
        <w:t>acknowledging</w:t>
      </w:r>
      <w:r w:rsidRPr="00B417BF">
        <w:rPr>
          <w:rFonts w:asciiTheme="minorHAnsi" w:hAnsiTheme="minorHAnsi"/>
        </w:rPr>
        <w:t xml:space="preserve"> that increased knowledge of benefit is not a predictor of positive behavior changes.  </w:t>
      </w:r>
    </w:p>
    <w:p w14:paraId="5915691D" w14:textId="77777777" w:rsidR="00370897" w:rsidRPr="00B417BF" w:rsidRDefault="00370897" w:rsidP="00FA004E">
      <w:pPr>
        <w:spacing w:line="480" w:lineRule="auto"/>
        <w:rPr>
          <w:rFonts w:asciiTheme="minorHAnsi" w:hAnsiTheme="minorHAnsi"/>
        </w:rPr>
      </w:pPr>
    </w:p>
    <w:p w14:paraId="1F398195" w14:textId="77777777" w:rsidR="00FA004E" w:rsidRPr="00B417BF" w:rsidRDefault="00FA004E" w:rsidP="00FA004E">
      <w:pPr>
        <w:spacing w:line="480" w:lineRule="auto"/>
        <w:rPr>
          <w:rFonts w:asciiTheme="minorHAnsi" w:hAnsiTheme="minorHAnsi"/>
        </w:rPr>
      </w:pPr>
      <w:r w:rsidRPr="00B417BF">
        <w:rPr>
          <w:rFonts w:asciiTheme="minorHAnsi" w:hAnsiTheme="minorHAnsi"/>
        </w:rPr>
        <w:t>Conclusion:</w:t>
      </w:r>
    </w:p>
    <w:p w14:paraId="7C2D01C0" w14:textId="341D75E7" w:rsidR="00FA004E" w:rsidRPr="00B417BF" w:rsidRDefault="00FA004E" w:rsidP="00FA004E">
      <w:pPr>
        <w:spacing w:line="480" w:lineRule="auto"/>
        <w:rPr>
          <w:rFonts w:asciiTheme="minorHAnsi" w:hAnsiTheme="minorHAnsi"/>
        </w:rPr>
      </w:pPr>
      <w:r w:rsidRPr="00B417BF">
        <w:rPr>
          <w:rFonts w:asciiTheme="minorHAnsi" w:hAnsiTheme="minorHAnsi"/>
        </w:rPr>
        <w:t xml:space="preserve">The interplay of coping mechanisms and </w:t>
      </w:r>
      <w:r w:rsidR="002E6792">
        <w:rPr>
          <w:rFonts w:asciiTheme="minorHAnsi" w:hAnsiTheme="minorHAnsi"/>
        </w:rPr>
        <w:t>help-seeking</w:t>
      </w:r>
      <w:r w:rsidRPr="00B417BF">
        <w:rPr>
          <w:rFonts w:asciiTheme="minorHAnsi" w:hAnsiTheme="minorHAnsi"/>
        </w:rPr>
        <w:t xml:space="preserve"> behaviors </w:t>
      </w:r>
      <w:r w:rsidR="00A875F9">
        <w:rPr>
          <w:rFonts w:asciiTheme="minorHAnsi" w:hAnsiTheme="minorHAnsi"/>
        </w:rPr>
        <w:t>is a complicated interplay between</w:t>
      </w:r>
      <w:r w:rsidRPr="00B417BF">
        <w:rPr>
          <w:rFonts w:asciiTheme="minorHAnsi" w:hAnsiTheme="minorHAnsi"/>
        </w:rPr>
        <w:t xml:space="preserve"> many factors internal and external</w:t>
      </w:r>
      <w:r w:rsidR="00A875F9">
        <w:rPr>
          <w:rFonts w:asciiTheme="minorHAnsi" w:hAnsiTheme="minorHAnsi"/>
        </w:rPr>
        <w:t xml:space="preserve"> to the student</w:t>
      </w:r>
      <w:r w:rsidRPr="00B417BF">
        <w:rPr>
          <w:rFonts w:asciiTheme="minorHAnsi" w:hAnsiTheme="minorHAnsi"/>
        </w:rPr>
        <w:t xml:space="preserve">.  In order to engage in </w:t>
      </w:r>
      <w:r w:rsidR="002E6792">
        <w:rPr>
          <w:rFonts w:asciiTheme="minorHAnsi" w:hAnsiTheme="minorHAnsi"/>
        </w:rPr>
        <w:t>help-seeking</w:t>
      </w:r>
      <w:r w:rsidRPr="00B417BF">
        <w:rPr>
          <w:rFonts w:asciiTheme="minorHAnsi" w:hAnsiTheme="minorHAnsi"/>
        </w:rPr>
        <w:t xml:space="preserve"> in academic environments, students must have </w:t>
      </w:r>
      <w:r w:rsidR="002E7530">
        <w:rPr>
          <w:rFonts w:asciiTheme="minorHAnsi" w:hAnsiTheme="minorHAnsi"/>
        </w:rPr>
        <w:t>coping</w:t>
      </w:r>
      <w:r w:rsidRPr="00B417BF">
        <w:rPr>
          <w:rFonts w:asciiTheme="minorHAnsi" w:hAnsiTheme="minorHAnsi"/>
        </w:rPr>
        <w:t xml:space="preserve"> skills </w:t>
      </w:r>
      <w:r w:rsidR="002E7530">
        <w:rPr>
          <w:rFonts w:asciiTheme="minorHAnsi" w:hAnsiTheme="minorHAnsi"/>
        </w:rPr>
        <w:t>or must be able to learn and develop</w:t>
      </w:r>
      <w:r w:rsidRPr="00B417BF">
        <w:rPr>
          <w:rFonts w:asciiTheme="minorHAnsi" w:hAnsiTheme="minorHAnsi"/>
        </w:rPr>
        <w:t xml:space="preserve"> mature coping strategies, effective metacognition, and motivation for deep learning and academic success.   The interplay between overall performance, ongoing stress, and deficient internal traits </w:t>
      </w:r>
      <w:r w:rsidR="002E7530">
        <w:rPr>
          <w:rFonts w:asciiTheme="minorHAnsi" w:hAnsiTheme="minorHAnsi"/>
        </w:rPr>
        <w:t xml:space="preserve">may </w:t>
      </w:r>
      <w:r w:rsidR="002E7530" w:rsidRPr="003A7CC1">
        <w:rPr>
          <w:rFonts w:asciiTheme="minorHAnsi" w:hAnsiTheme="minorHAnsi"/>
          <w:u w:val="single"/>
        </w:rPr>
        <w:t>increase</w:t>
      </w:r>
      <w:r w:rsidRPr="00B417BF">
        <w:rPr>
          <w:rFonts w:asciiTheme="minorHAnsi" w:hAnsiTheme="minorHAnsi"/>
        </w:rPr>
        <w:t xml:space="preserve"> academic difficulty and</w:t>
      </w:r>
      <w:r w:rsidR="003A7CC1">
        <w:rPr>
          <w:rFonts w:asciiTheme="minorHAnsi" w:hAnsiTheme="minorHAnsi"/>
        </w:rPr>
        <w:t>,</w:t>
      </w:r>
      <w:r w:rsidRPr="00B417BF">
        <w:rPr>
          <w:rFonts w:asciiTheme="minorHAnsi" w:hAnsiTheme="minorHAnsi"/>
        </w:rPr>
        <w:t xml:space="preserve"> </w:t>
      </w:r>
      <w:r w:rsidR="003A7CC1">
        <w:rPr>
          <w:rFonts w:asciiTheme="minorHAnsi" w:hAnsiTheme="minorHAnsi"/>
        </w:rPr>
        <w:t>in addition,</w:t>
      </w:r>
      <w:r w:rsidR="002E7530">
        <w:rPr>
          <w:rFonts w:asciiTheme="minorHAnsi" w:hAnsiTheme="minorHAnsi"/>
        </w:rPr>
        <w:t xml:space="preserve"> </w:t>
      </w:r>
      <w:r w:rsidR="002E7530" w:rsidRPr="003A7CC1">
        <w:rPr>
          <w:rFonts w:asciiTheme="minorHAnsi" w:hAnsiTheme="minorHAnsi"/>
          <w:u w:val="single"/>
        </w:rPr>
        <w:t>decrease</w:t>
      </w:r>
      <w:r w:rsidRPr="00B417BF">
        <w:rPr>
          <w:rFonts w:asciiTheme="minorHAnsi" w:hAnsiTheme="minorHAnsi"/>
        </w:rPr>
        <w:t xml:space="preserve"> performance of students in their academic careers and beyond. </w:t>
      </w:r>
    </w:p>
    <w:p w14:paraId="65A90DAC" w14:textId="77777777" w:rsidR="00FA004E" w:rsidRPr="00B417BF" w:rsidRDefault="00FA004E" w:rsidP="00FA004E">
      <w:pPr>
        <w:spacing w:line="480" w:lineRule="auto"/>
        <w:rPr>
          <w:rFonts w:asciiTheme="minorHAnsi" w:hAnsiTheme="minorHAnsi"/>
        </w:rPr>
      </w:pPr>
      <w:r w:rsidRPr="00B417BF">
        <w:rPr>
          <w:rFonts w:asciiTheme="minorHAnsi" w:hAnsiTheme="minorHAnsi"/>
        </w:rPr>
        <w:br w:type="page"/>
      </w:r>
    </w:p>
    <w:p w14:paraId="217E611E" w14:textId="6A3F3832" w:rsidR="00FA004E" w:rsidRPr="00B417BF" w:rsidRDefault="00FA004E" w:rsidP="00370897">
      <w:pPr>
        <w:spacing w:line="480" w:lineRule="auto"/>
        <w:jc w:val="center"/>
        <w:outlineLvl w:val="0"/>
        <w:rPr>
          <w:rFonts w:asciiTheme="minorHAnsi" w:hAnsiTheme="minorHAnsi"/>
          <w:b/>
        </w:rPr>
      </w:pPr>
      <w:r w:rsidRPr="00B417BF">
        <w:rPr>
          <w:rFonts w:asciiTheme="minorHAnsi" w:hAnsiTheme="minorHAnsi"/>
          <w:b/>
        </w:rPr>
        <w:lastRenderedPageBreak/>
        <w:t>Chapter 3</w:t>
      </w:r>
    </w:p>
    <w:p w14:paraId="08608961" w14:textId="77777777" w:rsidR="00FA004E" w:rsidRPr="00B417BF" w:rsidRDefault="00FA004E" w:rsidP="00FA004E">
      <w:pPr>
        <w:spacing w:line="480" w:lineRule="auto"/>
        <w:rPr>
          <w:rFonts w:asciiTheme="minorHAnsi" w:hAnsiTheme="minorHAnsi"/>
          <w:b/>
        </w:rPr>
      </w:pPr>
    </w:p>
    <w:p w14:paraId="264A416B" w14:textId="38E58902" w:rsidR="00FA004E" w:rsidRPr="00B417BF" w:rsidRDefault="00C077B0" w:rsidP="00FA004E">
      <w:pPr>
        <w:spacing w:line="480" w:lineRule="auto"/>
        <w:rPr>
          <w:rFonts w:asciiTheme="minorHAnsi" w:hAnsiTheme="minorHAnsi"/>
        </w:rPr>
      </w:pPr>
      <w:r>
        <w:rPr>
          <w:rFonts w:asciiTheme="minorHAnsi" w:hAnsiTheme="minorHAnsi"/>
        </w:rPr>
        <w:t>Web-</w:t>
      </w:r>
      <w:r w:rsidR="00FA004E" w:rsidRPr="00B417BF">
        <w:rPr>
          <w:rFonts w:asciiTheme="minorHAnsi" w:hAnsiTheme="minorHAnsi"/>
        </w:rPr>
        <w:t>based surveys are being used with increased frequency.  They have several advantages to include cost and accessibility to specific populations</w:t>
      </w:r>
      <w:r w:rsidR="003B5338">
        <w:rPr>
          <w:rFonts w:asciiTheme="minorHAnsi" w:hAnsiTheme="minorHAnsi"/>
        </w:rPr>
        <w:t>.</w:t>
      </w:r>
      <w:r w:rsidR="00FA004E" w:rsidRPr="00B417BF">
        <w:rPr>
          <w:rFonts w:asciiTheme="minorHAnsi" w:hAnsiTheme="minorHAnsi"/>
        </w:rPr>
        <w:fldChar w:fldCharType="begin"/>
      </w:r>
      <w:r w:rsidR="00F521B2">
        <w:rPr>
          <w:rFonts w:asciiTheme="minorHAnsi" w:hAnsiTheme="minorHAnsi"/>
        </w:rPr>
        <w:instrText xml:space="preserve"> ADDIN ZOTERO_ITEM CSL_CITATION {"citationID":"a1aq5p6019n","properties":{"formattedCitation":"\\super 93\\nosupersub{}","plainCitation":"93","noteIndex":0},"citationItems":[{"id":832,"uris":["http://zotero.org/users/1143701/items/T9YLWYPV"],"uri":["http://zotero.org/users/1143701/items/T9YLWYPV"],"itemData":{"id":832,"type":"article-journal","title":"An experimental comparison of web-push vs. paper-only survey procedures for conducting an in-depth health survey of military spouses","container-title":"BMC Medical Research Methodology","volume":"17","source":"PubMed Central","abstract":"Background\nPrevious research has found that a “web-push” approach to data collection, which involves contacting people by mail to request an Internet survey response while withholding a paper response option until later in the contact process, consistently achieves lower response rates than a “paper-only” approach, whereby all respondents are contacted and requested to respond by mail.\n\nMethod\nAn experiment was designed, as part of the Millennium Cohort Family Study, to compare response rates, sample representativeness, and cost between a web-push and a paper-only approach; each approach comprised 3 stages of mail contacts. The invited sample (n = 4,935) consisted of spouses married to U.S. Service members, who had been serving in the military between 2 and 5 years as of October, 2011.\n\nResults\nThe web-push methodology produced a significantly higher response rate, 32.8% compared to 27.8%. Each of the 3 stages of postal contact significantly contributed to response for both treatments with 87.1% of the web-push responses received over the Internet. The per-respondent cost of the paper-only treatment was almost 40% higher than the web-push treatment group. Analyses revealed no meaningfully significant differences between treatment groups in representation.\n\nConclusion\nThese results provide evidence that a web-push methodology is more effective and less expensive than a paper-only approach among young military spouses, perhaps due to their heavy reliance on the internet, and we suggest that this approach may be more effective with the general population as they become more uniformly internet savvy.","URL":"https://www.ncbi.nlm.nih.gov/pmc/articles/PMC5405460/","DOI":"10.1186/s12874-017-0337-1","ISSN":"1471-2288","note":"PMID: 28441932\nPMCID: PMC5405460","journalAbbreviation":"BMC Med Res Methodol","author":[{"family":"McMaster","given":"Hope Seib"},{"family":"LeardMann","given":"Cynthia A."},{"family":"Speigle","given":"Steven"},{"family":"Dillman","given":"Don A."}],"issued":{"date-parts":[["2017",4,26]]},"accessed":{"date-parts":[["2017",12,28]]}}}],"schema":"https://github.com/citation-style-language/schema/raw/master/csl-citation.json"} </w:instrText>
      </w:r>
      <w:r w:rsidR="00FA004E" w:rsidRPr="00B417BF">
        <w:rPr>
          <w:rFonts w:asciiTheme="minorHAnsi" w:hAnsiTheme="minorHAnsi"/>
        </w:rPr>
        <w:fldChar w:fldCharType="separate"/>
      </w:r>
      <w:r w:rsidR="00F521B2" w:rsidRPr="00F521B2">
        <w:rPr>
          <w:rFonts w:ascii="Cambria" w:hAnsiTheme="minorHAnsi"/>
          <w:vertAlign w:val="superscript"/>
        </w:rPr>
        <w:t>93</w:t>
      </w:r>
      <w:r w:rsidR="00FA004E" w:rsidRPr="00B417BF">
        <w:rPr>
          <w:rFonts w:asciiTheme="minorHAnsi" w:hAnsiTheme="minorHAnsi"/>
        </w:rPr>
        <w:fldChar w:fldCharType="end"/>
      </w:r>
      <w:r w:rsidR="00FA004E" w:rsidRPr="00B417BF">
        <w:rPr>
          <w:rFonts w:asciiTheme="minorHAnsi" w:hAnsiTheme="minorHAnsi"/>
        </w:rPr>
        <w:t xml:space="preserve">   While the ease and cost of administration may be tempting, care must be taken to structure surveys properly.  Length, presentation, and topic</w:t>
      </w:r>
      <w:r w:rsidR="00E37A09" w:rsidRPr="00B417BF">
        <w:rPr>
          <w:rFonts w:asciiTheme="minorHAnsi" w:hAnsiTheme="minorHAnsi"/>
        </w:rPr>
        <w:t xml:space="preserve"> </w:t>
      </w:r>
      <w:r w:rsidR="00FA004E" w:rsidRPr="00B417BF">
        <w:rPr>
          <w:rFonts w:asciiTheme="minorHAnsi" w:hAnsiTheme="minorHAnsi"/>
        </w:rPr>
        <w:t>influence response rates significantly</w:t>
      </w:r>
      <w:r w:rsidR="003B5338">
        <w:rPr>
          <w:rFonts w:asciiTheme="minorHAnsi" w:hAnsiTheme="minorHAnsi"/>
        </w:rPr>
        <w:t>.</w:t>
      </w:r>
      <w:r w:rsidR="00FA004E" w:rsidRPr="00B417BF">
        <w:rPr>
          <w:rFonts w:asciiTheme="minorHAnsi" w:hAnsiTheme="minorHAnsi"/>
        </w:rPr>
        <w:fldChar w:fldCharType="begin"/>
      </w:r>
      <w:r w:rsidR="00F521B2">
        <w:rPr>
          <w:rFonts w:asciiTheme="minorHAnsi" w:hAnsiTheme="minorHAnsi"/>
        </w:rPr>
        <w:instrText xml:space="preserve"> ADDIN ZOTERO_ITEM CSL_CITATION {"citationID":"a1smntfoqta","properties":{"formattedCitation":"\\super 94\\nosupersub{}","plainCitation":"94","noteIndex":0},"citationItems":[{"id":820,"uris":["http://zotero.org/users/1143701/items/96GCHI5J"],"uri":["http://zotero.org/users/1143701/items/96GCHI5J"],"itemData":{"id":820,"type":"article-journal","title":"Factors affecting response rates of web survey: A systematic review","container-title":"Computers in Human Behavior","page":"132-139","volume":"26","issue":"2010","abstract":"The lower response rate in web surveys has been a major concern for survey researchers. The literature\nhas sought to identify a wide variety of factors that affect response rates in web surveys. In this article, we\ndeveloped a conceptual model of the web survey process and use the model to systematically review a\nwide variety of factors influencing the response rate in the stage of survey development, survey delivery,\nsurvey completion, and survey return. Practical suggestion and future research directions on how to\nincrease the response rate are discussed.","URL":"www.elsevier.com/locate/comphumbeh","ISSN":"https://www.worldcat.org/issn/0747-5632","journalAbbreviation":"Comput. Hum. Behav","language":"English","author":[{"family":"Weimiao","given":"Fan"},{"family":"Zheng","given":"Yan"}],"issued":{"date-parts":[["2010"]]}}}],"schema":"https://github.com/citation-style-language/schema/raw/master/csl-citation.json"} </w:instrText>
      </w:r>
      <w:r w:rsidR="00FA004E" w:rsidRPr="00B417BF">
        <w:rPr>
          <w:rFonts w:asciiTheme="minorHAnsi" w:hAnsiTheme="minorHAnsi"/>
        </w:rPr>
        <w:fldChar w:fldCharType="separate"/>
      </w:r>
      <w:r w:rsidR="00F521B2" w:rsidRPr="00F521B2">
        <w:rPr>
          <w:rFonts w:ascii="Cambria" w:hAnsiTheme="minorHAnsi"/>
          <w:vertAlign w:val="superscript"/>
        </w:rPr>
        <w:t>94</w:t>
      </w:r>
      <w:r w:rsidR="00FA004E" w:rsidRPr="00B417BF">
        <w:rPr>
          <w:rFonts w:asciiTheme="minorHAnsi" w:hAnsiTheme="minorHAnsi"/>
        </w:rPr>
        <w:fldChar w:fldCharType="end"/>
      </w:r>
      <w:r w:rsidR="00FA004E" w:rsidRPr="00B417BF">
        <w:rPr>
          <w:rFonts w:asciiTheme="minorHAnsi" w:hAnsiTheme="minorHAnsi"/>
        </w:rPr>
        <w:t xml:space="preserve">  These principles were used to construct both the </w:t>
      </w:r>
      <w:r w:rsidR="002D5B15">
        <w:rPr>
          <w:rFonts w:asciiTheme="minorHAnsi" w:hAnsiTheme="minorHAnsi"/>
        </w:rPr>
        <w:t xml:space="preserve">qualitative and </w:t>
      </w:r>
      <w:r w:rsidR="00FA004E" w:rsidRPr="00B417BF">
        <w:rPr>
          <w:rFonts w:asciiTheme="minorHAnsi" w:hAnsiTheme="minorHAnsi"/>
        </w:rPr>
        <w:t>quantitative survey</w:t>
      </w:r>
      <w:r w:rsidR="00E802AC">
        <w:rPr>
          <w:rFonts w:asciiTheme="minorHAnsi" w:hAnsiTheme="minorHAnsi"/>
        </w:rPr>
        <w:t>s</w:t>
      </w:r>
      <w:r w:rsidR="00FA004E" w:rsidRPr="00B417BF">
        <w:rPr>
          <w:rFonts w:asciiTheme="minorHAnsi" w:hAnsiTheme="minorHAnsi"/>
        </w:rPr>
        <w:t>.</w:t>
      </w:r>
    </w:p>
    <w:p w14:paraId="6EF54BA5" w14:textId="6940EAAB" w:rsidR="00FA004E" w:rsidRDefault="00FA004E" w:rsidP="00FA004E">
      <w:pPr>
        <w:spacing w:line="480" w:lineRule="auto"/>
        <w:rPr>
          <w:rFonts w:asciiTheme="minorHAnsi" w:hAnsiTheme="minorHAnsi"/>
        </w:rPr>
      </w:pPr>
    </w:p>
    <w:p w14:paraId="7A779475" w14:textId="74ECC085" w:rsidR="003A7CC1" w:rsidRPr="003A7CC1" w:rsidRDefault="003A7CC1" w:rsidP="00FA004E">
      <w:pPr>
        <w:spacing w:line="480" w:lineRule="auto"/>
        <w:rPr>
          <w:rFonts w:asciiTheme="minorHAnsi" w:hAnsiTheme="minorHAnsi"/>
          <w:b/>
        </w:rPr>
      </w:pPr>
      <w:r>
        <w:rPr>
          <w:rFonts w:asciiTheme="minorHAnsi" w:hAnsiTheme="minorHAnsi"/>
          <w:b/>
        </w:rPr>
        <w:t>Study Design Overview:</w:t>
      </w:r>
    </w:p>
    <w:p w14:paraId="5363DF84" w14:textId="2F1BA5B1" w:rsidR="00FA004E" w:rsidRPr="00B417BF" w:rsidRDefault="00FA004E" w:rsidP="00855627">
      <w:pPr>
        <w:spacing w:line="480" w:lineRule="auto"/>
        <w:outlineLvl w:val="0"/>
        <w:rPr>
          <w:rFonts w:asciiTheme="minorHAnsi" w:hAnsiTheme="minorHAnsi"/>
        </w:rPr>
      </w:pPr>
      <w:r w:rsidRPr="00B417BF">
        <w:rPr>
          <w:rFonts w:asciiTheme="minorHAnsi" w:hAnsiTheme="minorHAnsi"/>
        </w:rPr>
        <w:t>Utilization of Brief COPE</w:t>
      </w:r>
      <w:r w:rsidRPr="00B417BF">
        <w:rPr>
          <w:rFonts w:asciiTheme="minorHAnsi" w:hAnsiTheme="minorHAnsi"/>
        </w:rPr>
        <w:fldChar w:fldCharType="begin"/>
      </w:r>
      <w:r w:rsidR="00E04913">
        <w:rPr>
          <w:rFonts w:asciiTheme="minorHAnsi" w:hAnsiTheme="minorHAnsi"/>
        </w:rPr>
        <w:instrText xml:space="preserve"> ADDIN ZOTERO_ITEM CSL_CITATION {"citationID":"1DCLg3o2","properties":{"formattedCitation":"\\super 95\\nosupersub{}","plainCitation":"95","noteIndex":0},"citationItems":[{"id":269,"uris":["http://zotero.org/users/1143701/items/F8G7WIN8"],"uri":["http://zotero.org/users/1143701/items/F8G7WIN8"],"itemData":{"id":269,"type":"article-journal","title":"Stress and Medical Care Utilization: An Element of Screening Behavior","container-title":"Social Behavior and Personality","page":"99-102","volume":"14","issue":"1","source":"EBSCOhost","abstract":"Examined whether clients who utilized a medical facility for the first time exhibit higher stress levels than those who were frequent or non-users. Spielberger's State-Trait Anxiety Inventory measured stress in anxiety scores among 183 clients who attended a health screening service. Clients who experienced heightened anxiety levels during the screening were younger, men, lower-income, and unemployed. (Author/KS)","URL":"http://libraries.ou.edu/access.aspx?url=http://search.ebscohost.com/login.aspx?direct=true&amp;db=eric&amp;AN=EJ344990&amp;site=ehost-live","shortTitle":"Stress and Medical Care Utilization","journalAbbreviation":"Social Behavior and Personality","author":[{"family":"Bailey","given":"Eric J."}],"issued":{"date-parts":[["1986",1,1]]},"accessed":{"date-parts":[["2014",12,29]]}}}],"schema":"https://github.com/citation-style-language/schema/raw/master/csl-citation.json"} </w:instrText>
      </w:r>
      <w:r w:rsidRPr="00B417BF">
        <w:rPr>
          <w:rFonts w:asciiTheme="minorHAnsi" w:hAnsiTheme="minorHAnsi"/>
        </w:rPr>
        <w:fldChar w:fldCharType="separate"/>
      </w:r>
      <w:r w:rsidR="00E04913" w:rsidRPr="00E04913">
        <w:rPr>
          <w:rFonts w:ascii="Cambria" w:hAnsiTheme="minorHAnsi"/>
          <w:vertAlign w:val="superscript"/>
        </w:rPr>
        <w:t>95</w:t>
      </w:r>
      <w:r w:rsidRPr="00B417BF">
        <w:rPr>
          <w:rFonts w:asciiTheme="minorHAnsi" w:hAnsiTheme="minorHAnsi"/>
        </w:rPr>
        <w:fldChar w:fldCharType="end"/>
      </w:r>
    </w:p>
    <w:p w14:paraId="3982BE6B" w14:textId="39A2A96D" w:rsidR="00FA004E" w:rsidRDefault="00FA004E" w:rsidP="00FA004E">
      <w:pPr>
        <w:spacing w:line="480" w:lineRule="auto"/>
        <w:rPr>
          <w:rFonts w:asciiTheme="minorHAnsi" w:hAnsiTheme="minorHAnsi"/>
        </w:rPr>
      </w:pPr>
      <w:r w:rsidRPr="00B417BF">
        <w:rPr>
          <w:rFonts w:asciiTheme="minorHAnsi" w:hAnsiTheme="minorHAnsi"/>
        </w:rPr>
        <w:t>No appropriate</w:t>
      </w:r>
      <w:r w:rsidR="00E37A09" w:rsidRPr="00B417BF">
        <w:rPr>
          <w:rFonts w:asciiTheme="minorHAnsi" w:hAnsiTheme="minorHAnsi"/>
        </w:rPr>
        <w:t>ly vetted</w:t>
      </w:r>
      <w:r w:rsidRPr="00B417BF">
        <w:rPr>
          <w:rFonts w:asciiTheme="minorHAnsi" w:hAnsiTheme="minorHAnsi"/>
        </w:rPr>
        <w:t xml:space="preserve"> survey instrument to test PA student stress and coping skills </w:t>
      </w:r>
      <w:r w:rsidR="00484511" w:rsidRPr="00B417BF">
        <w:rPr>
          <w:rFonts w:asciiTheme="minorHAnsi" w:hAnsiTheme="minorHAnsi"/>
        </w:rPr>
        <w:t>was located.</w:t>
      </w:r>
      <w:r w:rsidR="00E37A09" w:rsidRPr="00B417BF">
        <w:rPr>
          <w:rFonts w:asciiTheme="minorHAnsi" w:hAnsiTheme="minorHAnsi"/>
        </w:rPr>
        <w:t xml:space="preserve"> However</w:t>
      </w:r>
      <w:r w:rsidR="00484511" w:rsidRPr="00B417BF">
        <w:rPr>
          <w:rFonts w:asciiTheme="minorHAnsi" w:hAnsiTheme="minorHAnsi"/>
        </w:rPr>
        <w:t>,</w:t>
      </w:r>
      <w:r w:rsidR="00E37A09" w:rsidRPr="00B417BF">
        <w:rPr>
          <w:rFonts w:asciiTheme="minorHAnsi" w:hAnsiTheme="minorHAnsi"/>
        </w:rPr>
        <w:t xml:space="preserve"> s</w:t>
      </w:r>
      <w:r w:rsidRPr="00B417BF">
        <w:rPr>
          <w:rFonts w:asciiTheme="minorHAnsi" w:hAnsiTheme="minorHAnsi"/>
        </w:rPr>
        <w:t xml:space="preserve">everal instruments have been used and validated </w:t>
      </w:r>
      <w:r w:rsidR="00C34437">
        <w:rPr>
          <w:rFonts w:asciiTheme="minorHAnsi" w:hAnsiTheme="minorHAnsi"/>
        </w:rPr>
        <w:t>for use with</w:t>
      </w:r>
      <w:r w:rsidRPr="00B417BF">
        <w:rPr>
          <w:rFonts w:asciiTheme="minorHAnsi" w:hAnsiTheme="minorHAnsi"/>
        </w:rPr>
        <w:t xml:space="preserve"> college student</w:t>
      </w:r>
      <w:r w:rsidR="00E37A09" w:rsidRPr="00B417BF">
        <w:rPr>
          <w:rFonts w:asciiTheme="minorHAnsi" w:hAnsiTheme="minorHAnsi"/>
        </w:rPr>
        <w:t>s</w:t>
      </w:r>
      <w:r w:rsidRPr="00B417BF">
        <w:rPr>
          <w:rFonts w:asciiTheme="minorHAnsi" w:hAnsiTheme="minorHAnsi"/>
        </w:rPr>
        <w:t>.  The Brief COPE (</w:t>
      </w:r>
      <w:r w:rsidR="003F1045">
        <w:rPr>
          <w:rFonts w:asciiTheme="minorHAnsi" w:hAnsiTheme="minorHAnsi"/>
        </w:rPr>
        <w:t>Appx B. 1</w:t>
      </w:r>
      <w:r w:rsidRPr="00B417BF">
        <w:rPr>
          <w:rFonts w:asciiTheme="minorHAnsi" w:hAnsiTheme="minorHAnsi"/>
        </w:rPr>
        <w:t xml:space="preserve">) was selected for several reasons.  </w:t>
      </w:r>
      <w:r w:rsidR="00614868">
        <w:rPr>
          <w:rFonts w:asciiTheme="minorHAnsi" w:hAnsiTheme="minorHAnsi"/>
        </w:rPr>
        <w:t>The Brief COPE was</w:t>
      </w:r>
      <w:r w:rsidRPr="00B417BF">
        <w:rPr>
          <w:rFonts w:asciiTheme="minorHAnsi" w:hAnsiTheme="minorHAnsi"/>
        </w:rPr>
        <w:t xml:space="preserve"> free to use with permission from the University of Florida and </w:t>
      </w:r>
      <w:r w:rsidR="00E37A09" w:rsidRPr="00B417BF">
        <w:rPr>
          <w:rFonts w:asciiTheme="minorHAnsi" w:hAnsiTheme="minorHAnsi"/>
        </w:rPr>
        <w:t>its</w:t>
      </w:r>
      <w:r w:rsidRPr="00B417BF">
        <w:rPr>
          <w:rFonts w:asciiTheme="minorHAnsi" w:hAnsiTheme="minorHAnsi"/>
        </w:rPr>
        <w:t xml:space="preserve"> author.  Unlike most other standardized assessments, the Brief COPE can be administered in a variety of formats. The Brief COPE has also been widely used and validated in a variety of settings. Moffat, et al. utilized the Brief COPE as a measure of stress in first year medical students </w:t>
      </w:r>
      <w:r w:rsidR="00C34437">
        <w:rPr>
          <w:rFonts w:asciiTheme="minorHAnsi" w:hAnsiTheme="minorHAnsi"/>
        </w:rPr>
        <w:t>and found a strong</w:t>
      </w:r>
      <w:r w:rsidRPr="00B417BF">
        <w:rPr>
          <w:rFonts w:asciiTheme="minorHAnsi" w:hAnsiTheme="minorHAnsi"/>
        </w:rPr>
        <w:t xml:space="preserve"> correlation to the much longer, and widely utilized, General Health Questionnaire (GHQ).   Their results also showed positive correlations between behavioral strategies, demographics, and reported </w:t>
      </w:r>
      <w:r w:rsidRPr="00B417BF">
        <w:rPr>
          <w:rFonts w:asciiTheme="minorHAnsi" w:hAnsiTheme="minorHAnsi"/>
        </w:rPr>
        <w:lastRenderedPageBreak/>
        <w:t>stress</w:t>
      </w:r>
      <w:r w:rsidR="003B5338">
        <w:rPr>
          <w:rFonts w:asciiTheme="minorHAnsi" w:hAnsiTheme="minorHAnsi"/>
        </w:rPr>
        <w:t>.</w:t>
      </w:r>
      <w:r w:rsidR="00484511" w:rsidRPr="00B417BF">
        <w:rPr>
          <w:rFonts w:asciiTheme="minorHAnsi" w:hAnsiTheme="minorHAnsi"/>
        </w:rPr>
        <w:fldChar w:fldCharType="begin"/>
      </w:r>
      <w:r w:rsidR="002F2356">
        <w:rPr>
          <w:rFonts w:asciiTheme="minorHAnsi" w:hAnsiTheme="minorHAnsi"/>
        </w:rPr>
        <w:instrText xml:space="preserve"> ADDIN ZOTERO_ITEM CSL_CITATION {"citationID":"a1pdf7j4fhk","properties":{"formattedCitation":"\\super 58\\nosupersub{}","plainCitation":"58","noteIndex":0},"citationItems":[{"id":130,"uris":["http://zotero.org/users/1143701/items/FNBUTNBH"],"uri":["http://zotero.org/users/1143701/items/FNBUTNBH"],"itemData":{"id":130,"type":"article-journal","title":"First year medical student stress and coping in a problem-based learning medical curriculum","container-title":"Medical Education","page":"482-491","volume":"38","issue":"5","source":"Wiley Online Library","abstract":"Objective  To examine the prevalence of psychological morbidity, sources of stress and coping mechanisms in first year students in a problem-based learning undergraduate medical curriculum. Design  Longitudinal cohort questionnaire survey. Setting  Glasgow University Medical School. Participants  All first year students (n = 275) in the 1997–98 intake. Main outcome measures  Scores on the 12-item General Health Questionnaire (GHQ-12), sources of stress and coping strategies. Results  The prevalence of psychological morbidity and mean GHQ-12 scores increased significantly between term 1 and term 3, with no significant gender differences. Principal stressors were related to medical training rather than to personal problems, in particular uncertainty about individual study behaviour, progress and aptitude, with specific concerns about assessment and the availability of learning materials. The group learning environment, including tutor performance, and interactions with peers and patients caused little stress. Students generally used active coping strategies. Both stressor group scoring and coping strategies showed some variation with gender and GHQ caseness. Conclusions  Increased student feedback and guidance about progress throughout the year and the provision of adequate learning resources may reduce student stress. Educational or pastoral intervention regarding effective coping strategies may also be beneficial. Continued follow-up of this cohort could provide information to inform further curriculum development and, if appropriate, aid the design of programmes for the prevention of stress-related problems.","URL":"http://onlinelibrary.wiley.com/doi/10.1046/j.1365-2929.2004.01814.x/abstract","DOI":"10.1046/j.1365-2929.2004.01814.x","ISSN":"1365-2923","language":"en","author":[{"family":"Moffat","given":"Katrina J"},{"family":"McConnachie","given":"Alex"},{"family":"Ross","given":"Sue"},{"family":"Morrison","given":"Jillian M"}],"issued":{"date-parts":[["2004",5,1]]},"accessed":{"date-parts":[["2015",10,13]]}}}],"schema":"https://github.com/citation-style-language/schema/raw/master/csl-citation.json"} </w:instrText>
      </w:r>
      <w:r w:rsidR="00484511" w:rsidRPr="00B417BF">
        <w:rPr>
          <w:rFonts w:asciiTheme="minorHAnsi" w:hAnsiTheme="minorHAnsi"/>
        </w:rPr>
        <w:fldChar w:fldCharType="separate"/>
      </w:r>
      <w:r w:rsidR="002F2356" w:rsidRPr="002F2356">
        <w:rPr>
          <w:rFonts w:ascii="Cambria" w:hAnsiTheme="minorHAnsi"/>
          <w:vertAlign w:val="superscript"/>
        </w:rPr>
        <w:t>58</w:t>
      </w:r>
      <w:r w:rsidR="00484511" w:rsidRPr="00B417BF">
        <w:rPr>
          <w:rFonts w:asciiTheme="minorHAnsi" w:hAnsiTheme="minorHAnsi"/>
        </w:rPr>
        <w:fldChar w:fldCharType="end"/>
      </w:r>
      <w:r w:rsidR="004D01B8">
        <w:rPr>
          <w:rFonts w:asciiTheme="minorHAnsi" w:hAnsiTheme="minorHAnsi"/>
        </w:rPr>
        <w:t xml:space="preserve">  The GHQ was not chosen for this study because of length, inability to administer in Qualtrics format, and cost constraints.</w:t>
      </w:r>
    </w:p>
    <w:p w14:paraId="212ED4E0" w14:textId="1CA95F08" w:rsidR="002E4308" w:rsidRDefault="002E4308" w:rsidP="00FA004E">
      <w:pPr>
        <w:spacing w:line="480" w:lineRule="auto"/>
        <w:rPr>
          <w:rFonts w:asciiTheme="minorHAnsi" w:hAnsiTheme="minorHAnsi"/>
        </w:rPr>
      </w:pPr>
    </w:p>
    <w:p w14:paraId="28AF7E97" w14:textId="10DF380C" w:rsidR="002E4308" w:rsidRPr="00B417BF" w:rsidRDefault="002E4308" w:rsidP="00FA004E">
      <w:pPr>
        <w:spacing w:line="480" w:lineRule="auto"/>
        <w:rPr>
          <w:rFonts w:asciiTheme="minorHAnsi" w:hAnsiTheme="minorHAnsi"/>
          <w:color w:val="FF0000"/>
        </w:rPr>
      </w:pPr>
      <w:r w:rsidRPr="00B417BF">
        <w:rPr>
          <w:rFonts w:asciiTheme="minorHAnsi" w:hAnsiTheme="minorHAnsi"/>
        </w:rPr>
        <w:t xml:space="preserve">The average time to complete COPE with beta testing was 12 minutes.  This falls within the ideal completion time </w:t>
      </w:r>
      <w:r>
        <w:rPr>
          <w:rFonts w:asciiTheme="minorHAnsi" w:hAnsiTheme="minorHAnsi"/>
        </w:rPr>
        <w:t xml:space="preserve">of under </w:t>
      </w:r>
      <w:r w:rsidRPr="00B417BF">
        <w:rPr>
          <w:rFonts w:asciiTheme="minorHAnsi" w:hAnsiTheme="minorHAnsi"/>
        </w:rPr>
        <w:t>fifteen minutes</w:t>
      </w:r>
      <w:r>
        <w:rPr>
          <w:rFonts w:asciiTheme="minorHAnsi" w:hAnsiTheme="minorHAnsi"/>
        </w:rPr>
        <w:t>.</w:t>
      </w:r>
      <w:r>
        <w:rPr>
          <w:rFonts w:asciiTheme="minorHAnsi" w:hAnsiTheme="minorHAnsi"/>
        </w:rPr>
        <w:fldChar w:fldCharType="begin"/>
      </w:r>
      <w:r w:rsidR="00E04913">
        <w:rPr>
          <w:rFonts w:asciiTheme="minorHAnsi" w:hAnsiTheme="minorHAnsi"/>
        </w:rPr>
        <w:instrText xml:space="preserve"> ADDIN ZOTERO_ITEM CSL_CITATION {"citationID":"cKfQCgBi","properties":{"formattedCitation":"\\super 96\\nosupersub{}","plainCitation":"96","noteIndex":0},"citationItems":[{"id":799,"uris":["http://zotero.org/users/1143701/items/8IEN65H9"],"uri":["http://zotero.org/users/1143701/items/8IEN65H9"],"itemData":{"id":799,"type":"article-journal","title":"The adequacy of response rates to online and paper surveys: what can be done?","container-title":"Assessment &amp; Evaluation in Higher Education","page":"301-314","volume":"33","issue":"3","source":"srhe.tandfonline.com (Atypon)","abstract":"This article is about differences between, and the adequacy of, response rates to online and paper‐based course and teaching evaluation surveys. Its aim is to provide practical guidance on these matters. The first part of the article gives an overview of online surveying in general, a review of data relating to survey response rates and practical advice to help boost response rates. The second part of the article discusses when a response rate may be considered large enough for the survey data to provide adequate evidence for accountability and improvement purposes. The article ends with suggestions for improving the effectiveness of evaluation strategy. These suggestions are: to seek to obtain the highest response rates possible to all surveys; to take account of probable effects of survey design and methods on the feedback obtained when interpreting that feedback; and to enhance this action by making use of data derived from multiple methods of gathering feedback.","URL":"http://srhe.tandfonline.com/doi/full/10.1080/02602930701293231","DOI":"10.1080/02602930701293231","ISSN":"0260-2938","shortTitle":"The adequacy of response rates to online and paper surveys","journalAbbreviation":"Assessment &amp; Evaluation in Higher Education","author":[{"family":"Nulty","given":"Duncan D."}],"issued":{"date-parts":[["2008",6,1]]},"accessed":{"date-parts":[["2017",12,27]]}}}],"schema":"https://github.com/citation-style-language/schema/raw/master/csl-citation.json"} </w:instrText>
      </w:r>
      <w:r>
        <w:rPr>
          <w:rFonts w:asciiTheme="minorHAnsi" w:hAnsiTheme="minorHAnsi"/>
        </w:rPr>
        <w:fldChar w:fldCharType="separate"/>
      </w:r>
      <w:r w:rsidR="00E04913" w:rsidRPr="00E04913">
        <w:rPr>
          <w:rFonts w:ascii="Cambria" w:hAnsiTheme="minorHAnsi"/>
          <w:vertAlign w:val="superscript"/>
        </w:rPr>
        <w:t>96</w:t>
      </w:r>
      <w:r>
        <w:rPr>
          <w:rFonts w:asciiTheme="minorHAnsi" w:hAnsiTheme="minorHAnsi"/>
        </w:rPr>
        <w:fldChar w:fldCharType="end"/>
      </w:r>
      <w:r w:rsidRPr="00B417BF">
        <w:rPr>
          <w:rFonts w:asciiTheme="minorHAnsi" w:hAnsiTheme="minorHAnsi"/>
        </w:rPr>
        <w:t xml:space="preserve">  Manual question advance</w:t>
      </w:r>
      <w:r>
        <w:rPr>
          <w:rFonts w:asciiTheme="minorHAnsi" w:hAnsiTheme="minorHAnsi"/>
        </w:rPr>
        <w:t>ment</w:t>
      </w:r>
      <w:r w:rsidRPr="00B417BF">
        <w:rPr>
          <w:rFonts w:asciiTheme="minorHAnsi" w:hAnsiTheme="minorHAnsi"/>
        </w:rPr>
        <w:t xml:space="preserve"> was used to allow </w:t>
      </w:r>
      <w:r>
        <w:rPr>
          <w:rFonts w:asciiTheme="minorHAnsi" w:hAnsiTheme="minorHAnsi"/>
        </w:rPr>
        <w:t>participants</w:t>
      </w:r>
      <w:r w:rsidRPr="00B417BF">
        <w:rPr>
          <w:rFonts w:asciiTheme="minorHAnsi" w:hAnsiTheme="minorHAnsi"/>
        </w:rPr>
        <w:t xml:space="preserve"> control of pace </w:t>
      </w:r>
      <w:r>
        <w:rPr>
          <w:rFonts w:asciiTheme="minorHAnsi" w:hAnsiTheme="minorHAnsi"/>
        </w:rPr>
        <w:t>for</w:t>
      </w:r>
      <w:r w:rsidRPr="00B417BF">
        <w:rPr>
          <w:rFonts w:asciiTheme="minorHAnsi" w:hAnsiTheme="minorHAnsi"/>
        </w:rPr>
        <w:t xml:space="preserve"> each question</w:t>
      </w:r>
      <w:r>
        <w:rPr>
          <w:rFonts w:asciiTheme="minorHAnsi" w:hAnsiTheme="minorHAnsi"/>
        </w:rPr>
        <w:t>.</w:t>
      </w:r>
      <w:r w:rsidRPr="00B417BF">
        <w:rPr>
          <w:rFonts w:asciiTheme="minorHAnsi" w:hAnsiTheme="minorHAnsi"/>
        </w:rPr>
        <w:fldChar w:fldCharType="begin"/>
      </w:r>
      <w:r w:rsidR="00E04913">
        <w:rPr>
          <w:rFonts w:asciiTheme="minorHAnsi" w:hAnsiTheme="minorHAnsi"/>
        </w:rPr>
        <w:instrText xml:space="preserve"> ADDIN ZOTERO_ITEM CSL_CITATION {"citationID":"a7php3jkoe","properties":{"formattedCitation":"\\super 97\\nosupersub{}","plainCitation":"97","noteIndex":0},"citationItems":[{"id":829,"uris":["http://zotero.org/users/1143701/items/9RLJD4SM"],"uri":["http://zotero.org/users/1143701/items/9RLJD4SM"],"itemData":{"id":829,"type":"article-journal","title":"Why Choice of Survey Mode Makes a Difference","container-title":"Public Health Reports","page":"11-13","volume":"121","issue":"1","source":"PubMed Central","URL":"https://www.ncbi.nlm.nih.gov/pmc/articles/PMC1497792/","ISSN":"0033-3549","note":"PMID: 16416693\nPMCID: PMC1497792","journalAbbreviation":"Public Health Rep","author":[{"family":"Dillman","given":"Don A"}],"issued":{"date-parts":[["2006"]]},"accessed":{"date-parts":[["2017",12,28]]}}}],"schema":"https://github.com/citation-style-language/schema/raw/master/csl-citation.json"} </w:instrText>
      </w:r>
      <w:r w:rsidRPr="00B417BF">
        <w:rPr>
          <w:rFonts w:asciiTheme="minorHAnsi" w:hAnsiTheme="minorHAnsi"/>
        </w:rPr>
        <w:fldChar w:fldCharType="separate"/>
      </w:r>
      <w:r w:rsidR="00E04913" w:rsidRPr="00E04913">
        <w:rPr>
          <w:rFonts w:ascii="Cambria" w:hAnsiTheme="minorHAnsi"/>
          <w:vertAlign w:val="superscript"/>
        </w:rPr>
        <w:t>97</w:t>
      </w:r>
      <w:r w:rsidRPr="00B417BF">
        <w:rPr>
          <w:rFonts w:asciiTheme="minorHAnsi" w:hAnsiTheme="minorHAnsi"/>
        </w:rPr>
        <w:fldChar w:fldCharType="end"/>
      </w:r>
    </w:p>
    <w:p w14:paraId="67CFE530" w14:textId="77777777" w:rsidR="00FA004E" w:rsidRPr="00B417BF" w:rsidRDefault="00FA004E" w:rsidP="00FA004E">
      <w:pPr>
        <w:spacing w:line="480" w:lineRule="auto"/>
        <w:rPr>
          <w:rFonts w:asciiTheme="minorHAnsi" w:hAnsiTheme="minorHAnsi"/>
        </w:rPr>
      </w:pPr>
    </w:p>
    <w:p w14:paraId="2D9845DE" w14:textId="22B81AA1" w:rsidR="00FA004E" w:rsidRDefault="00FA004E" w:rsidP="00FA004E">
      <w:pPr>
        <w:spacing w:line="480" w:lineRule="auto"/>
        <w:rPr>
          <w:rFonts w:asciiTheme="minorHAnsi" w:hAnsiTheme="minorHAnsi"/>
        </w:rPr>
      </w:pPr>
      <w:r w:rsidRPr="00B417BF">
        <w:rPr>
          <w:rFonts w:asciiTheme="minorHAnsi" w:hAnsiTheme="minorHAnsi"/>
        </w:rPr>
        <w:t>The Brief COPE is a Likert-type instrument (</w:t>
      </w:r>
      <w:r w:rsidR="00CB6DE5" w:rsidRPr="00B417BF">
        <w:rPr>
          <w:rFonts w:asciiTheme="minorHAnsi" w:hAnsiTheme="minorHAnsi"/>
        </w:rPr>
        <w:t>1-4</w:t>
      </w:r>
      <w:r w:rsidRPr="00B417BF">
        <w:rPr>
          <w:rFonts w:asciiTheme="minorHAnsi" w:hAnsiTheme="minorHAnsi"/>
        </w:rPr>
        <w:t xml:space="preserve"> respectively) that is easily scored</w:t>
      </w:r>
      <w:r w:rsidR="003B5338">
        <w:rPr>
          <w:rFonts w:asciiTheme="minorHAnsi" w:hAnsiTheme="minorHAnsi"/>
        </w:rPr>
        <w:t>.</w:t>
      </w:r>
      <w:r w:rsidRPr="00B417BF">
        <w:rPr>
          <w:rFonts w:asciiTheme="minorHAnsi" w:hAnsiTheme="minorHAnsi"/>
        </w:rPr>
        <w:fldChar w:fldCharType="begin"/>
      </w:r>
      <w:r w:rsidR="00F521B2">
        <w:rPr>
          <w:rFonts w:asciiTheme="minorHAnsi" w:hAnsiTheme="minorHAnsi"/>
        </w:rPr>
        <w:instrText xml:space="preserve"> ADDIN ZOTERO_ITEM CSL_CITATION {"citationID":"244ni784vv","properties":{"formattedCitation":"\\super 98\\nosupersub{}","plainCitation":"98","noteIndex":0},"citationItems":[{"id":457,"uris":["http://zotero.org/users/1143701/items/HEN8PT73"],"uri":["http://zotero.org/users/1143701/items/HEN8PT73"],"itemData":{"id":457,"type":"article-journal","title":"A technique for the Measurement of Attitudes","container-title":"Archives of Psychology","page":"1-55","volume":"140","author":[{"family":"Likert","given":"R."}]}}],"schema":"https://github.com/citation-style-language/schema/raw/master/csl-citation.json"} </w:instrText>
      </w:r>
      <w:r w:rsidRPr="00B417BF">
        <w:rPr>
          <w:rFonts w:asciiTheme="minorHAnsi" w:hAnsiTheme="minorHAnsi"/>
        </w:rPr>
        <w:fldChar w:fldCharType="separate"/>
      </w:r>
      <w:r w:rsidR="00F521B2" w:rsidRPr="00F521B2">
        <w:rPr>
          <w:rFonts w:ascii="Cambria" w:hAnsiTheme="minorHAnsi"/>
          <w:vertAlign w:val="superscript"/>
        </w:rPr>
        <w:t>98</w:t>
      </w:r>
      <w:r w:rsidRPr="00B417BF">
        <w:rPr>
          <w:rFonts w:asciiTheme="minorHAnsi" w:hAnsiTheme="minorHAnsi"/>
        </w:rPr>
        <w:fldChar w:fldCharType="end"/>
      </w:r>
      <w:r w:rsidRPr="00B417BF">
        <w:rPr>
          <w:rFonts w:asciiTheme="minorHAnsi" w:hAnsiTheme="minorHAnsi"/>
        </w:rPr>
        <w:t xml:space="preserve">   The range of responses is ‘I have not been doing this at all’ to ‘I have been doing this a lot.’   </w:t>
      </w:r>
      <w:r w:rsidR="00E37A09" w:rsidRPr="00B417BF">
        <w:rPr>
          <w:rFonts w:asciiTheme="minorHAnsi" w:hAnsiTheme="minorHAnsi"/>
        </w:rPr>
        <w:t>Because a</w:t>
      </w:r>
      <w:r w:rsidRPr="00B417BF">
        <w:rPr>
          <w:rFonts w:asciiTheme="minorHAnsi" w:hAnsiTheme="minorHAnsi"/>
        </w:rPr>
        <w:t xml:space="preserve">ll </w:t>
      </w:r>
      <w:r w:rsidR="00E37A09" w:rsidRPr="00B417BF">
        <w:rPr>
          <w:rFonts w:asciiTheme="minorHAnsi" w:hAnsiTheme="minorHAnsi"/>
        </w:rPr>
        <w:t xml:space="preserve">Brief COPE </w:t>
      </w:r>
      <w:r w:rsidRPr="00B417BF">
        <w:rPr>
          <w:rFonts w:asciiTheme="minorHAnsi" w:hAnsiTheme="minorHAnsi"/>
        </w:rPr>
        <w:t>items have the same response code</w:t>
      </w:r>
      <w:r w:rsidR="00614868">
        <w:rPr>
          <w:rFonts w:asciiTheme="minorHAnsi" w:hAnsiTheme="minorHAnsi"/>
        </w:rPr>
        <w:t>,</w:t>
      </w:r>
      <w:r w:rsidRPr="00B417BF">
        <w:rPr>
          <w:rFonts w:asciiTheme="minorHAnsi" w:hAnsiTheme="minorHAnsi"/>
        </w:rPr>
        <w:t xml:space="preserve"> less cognitive load</w:t>
      </w:r>
      <w:r w:rsidR="00E37A09" w:rsidRPr="00B417BF">
        <w:rPr>
          <w:rFonts w:asciiTheme="minorHAnsi" w:hAnsiTheme="minorHAnsi"/>
        </w:rPr>
        <w:t xml:space="preserve"> </w:t>
      </w:r>
      <w:r w:rsidR="00614868">
        <w:rPr>
          <w:rFonts w:asciiTheme="minorHAnsi" w:hAnsiTheme="minorHAnsi"/>
        </w:rPr>
        <w:t xml:space="preserve">was </w:t>
      </w:r>
      <w:r w:rsidR="00E37A09" w:rsidRPr="00B417BF">
        <w:rPr>
          <w:rFonts w:asciiTheme="minorHAnsi" w:hAnsiTheme="minorHAnsi"/>
        </w:rPr>
        <w:t>required</w:t>
      </w:r>
      <w:r w:rsidRPr="00B417BF">
        <w:rPr>
          <w:rFonts w:asciiTheme="minorHAnsi" w:hAnsiTheme="minorHAnsi"/>
        </w:rPr>
        <w:t xml:space="preserve"> than</w:t>
      </w:r>
      <w:r w:rsidR="004D01B8">
        <w:rPr>
          <w:rFonts w:asciiTheme="minorHAnsi" w:hAnsiTheme="minorHAnsi"/>
        </w:rPr>
        <w:t xml:space="preserve"> with</w:t>
      </w:r>
      <w:r w:rsidRPr="00B417BF">
        <w:rPr>
          <w:rFonts w:asciiTheme="minorHAnsi" w:hAnsiTheme="minorHAnsi"/>
        </w:rPr>
        <w:t xml:space="preserve"> other</w:t>
      </w:r>
      <w:r w:rsidR="00E37A09" w:rsidRPr="00B417BF">
        <w:rPr>
          <w:rFonts w:asciiTheme="minorHAnsi" w:hAnsiTheme="minorHAnsi"/>
        </w:rPr>
        <w:t xml:space="preserve"> survey</w:t>
      </w:r>
      <w:r w:rsidR="004D01B8">
        <w:rPr>
          <w:rFonts w:asciiTheme="minorHAnsi" w:hAnsiTheme="minorHAnsi"/>
        </w:rPr>
        <w:t>s</w:t>
      </w:r>
      <w:r w:rsidR="00614868">
        <w:rPr>
          <w:rFonts w:asciiTheme="minorHAnsi" w:hAnsiTheme="minorHAnsi"/>
        </w:rPr>
        <w:t xml:space="preserve"> types</w:t>
      </w:r>
      <w:r w:rsidR="00E37A09" w:rsidRPr="00B417BF">
        <w:rPr>
          <w:rFonts w:asciiTheme="minorHAnsi" w:hAnsiTheme="minorHAnsi"/>
        </w:rPr>
        <w:t xml:space="preserve">. </w:t>
      </w:r>
      <w:r w:rsidRPr="00B417BF">
        <w:rPr>
          <w:rFonts w:asciiTheme="minorHAnsi" w:hAnsiTheme="minorHAnsi"/>
        </w:rPr>
        <w:t xml:space="preserve"> </w:t>
      </w:r>
      <w:r w:rsidR="00E37A09" w:rsidRPr="00B417BF">
        <w:rPr>
          <w:rFonts w:asciiTheme="minorHAnsi" w:hAnsiTheme="minorHAnsi"/>
        </w:rPr>
        <w:t xml:space="preserve">Data coding </w:t>
      </w:r>
      <w:r w:rsidR="00614868">
        <w:rPr>
          <w:rFonts w:asciiTheme="minorHAnsi" w:hAnsiTheme="minorHAnsi"/>
        </w:rPr>
        <w:t xml:space="preserve">was </w:t>
      </w:r>
      <w:r w:rsidR="00E37A09" w:rsidRPr="00B417BF">
        <w:rPr>
          <w:rFonts w:asciiTheme="minorHAnsi" w:hAnsiTheme="minorHAnsi"/>
        </w:rPr>
        <w:t xml:space="preserve">also more accurate using this </w:t>
      </w:r>
      <w:r w:rsidR="00484511" w:rsidRPr="00B417BF">
        <w:rPr>
          <w:rFonts w:asciiTheme="minorHAnsi" w:hAnsiTheme="minorHAnsi"/>
        </w:rPr>
        <w:t>format.</w:t>
      </w:r>
      <w:r w:rsidRPr="00B417BF">
        <w:rPr>
          <w:rFonts w:asciiTheme="minorHAnsi" w:hAnsiTheme="minorHAnsi"/>
        </w:rPr>
        <w:t xml:space="preserve">  There </w:t>
      </w:r>
      <w:r w:rsidR="00614868">
        <w:rPr>
          <w:rFonts w:asciiTheme="minorHAnsi" w:hAnsiTheme="minorHAnsi"/>
        </w:rPr>
        <w:t>were</w:t>
      </w:r>
      <w:r w:rsidRPr="00B417BF">
        <w:rPr>
          <w:rFonts w:asciiTheme="minorHAnsi" w:hAnsiTheme="minorHAnsi"/>
        </w:rPr>
        <w:t xml:space="preserve"> several items in the instrument that are reverse coded to reduce the likelihood of convenience responses.</w:t>
      </w:r>
    </w:p>
    <w:p w14:paraId="2781351A" w14:textId="6C0FE27A" w:rsidR="00544D9F" w:rsidRPr="00614868" w:rsidRDefault="00544D9F" w:rsidP="00A035A2">
      <w:pPr>
        <w:spacing w:before="100" w:beforeAutospacing="1" w:after="100" w:afterAutospacing="1" w:line="480" w:lineRule="auto"/>
        <w:rPr>
          <w:rFonts w:asciiTheme="minorHAnsi" w:hAnsiTheme="minorHAnsi"/>
          <w:color w:val="000000" w:themeColor="text1"/>
        </w:rPr>
      </w:pPr>
      <w:r w:rsidRPr="00614868">
        <w:rPr>
          <w:rFonts w:asciiTheme="minorHAnsi" w:hAnsiTheme="minorHAnsi"/>
          <w:color w:val="000000" w:themeColor="text1"/>
        </w:rPr>
        <w:t>For analysis, the Brief</w:t>
      </w:r>
      <w:r w:rsidR="00614868" w:rsidRPr="00614868">
        <w:rPr>
          <w:rFonts w:asciiTheme="minorHAnsi" w:hAnsiTheme="minorHAnsi"/>
          <w:color w:val="000000" w:themeColor="text1"/>
        </w:rPr>
        <w:t xml:space="preserve"> </w:t>
      </w:r>
      <w:r w:rsidRPr="00614868">
        <w:rPr>
          <w:rFonts w:asciiTheme="minorHAnsi" w:hAnsiTheme="minorHAnsi"/>
          <w:color w:val="000000" w:themeColor="text1"/>
        </w:rPr>
        <w:t xml:space="preserve">COPE </w:t>
      </w:r>
      <w:r w:rsidR="00A035A2" w:rsidRPr="00614868">
        <w:rPr>
          <w:rFonts w:asciiTheme="minorHAnsi" w:hAnsiTheme="minorHAnsi"/>
          <w:color w:val="000000" w:themeColor="text1"/>
        </w:rPr>
        <w:t xml:space="preserve">questions and responses </w:t>
      </w:r>
      <w:r w:rsidR="00645AF8">
        <w:rPr>
          <w:rFonts w:asciiTheme="minorHAnsi" w:hAnsiTheme="minorHAnsi"/>
          <w:color w:val="000000" w:themeColor="text1"/>
        </w:rPr>
        <w:t>were</w:t>
      </w:r>
      <w:r w:rsidR="00A035A2" w:rsidRPr="00614868">
        <w:rPr>
          <w:rFonts w:asciiTheme="minorHAnsi" w:hAnsiTheme="minorHAnsi"/>
          <w:color w:val="000000" w:themeColor="text1"/>
        </w:rPr>
        <w:t xml:space="preserve"> assigned to behavioral scales.  The scales </w:t>
      </w:r>
      <w:r w:rsidR="00645AF8">
        <w:rPr>
          <w:rFonts w:asciiTheme="minorHAnsi" w:hAnsiTheme="minorHAnsi"/>
          <w:color w:val="000000" w:themeColor="text1"/>
        </w:rPr>
        <w:t>were</w:t>
      </w:r>
      <w:r w:rsidR="00A035A2" w:rsidRPr="00614868">
        <w:rPr>
          <w:rFonts w:asciiTheme="minorHAnsi" w:hAnsiTheme="minorHAnsi"/>
          <w:color w:val="000000" w:themeColor="text1"/>
        </w:rPr>
        <w:t xml:space="preserve"> then used to identify types of behaviors associated with r</w:t>
      </w:r>
      <w:r w:rsidR="003A7CC1">
        <w:rPr>
          <w:rFonts w:asciiTheme="minorHAnsi" w:hAnsiTheme="minorHAnsi"/>
          <w:color w:val="000000" w:themeColor="text1"/>
        </w:rPr>
        <w:t>esponses.  These are as follows</w:t>
      </w:r>
      <w:r w:rsidR="007B028C">
        <w:rPr>
          <w:rFonts w:asciiTheme="minorHAnsi" w:hAnsiTheme="minorHAnsi"/>
          <w:color w:val="000000" w:themeColor="text1"/>
        </w:rPr>
        <w:t>:</w:t>
      </w:r>
    </w:p>
    <w:p w14:paraId="45BD30E9" w14:textId="6B6C464F" w:rsidR="00FA004E" w:rsidRPr="00B417BF" w:rsidRDefault="00544D9F" w:rsidP="00FA004E">
      <w:pPr>
        <w:spacing w:line="480" w:lineRule="auto"/>
        <w:rPr>
          <w:rFonts w:asciiTheme="minorHAnsi" w:hAnsiTheme="minorHAnsi"/>
        </w:rPr>
      </w:pPr>
      <w:r w:rsidRPr="00544D9F">
        <w:rPr>
          <w:rFonts w:asciiTheme="minorHAnsi" w:hAnsiTheme="minorHAnsi"/>
          <w:color w:val="36393C"/>
        </w:rPr>
        <w:t>Self-distraction, items 1 and 19 </w:t>
      </w:r>
      <w:r w:rsidRPr="00544D9F">
        <w:rPr>
          <w:rFonts w:asciiTheme="minorHAnsi" w:hAnsiTheme="minorHAnsi"/>
          <w:color w:val="36393C"/>
        </w:rPr>
        <w:br/>
        <w:t>Active coping, items 2 and 7 </w:t>
      </w:r>
      <w:r w:rsidRPr="00544D9F">
        <w:rPr>
          <w:rFonts w:asciiTheme="minorHAnsi" w:hAnsiTheme="minorHAnsi"/>
          <w:color w:val="36393C"/>
        </w:rPr>
        <w:br/>
        <w:t>Denial, items 3 and 8 </w:t>
      </w:r>
      <w:r w:rsidRPr="00544D9F">
        <w:rPr>
          <w:rFonts w:asciiTheme="minorHAnsi" w:hAnsiTheme="minorHAnsi"/>
          <w:color w:val="36393C"/>
        </w:rPr>
        <w:br/>
        <w:t>Substance use, items 4 and 11 </w:t>
      </w:r>
      <w:r w:rsidRPr="00544D9F">
        <w:rPr>
          <w:rFonts w:asciiTheme="minorHAnsi" w:hAnsiTheme="minorHAnsi"/>
          <w:color w:val="36393C"/>
        </w:rPr>
        <w:br/>
        <w:t>Use of emotional support, items 5 and 15 </w:t>
      </w:r>
      <w:r w:rsidRPr="00544D9F">
        <w:rPr>
          <w:rFonts w:asciiTheme="minorHAnsi" w:hAnsiTheme="minorHAnsi"/>
          <w:color w:val="36393C"/>
        </w:rPr>
        <w:br/>
      </w:r>
      <w:r w:rsidRPr="00544D9F">
        <w:rPr>
          <w:rFonts w:asciiTheme="minorHAnsi" w:hAnsiTheme="minorHAnsi"/>
          <w:color w:val="36393C"/>
        </w:rPr>
        <w:lastRenderedPageBreak/>
        <w:t>Use of instrumental support, items 10 and 23 </w:t>
      </w:r>
      <w:r w:rsidRPr="00544D9F">
        <w:rPr>
          <w:rFonts w:asciiTheme="minorHAnsi" w:hAnsiTheme="minorHAnsi"/>
          <w:color w:val="36393C"/>
        </w:rPr>
        <w:br/>
        <w:t>Behavioral disengagement, items 6 and 16 </w:t>
      </w:r>
      <w:r w:rsidRPr="00544D9F">
        <w:rPr>
          <w:rFonts w:asciiTheme="minorHAnsi" w:hAnsiTheme="minorHAnsi"/>
          <w:color w:val="36393C"/>
        </w:rPr>
        <w:br/>
        <w:t>Venting, items 9 and 21 </w:t>
      </w:r>
      <w:r w:rsidRPr="00544D9F">
        <w:rPr>
          <w:rFonts w:asciiTheme="minorHAnsi" w:hAnsiTheme="minorHAnsi"/>
          <w:color w:val="36393C"/>
        </w:rPr>
        <w:br/>
        <w:t>Positive reframing, items 12 and 17 </w:t>
      </w:r>
      <w:r w:rsidRPr="00544D9F">
        <w:rPr>
          <w:rFonts w:asciiTheme="minorHAnsi" w:hAnsiTheme="minorHAnsi"/>
          <w:color w:val="36393C"/>
        </w:rPr>
        <w:br/>
        <w:t>Planning, items 14 and 25 </w:t>
      </w:r>
      <w:r w:rsidRPr="00544D9F">
        <w:rPr>
          <w:rFonts w:asciiTheme="minorHAnsi" w:hAnsiTheme="minorHAnsi"/>
          <w:color w:val="36393C"/>
        </w:rPr>
        <w:br/>
        <w:t>Humor, items 18 and 28 </w:t>
      </w:r>
      <w:r w:rsidRPr="00544D9F">
        <w:rPr>
          <w:rFonts w:asciiTheme="minorHAnsi" w:hAnsiTheme="minorHAnsi"/>
          <w:color w:val="36393C"/>
        </w:rPr>
        <w:br/>
        <w:t>Acceptance, items 20 and 24 </w:t>
      </w:r>
      <w:r w:rsidRPr="00544D9F">
        <w:rPr>
          <w:rFonts w:asciiTheme="minorHAnsi" w:hAnsiTheme="minorHAnsi"/>
          <w:color w:val="36393C"/>
        </w:rPr>
        <w:br/>
        <w:t>Religion, items 22 and 27 </w:t>
      </w:r>
      <w:r w:rsidRPr="00544D9F">
        <w:rPr>
          <w:rFonts w:asciiTheme="minorHAnsi" w:hAnsiTheme="minorHAnsi"/>
          <w:color w:val="36393C"/>
        </w:rPr>
        <w:br/>
        <w:t>Self-blame, items 13 and 26 </w:t>
      </w:r>
      <w:r w:rsidRPr="00544D9F">
        <w:rPr>
          <w:rFonts w:asciiTheme="minorHAnsi" w:hAnsiTheme="minorHAnsi"/>
          <w:color w:val="36393C"/>
        </w:rPr>
        <w:br/>
      </w:r>
    </w:p>
    <w:p w14:paraId="060A3DA1" w14:textId="77777777" w:rsidR="00FA004E" w:rsidRPr="00B417BF" w:rsidRDefault="00FA004E" w:rsidP="00FA004E">
      <w:pPr>
        <w:spacing w:line="480" w:lineRule="auto"/>
        <w:rPr>
          <w:rFonts w:asciiTheme="minorHAnsi" w:hAnsiTheme="minorHAnsi"/>
        </w:rPr>
      </w:pPr>
      <w:r w:rsidRPr="00B417BF">
        <w:rPr>
          <w:rFonts w:asciiTheme="minorHAnsi" w:hAnsiTheme="minorHAnsi"/>
        </w:rPr>
        <w:t>Consent/Identification Protection:</w:t>
      </w:r>
    </w:p>
    <w:p w14:paraId="3EA9C4E5" w14:textId="7A306FC0" w:rsidR="00FA004E" w:rsidRPr="00B417BF" w:rsidRDefault="004D01B8" w:rsidP="00FA004E">
      <w:pPr>
        <w:spacing w:line="480" w:lineRule="auto"/>
        <w:rPr>
          <w:rFonts w:asciiTheme="minorHAnsi" w:hAnsiTheme="minorHAnsi"/>
        </w:rPr>
      </w:pPr>
      <w:r>
        <w:rPr>
          <w:rFonts w:asciiTheme="minorHAnsi" w:hAnsiTheme="minorHAnsi"/>
        </w:rPr>
        <w:t>The Brief COPE</w:t>
      </w:r>
      <w:r w:rsidR="00FA004E" w:rsidRPr="00B417BF">
        <w:rPr>
          <w:rFonts w:asciiTheme="minorHAnsi" w:hAnsiTheme="minorHAnsi"/>
        </w:rPr>
        <w:t xml:space="preserve"> </w:t>
      </w:r>
      <w:r>
        <w:rPr>
          <w:rFonts w:asciiTheme="minorHAnsi" w:hAnsiTheme="minorHAnsi"/>
        </w:rPr>
        <w:t>was</w:t>
      </w:r>
      <w:r w:rsidR="00FA004E" w:rsidRPr="00B417BF">
        <w:rPr>
          <w:rFonts w:asciiTheme="minorHAnsi" w:hAnsiTheme="minorHAnsi"/>
        </w:rPr>
        <w:t xml:space="preserve"> administered </w:t>
      </w:r>
      <w:r w:rsidR="00C163D6" w:rsidRPr="00B417BF">
        <w:rPr>
          <w:rFonts w:asciiTheme="minorHAnsi" w:hAnsiTheme="minorHAnsi"/>
        </w:rPr>
        <w:t>after each exam using the online</w:t>
      </w:r>
      <w:r w:rsidR="00FA004E" w:rsidRPr="00B417BF">
        <w:rPr>
          <w:rFonts w:asciiTheme="minorHAnsi" w:hAnsiTheme="minorHAnsi"/>
        </w:rPr>
        <w:t xml:space="preserve"> Qualtrics survey tool</w:t>
      </w:r>
      <w:r w:rsidR="003B5338">
        <w:rPr>
          <w:rFonts w:asciiTheme="minorHAnsi" w:hAnsiTheme="minorHAnsi"/>
        </w:rPr>
        <w:t>.</w:t>
      </w:r>
      <w:r w:rsidR="00FA004E" w:rsidRPr="00B417BF">
        <w:rPr>
          <w:rFonts w:asciiTheme="minorHAnsi" w:hAnsiTheme="minorHAnsi"/>
        </w:rPr>
        <w:fldChar w:fldCharType="begin"/>
      </w:r>
      <w:r w:rsidR="00F521B2">
        <w:rPr>
          <w:rFonts w:asciiTheme="minorHAnsi" w:hAnsiTheme="minorHAnsi"/>
        </w:rPr>
        <w:instrText xml:space="preserve"> ADDIN ZOTERO_ITEM CSL_CITATION {"citationID":"orcr8a6g7","properties":{"formattedCitation":"\\super 99\\nosupersub{}","plainCitation":"99","noteIndex":0},"citationItems":[{"id":445,"uris":["http://zotero.org/users/1143701/items/6U6R2XKQ"],"uri":["http://zotero.org/users/1143701/items/6U6R2XKQ"],"itemData":{"id":445,"type":"webpage","title":"Qualtrics: Online Survey Software &amp; Insight Platform","container-title":"Qualtrics","abstract":"Qualtrics is the industry-leading provider of Online Survey Software. See how we can help you build an Online Survey. Get a Free Account Today!","URL":"http://www.qualtrics.com/","shortTitle":"Qualtrics","accessed":{"date-parts":[["2015",4,17]]}}}],"schema":"https://github.com/citation-style-language/schema/raw/master/csl-citation.json"} </w:instrText>
      </w:r>
      <w:r w:rsidR="00FA004E" w:rsidRPr="00B417BF">
        <w:rPr>
          <w:rFonts w:asciiTheme="minorHAnsi" w:hAnsiTheme="minorHAnsi"/>
        </w:rPr>
        <w:fldChar w:fldCharType="separate"/>
      </w:r>
      <w:r w:rsidR="00F521B2" w:rsidRPr="00F521B2">
        <w:rPr>
          <w:rFonts w:ascii="Cambria" w:hAnsiTheme="minorHAnsi"/>
          <w:vertAlign w:val="superscript"/>
        </w:rPr>
        <w:t>99</w:t>
      </w:r>
      <w:r w:rsidR="00FA004E" w:rsidRPr="00B417BF">
        <w:rPr>
          <w:rFonts w:asciiTheme="minorHAnsi" w:hAnsiTheme="minorHAnsi"/>
        </w:rPr>
        <w:fldChar w:fldCharType="end"/>
      </w:r>
      <w:r w:rsidR="005A42F7">
        <w:rPr>
          <w:rFonts w:asciiTheme="minorHAnsi" w:hAnsiTheme="minorHAnsi"/>
        </w:rPr>
        <w:t xml:space="preserve"> (</w:t>
      </w:r>
      <w:r w:rsidR="003F1045">
        <w:rPr>
          <w:rFonts w:asciiTheme="minorHAnsi" w:hAnsiTheme="minorHAnsi"/>
        </w:rPr>
        <w:t>Appx B. 2</w:t>
      </w:r>
      <w:r w:rsidR="003365EA">
        <w:rPr>
          <w:rFonts w:asciiTheme="minorHAnsi" w:hAnsiTheme="minorHAnsi"/>
        </w:rPr>
        <w:t>)</w:t>
      </w:r>
      <w:r w:rsidR="00FA004E" w:rsidRPr="00B417BF">
        <w:rPr>
          <w:rFonts w:asciiTheme="minorHAnsi" w:hAnsiTheme="minorHAnsi"/>
        </w:rPr>
        <w:t xml:space="preserve">  A link included in </w:t>
      </w:r>
      <w:r>
        <w:rPr>
          <w:rFonts w:asciiTheme="minorHAnsi" w:hAnsiTheme="minorHAnsi"/>
        </w:rPr>
        <w:t xml:space="preserve">a </w:t>
      </w:r>
      <w:r w:rsidR="00FA004E" w:rsidRPr="00B417BF">
        <w:rPr>
          <w:rFonts w:asciiTheme="minorHAnsi" w:hAnsiTheme="minorHAnsi"/>
        </w:rPr>
        <w:t>lock</w:t>
      </w:r>
      <w:r w:rsidR="00AD0471">
        <w:rPr>
          <w:rFonts w:asciiTheme="minorHAnsi" w:hAnsiTheme="minorHAnsi"/>
        </w:rPr>
        <w:t>ed-</w:t>
      </w:r>
      <w:r w:rsidR="00FA004E" w:rsidRPr="00B417BF">
        <w:rPr>
          <w:rFonts w:asciiTheme="minorHAnsi" w:hAnsiTheme="minorHAnsi"/>
        </w:rPr>
        <w:t xml:space="preserve">down browser </w:t>
      </w:r>
      <w:r w:rsidR="00C163D6" w:rsidRPr="00B417BF">
        <w:rPr>
          <w:rFonts w:asciiTheme="minorHAnsi" w:hAnsiTheme="minorHAnsi"/>
        </w:rPr>
        <w:t>took</w:t>
      </w:r>
      <w:r w:rsidR="00FA004E" w:rsidRPr="00B417BF">
        <w:rPr>
          <w:rFonts w:asciiTheme="minorHAnsi" w:hAnsiTheme="minorHAnsi"/>
        </w:rPr>
        <w:t xml:space="preserve"> students to</w:t>
      </w:r>
      <w:r w:rsidR="00C163D6" w:rsidRPr="00B417BF">
        <w:rPr>
          <w:rFonts w:asciiTheme="minorHAnsi" w:hAnsiTheme="minorHAnsi"/>
        </w:rPr>
        <w:t xml:space="preserve"> the</w:t>
      </w:r>
      <w:r w:rsidR="00FA004E" w:rsidRPr="00B417BF">
        <w:rPr>
          <w:rFonts w:asciiTheme="minorHAnsi" w:hAnsiTheme="minorHAnsi"/>
        </w:rPr>
        <w:t xml:space="preserve"> Qualtrics site after they finished their exam</w:t>
      </w:r>
      <w:r w:rsidR="00C163D6" w:rsidRPr="00B417BF">
        <w:rPr>
          <w:rFonts w:asciiTheme="minorHAnsi" w:hAnsiTheme="minorHAnsi"/>
        </w:rPr>
        <w:t>s</w:t>
      </w:r>
      <w:r w:rsidR="00FA004E" w:rsidRPr="00B417BF">
        <w:rPr>
          <w:rFonts w:asciiTheme="minorHAnsi" w:hAnsiTheme="minorHAnsi"/>
        </w:rPr>
        <w:t>.</w:t>
      </w:r>
      <w:r w:rsidR="005A42F7">
        <w:rPr>
          <w:rFonts w:asciiTheme="minorHAnsi" w:hAnsiTheme="minorHAnsi"/>
        </w:rPr>
        <w:t xml:space="preserve"> (Appx</w:t>
      </w:r>
      <w:r w:rsidR="003F1045">
        <w:rPr>
          <w:rFonts w:asciiTheme="minorHAnsi" w:hAnsiTheme="minorHAnsi"/>
        </w:rPr>
        <w:t xml:space="preserve"> B.</w:t>
      </w:r>
      <w:r w:rsidR="005A42F7">
        <w:rPr>
          <w:rFonts w:asciiTheme="minorHAnsi" w:hAnsiTheme="minorHAnsi"/>
        </w:rPr>
        <w:t xml:space="preserve"> 3</w:t>
      </w:r>
      <w:r w:rsidR="003365EA">
        <w:rPr>
          <w:rFonts w:asciiTheme="minorHAnsi" w:hAnsiTheme="minorHAnsi"/>
        </w:rPr>
        <w:t xml:space="preserve">) </w:t>
      </w:r>
      <w:r w:rsidR="00FA004E" w:rsidRPr="00B417BF">
        <w:rPr>
          <w:rFonts w:asciiTheme="minorHAnsi" w:hAnsiTheme="minorHAnsi"/>
        </w:rPr>
        <w:t xml:space="preserve">  Consent </w:t>
      </w:r>
      <w:r w:rsidR="00C163D6" w:rsidRPr="00B417BF">
        <w:rPr>
          <w:rFonts w:asciiTheme="minorHAnsi" w:hAnsiTheme="minorHAnsi"/>
        </w:rPr>
        <w:t>was</w:t>
      </w:r>
      <w:r w:rsidR="00FA004E" w:rsidRPr="00B417BF">
        <w:rPr>
          <w:rFonts w:asciiTheme="minorHAnsi" w:hAnsiTheme="minorHAnsi"/>
        </w:rPr>
        <w:t xml:space="preserve"> given via on-screen click button after each exam.  Students </w:t>
      </w:r>
      <w:r w:rsidR="00C163D6" w:rsidRPr="00B417BF">
        <w:rPr>
          <w:rFonts w:asciiTheme="minorHAnsi" w:hAnsiTheme="minorHAnsi"/>
        </w:rPr>
        <w:t xml:space="preserve">could </w:t>
      </w:r>
      <w:r w:rsidR="00FA004E" w:rsidRPr="00B417BF">
        <w:rPr>
          <w:rFonts w:asciiTheme="minorHAnsi" w:hAnsiTheme="minorHAnsi"/>
        </w:rPr>
        <w:t>stop the survey at any point.  Students enter</w:t>
      </w:r>
      <w:r w:rsidR="00C163D6" w:rsidRPr="00B417BF">
        <w:rPr>
          <w:rFonts w:asciiTheme="minorHAnsi" w:hAnsiTheme="minorHAnsi"/>
        </w:rPr>
        <w:t>ed</w:t>
      </w:r>
      <w:r w:rsidR="00FA004E" w:rsidRPr="00B417BF">
        <w:rPr>
          <w:rFonts w:asciiTheme="minorHAnsi" w:hAnsiTheme="minorHAnsi"/>
        </w:rPr>
        <w:t xml:space="preserve"> student ID number on Qualtrics survey</w:t>
      </w:r>
      <w:r>
        <w:rPr>
          <w:rFonts w:asciiTheme="minorHAnsi" w:hAnsiTheme="minorHAnsi"/>
        </w:rPr>
        <w:t>, and their</w:t>
      </w:r>
      <w:r w:rsidR="00FA004E" w:rsidRPr="00B417BF">
        <w:rPr>
          <w:rFonts w:asciiTheme="minorHAnsi" w:hAnsiTheme="minorHAnsi"/>
        </w:rPr>
        <w:t xml:space="preserve"> survey results </w:t>
      </w:r>
      <w:r w:rsidR="00C163D6" w:rsidRPr="00B417BF">
        <w:rPr>
          <w:rFonts w:asciiTheme="minorHAnsi" w:hAnsiTheme="minorHAnsi"/>
        </w:rPr>
        <w:t>were subsequently</w:t>
      </w:r>
      <w:r w:rsidR="00FA004E" w:rsidRPr="00B417BF">
        <w:rPr>
          <w:rFonts w:asciiTheme="minorHAnsi" w:hAnsiTheme="minorHAnsi"/>
        </w:rPr>
        <w:t xml:space="preserve"> matched with exam and overall course score.  After matching, all information </w:t>
      </w:r>
      <w:r w:rsidR="00C163D6" w:rsidRPr="00B417BF">
        <w:rPr>
          <w:rFonts w:asciiTheme="minorHAnsi" w:hAnsiTheme="minorHAnsi"/>
        </w:rPr>
        <w:t>was</w:t>
      </w:r>
      <w:r w:rsidR="00FA004E" w:rsidRPr="00B417BF">
        <w:rPr>
          <w:rFonts w:asciiTheme="minorHAnsi" w:hAnsiTheme="minorHAnsi"/>
        </w:rPr>
        <w:t xml:space="preserve"> de-identified prior to analysis.  All data </w:t>
      </w:r>
      <w:r w:rsidR="00C163D6" w:rsidRPr="00B417BF">
        <w:rPr>
          <w:rFonts w:asciiTheme="minorHAnsi" w:hAnsiTheme="minorHAnsi"/>
        </w:rPr>
        <w:t>was</w:t>
      </w:r>
      <w:r w:rsidR="00FA004E" w:rsidRPr="00B417BF">
        <w:rPr>
          <w:rFonts w:asciiTheme="minorHAnsi" w:hAnsiTheme="minorHAnsi"/>
        </w:rPr>
        <w:t xml:space="preserve"> stored on an encrypted hard drive with access only for </w:t>
      </w:r>
      <w:r w:rsidR="00C163D6" w:rsidRPr="00B417BF">
        <w:rPr>
          <w:rFonts w:asciiTheme="minorHAnsi" w:hAnsiTheme="minorHAnsi"/>
        </w:rPr>
        <w:t xml:space="preserve">the </w:t>
      </w:r>
      <w:r w:rsidR="00FA004E" w:rsidRPr="00B417BF">
        <w:rPr>
          <w:rFonts w:asciiTheme="minorHAnsi" w:hAnsiTheme="minorHAnsi"/>
        </w:rPr>
        <w:t xml:space="preserve">researcher and dissertation committee members.  </w:t>
      </w:r>
    </w:p>
    <w:p w14:paraId="30A38C0C" w14:textId="7524C180" w:rsidR="00C163D6" w:rsidRDefault="00C163D6" w:rsidP="00FA004E">
      <w:pPr>
        <w:spacing w:line="480" w:lineRule="auto"/>
        <w:rPr>
          <w:rFonts w:asciiTheme="minorHAnsi" w:hAnsiTheme="minorHAnsi"/>
        </w:rPr>
      </w:pPr>
    </w:p>
    <w:p w14:paraId="1E203E11" w14:textId="55F9E1AC" w:rsidR="00FF6CC9" w:rsidRDefault="00FF6CC9" w:rsidP="00FA004E">
      <w:pPr>
        <w:spacing w:line="480" w:lineRule="auto"/>
        <w:rPr>
          <w:rFonts w:asciiTheme="minorHAnsi" w:hAnsiTheme="minorHAnsi"/>
        </w:rPr>
      </w:pPr>
    </w:p>
    <w:p w14:paraId="6E5378F8" w14:textId="77777777" w:rsidR="00FF6CC9" w:rsidRPr="00B417BF" w:rsidRDefault="00FF6CC9" w:rsidP="00FA004E">
      <w:pPr>
        <w:spacing w:line="480" w:lineRule="auto"/>
        <w:rPr>
          <w:rFonts w:asciiTheme="minorHAnsi" w:hAnsiTheme="minorHAnsi"/>
        </w:rPr>
      </w:pPr>
    </w:p>
    <w:p w14:paraId="11F35AC3" w14:textId="77777777" w:rsidR="00FA004E" w:rsidRPr="00B417BF" w:rsidRDefault="00FA004E" w:rsidP="00FA004E">
      <w:pPr>
        <w:spacing w:line="480" w:lineRule="auto"/>
        <w:rPr>
          <w:rFonts w:asciiTheme="minorHAnsi" w:hAnsiTheme="minorHAnsi"/>
        </w:rPr>
      </w:pPr>
      <w:r w:rsidRPr="00B417BF">
        <w:rPr>
          <w:rFonts w:asciiTheme="minorHAnsi" w:hAnsiTheme="minorHAnsi"/>
        </w:rPr>
        <w:lastRenderedPageBreak/>
        <w:t>Participant Selection:</w:t>
      </w:r>
    </w:p>
    <w:p w14:paraId="3FEDAEF3" w14:textId="2C811A5E" w:rsidR="00FA004E" w:rsidRPr="00B417BF" w:rsidRDefault="00C163D6" w:rsidP="00FA004E">
      <w:pPr>
        <w:spacing w:line="480" w:lineRule="auto"/>
        <w:rPr>
          <w:rFonts w:asciiTheme="minorHAnsi" w:hAnsiTheme="minorHAnsi"/>
        </w:rPr>
      </w:pPr>
      <w:r w:rsidRPr="00B417BF">
        <w:rPr>
          <w:rFonts w:asciiTheme="minorHAnsi" w:hAnsiTheme="minorHAnsi"/>
        </w:rPr>
        <w:t>R</w:t>
      </w:r>
      <w:r w:rsidR="00FA004E" w:rsidRPr="00B417BF">
        <w:rPr>
          <w:rFonts w:asciiTheme="minorHAnsi" w:hAnsiTheme="minorHAnsi"/>
        </w:rPr>
        <w:t xml:space="preserve">ecruitment </w:t>
      </w:r>
      <w:r w:rsidRPr="00B417BF">
        <w:rPr>
          <w:rFonts w:asciiTheme="minorHAnsi" w:hAnsiTheme="minorHAnsi"/>
        </w:rPr>
        <w:t>for participants was</w:t>
      </w:r>
      <w:r w:rsidR="00FA004E" w:rsidRPr="00B417BF">
        <w:rPr>
          <w:rFonts w:asciiTheme="minorHAnsi" w:hAnsiTheme="minorHAnsi"/>
        </w:rPr>
        <w:t xml:space="preserve"> based</w:t>
      </w:r>
      <w:r w:rsidR="004D01B8">
        <w:rPr>
          <w:rFonts w:asciiTheme="minorHAnsi" w:hAnsiTheme="minorHAnsi"/>
        </w:rPr>
        <w:t xml:space="preserve"> </w:t>
      </w:r>
      <w:r w:rsidR="00614868">
        <w:rPr>
          <w:rFonts w:asciiTheme="minorHAnsi" w:hAnsiTheme="minorHAnsi"/>
        </w:rPr>
        <w:t>on</w:t>
      </w:r>
      <w:r w:rsidR="00FA004E" w:rsidRPr="00B417BF">
        <w:rPr>
          <w:rFonts w:asciiTheme="minorHAnsi" w:hAnsiTheme="minorHAnsi"/>
        </w:rPr>
        <w:t xml:space="preserve"> the social exchange theory and the premise that participants are willing to share knowledge and experiences with the administrator for the good of </w:t>
      </w:r>
      <w:r w:rsidR="004D01B8">
        <w:rPr>
          <w:rFonts w:asciiTheme="minorHAnsi" w:hAnsiTheme="minorHAnsi"/>
        </w:rPr>
        <w:t>all</w:t>
      </w:r>
      <w:r w:rsidR="003B5338">
        <w:rPr>
          <w:rFonts w:asciiTheme="minorHAnsi" w:hAnsiTheme="minorHAnsi"/>
        </w:rPr>
        <w:t>.</w:t>
      </w:r>
      <w:r w:rsidR="00FA004E" w:rsidRPr="00B417BF">
        <w:rPr>
          <w:rFonts w:asciiTheme="minorHAnsi" w:hAnsiTheme="minorHAnsi"/>
        </w:rPr>
        <w:fldChar w:fldCharType="begin"/>
      </w:r>
      <w:r w:rsidR="00F521B2">
        <w:rPr>
          <w:rFonts w:asciiTheme="minorHAnsi" w:hAnsiTheme="minorHAnsi"/>
        </w:rPr>
        <w:instrText xml:space="preserve"> ADDIN ZOTERO_ITEM CSL_CITATION {"citationID":"af4u2kb4as","properties":{"formattedCitation":"\\super 100\\nosupersub{}","plainCitation":"100","noteIndex":0},"citationItems":[{"id":818,"uris":["http://zotero.org/users/1143701/items/32CEKF24"],"uri":["http://zotero.org/users/1143701/items/32CEKF24"],"itemData":{"id":818,"type":"book","title":"Mail and Internet Surveys: The Tailored Design Method -- 2007 Update with New Internet, Visual, and Mixed-Mode Guide","publisher":"John Wiley &amp; Sons","number-of-pages":"572","source":"Google Books","abstract":"A crucial resource for increasing response rates and obtaining high-quality feedback from mail, electronic, and other surveys Don Dillman's Mail and Internet Surveys, Second Edition has been the definitive guide for creating and conducting successful surveys using both traditional and new media channels. Now, this special 2007 Update of the classic text features major additions covering the latest developments in online survey design and administration. Like its predecessor, this resource lays out a complete, start-to-finish guide for determining the needs of a given survey, designing it, and effectively administering it. Drawing on social science, statistics, and proven best practices, Dillman's text discusses surveys for a variety of purposes, audiences, and situations. New and updated material covers both the principles behind and directions for how to:  Conduct Web surveys Visually design questionnaires Use paper mailed surveys  As insightful and practical as its classic original, Mail and Internet Surveys, Second Edition, 2007 Update is a crucial resource for any researcher seeking to increase response rates and obtain high-quality feedback from mail, electronic, and other self-administered surveys.","ISBN":"978-1-118-04463-6","note":"Google-Books-ID: d_VpiiWp51gC","shortTitle":"Mail and Internet Surveys","language":"en","author":[{"family":"Dillman","given":"Don A."}],"issued":{"date-parts":[["2011",1,31]]}}}],"schema":"https://github.com/citation-style-language/schema/raw/master/csl-citation.json"} </w:instrText>
      </w:r>
      <w:r w:rsidR="00FA004E" w:rsidRPr="00B417BF">
        <w:rPr>
          <w:rFonts w:asciiTheme="minorHAnsi" w:hAnsiTheme="minorHAnsi"/>
        </w:rPr>
        <w:fldChar w:fldCharType="separate"/>
      </w:r>
      <w:r w:rsidR="00F521B2" w:rsidRPr="00F521B2">
        <w:rPr>
          <w:rFonts w:ascii="Cambria" w:hAnsiTheme="minorHAnsi"/>
          <w:vertAlign w:val="superscript"/>
        </w:rPr>
        <w:t>100</w:t>
      </w:r>
      <w:r w:rsidR="00FA004E" w:rsidRPr="00B417BF">
        <w:rPr>
          <w:rFonts w:asciiTheme="minorHAnsi" w:hAnsiTheme="minorHAnsi"/>
        </w:rPr>
        <w:fldChar w:fldCharType="end"/>
      </w:r>
      <w:r w:rsidR="00FA004E" w:rsidRPr="00B417BF">
        <w:rPr>
          <w:rFonts w:asciiTheme="minorHAnsi" w:hAnsiTheme="minorHAnsi"/>
        </w:rPr>
        <w:t xml:space="preserve">   In a social exchange paradigm, members of a population are willing to participate based on possible improvements.  This study assumed students would be willing to participate if they believe</w:t>
      </w:r>
      <w:r w:rsidRPr="00B417BF">
        <w:rPr>
          <w:rFonts w:asciiTheme="minorHAnsi" w:hAnsiTheme="minorHAnsi"/>
        </w:rPr>
        <w:t>d</w:t>
      </w:r>
      <w:r w:rsidR="00FA004E" w:rsidRPr="00B417BF">
        <w:rPr>
          <w:rFonts w:asciiTheme="minorHAnsi" w:hAnsiTheme="minorHAnsi"/>
        </w:rPr>
        <w:t xml:space="preserve"> their efforts </w:t>
      </w:r>
      <w:r w:rsidRPr="00B417BF">
        <w:rPr>
          <w:rFonts w:asciiTheme="minorHAnsi" w:hAnsiTheme="minorHAnsi"/>
        </w:rPr>
        <w:t>might</w:t>
      </w:r>
      <w:r w:rsidR="00FA004E" w:rsidRPr="00B417BF">
        <w:rPr>
          <w:rFonts w:asciiTheme="minorHAnsi" w:hAnsiTheme="minorHAnsi"/>
        </w:rPr>
        <w:t xml:space="preserve"> contribute to program improvements.  </w:t>
      </w:r>
    </w:p>
    <w:p w14:paraId="1C5D7E64" w14:textId="77777777" w:rsidR="00FA004E" w:rsidRPr="00B417BF" w:rsidRDefault="00FA004E" w:rsidP="00FA004E">
      <w:pPr>
        <w:spacing w:line="480" w:lineRule="auto"/>
        <w:rPr>
          <w:rFonts w:asciiTheme="minorHAnsi" w:hAnsiTheme="minorHAnsi"/>
        </w:rPr>
      </w:pPr>
    </w:p>
    <w:p w14:paraId="4FD15A85" w14:textId="2D8A8EB0" w:rsidR="0044592B" w:rsidRDefault="00FA004E" w:rsidP="0044592B">
      <w:pPr>
        <w:spacing w:line="480" w:lineRule="auto"/>
        <w:rPr>
          <w:rFonts w:asciiTheme="minorHAnsi" w:hAnsiTheme="minorHAnsi"/>
        </w:rPr>
      </w:pPr>
      <w:r w:rsidRPr="00B417BF">
        <w:rPr>
          <w:rFonts w:asciiTheme="minorHAnsi" w:hAnsiTheme="minorHAnsi"/>
        </w:rPr>
        <w:t xml:space="preserve">Participants were entering students taking </w:t>
      </w:r>
      <w:r w:rsidR="0027120E">
        <w:rPr>
          <w:rFonts w:asciiTheme="minorHAnsi" w:hAnsiTheme="minorHAnsi"/>
        </w:rPr>
        <w:t xml:space="preserve">Clinical </w:t>
      </w:r>
      <w:r w:rsidR="009651F9">
        <w:rPr>
          <w:rFonts w:asciiTheme="minorHAnsi" w:hAnsiTheme="minorHAnsi"/>
        </w:rPr>
        <w:t>Anatomy</w:t>
      </w:r>
      <w:r w:rsidRPr="00B417BF">
        <w:rPr>
          <w:rFonts w:asciiTheme="minorHAnsi" w:hAnsiTheme="minorHAnsi"/>
        </w:rPr>
        <w:t xml:space="preserve"> for six weeks in the summer session.</w:t>
      </w:r>
      <w:r w:rsidR="002E4308">
        <w:rPr>
          <w:rFonts w:asciiTheme="minorHAnsi" w:hAnsiTheme="minorHAnsi"/>
        </w:rPr>
        <w:t xml:space="preserve"> </w:t>
      </w:r>
      <w:r w:rsidRPr="00B417BF">
        <w:rPr>
          <w:rFonts w:asciiTheme="minorHAnsi" w:hAnsiTheme="minorHAnsi"/>
        </w:rPr>
        <w:t xml:space="preserve"> Students </w:t>
      </w:r>
      <w:r w:rsidR="00C163D6" w:rsidRPr="00B417BF">
        <w:rPr>
          <w:rFonts w:asciiTheme="minorHAnsi" w:hAnsiTheme="minorHAnsi"/>
        </w:rPr>
        <w:t>were</w:t>
      </w:r>
      <w:r w:rsidRPr="00B417BF">
        <w:rPr>
          <w:rFonts w:asciiTheme="minorHAnsi" w:hAnsiTheme="minorHAnsi"/>
        </w:rPr>
        <w:t xml:space="preserve"> age 22</w:t>
      </w:r>
      <w:r w:rsidR="00C163D6" w:rsidRPr="00B417BF">
        <w:rPr>
          <w:rFonts w:asciiTheme="minorHAnsi" w:hAnsiTheme="minorHAnsi"/>
        </w:rPr>
        <w:t xml:space="preserve"> or older</w:t>
      </w:r>
      <w:r w:rsidR="004D01B8">
        <w:rPr>
          <w:rFonts w:asciiTheme="minorHAnsi" w:hAnsiTheme="minorHAnsi"/>
        </w:rPr>
        <w:t>, had</w:t>
      </w:r>
      <w:r w:rsidRPr="00B417BF">
        <w:rPr>
          <w:rFonts w:asciiTheme="minorHAnsi" w:hAnsiTheme="minorHAnsi"/>
        </w:rPr>
        <w:t xml:space="preserve"> </w:t>
      </w:r>
      <w:r w:rsidR="00645AF8">
        <w:rPr>
          <w:rFonts w:asciiTheme="minorHAnsi" w:hAnsiTheme="minorHAnsi"/>
        </w:rPr>
        <w:t xml:space="preserve">a </w:t>
      </w:r>
      <w:r w:rsidR="005E4450">
        <w:rPr>
          <w:rFonts w:asciiTheme="minorHAnsi" w:hAnsiTheme="minorHAnsi"/>
        </w:rPr>
        <w:t>bachelor’s</w:t>
      </w:r>
      <w:r w:rsidR="00645AF8">
        <w:rPr>
          <w:rFonts w:asciiTheme="minorHAnsi" w:hAnsiTheme="minorHAnsi"/>
        </w:rPr>
        <w:t xml:space="preserve"> </w:t>
      </w:r>
      <w:r w:rsidRPr="00B417BF">
        <w:rPr>
          <w:rFonts w:asciiTheme="minorHAnsi" w:hAnsiTheme="minorHAnsi"/>
        </w:rPr>
        <w:t>degree</w:t>
      </w:r>
      <w:r w:rsidR="00C163D6" w:rsidRPr="00B417BF">
        <w:rPr>
          <w:rFonts w:asciiTheme="minorHAnsi" w:hAnsiTheme="minorHAnsi"/>
        </w:rPr>
        <w:t xml:space="preserve"> or higher, and me</w:t>
      </w:r>
      <w:r w:rsidRPr="00B417BF">
        <w:rPr>
          <w:rFonts w:asciiTheme="minorHAnsi" w:hAnsiTheme="minorHAnsi"/>
        </w:rPr>
        <w:t xml:space="preserve">t all PA or dental programs admissions criteria.  The sample of students </w:t>
      </w:r>
      <w:r w:rsidR="00C163D6" w:rsidRPr="00B417BF">
        <w:rPr>
          <w:rFonts w:asciiTheme="minorHAnsi" w:hAnsiTheme="minorHAnsi"/>
        </w:rPr>
        <w:t>was</w:t>
      </w:r>
      <w:r w:rsidR="004D01B8">
        <w:rPr>
          <w:rFonts w:asciiTheme="minorHAnsi" w:hAnsiTheme="minorHAnsi"/>
        </w:rPr>
        <w:t xml:space="preserve"> both convenient</w:t>
      </w:r>
      <w:r w:rsidRPr="00B417BF">
        <w:rPr>
          <w:rFonts w:asciiTheme="minorHAnsi" w:hAnsiTheme="minorHAnsi"/>
        </w:rPr>
        <w:t xml:space="preserve"> and </w:t>
      </w:r>
      <w:r w:rsidR="004D01B8" w:rsidRPr="00B417BF">
        <w:rPr>
          <w:rFonts w:asciiTheme="minorHAnsi" w:hAnsiTheme="minorHAnsi"/>
        </w:rPr>
        <w:t>purposefu</w:t>
      </w:r>
      <w:r w:rsidR="004D01B8">
        <w:rPr>
          <w:rFonts w:asciiTheme="minorHAnsi" w:hAnsiTheme="minorHAnsi"/>
        </w:rPr>
        <w:t>l</w:t>
      </w:r>
      <w:r w:rsidRPr="00B417BF">
        <w:rPr>
          <w:rFonts w:asciiTheme="minorHAnsi" w:hAnsiTheme="minorHAnsi"/>
        </w:rPr>
        <w:t xml:space="preserve">. </w:t>
      </w:r>
      <w:r w:rsidR="00C163D6" w:rsidRPr="00B417BF">
        <w:rPr>
          <w:rFonts w:asciiTheme="minorHAnsi" w:hAnsiTheme="minorHAnsi"/>
        </w:rPr>
        <w:t xml:space="preserve"> </w:t>
      </w:r>
      <w:r w:rsidRPr="00B417BF">
        <w:rPr>
          <w:rFonts w:asciiTheme="minorHAnsi" w:hAnsiTheme="minorHAnsi"/>
        </w:rPr>
        <w:t>All students entering the Physician Assist</w:t>
      </w:r>
      <w:r w:rsidR="00614868">
        <w:rPr>
          <w:rFonts w:asciiTheme="minorHAnsi" w:hAnsiTheme="minorHAnsi"/>
        </w:rPr>
        <w:t>ant</w:t>
      </w:r>
      <w:r w:rsidRPr="00B417BF">
        <w:rPr>
          <w:rFonts w:asciiTheme="minorHAnsi" w:hAnsiTheme="minorHAnsi"/>
        </w:rPr>
        <w:t xml:space="preserve"> and Dental programs during the 2016 and 2017 academic years had the opportunity to participate</w:t>
      </w:r>
      <w:r w:rsidR="002E4308">
        <w:rPr>
          <w:rFonts w:asciiTheme="minorHAnsi" w:hAnsiTheme="minorHAnsi"/>
        </w:rPr>
        <w:t xml:space="preserve"> in the </w:t>
      </w:r>
      <w:r w:rsidR="00C163D6" w:rsidRPr="00B417BF">
        <w:rPr>
          <w:rFonts w:asciiTheme="minorHAnsi" w:hAnsiTheme="minorHAnsi"/>
        </w:rPr>
        <w:t xml:space="preserve">study.  </w:t>
      </w:r>
      <w:r w:rsidR="0044592B">
        <w:rPr>
          <w:rFonts w:asciiTheme="minorHAnsi" w:hAnsiTheme="minorHAnsi"/>
        </w:rPr>
        <w:t xml:space="preserve">Each entering class was 104 students.  </w:t>
      </w:r>
    </w:p>
    <w:p w14:paraId="3790BEC5" w14:textId="46F35452" w:rsidR="0044592B" w:rsidRDefault="0044592B" w:rsidP="0044592B">
      <w:pPr>
        <w:spacing w:line="480" w:lineRule="auto"/>
        <w:rPr>
          <w:rFonts w:asciiTheme="minorHAnsi" w:hAnsiTheme="minorHAnsi"/>
        </w:rPr>
      </w:pPr>
    </w:p>
    <w:p w14:paraId="35A45188" w14:textId="71628032" w:rsidR="00C163D6" w:rsidRDefault="0044592B" w:rsidP="00FA004E">
      <w:pPr>
        <w:spacing w:line="480" w:lineRule="auto"/>
        <w:rPr>
          <w:rFonts w:asciiTheme="minorHAnsi" w:hAnsiTheme="minorHAnsi"/>
        </w:rPr>
      </w:pPr>
      <w:r>
        <w:rPr>
          <w:rFonts w:asciiTheme="minorHAnsi" w:hAnsiTheme="minorHAnsi"/>
        </w:rPr>
        <w:t xml:space="preserve">National program data indicated student population should be </w:t>
      </w:r>
      <w:r w:rsidR="0047215A">
        <w:rPr>
          <w:rFonts w:asciiTheme="minorHAnsi" w:hAnsiTheme="minorHAnsi"/>
        </w:rPr>
        <w:t xml:space="preserve">75% female and 25% male.  </w:t>
      </w:r>
    </w:p>
    <w:p w14:paraId="2A74F243" w14:textId="637EC350" w:rsidR="00A06F0D" w:rsidRDefault="00A06F0D" w:rsidP="00FA004E">
      <w:pPr>
        <w:spacing w:line="480" w:lineRule="auto"/>
        <w:rPr>
          <w:rFonts w:asciiTheme="minorHAnsi" w:hAnsiTheme="minorHAnsi"/>
        </w:rPr>
      </w:pPr>
    </w:p>
    <w:p w14:paraId="1117BF23" w14:textId="66E603E7" w:rsidR="00A06F0D" w:rsidRPr="00B417BF" w:rsidRDefault="00A06F0D" w:rsidP="00FA004E">
      <w:pPr>
        <w:spacing w:line="480" w:lineRule="auto"/>
        <w:rPr>
          <w:rFonts w:asciiTheme="minorHAnsi" w:hAnsiTheme="minorHAnsi"/>
        </w:rPr>
      </w:pPr>
      <w:r>
        <w:rPr>
          <w:rFonts w:asciiTheme="minorHAnsi" w:hAnsiTheme="minorHAnsi"/>
        </w:rPr>
        <w:t xml:space="preserve">Students had the opportunity to take the survey at every administration.  However, they were not required and could opt out of any administration or question within the survey.  Participants that completed all three Brief COPE </w:t>
      </w:r>
      <w:r>
        <w:rPr>
          <w:rFonts w:asciiTheme="minorHAnsi" w:hAnsiTheme="minorHAnsi"/>
        </w:rPr>
        <w:lastRenderedPageBreak/>
        <w:t>questionnaires could have their responses followed and analyzed longitudinally over the semester.</w:t>
      </w:r>
    </w:p>
    <w:p w14:paraId="386EE2A2" w14:textId="10F93EF7" w:rsidR="00C163D6" w:rsidRPr="00B417BF" w:rsidRDefault="00C163D6" w:rsidP="00FA004E">
      <w:pPr>
        <w:spacing w:line="480" w:lineRule="auto"/>
        <w:rPr>
          <w:rFonts w:asciiTheme="minorHAnsi" w:hAnsiTheme="minorHAnsi"/>
        </w:rPr>
      </w:pPr>
    </w:p>
    <w:p w14:paraId="44F1429A" w14:textId="304A7EDC" w:rsidR="00C163D6" w:rsidRPr="00B417BF" w:rsidRDefault="00C163D6" w:rsidP="00855627">
      <w:pPr>
        <w:spacing w:line="480" w:lineRule="auto"/>
        <w:outlineLvl w:val="0"/>
        <w:rPr>
          <w:rFonts w:asciiTheme="minorHAnsi" w:hAnsiTheme="minorHAnsi"/>
        </w:rPr>
      </w:pPr>
      <w:r w:rsidRPr="00B417BF">
        <w:rPr>
          <w:rFonts w:asciiTheme="minorHAnsi" w:hAnsiTheme="minorHAnsi"/>
        </w:rPr>
        <w:t>Study Environment</w:t>
      </w:r>
      <w:r w:rsidR="003A7CC1">
        <w:rPr>
          <w:rFonts w:asciiTheme="minorHAnsi" w:hAnsiTheme="minorHAnsi"/>
        </w:rPr>
        <w:t>:</w:t>
      </w:r>
    </w:p>
    <w:p w14:paraId="0157073A" w14:textId="7F6B575B" w:rsidR="00FA004E" w:rsidRPr="00B417BF" w:rsidRDefault="00C163D6" w:rsidP="00FA004E">
      <w:pPr>
        <w:spacing w:line="480" w:lineRule="auto"/>
        <w:rPr>
          <w:rFonts w:asciiTheme="minorHAnsi" w:hAnsiTheme="minorHAnsi"/>
        </w:rPr>
      </w:pPr>
      <w:r w:rsidRPr="00B417BF">
        <w:rPr>
          <w:rFonts w:asciiTheme="minorHAnsi" w:hAnsiTheme="minorHAnsi"/>
        </w:rPr>
        <w:t>The class had</w:t>
      </w:r>
      <w:r w:rsidR="00FA004E" w:rsidRPr="00B417BF">
        <w:rPr>
          <w:rFonts w:asciiTheme="minorHAnsi" w:hAnsiTheme="minorHAnsi"/>
        </w:rPr>
        <w:t xml:space="preserve"> daily lectures from faculty in the morning followed by lab sessions</w:t>
      </w:r>
      <w:r w:rsidRPr="00B417BF">
        <w:rPr>
          <w:rFonts w:asciiTheme="minorHAnsi" w:hAnsiTheme="minorHAnsi"/>
        </w:rPr>
        <w:t>.  The lab sessions were le</w:t>
      </w:r>
      <w:r w:rsidR="00FA004E" w:rsidRPr="00B417BF">
        <w:rPr>
          <w:rFonts w:asciiTheme="minorHAnsi" w:hAnsiTheme="minorHAnsi"/>
        </w:rPr>
        <w:t xml:space="preserve">d by a combination of faculty and medical student teaching assistants.  The laboratory was accessible to students 24 hours per day during the course.  Students </w:t>
      </w:r>
      <w:r w:rsidRPr="00B417BF">
        <w:rPr>
          <w:rFonts w:asciiTheme="minorHAnsi" w:hAnsiTheme="minorHAnsi"/>
        </w:rPr>
        <w:t>had to</w:t>
      </w:r>
      <w:r w:rsidR="00FA004E" w:rsidRPr="00B417BF">
        <w:rPr>
          <w:rFonts w:asciiTheme="minorHAnsi" w:hAnsiTheme="minorHAnsi"/>
        </w:rPr>
        <w:t xml:space="preserve"> achieve an overall score of 70% to pass the course</w:t>
      </w:r>
      <w:r w:rsidRPr="00B417BF">
        <w:rPr>
          <w:rFonts w:asciiTheme="minorHAnsi" w:hAnsiTheme="minorHAnsi"/>
        </w:rPr>
        <w:t>, and grades</w:t>
      </w:r>
      <w:r w:rsidR="00FA004E" w:rsidRPr="00B417BF">
        <w:rPr>
          <w:rFonts w:asciiTheme="minorHAnsi" w:hAnsiTheme="minorHAnsi"/>
        </w:rPr>
        <w:t xml:space="preserve"> </w:t>
      </w:r>
      <w:r w:rsidRPr="00B417BF">
        <w:rPr>
          <w:rFonts w:asciiTheme="minorHAnsi" w:hAnsiTheme="minorHAnsi"/>
        </w:rPr>
        <w:t xml:space="preserve">were </w:t>
      </w:r>
      <w:r w:rsidR="00FA004E" w:rsidRPr="00B417BF">
        <w:rPr>
          <w:rFonts w:asciiTheme="minorHAnsi" w:hAnsiTheme="minorHAnsi"/>
        </w:rPr>
        <w:t xml:space="preserve">a combination of lab practical exams and didactic exams.  </w:t>
      </w:r>
      <w:r w:rsidRPr="00B417BF">
        <w:rPr>
          <w:rFonts w:asciiTheme="minorHAnsi" w:hAnsiTheme="minorHAnsi"/>
        </w:rPr>
        <w:t>Exams were</w:t>
      </w:r>
      <w:r w:rsidR="00FA004E" w:rsidRPr="00B417BF">
        <w:rPr>
          <w:rFonts w:asciiTheme="minorHAnsi" w:hAnsiTheme="minorHAnsi"/>
        </w:rPr>
        <w:t xml:space="preserve"> given at the end of three units</w:t>
      </w:r>
      <w:r w:rsidR="000366D7">
        <w:rPr>
          <w:rFonts w:asciiTheme="minorHAnsi" w:hAnsiTheme="minorHAnsi"/>
        </w:rPr>
        <w:t xml:space="preserve">. </w:t>
      </w:r>
      <w:r w:rsidR="00FA004E" w:rsidRPr="00B417BF">
        <w:rPr>
          <w:rFonts w:asciiTheme="minorHAnsi" w:hAnsiTheme="minorHAnsi"/>
        </w:rPr>
        <w:t xml:space="preserve"> </w:t>
      </w:r>
      <w:r w:rsidR="000366D7">
        <w:rPr>
          <w:rFonts w:asciiTheme="minorHAnsi" w:hAnsiTheme="minorHAnsi"/>
        </w:rPr>
        <w:t>U</w:t>
      </w:r>
      <w:r w:rsidR="00FA004E" w:rsidRPr="00B417BF">
        <w:rPr>
          <w:rFonts w:asciiTheme="minorHAnsi" w:hAnsiTheme="minorHAnsi"/>
        </w:rPr>
        <w:t xml:space="preserve">nits </w:t>
      </w:r>
      <w:r w:rsidRPr="00B417BF">
        <w:rPr>
          <w:rFonts w:asciiTheme="minorHAnsi" w:hAnsiTheme="minorHAnsi"/>
        </w:rPr>
        <w:t xml:space="preserve">were </w:t>
      </w:r>
      <w:r w:rsidR="00FA004E" w:rsidRPr="00B417BF">
        <w:rPr>
          <w:rFonts w:asciiTheme="minorHAnsi" w:hAnsiTheme="minorHAnsi"/>
        </w:rPr>
        <w:t xml:space="preserve">not cumulative, but students </w:t>
      </w:r>
      <w:r w:rsidRPr="00B417BF">
        <w:rPr>
          <w:rFonts w:asciiTheme="minorHAnsi" w:hAnsiTheme="minorHAnsi"/>
        </w:rPr>
        <w:t>were</w:t>
      </w:r>
      <w:r w:rsidR="00FA004E" w:rsidRPr="00B417BF">
        <w:rPr>
          <w:rFonts w:asciiTheme="minorHAnsi" w:hAnsiTheme="minorHAnsi"/>
        </w:rPr>
        <w:t xml:space="preserve"> expected to gain a working knowledge of the material, as it </w:t>
      </w:r>
      <w:r w:rsidRPr="00B417BF">
        <w:rPr>
          <w:rFonts w:asciiTheme="minorHAnsi" w:hAnsiTheme="minorHAnsi"/>
        </w:rPr>
        <w:t>provided</w:t>
      </w:r>
      <w:r w:rsidR="00FA004E" w:rsidRPr="00B417BF">
        <w:rPr>
          <w:rFonts w:asciiTheme="minorHAnsi" w:hAnsiTheme="minorHAnsi"/>
        </w:rPr>
        <w:t xml:space="preserve"> a basis for the </w:t>
      </w:r>
      <w:r w:rsidRPr="00B417BF">
        <w:rPr>
          <w:rFonts w:asciiTheme="minorHAnsi" w:hAnsiTheme="minorHAnsi"/>
        </w:rPr>
        <w:t>remainder</w:t>
      </w:r>
      <w:r w:rsidR="00FA004E" w:rsidRPr="00B417BF">
        <w:rPr>
          <w:rFonts w:asciiTheme="minorHAnsi" w:hAnsiTheme="minorHAnsi"/>
        </w:rPr>
        <w:t xml:space="preserve"> of th</w:t>
      </w:r>
      <w:r w:rsidRPr="00B417BF">
        <w:rPr>
          <w:rFonts w:asciiTheme="minorHAnsi" w:hAnsiTheme="minorHAnsi"/>
        </w:rPr>
        <w:t>e</w:t>
      </w:r>
      <w:r w:rsidR="00FA004E" w:rsidRPr="00B417BF">
        <w:rPr>
          <w:rFonts w:asciiTheme="minorHAnsi" w:hAnsiTheme="minorHAnsi"/>
        </w:rPr>
        <w:t xml:space="preserve"> curriculum.</w:t>
      </w:r>
    </w:p>
    <w:p w14:paraId="02BCF073" w14:textId="77777777" w:rsidR="00FA004E" w:rsidRPr="00B417BF" w:rsidRDefault="00FA004E" w:rsidP="00FA004E">
      <w:pPr>
        <w:spacing w:line="480" w:lineRule="auto"/>
        <w:rPr>
          <w:rFonts w:asciiTheme="minorHAnsi" w:hAnsiTheme="minorHAnsi"/>
        </w:rPr>
      </w:pPr>
    </w:p>
    <w:p w14:paraId="19C7FFFC" w14:textId="63B623B1" w:rsidR="00FA004E" w:rsidRPr="00B417BF" w:rsidRDefault="00FA004E" w:rsidP="00FA004E">
      <w:pPr>
        <w:spacing w:line="480" w:lineRule="auto"/>
        <w:rPr>
          <w:rFonts w:asciiTheme="minorHAnsi" w:hAnsiTheme="minorHAnsi"/>
        </w:rPr>
      </w:pPr>
      <w:r w:rsidRPr="00B417BF">
        <w:rPr>
          <w:rFonts w:asciiTheme="minorHAnsi" w:hAnsiTheme="minorHAnsi"/>
        </w:rPr>
        <w:t xml:space="preserve">The study </w:t>
      </w:r>
      <w:r w:rsidR="00C163D6" w:rsidRPr="00B417BF">
        <w:rPr>
          <w:rFonts w:asciiTheme="minorHAnsi" w:hAnsiTheme="minorHAnsi"/>
        </w:rPr>
        <w:t>took place at a health sciences center in the</w:t>
      </w:r>
      <w:r w:rsidRPr="00B417BF">
        <w:rPr>
          <w:rFonts w:asciiTheme="minorHAnsi" w:hAnsiTheme="minorHAnsi"/>
        </w:rPr>
        <w:t xml:space="preserve"> South</w:t>
      </w:r>
      <w:r w:rsidR="00614868">
        <w:rPr>
          <w:rFonts w:asciiTheme="minorHAnsi" w:hAnsiTheme="minorHAnsi"/>
        </w:rPr>
        <w:t>-Central</w:t>
      </w:r>
      <w:r w:rsidRPr="00B417BF">
        <w:rPr>
          <w:rFonts w:asciiTheme="minorHAnsi" w:hAnsiTheme="minorHAnsi"/>
        </w:rPr>
        <w:t xml:space="preserve"> United States.  </w:t>
      </w:r>
      <w:r w:rsidR="00DE634B" w:rsidRPr="00B417BF">
        <w:rPr>
          <w:rFonts w:asciiTheme="minorHAnsi" w:hAnsiTheme="minorHAnsi"/>
        </w:rPr>
        <w:t>Although</w:t>
      </w:r>
      <w:r w:rsidRPr="00B417BF">
        <w:rPr>
          <w:rFonts w:asciiTheme="minorHAnsi" w:hAnsiTheme="minorHAnsi"/>
        </w:rPr>
        <w:t xml:space="preserve"> under the umbrella of the medical school, its program and curriculum </w:t>
      </w:r>
      <w:r w:rsidR="006B235F" w:rsidRPr="00B417BF">
        <w:rPr>
          <w:rFonts w:asciiTheme="minorHAnsi" w:hAnsiTheme="minorHAnsi"/>
        </w:rPr>
        <w:t>were developed and administered by</w:t>
      </w:r>
      <w:r w:rsidRPr="00B417BF">
        <w:rPr>
          <w:rFonts w:asciiTheme="minorHAnsi" w:hAnsiTheme="minorHAnsi"/>
        </w:rPr>
        <w:t xml:space="preserve"> specific PA and Dental School departments.  The programs share</w:t>
      </w:r>
      <w:r w:rsidR="006B235F" w:rsidRPr="00B417BF">
        <w:rPr>
          <w:rFonts w:asciiTheme="minorHAnsi" w:hAnsiTheme="minorHAnsi"/>
        </w:rPr>
        <w:t>d</w:t>
      </w:r>
      <w:r w:rsidRPr="00B417BF">
        <w:rPr>
          <w:rFonts w:asciiTheme="minorHAnsi" w:hAnsiTheme="minorHAnsi"/>
        </w:rPr>
        <w:t xml:space="preserve"> teaching faculty with the medica</w:t>
      </w:r>
      <w:r w:rsidR="006B235F" w:rsidRPr="00B417BF">
        <w:rPr>
          <w:rFonts w:asciiTheme="minorHAnsi" w:hAnsiTheme="minorHAnsi"/>
        </w:rPr>
        <w:t>l school</w:t>
      </w:r>
      <w:r w:rsidRPr="00B417BF">
        <w:rPr>
          <w:rFonts w:asciiTheme="minorHAnsi" w:hAnsiTheme="minorHAnsi"/>
        </w:rPr>
        <w:t xml:space="preserve">.  </w:t>
      </w:r>
    </w:p>
    <w:p w14:paraId="13A4D446" w14:textId="77777777" w:rsidR="006B235F" w:rsidRPr="00B417BF" w:rsidRDefault="006B235F" w:rsidP="00FA004E">
      <w:pPr>
        <w:spacing w:line="480" w:lineRule="auto"/>
        <w:rPr>
          <w:rFonts w:asciiTheme="minorHAnsi" w:hAnsiTheme="minorHAnsi"/>
        </w:rPr>
      </w:pPr>
    </w:p>
    <w:p w14:paraId="5D765AAC" w14:textId="349ABBC6" w:rsidR="007B2905" w:rsidRDefault="00FA004E" w:rsidP="00FF6CC9">
      <w:pPr>
        <w:spacing w:line="480" w:lineRule="auto"/>
        <w:rPr>
          <w:rFonts w:asciiTheme="minorHAnsi" w:hAnsiTheme="minorHAnsi"/>
        </w:rPr>
      </w:pPr>
      <w:r w:rsidRPr="00B417BF">
        <w:rPr>
          <w:rFonts w:asciiTheme="minorHAnsi" w:hAnsiTheme="minorHAnsi"/>
        </w:rPr>
        <w:t>A pilot survey was conducted among second year PA and Dental students to ensure the questionnaire could be easily understood and completed in a reasonable time.  Feedback was requested to improve the questionnaire.  This data was anonymous an</w:t>
      </w:r>
      <w:r w:rsidR="006B235F" w:rsidRPr="00B417BF">
        <w:rPr>
          <w:rFonts w:asciiTheme="minorHAnsi" w:hAnsiTheme="minorHAnsi"/>
        </w:rPr>
        <w:t>d not included in data analysis but was used to validate the instrument.</w:t>
      </w:r>
      <w:r w:rsidR="007B2905">
        <w:rPr>
          <w:rFonts w:asciiTheme="minorHAnsi" w:hAnsiTheme="minorHAnsi"/>
        </w:rPr>
        <w:br w:type="page"/>
      </w:r>
    </w:p>
    <w:p w14:paraId="1064DB13" w14:textId="6EA8D167" w:rsidR="00903D2D" w:rsidRDefault="00B07809" w:rsidP="00903D2D">
      <w:pPr>
        <w:spacing w:line="480" w:lineRule="auto"/>
        <w:rPr>
          <w:rFonts w:asciiTheme="minorHAnsi" w:hAnsiTheme="minorHAnsi"/>
        </w:rPr>
      </w:pPr>
      <w:r>
        <w:rPr>
          <w:rFonts w:asciiTheme="minorHAnsi" w:hAnsiTheme="minorHAnsi"/>
        </w:rPr>
        <w:lastRenderedPageBreak/>
        <w:t xml:space="preserve">Survey Design: </w:t>
      </w:r>
    </w:p>
    <w:tbl>
      <w:tblPr>
        <w:tblW w:w="6730" w:type="dxa"/>
        <w:tblLook w:val="04A0" w:firstRow="1" w:lastRow="0" w:firstColumn="1" w:lastColumn="0" w:noHBand="0" w:noVBand="1"/>
      </w:tblPr>
      <w:tblGrid>
        <w:gridCol w:w="1770"/>
        <w:gridCol w:w="2480"/>
        <w:gridCol w:w="2480"/>
      </w:tblGrid>
      <w:tr w:rsidR="00903D2D" w:rsidRPr="008F03D6" w14:paraId="65DDC07A" w14:textId="77777777" w:rsidTr="000A60CE">
        <w:trPr>
          <w:trHeight w:val="320"/>
        </w:trPr>
        <w:tc>
          <w:tcPr>
            <w:tcW w:w="177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8352E90"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 </w:t>
            </w:r>
          </w:p>
        </w:tc>
        <w:tc>
          <w:tcPr>
            <w:tcW w:w="248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B4808CD" w14:textId="77777777" w:rsidR="00903D2D" w:rsidRPr="008F03D6" w:rsidRDefault="00903D2D" w:rsidP="000A60CE">
            <w:pPr>
              <w:framePr w:wrap="around" w:vAnchor="text" w:hAnchor="page" w:x="2827" w:y="6"/>
              <w:rPr>
                <w:rFonts w:ascii="Calibri" w:hAnsi="Calibri" w:cs="Calibri"/>
                <w:b/>
                <w:bCs/>
                <w:color w:val="000000"/>
              </w:rPr>
            </w:pPr>
            <w:r w:rsidRPr="008F03D6">
              <w:rPr>
                <w:rFonts w:ascii="Calibri" w:hAnsi="Calibri" w:cs="Calibri"/>
                <w:b/>
                <w:bCs/>
                <w:color w:val="000000"/>
              </w:rPr>
              <w:t>Group 1</w:t>
            </w:r>
            <w:r>
              <w:rPr>
                <w:rFonts w:ascii="Calibri" w:hAnsi="Calibri" w:cs="Calibri"/>
                <w:b/>
                <w:bCs/>
                <w:color w:val="000000"/>
              </w:rPr>
              <w:t>/Control</w:t>
            </w:r>
          </w:p>
        </w:tc>
        <w:tc>
          <w:tcPr>
            <w:tcW w:w="248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5868D0C" w14:textId="77777777" w:rsidR="00903D2D" w:rsidRPr="008F03D6" w:rsidRDefault="00903D2D" w:rsidP="000A60CE">
            <w:pPr>
              <w:framePr w:wrap="around" w:vAnchor="text" w:hAnchor="page" w:x="2827" w:y="6"/>
              <w:rPr>
                <w:rFonts w:ascii="Calibri" w:hAnsi="Calibri" w:cs="Calibri"/>
                <w:b/>
                <w:bCs/>
                <w:color w:val="000000"/>
              </w:rPr>
            </w:pPr>
            <w:r w:rsidRPr="008F03D6">
              <w:rPr>
                <w:rFonts w:ascii="Calibri" w:hAnsi="Calibri" w:cs="Calibri"/>
                <w:b/>
                <w:bCs/>
                <w:color w:val="000000"/>
              </w:rPr>
              <w:t>Group 2</w:t>
            </w:r>
            <w:r>
              <w:rPr>
                <w:rFonts w:ascii="Calibri" w:hAnsi="Calibri" w:cs="Calibri"/>
                <w:b/>
                <w:bCs/>
                <w:color w:val="000000"/>
              </w:rPr>
              <w:t>/Experimental</w:t>
            </w:r>
          </w:p>
        </w:tc>
      </w:tr>
      <w:tr w:rsidR="00903D2D" w:rsidRPr="008F03D6" w14:paraId="398C1F0C" w14:textId="77777777" w:rsidTr="000A60CE">
        <w:trPr>
          <w:trHeight w:val="320"/>
        </w:trPr>
        <w:tc>
          <w:tcPr>
            <w:tcW w:w="1770" w:type="dxa"/>
            <w:tcBorders>
              <w:top w:val="nil"/>
              <w:left w:val="single" w:sz="8" w:space="0" w:color="auto"/>
              <w:bottom w:val="nil"/>
              <w:right w:val="single" w:sz="8" w:space="0" w:color="auto"/>
            </w:tcBorders>
            <w:shd w:val="clear" w:color="auto" w:fill="auto"/>
            <w:noWrap/>
            <w:vAlign w:val="bottom"/>
            <w:hideMark/>
          </w:tcPr>
          <w:p w14:paraId="072DEE3A"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 </w:t>
            </w:r>
          </w:p>
        </w:tc>
        <w:tc>
          <w:tcPr>
            <w:tcW w:w="2480" w:type="dxa"/>
            <w:tcBorders>
              <w:top w:val="nil"/>
              <w:left w:val="single" w:sz="8" w:space="0" w:color="auto"/>
              <w:bottom w:val="nil"/>
              <w:right w:val="single" w:sz="8" w:space="0" w:color="auto"/>
            </w:tcBorders>
            <w:shd w:val="clear" w:color="auto" w:fill="auto"/>
            <w:noWrap/>
            <w:vAlign w:val="bottom"/>
            <w:hideMark/>
          </w:tcPr>
          <w:p w14:paraId="0818DBC0" w14:textId="77777777" w:rsidR="00903D2D" w:rsidRPr="008F03D6" w:rsidRDefault="00903D2D" w:rsidP="000A60CE">
            <w:pPr>
              <w:framePr w:wrap="around" w:vAnchor="text" w:hAnchor="page" w:x="2827" w:y="6"/>
              <w:rPr>
                <w:rFonts w:ascii="Calibri" w:hAnsi="Calibri" w:cs="Calibri"/>
                <w:color w:val="000000"/>
              </w:rPr>
            </w:pPr>
          </w:p>
        </w:tc>
        <w:tc>
          <w:tcPr>
            <w:tcW w:w="2480" w:type="dxa"/>
            <w:tcBorders>
              <w:top w:val="nil"/>
              <w:left w:val="single" w:sz="8" w:space="0" w:color="auto"/>
              <w:bottom w:val="nil"/>
              <w:right w:val="single" w:sz="8" w:space="0" w:color="auto"/>
            </w:tcBorders>
            <w:shd w:val="clear" w:color="auto" w:fill="auto"/>
            <w:noWrap/>
            <w:vAlign w:val="bottom"/>
            <w:hideMark/>
          </w:tcPr>
          <w:p w14:paraId="3CB2FC76"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Support Service Email</w:t>
            </w:r>
          </w:p>
        </w:tc>
      </w:tr>
      <w:tr w:rsidR="00903D2D" w:rsidRPr="008F03D6" w14:paraId="73DA2263" w14:textId="77777777" w:rsidTr="000A60CE">
        <w:trPr>
          <w:trHeight w:val="320"/>
        </w:trPr>
        <w:tc>
          <w:tcPr>
            <w:tcW w:w="1770" w:type="dxa"/>
            <w:tcBorders>
              <w:top w:val="nil"/>
              <w:left w:val="single" w:sz="8" w:space="0" w:color="auto"/>
              <w:bottom w:val="single" w:sz="4" w:space="0" w:color="auto"/>
              <w:right w:val="single" w:sz="8" w:space="0" w:color="auto"/>
            </w:tcBorders>
            <w:shd w:val="clear" w:color="auto" w:fill="auto"/>
            <w:noWrap/>
            <w:vAlign w:val="bottom"/>
            <w:hideMark/>
          </w:tcPr>
          <w:p w14:paraId="4F8FE394"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Exam 1</w:t>
            </w:r>
          </w:p>
        </w:tc>
        <w:tc>
          <w:tcPr>
            <w:tcW w:w="2480" w:type="dxa"/>
            <w:tcBorders>
              <w:top w:val="nil"/>
              <w:left w:val="single" w:sz="8" w:space="0" w:color="auto"/>
              <w:bottom w:val="single" w:sz="4" w:space="0" w:color="auto"/>
              <w:right w:val="single" w:sz="8" w:space="0" w:color="auto"/>
            </w:tcBorders>
            <w:shd w:val="clear" w:color="auto" w:fill="auto"/>
            <w:noWrap/>
            <w:vAlign w:val="bottom"/>
            <w:hideMark/>
          </w:tcPr>
          <w:p w14:paraId="5E1A84E6"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Brief COPE</w:t>
            </w:r>
          </w:p>
        </w:tc>
        <w:tc>
          <w:tcPr>
            <w:tcW w:w="2480" w:type="dxa"/>
            <w:tcBorders>
              <w:top w:val="nil"/>
              <w:left w:val="single" w:sz="8" w:space="0" w:color="auto"/>
              <w:bottom w:val="single" w:sz="4" w:space="0" w:color="auto"/>
              <w:right w:val="single" w:sz="8" w:space="0" w:color="auto"/>
            </w:tcBorders>
            <w:shd w:val="clear" w:color="auto" w:fill="auto"/>
            <w:noWrap/>
            <w:vAlign w:val="bottom"/>
            <w:hideMark/>
          </w:tcPr>
          <w:p w14:paraId="3A69471E"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Brief COPE</w:t>
            </w:r>
          </w:p>
        </w:tc>
      </w:tr>
      <w:tr w:rsidR="00903D2D" w:rsidRPr="008F03D6" w14:paraId="109D6282" w14:textId="77777777" w:rsidTr="000A60CE">
        <w:trPr>
          <w:trHeight w:val="320"/>
        </w:trPr>
        <w:tc>
          <w:tcPr>
            <w:tcW w:w="1770" w:type="dxa"/>
            <w:tcBorders>
              <w:top w:val="nil"/>
              <w:left w:val="single" w:sz="8" w:space="0" w:color="auto"/>
              <w:bottom w:val="nil"/>
              <w:right w:val="single" w:sz="8" w:space="0" w:color="auto"/>
            </w:tcBorders>
            <w:shd w:val="clear" w:color="auto" w:fill="auto"/>
            <w:noWrap/>
            <w:vAlign w:val="bottom"/>
            <w:hideMark/>
          </w:tcPr>
          <w:p w14:paraId="12661DAA"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 </w:t>
            </w:r>
          </w:p>
        </w:tc>
        <w:tc>
          <w:tcPr>
            <w:tcW w:w="2480" w:type="dxa"/>
            <w:tcBorders>
              <w:top w:val="nil"/>
              <w:left w:val="single" w:sz="8" w:space="0" w:color="auto"/>
              <w:bottom w:val="nil"/>
              <w:right w:val="single" w:sz="8" w:space="0" w:color="auto"/>
            </w:tcBorders>
            <w:shd w:val="clear" w:color="auto" w:fill="auto"/>
            <w:noWrap/>
            <w:vAlign w:val="bottom"/>
            <w:hideMark/>
          </w:tcPr>
          <w:p w14:paraId="728CB33C" w14:textId="77777777" w:rsidR="00903D2D" w:rsidRPr="008F03D6" w:rsidRDefault="00903D2D" w:rsidP="000A60CE">
            <w:pPr>
              <w:framePr w:wrap="around" w:vAnchor="text" w:hAnchor="page" w:x="2827" w:y="6"/>
              <w:rPr>
                <w:rFonts w:ascii="Calibri" w:hAnsi="Calibri" w:cs="Calibri"/>
                <w:color w:val="000000"/>
              </w:rPr>
            </w:pPr>
          </w:p>
        </w:tc>
        <w:tc>
          <w:tcPr>
            <w:tcW w:w="2480" w:type="dxa"/>
            <w:tcBorders>
              <w:top w:val="nil"/>
              <w:left w:val="single" w:sz="8" w:space="0" w:color="auto"/>
              <w:bottom w:val="nil"/>
              <w:right w:val="single" w:sz="8" w:space="0" w:color="auto"/>
            </w:tcBorders>
            <w:shd w:val="clear" w:color="auto" w:fill="auto"/>
            <w:noWrap/>
            <w:vAlign w:val="bottom"/>
            <w:hideMark/>
          </w:tcPr>
          <w:p w14:paraId="1AC4F2A5"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Support Service Email</w:t>
            </w:r>
          </w:p>
        </w:tc>
      </w:tr>
      <w:tr w:rsidR="00903D2D" w:rsidRPr="008F03D6" w14:paraId="7ED1482A" w14:textId="77777777" w:rsidTr="000A60CE">
        <w:trPr>
          <w:trHeight w:val="320"/>
        </w:trPr>
        <w:tc>
          <w:tcPr>
            <w:tcW w:w="1770" w:type="dxa"/>
            <w:tcBorders>
              <w:top w:val="nil"/>
              <w:left w:val="single" w:sz="8" w:space="0" w:color="auto"/>
              <w:bottom w:val="single" w:sz="4" w:space="0" w:color="auto"/>
              <w:right w:val="single" w:sz="8" w:space="0" w:color="auto"/>
            </w:tcBorders>
            <w:shd w:val="clear" w:color="auto" w:fill="auto"/>
            <w:noWrap/>
            <w:vAlign w:val="bottom"/>
            <w:hideMark/>
          </w:tcPr>
          <w:p w14:paraId="00D8E268"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Exam 2</w:t>
            </w:r>
          </w:p>
        </w:tc>
        <w:tc>
          <w:tcPr>
            <w:tcW w:w="2480" w:type="dxa"/>
            <w:tcBorders>
              <w:top w:val="nil"/>
              <w:left w:val="single" w:sz="8" w:space="0" w:color="auto"/>
              <w:bottom w:val="single" w:sz="4" w:space="0" w:color="auto"/>
              <w:right w:val="single" w:sz="8" w:space="0" w:color="auto"/>
            </w:tcBorders>
            <w:shd w:val="clear" w:color="auto" w:fill="auto"/>
            <w:noWrap/>
            <w:vAlign w:val="bottom"/>
            <w:hideMark/>
          </w:tcPr>
          <w:p w14:paraId="1B7266B5"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Brief COPE</w:t>
            </w:r>
          </w:p>
        </w:tc>
        <w:tc>
          <w:tcPr>
            <w:tcW w:w="2480" w:type="dxa"/>
            <w:tcBorders>
              <w:top w:val="nil"/>
              <w:left w:val="single" w:sz="8" w:space="0" w:color="auto"/>
              <w:bottom w:val="single" w:sz="4" w:space="0" w:color="auto"/>
              <w:right w:val="single" w:sz="8" w:space="0" w:color="auto"/>
            </w:tcBorders>
            <w:shd w:val="clear" w:color="auto" w:fill="auto"/>
            <w:noWrap/>
            <w:vAlign w:val="bottom"/>
            <w:hideMark/>
          </w:tcPr>
          <w:p w14:paraId="0EDAE6B4"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Brief COPE</w:t>
            </w:r>
          </w:p>
        </w:tc>
      </w:tr>
      <w:tr w:rsidR="00903D2D" w:rsidRPr="008F03D6" w14:paraId="423D38E2" w14:textId="77777777" w:rsidTr="000A60CE">
        <w:trPr>
          <w:trHeight w:val="320"/>
        </w:trPr>
        <w:tc>
          <w:tcPr>
            <w:tcW w:w="1770" w:type="dxa"/>
            <w:tcBorders>
              <w:top w:val="nil"/>
              <w:left w:val="single" w:sz="8" w:space="0" w:color="auto"/>
              <w:bottom w:val="nil"/>
              <w:right w:val="single" w:sz="8" w:space="0" w:color="auto"/>
            </w:tcBorders>
            <w:shd w:val="clear" w:color="auto" w:fill="auto"/>
            <w:noWrap/>
            <w:vAlign w:val="bottom"/>
            <w:hideMark/>
          </w:tcPr>
          <w:p w14:paraId="3DCA615E"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 </w:t>
            </w:r>
          </w:p>
        </w:tc>
        <w:tc>
          <w:tcPr>
            <w:tcW w:w="2480" w:type="dxa"/>
            <w:tcBorders>
              <w:top w:val="nil"/>
              <w:left w:val="single" w:sz="8" w:space="0" w:color="auto"/>
              <w:bottom w:val="nil"/>
              <w:right w:val="single" w:sz="8" w:space="0" w:color="auto"/>
            </w:tcBorders>
            <w:shd w:val="clear" w:color="auto" w:fill="auto"/>
            <w:noWrap/>
            <w:vAlign w:val="bottom"/>
            <w:hideMark/>
          </w:tcPr>
          <w:p w14:paraId="180616D0" w14:textId="77777777" w:rsidR="00903D2D" w:rsidRPr="008F03D6" w:rsidRDefault="00903D2D" w:rsidP="000A60CE">
            <w:pPr>
              <w:framePr w:wrap="around" w:vAnchor="text" w:hAnchor="page" w:x="2827" w:y="6"/>
              <w:rPr>
                <w:rFonts w:ascii="Calibri" w:hAnsi="Calibri" w:cs="Calibri"/>
                <w:color w:val="000000"/>
              </w:rPr>
            </w:pPr>
          </w:p>
        </w:tc>
        <w:tc>
          <w:tcPr>
            <w:tcW w:w="2480" w:type="dxa"/>
            <w:tcBorders>
              <w:top w:val="nil"/>
              <w:left w:val="single" w:sz="8" w:space="0" w:color="auto"/>
              <w:bottom w:val="nil"/>
              <w:right w:val="single" w:sz="8" w:space="0" w:color="auto"/>
            </w:tcBorders>
            <w:shd w:val="clear" w:color="auto" w:fill="auto"/>
            <w:noWrap/>
            <w:vAlign w:val="bottom"/>
            <w:hideMark/>
          </w:tcPr>
          <w:p w14:paraId="3CA5DDDD"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Support Service Email</w:t>
            </w:r>
          </w:p>
        </w:tc>
      </w:tr>
      <w:tr w:rsidR="00903D2D" w:rsidRPr="008F03D6" w14:paraId="346DCF3C" w14:textId="77777777" w:rsidTr="000A60CE">
        <w:trPr>
          <w:trHeight w:val="320"/>
        </w:trPr>
        <w:tc>
          <w:tcPr>
            <w:tcW w:w="1770" w:type="dxa"/>
            <w:tcBorders>
              <w:top w:val="nil"/>
              <w:left w:val="single" w:sz="8" w:space="0" w:color="auto"/>
              <w:bottom w:val="single" w:sz="4" w:space="0" w:color="auto"/>
              <w:right w:val="single" w:sz="8" w:space="0" w:color="auto"/>
            </w:tcBorders>
            <w:shd w:val="clear" w:color="auto" w:fill="auto"/>
            <w:noWrap/>
            <w:vAlign w:val="bottom"/>
            <w:hideMark/>
          </w:tcPr>
          <w:p w14:paraId="41BC0886"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Exam 3</w:t>
            </w:r>
          </w:p>
        </w:tc>
        <w:tc>
          <w:tcPr>
            <w:tcW w:w="2480" w:type="dxa"/>
            <w:tcBorders>
              <w:top w:val="nil"/>
              <w:left w:val="single" w:sz="8" w:space="0" w:color="auto"/>
              <w:bottom w:val="single" w:sz="4" w:space="0" w:color="auto"/>
              <w:right w:val="single" w:sz="8" w:space="0" w:color="auto"/>
            </w:tcBorders>
            <w:shd w:val="clear" w:color="auto" w:fill="auto"/>
            <w:noWrap/>
            <w:vAlign w:val="bottom"/>
            <w:hideMark/>
          </w:tcPr>
          <w:p w14:paraId="659FCF06"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Brief COPE</w:t>
            </w:r>
          </w:p>
        </w:tc>
        <w:tc>
          <w:tcPr>
            <w:tcW w:w="2480" w:type="dxa"/>
            <w:tcBorders>
              <w:top w:val="nil"/>
              <w:left w:val="single" w:sz="8" w:space="0" w:color="auto"/>
              <w:bottom w:val="single" w:sz="4" w:space="0" w:color="auto"/>
              <w:right w:val="single" w:sz="8" w:space="0" w:color="auto"/>
            </w:tcBorders>
            <w:shd w:val="clear" w:color="auto" w:fill="auto"/>
            <w:noWrap/>
            <w:vAlign w:val="bottom"/>
            <w:hideMark/>
          </w:tcPr>
          <w:p w14:paraId="3ED60AEC"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Brief COPE</w:t>
            </w:r>
          </w:p>
        </w:tc>
      </w:tr>
      <w:tr w:rsidR="00903D2D" w:rsidRPr="008F03D6" w14:paraId="51BBDBA8" w14:textId="77777777" w:rsidTr="000A60CE">
        <w:trPr>
          <w:trHeight w:val="340"/>
        </w:trPr>
        <w:tc>
          <w:tcPr>
            <w:tcW w:w="1770" w:type="dxa"/>
            <w:tcBorders>
              <w:top w:val="nil"/>
              <w:left w:val="single" w:sz="8" w:space="0" w:color="auto"/>
              <w:bottom w:val="single" w:sz="8" w:space="0" w:color="auto"/>
              <w:right w:val="single" w:sz="8" w:space="0" w:color="auto"/>
            </w:tcBorders>
            <w:shd w:val="clear" w:color="auto" w:fill="auto"/>
            <w:noWrap/>
            <w:vAlign w:val="bottom"/>
            <w:hideMark/>
          </w:tcPr>
          <w:p w14:paraId="73B3FFEB"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 </w:t>
            </w:r>
          </w:p>
        </w:tc>
        <w:tc>
          <w:tcPr>
            <w:tcW w:w="2480" w:type="dxa"/>
            <w:tcBorders>
              <w:top w:val="nil"/>
              <w:left w:val="single" w:sz="8" w:space="0" w:color="auto"/>
              <w:bottom w:val="single" w:sz="8" w:space="0" w:color="auto"/>
              <w:right w:val="single" w:sz="8" w:space="0" w:color="auto"/>
            </w:tcBorders>
            <w:shd w:val="clear" w:color="auto" w:fill="auto"/>
            <w:noWrap/>
            <w:vAlign w:val="bottom"/>
            <w:hideMark/>
          </w:tcPr>
          <w:p w14:paraId="5B6DD361"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End of Course Feedback</w:t>
            </w:r>
            <w:r>
              <w:rPr>
                <w:rFonts w:ascii="Calibri" w:hAnsi="Calibri" w:cs="Calibri"/>
                <w:color w:val="000000"/>
              </w:rPr>
              <w:t xml:space="preserve"> </w:t>
            </w:r>
          </w:p>
        </w:tc>
        <w:tc>
          <w:tcPr>
            <w:tcW w:w="2480" w:type="dxa"/>
            <w:tcBorders>
              <w:top w:val="nil"/>
              <w:left w:val="single" w:sz="8" w:space="0" w:color="auto"/>
              <w:bottom w:val="single" w:sz="8" w:space="0" w:color="auto"/>
              <w:right w:val="single" w:sz="8" w:space="0" w:color="auto"/>
            </w:tcBorders>
            <w:shd w:val="clear" w:color="auto" w:fill="auto"/>
            <w:noWrap/>
            <w:vAlign w:val="bottom"/>
            <w:hideMark/>
          </w:tcPr>
          <w:p w14:paraId="1F531791" w14:textId="77777777" w:rsidR="00903D2D" w:rsidRPr="008F03D6" w:rsidRDefault="00903D2D" w:rsidP="000A60CE">
            <w:pPr>
              <w:framePr w:wrap="around" w:vAnchor="text" w:hAnchor="page" w:x="2827" w:y="6"/>
              <w:rPr>
                <w:rFonts w:ascii="Calibri" w:hAnsi="Calibri" w:cs="Calibri"/>
                <w:color w:val="000000"/>
              </w:rPr>
            </w:pPr>
            <w:r w:rsidRPr="008F03D6">
              <w:rPr>
                <w:rFonts w:ascii="Calibri" w:hAnsi="Calibri" w:cs="Calibri"/>
                <w:color w:val="000000"/>
              </w:rPr>
              <w:t>End of Course Feedback</w:t>
            </w:r>
          </w:p>
        </w:tc>
      </w:tr>
    </w:tbl>
    <w:p w14:paraId="2EE6AEE6" w14:textId="77777777" w:rsidR="00903D2D" w:rsidRDefault="00903D2D" w:rsidP="00903D2D">
      <w:pPr>
        <w:spacing w:line="480" w:lineRule="auto"/>
        <w:outlineLvl w:val="0"/>
        <w:rPr>
          <w:rFonts w:asciiTheme="minorHAnsi" w:hAnsiTheme="minorHAnsi"/>
        </w:rPr>
      </w:pPr>
    </w:p>
    <w:p w14:paraId="62D0727D" w14:textId="77777777" w:rsidR="00903D2D" w:rsidRDefault="00903D2D" w:rsidP="00903D2D">
      <w:pPr>
        <w:spacing w:line="480" w:lineRule="auto"/>
        <w:outlineLvl w:val="0"/>
        <w:rPr>
          <w:rFonts w:asciiTheme="minorHAnsi" w:hAnsiTheme="minorHAnsi"/>
        </w:rPr>
      </w:pPr>
    </w:p>
    <w:p w14:paraId="71C50371" w14:textId="77777777" w:rsidR="00903D2D" w:rsidRDefault="00903D2D" w:rsidP="00903D2D">
      <w:pPr>
        <w:spacing w:line="480" w:lineRule="auto"/>
        <w:outlineLvl w:val="0"/>
        <w:rPr>
          <w:rFonts w:asciiTheme="minorHAnsi" w:hAnsiTheme="minorHAnsi"/>
        </w:rPr>
      </w:pPr>
    </w:p>
    <w:p w14:paraId="2E2204AE" w14:textId="77777777" w:rsidR="00903D2D" w:rsidRDefault="00903D2D" w:rsidP="00903D2D">
      <w:pPr>
        <w:spacing w:line="480" w:lineRule="auto"/>
        <w:outlineLvl w:val="0"/>
        <w:rPr>
          <w:rFonts w:asciiTheme="minorHAnsi" w:hAnsiTheme="minorHAnsi"/>
        </w:rPr>
      </w:pPr>
    </w:p>
    <w:p w14:paraId="6A1A6026" w14:textId="77777777" w:rsidR="00903D2D" w:rsidRDefault="00903D2D" w:rsidP="00903D2D">
      <w:pPr>
        <w:spacing w:line="480" w:lineRule="auto"/>
        <w:outlineLvl w:val="0"/>
        <w:rPr>
          <w:rFonts w:asciiTheme="minorHAnsi" w:hAnsiTheme="minorHAnsi"/>
        </w:rPr>
      </w:pPr>
    </w:p>
    <w:p w14:paraId="10E782F3" w14:textId="77777777" w:rsidR="00903D2D" w:rsidRDefault="00903D2D" w:rsidP="00903D2D">
      <w:pPr>
        <w:spacing w:line="480" w:lineRule="auto"/>
        <w:outlineLvl w:val="0"/>
        <w:rPr>
          <w:rFonts w:asciiTheme="minorHAnsi" w:hAnsiTheme="minorHAnsi"/>
        </w:rPr>
      </w:pPr>
    </w:p>
    <w:p w14:paraId="77E265F8" w14:textId="77777777" w:rsidR="00A658B0" w:rsidRDefault="00903D2D" w:rsidP="00903D2D">
      <w:pPr>
        <w:spacing w:line="480" w:lineRule="auto"/>
        <w:outlineLvl w:val="0"/>
        <w:rPr>
          <w:rFonts w:asciiTheme="minorHAnsi" w:hAnsiTheme="minorHAnsi"/>
        </w:rPr>
      </w:pPr>
      <w:r w:rsidRPr="00A658B0">
        <w:rPr>
          <w:rFonts w:asciiTheme="minorHAnsi" w:hAnsiTheme="minorHAnsi"/>
          <w:b/>
        </w:rPr>
        <w:t>Figure 1. Survey Design</w:t>
      </w:r>
      <w:r>
        <w:rPr>
          <w:rFonts w:asciiTheme="minorHAnsi" w:hAnsiTheme="minorHAnsi"/>
        </w:rPr>
        <w:t xml:space="preserve">.  </w:t>
      </w:r>
    </w:p>
    <w:p w14:paraId="1C976265" w14:textId="02970D35" w:rsidR="00903D2D" w:rsidRPr="00A658B0" w:rsidRDefault="00903D2D" w:rsidP="00903D2D">
      <w:pPr>
        <w:spacing w:line="480" w:lineRule="auto"/>
        <w:outlineLvl w:val="0"/>
        <w:rPr>
          <w:rFonts w:asciiTheme="minorHAnsi" w:hAnsiTheme="minorHAnsi"/>
          <w:b/>
        </w:rPr>
      </w:pPr>
      <w:r>
        <w:rPr>
          <w:rFonts w:asciiTheme="minorHAnsi" w:hAnsiTheme="minorHAnsi"/>
        </w:rPr>
        <w:t xml:space="preserve">Schedule of administration of surveys, intervention emails, and exams.  Both groups able to access student support services anytime throughout the course.  </w:t>
      </w:r>
    </w:p>
    <w:p w14:paraId="7A0BF09B" w14:textId="5403320C" w:rsidR="000366D7" w:rsidRDefault="000366D7">
      <w:pPr>
        <w:rPr>
          <w:rFonts w:asciiTheme="minorHAnsi" w:hAnsiTheme="minorHAnsi"/>
        </w:rPr>
      </w:pPr>
      <w:r>
        <w:rPr>
          <w:rFonts w:asciiTheme="minorHAnsi" w:hAnsiTheme="minorHAnsi"/>
        </w:rPr>
        <w:br w:type="page"/>
      </w:r>
    </w:p>
    <w:p w14:paraId="19A3D718" w14:textId="77777777" w:rsidR="00903D2D" w:rsidRDefault="00903D2D" w:rsidP="00903D2D">
      <w:pPr>
        <w:spacing w:line="480" w:lineRule="auto"/>
        <w:outlineLvl w:val="0"/>
        <w:rPr>
          <w:rFonts w:asciiTheme="minorHAnsi" w:hAnsiTheme="minorHAnsi"/>
        </w:rPr>
      </w:pPr>
    </w:p>
    <w:p w14:paraId="63F4C72E" w14:textId="14CF9CFF" w:rsidR="00FA004E" w:rsidRPr="00B417BF" w:rsidRDefault="00FA004E" w:rsidP="00FA004E">
      <w:pPr>
        <w:spacing w:line="480" w:lineRule="auto"/>
        <w:rPr>
          <w:rFonts w:asciiTheme="minorHAnsi" w:hAnsiTheme="minorHAnsi"/>
        </w:rPr>
      </w:pPr>
      <w:r w:rsidRPr="00B417BF">
        <w:rPr>
          <w:rFonts w:asciiTheme="minorHAnsi" w:hAnsiTheme="minorHAnsi"/>
        </w:rPr>
        <w:t>Group 1</w:t>
      </w:r>
      <w:r w:rsidR="00E7524D">
        <w:rPr>
          <w:rFonts w:asciiTheme="minorHAnsi" w:hAnsiTheme="minorHAnsi"/>
        </w:rPr>
        <w:t xml:space="preserve"> (2016)</w:t>
      </w:r>
      <w:r w:rsidRPr="00B417BF">
        <w:rPr>
          <w:rFonts w:asciiTheme="minorHAnsi" w:hAnsiTheme="minorHAnsi"/>
        </w:rPr>
        <w:t>/Control:</w:t>
      </w:r>
    </w:p>
    <w:p w14:paraId="408A23AA" w14:textId="15A93CFD" w:rsidR="00FA004E" w:rsidRPr="00B417BF" w:rsidRDefault="001A34C5" w:rsidP="00FA004E">
      <w:pPr>
        <w:spacing w:line="480" w:lineRule="auto"/>
        <w:rPr>
          <w:rFonts w:asciiTheme="minorHAnsi" w:hAnsiTheme="minorHAnsi"/>
        </w:rPr>
      </w:pPr>
      <w:r>
        <w:rPr>
          <w:rFonts w:asciiTheme="minorHAnsi" w:hAnsiTheme="minorHAnsi"/>
        </w:rPr>
        <w:t>Group 1 included e</w:t>
      </w:r>
      <w:r w:rsidR="00FA004E" w:rsidRPr="00B417BF">
        <w:rPr>
          <w:rFonts w:asciiTheme="minorHAnsi" w:hAnsiTheme="minorHAnsi"/>
        </w:rPr>
        <w:t xml:space="preserve">ntering PA </w:t>
      </w:r>
      <w:r>
        <w:rPr>
          <w:rFonts w:asciiTheme="minorHAnsi" w:hAnsiTheme="minorHAnsi"/>
        </w:rPr>
        <w:t xml:space="preserve">and Dental </w:t>
      </w:r>
      <w:r w:rsidR="00FA004E" w:rsidRPr="00B417BF">
        <w:rPr>
          <w:rFonts w:asciiTheme="minorHAnsi" w:hAnsiTheme="minorHAnsi"/>
        </w:rPr>
        <w:t xml:space="preserve">students in the summer semester of 2016.  </w:t>
      </w:r>
      <w:r w:rsidR="008D1855">
        <w:rPr>
          <w:rFonts w:asciiTheme="minorHAnsi" w:hAnsiTheme="minorHAnsi"/>
        </w:rPr>
        <w:t xml:space="preserve">Total </w:t>
      </w:r>
      <w:r w:rsidR="00301965">
        <w:rPr>
          <w:rFonts w:asciiTheme="minorHAnsi" w:hAnsiTheme="minorHAnsi"/>
        </w:rPr>
        <w:t>course enrollment was 104</w:t>
      </w:r>
      <w:r w:rsidR="008D1855">
        <w:rPr>
          <w:rFonts w:asciiTheme="minorHAnsi" w:hAnsiTheme="minorHAnsi"/>
        </w:rPr>
        <w:t xml:space="preserve"> students.</w:t>
      </w:r>
      <w:r w:rsidR="00A06F0D">
        <w:rPr>
          <w:rFonts w:asciiTheme="minorHAnsi" w:hAnsiTheme="minorHAnsi"/>
        </w:rPr>
        <w:t xml:space="preserve">  One graduate student was enrolled in the course, and their data was excluded from the study.</w:t>
      </w:r>
      <w:r w:rsidR="008D1855">
        <w:rPr>
          <w:rFonts w:asciiTheme="minorHAnsi" w:hAnsiTheme="minorHAnsi"/>
        </w:rPr>
        <w:t xml:space="preserve">  </w:t>
      </w:r>
      <w:r w:rsidR="00FA004E" w:rsidRPr="00B417BF">
        <w:rPr>
          <w:rFonts w:asciiTheme="minorHAnsi" w:hAnsiTheme="minorHAnsi"/>
        </w:rPr>
        <w:t>Students ha</w:t>
      </w:r>
      <w:r>
        <w:rPr>
          <w:rFonts w:asciiTheme="minorHAnsi" w:hAnsiTheme="minorHAnsi"/>
        </w:rPr>
        <w:t>d</w:t>
      </w:r>
      <w:r w:rsidR="00FA004E" w:rsidRPr="00B417BF">
        <w:rPr>
          <w:rFonts w:asciiTheme="minorHAnsi" w:hAnsiTheme="minorHAnsi"/>
        </w:rPr>
        <w:t xml:space="preserve"> access to all on-campus support the university offers if they initiate</w:t>
      </w:r>
      <w:r w:rsidR="00E802AC">
        <w:rPr>
          <w:rFonts w:asciiTheme="minorHAnsi" w:hAnsiTheme="minorHAnsi"/>
        </w:rPr>
        <w:t>d</w:t>
      </w:r>
      <w:r w:rsidR="00FA004E" w:rsidRPr="00B417BF">
        <w:rPr>
          <w:rFonts w:asciiTheme="minorHAnsi" w:hAnsiTheme="minorHAnsi"/>
        </w:rPr>
        <w:t xml:space="preserve"> contact.  Educatio</w:t>
      </w:r>
      <w:r>
        <w:rPr>
          <w:rFonts w:asciiTheme="minorHAnsi" w:hAnsiTheme="minorHAnsi"/>
        </w:rPr>
        <w:t>n about these support services wa</w:t>
      </w:r>
      <w:r w:rsidR="00FA004E" w:rsidRPr="00B417BF">
        <w:rPr>
          <w:rFonts w:asciiTheme="minorHAnsi" w:hAnsiTheme="minorHAnsi"/>
        </w:rPr>
        <w:t xml:space="preserve">s given as a standard part of new student orientation.  Students </w:t>
      </w:r>
      <w:r>
        <w:rPr>
          <w:rFonts w:asciiTheme="minorHAnsi" w:hAnsiTheme="minorHAnsi"/>
        </w:rPr>
        <w:t>could have</w:t>
      </w:r>
      <w:r w:rsidR="00FA004E" w:rsidRPr="00B417BF">
        <w:rPr>
          <w:rFonts w:asciiTheme="minorHAnsi" w:hAnsiTheme="minorHAnsi"/>
        </w:rPr>
        <w:t xml:space="preserve"> ask</w:t>
      </w:r>
      <w:r w:rsidR="00C4515B">
        <w:rPr>
          <w:rFonts w:asciiTheme="minorHAnsi" w:hAnsiTheme="minorHAnsi"/>
        </w:rPr>
        <w:t>ed</w:t>
      </w:r>
      <w:r w:rsidR="00FA004E" w:rsidRPr="00B417BF">
        <w:rPr>
          <w:rFonts w:asciiTheme="minorHAnsi" w:hAnsiTheme="minorHAnsi"/>
        </w:rPr>
        <w:t xml:space="preserve"> for assistance for academic or any other support service at any time in accordance with the university policies.  Group 1 w</w:t>
      </w:r>
      <w:r w:rsidR="00C4515B">
        <w:rPr>
          <w:rFonts w:asciiTheme="minorHAnsi" w:hAnsiTheme="minorHAnsi"/>
        </w:rPr>
        <w:t xml:space="preserve">as </w:t>
      </w:r>
      <w:r w:rsidR="00FA004E" w:rsidRPr="00B417BF">
        <w:rPr>
          <w:rFonts w:asciiTheme="minorHAnsi" w:hAnsiTheme="minorHAnsi"/>
        </w:rPr>
        <w:t>su</w:t>
      </w:r>
      <w:r w:rsidR="00903D2D">
        <w:rPr>
          <w:rFonts w:asciiTheme="minorHAnsi" w:hAnsiTheme="minorHAnsi"/>
        </w:rPr>
        <w:t>rveyed 3 times, once at each exam.</w:t>
      </w:r>
      <w:r w:rsidR="00FA004E" w:rsidRPr="00B417BF">
        <w:rPr>
          <w:rFonts w:asciiTheme="minorHAnsi" w:hAnsiTheme="minorHAnsi"/>
        </w:rPr>
        <w:t xml:space="preserve">  Surveys were matched with exam and course scores.</w:t>
      </w:r>
    </w:p>
    <w:p w14:paraId="0E86FACA" w14:textId="77777777" w:rsidR="00FA004E" w:rsidRPr="00B417BF" w:rsidRDefault="00FA004E" w:rsidP="00FA004E">
      <w:pPr>
        <w:spacing w:line="480" w:lineRule="auto"/>
        <w:rPr>
          <w:rFonts w:asciiTheme="minorHAnsi" w:hAnsiTheme="minorHAnsi"/>
        </w:rPr>
      </w:pPr>
    </w:p>
    <w:p w14:paraId="6B4FDC8A" w14:textId="2EBF9D64" w:rsidR="00FA004E" w:rsidRPr="00B417BF" w:rsidRDefault="00FA004E" w:rsidP="00FA004E">
      <w:pPr>
        <w:spacing w:line="480" w:lineRule="auto"/>
        <w:rPr>
          <w:rFonts w:asciiTheme="minorHAnsi" w:hAnsiTheme="minorHAnsi"/>
        </w:rPr>
      </w:pPr>
      <w:r w:rsidRPr="00B417BF">
        <w:rPr>
          <w:rFonts w:asciiTheme="minorHAnsi" w:hAnsiTheme="minorHAnsi"/>
        </w:rPr>
        <w:t>Group 2</w:t>
      </w:r>
      <w:r w:rsidR="00E7524D">
        <w:rPr>
          <w:rFonts w:asciiTheme="minorHAnsi" w:hAnsiTheme="minorHAnsi"/>
        </w:rPr>
        <w:t xml:space="preserve"> (2017)</w:t>
      </w:r>
      <w:r w:rsidRPr="00B417BF">
        <w:rPr>
          <w:rFonts w:asciiTheme="minorHAnsi" w:hAnsiTheme="minorHAnsi"/>
        </w:rPr>
        <w:t>/Experimental:</w:t>
      </w:r>
    </w:p>
    <w:p w14:paraId="184B9CCF" w14:textId="5EB562D4" w:rsidR="00C4515B" w:rsidRPr="00B417BF" w:rsidRDefault="001A34C5" w:rsidP="00C4515B">
      <w:pPr>
        <w:spacing w:line="480" w:lineRule="auto"/>
        <w:rPr>
          <w:rFonts w:asciiTheme="minorHAnsi" w:hAnsiTheme="minorHAnsi"/>
        </w:rPr>
      </w:pPr>
      <w:r>
        <w:rPr>
          <w:rFonts w:asciiTheme="minorHAnsi" w:hAnsiTheme="minorHAnsi"/>
        </w:rPr>
        <w:t>Group 2 included e</w:t>
      </w:r>
      <w:r w:rsidR="00FA004E" w:rsidRPr="00B417BF">
        <w:rPr>
          <w:rFonts w:asciiTheme="minorHAnsi" w:hAnsiTheme="minorHAnsi"/>
        </w:rPr>
        <w:t xml:space="preserve">ntering PA </w:t>
      </w:r>
      <w:r>
        <w:rPr>
          <w:rFonts w:asciiTheme="minorHAnsi" w:hAnsiTheme="minorHAnsi"/>
        </w:rPr>
        <w:t xml:space="preserve">and Dental </w:t>
      </w:r>
      <w:r w:rsidR="00FA004E" w:rsidRPr="00B417BF">
        <w:rPr>
          <w:rFonts w:asciiTheme="minorHAnsi" w:hAnsiTheme="minorHAnsi"/>
        </w:rPr>
        <w:t xml:space="preserve">students in the summer semester 2017.  </w:t>
      </w:r>
      <w:r w:rsidR="008D1855">
        <w:rPr>
          <w:rFonts w:asciiTheme="minorHAnsi" w:hAnsiTheme="minorHAnsi"/>
        </w:rPr>
        <w:t xml:space="preserve">Total </w:t>
      </w:r>
      <w:r w:rsidR="00A06F0D">
        <w:rPr>
          <w:rFonts w:asciiTheme="minorHAnsi" w:hAnsiTheme="minorHAnsi"/>
        </w:rPr>
        <w:t xml:space="preserve">course </w:t>
      </w:r>
      <w:r w:rsidR="00301965">
        <w:rPr>
          <w:rFonts w:asciiTheme="minorHAnsi" w:hAnsiTheme="minorHAnsi"/>
        </w:rPr>
        <w:t>enrollment was 104</w:t>
      </w:r>
      <w:r w:rsidR="008D1855">
        <w:rPr>
          <w:rFonts w:asciiTheme="minorHAnsi" w:hAnsiTheme="minorHAnsi"/>
        </w:rPr>
        <w:t xml:space="preserve"> students. </w:t>
      </w:r>
      <w:r w:rsidR="00FA004E" w:rsidRPr="00B417BF">
        <w:rPr>
          <w:rFonts w:asciiTheme="minorHAnsi" w:hAnsiTheme="minorHAnsi"/>
        </w:rPr>
        <w:t xml:space="preserve">Group 2 was surveyed 3 times.  Surveys were matched with exam and course scores.  Students </w:t>
      </w:r>
      <w:r>
        <w:rPr>
          <w:rFonts w:asciiTheme="minorHAnsi" w:hAnsiTheme="minorHAnsi"/>
        </w:rPr>
        <w:t>were</w:t>
      </w:r>
      <w:r w:rsidR="00FA004E" w:rsidRPr="00B417BF">
        <w:rPr>
          <w:rFonts w:asciiTheme="minorHAnsi" w:hAnsiTheme="minorHAnsi"/>
        </w:rPr>
        <w:t xml:space="preserve"> offered emails educating them about availability of student support services on campus and in the community.  Contact information for all services was provided.  These interactions happened </w:t>
      </w:r>
      <w:r w:rsidR="00645AF8">
        <w:rPr>
          <w:rFonts w:asciiTheme="minorHAnsi" w:hAnsiTheme="minorHAnsi"/>
        </w:rPr>
        <w:t xml:space="preserve">four </w:t>
      </w:r>
      <w:r w:rsidR="00FA004E" w:rsidRPr="00B417BF">
        <w:rPr>
          <w:rFonts w:asciiTheme="minorHAnsi" w:hAnsiTheme="minorHAnsi"/>
        </w:rPr>
        <w:t>times at the following intervals: new student orientation, after exams 1, 2, and one week prior to exam 3</w:t>
      </w:r>
      <w:r w:rsidR="00903D2D">
        <w:rPr>
          <w:rFonts w:asciiTheme="minorHAnsi" w:hAnsiTheme="minorHAnsi"/>
        </w:rPr>
        <w:t xml:space="preserve"> (Fig 2 and Fig 2)</w:t>
      </w:r>
      <w:r w:rsidR="00FA004E" w:rsidRPr="00B417BF">
        <w:rPr>
          <w:rFonts w:asciiTheme="minorHAnsi" w:hAnsiTheme="minorHAnsi"/>
        </w:rPr>
        <w:t xml:space="preserve">. Students </w:t>
      </w:r>
      <w:r w:rsidR="006B235F" w:rsidRPr="00B417BF">
        <w:rPr>
          <w:rFonts w:asciiTheme="minorHAnsi" w:hAnsiTheme="minorHAnsi"/>
        </w:rPr>
        <w:t xml:space="preserve">were encouraged to </w:t>
      </w:r>
      <w:r w:rsidR="00FA004E" w:rsidRPr="00B417BF">
        <w:rPr>
          <w:rFonts w:asciiTheme="minorHAnsi" w:hAnsiTheme="minorHAnsi"/>
        </w:rPr>
        <w:t xml:space="preserve">ask for assistance for academic or any other support service at any time in accordance with the university policies. </w:t>
      </w:r>
      <w:r w:rsidR="00C4515B">
        <w:rPr>
          <w:rFonts w:asciiTheme="minorHAnsi" w:hAnsiTheme="minorHAnsi"/>
        </w:rPr>
        <w:t xml:space="preserve"> </w:t>
      </w:r>
      <w:r w:rsidR="00C4515B" w:rsidRPr="00B417BF">
        <w:rPr>
          <w:rFonts w:asciiTheme="minorHAnsi" w:hAnsiTheme="minorHAnsi"/>
        </w:rPr>
        <w:t>Surveys were matched with exam and course scores.</w:t>
      </w:r>
    </w:p>
    <w:p w14:paraId="71CC8D12" w14:textId="30B4847E" w:rsidR="00FA004E" w:rsidRPr="00B417BF" w:rsidRDefault="00FA004E" w:rsidP="00FA004E">
      <w:pPr>
        <w:spacing w:line="480" w:lineRule="auto"/>
        <w:rPr>
          <w:rFonts w:asciiTheme="minorHAnsi" w:hAnsiTheme="minorHAnsi"/>
        </w:rPr>
      </w:pPr>
    </w:p>
    <w:p w14:paraId="4F4CDDF4" w14:textId="77777777" w:rsidR="00FA004E" w:rsidRPr="00B417BF" w:rsidRDefault="00FA004E" w:rsidP="00FA004E">
      <w:pPr>
        <w:spacing w:line="480" w:lineRule="auto"/>
        <w:rPr>
          <w:rFonts w:asciiTheme="minorHAnsi" w:hAnsiTheme="minorHAnsi"/>
        </w:rPr>
      </w:pPr>
    </w:p>
    <w:p w14:paraId="5E6D26D9" w14:textId="77777777" w:rsidR="005310DD" w:rsidRDefault="005310DD" w:rsidP="005310DD">
      <w:pPr>
        <w:spacing w:line="480" w:lineRule="auto"/>
        <w:outlineLvl w:val="0"/>
        <w:rPr>
          <w:rFonts w:asciiTheme="minorHAnsi" w:hAnsiTheme="minorHAnsi"/>
        </w:rPr>
      </w:pPr>
    </w:p>
    <w:p w14:paraId="1C782CE6" w14:textId="77777777" w:rsidR="005310DD" w:rsidRDefault="005310DD" w:rsidP="005310DD">
      <w:pPr>
        <w:spacing w:line="480" w:lineRule="auto"/>
        <w:rPr>
          <w:rFonts w:asciiTheme="minorHAnsi" w:hAnsiTheme="minorHAnsi"/>
        </w:rPr>
      </w:pPr>
      <w:r>
        <w:rPr>
          <w:rFonts w:asciiTheme="minorHAnsi" w:hAnsiTheme="minorHAnsi"/>
          <w:b/>
          <w:noProof/>
        </w:rPr>
        <mc:AlternateContent>
          <mc:Choice Requires="wps">
            <w:drawing>
              <wp:anchor distT="0" distB="0" distL="114300" distR="114300" simplePos="0" relativeHeight="251727872" behindDoc="0" locked="0" layoutInCell="1" allowOverlap="1" wp14:anchorId="57CC813A" wp14:editId="5B8668F5">
                <wp:simplePos x="0" y="0"/>
                <wp:positionH relativeFrom="column">
                  <wp:posOffset>4142377</wp:posOffset>
                </wp:positionH>
                <wp:positionV relativeFrom="paragraph">
                  <wp:posOffset>1400266</wp:posOffset>
                </wp:positionV>
                <wp:extent cx="180975" cy="544648"/>
                <wp:effectExtent l="50800" t="25400" r="60325" b="78105"/>
                <wp:wrapNone/>
                <wp:docPr id="28" name="Curved Left Arrow 28"/>
                <wp:cNvGraphicFramePr/>
                <a:graphic xmlns:a="http://schemas.openxmlformats.org/drawingml/2006/main">
                  <a:graphicData uri="http://schemas.microsoft.com/office/word/2010/wordprocessingShape">
                    <wps:wsp>
                      <wps:cNvSpPr/>
                      <wps:spPr>
                        <a:xfrm>
                          <a:off x="0" y="0"/>
                          <a:ext cx="180975" cy="544648"/>
                        </a:xfrm>
                        <a:prstGeom prst="curvedLef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E31ED6"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28" o:spid="_x0000_s1026" type="#_x0000_t103" style="position:absolute;margin-left:326.15pt;margin-top:110.25pt;width:14.25pt;height:42.9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" adj="18011,20703,5400" fillcolor="#4f81bd [3204]" strokecolor="#4579b8 [3044]">
                <v:fill color2="#a7bfde [1620]" rotate="t" angle="180" focus="100%" type="gradient">
                  <o:fill v:ext="view" type="gradientUnscaled"/>
                </v:fill>
                <v:shadow on="t" color="black" opacity="22937f" origin=",.5" offset="0,.63889mm"/>
              </v:shape>
            </w:pict>
          </mc:Fallback>
        </mc:AlternateContent>
      </w:r>
      <w:r>
        <w:rPr>
          <w:rFonts w:asciiTheme="minorHAnsi" w:hAnsiTheme="minorHAnsi"/>
          <w:b/>
          <w:noProof/>
        </w:rPr>
        <mc:AlternateContent>
          <mc:Choice Requires="wps">
            <w:drawing>
              <wp:anchor distT="0" distB="0" distL="114300" distR="114300" simplePos="0" relativeHeight="251726848" behindDoc="0" locked="0" layoutInCell="1" allowOverlap="1" wp14:anchorId="4E756581" wp14:editId="08C3F24A">
                <wp:simplePos x="0" y="0"/>
                <wp:positionH relativeFrom="column">
                  <wp:posOffset>4142377</wp:posOffset>
                </wp:positionH>
                <wp:positionV relativeFrom="paragraph">
                  <wp:posOffset>747486</wp:posOffset>
                </wp:positionV>
                <wp:extent cx="181429" cy="595085"/>
                <wp:effectExtent l="50800" t="25400" r="60325" b="78105"/>
                <wp:wrapNone/>
                <wp:docPr id="31" name="Curved Left Arrow 31"/>
                <wp:cNvGraphicFramePr/>
                <a:graphic xmlns:a="http://schemas.openxmlformats.org/drawingml/2006/main">
                  <a:graphicData uri="http://schemas.microsoft.com/office/word/2010/wordprocessingShape">
                    <wps:wsp>
                      <wps:cNvSpPr/>
                      <wps:spPr>
                        <a:xfrm>
                          <a:off x="0" y="0"/>
                          <a:ext cx="181429" cy="595085"/>
                        </a:xfrm>
                        <a:prstGeom prst="curvedLef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659B10" id="Curved Left Arrow 31" o:spid="_x0000_s1026" type="#_x0000_t103" style="position:absolute;margin-left:326.15pt;margin-top:58.85pt;width:14.3pt;height:46.8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" adj="18307,20777,5400" fillcolor="#4f81bd [3204]" strokecolor="#4579b8 [3044]">
                <v:fill color2="#a7bfde [1620]" rotate="t" angle="180" focus="100%" type="gradient">
                  <o:fill v:ext="view" type="gradientUnscaled"/>
                </v:fill>
                <v:shadow on="t" color="black" opacity="22937f" origin=",.5" offset="0,.63889mm"/>
              </v:shape>
            </w:pict>
          </mc:Fallback>
        </mc:AlternateContent>
      </w:r>
      <w:r>
        <w:rPr>
          <w:rFonts w:asciiTheme="minorHAnsi" w:hAnsiTheme="minorHAnsi"/>
          <w:b/>
          <w:noProof/>
        </w:rPr>
        <mc:AlternateContent>
          <mc:Choice Requires="wps">
            <w:drawing>
              <wp:anchor distT="0" distB="0" distL="114300" distR="114300" simplePos="0" relativeHeight="251725824" behindDoc="0" locked="0" layoutInCell="1" allowOverlap="1" wp14:anchorId="6032ADFD" wp14:editId="1349AA17">
                <wp:simplePos x="0" y="0"/>
                <wp:positionH relativeFrom="column">
                  <wp:posOffset>426720</wp:posOffset>
                </wp:positionH>
                <wp:positionV relativeFrom="paragraph">
                  <wp:posOffset>798286</wp:posOffset>
                </wp:positionV>
                <wp:extent cx="210457" cy="602343"/>
                <wp:effectExtent l="50800" t="25400" r="56515" b="71120"/>
                <wp:wrapNone/>
                <wp:docPr id="32" name="Curved Right Arrow 32"/>
                <wp:cNvGraphicFramePr/>
                <a:graphic xmlns:a="http://schemas.openxmlformats.org/drawingml/2006/main">
                  <a:graphicData uri="http://schemas.microsoft.com/office/word/2010/wordprocessingShape">
                    <wps:wsp>
                      <wps:cNvSpPr/>
                      <wps:spPr>
                        <a:xfrm>
                          <a:off x="0" y="0"/>
                          <a:ext cx="210457" cy="602343"/>
                        </a:xfrm>
                        <a:prstGeom prst="curved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68B4139"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2" o:spid="_x0000_s1026" type="#_x0000_t102" style="position:absolute;margin-left:33.6pt;margin-top:62.85pt;width:16.55pt;height:47.4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" adj="17827,20657,16200" fillcolor="#4f81bd [3204]" strokecolor="#4579b8 [3044]">
                <v:fill color2="#a7bfde [1620]" rotate="t" angle="180" focus="100%" type="gradient">
                  <o:fill v:ext="view" type="gradientUnscaled"/>
                </v:fill>
                <v:shadow on="t" color="black" opacity="22937f" origin=",.5" offset="0,.63889mm"/>
              </v:shape>
            </w:pict>
          </mc:Fallback>
        </mc:AlternateContent>
      </w:r>
      <w:r>
        <w:rPr>
          <w:rFonts w:asciiTheme="minorHAnsi" w:hAnsiTheme="minorHAnsi"/>
          <w:b/>
          <w:noProof/>
        </w:rPr>
        <w:drawing>
          <wp:inline distT="0" distB="0" distL="0" distR="0" wp14:anchorId="0C0EEC68" wp14:editId="3390002A">
            <wp:extent cx="4760686" cy="2532743"/>
            <wp:effectExtent l="0" t="25400" r="0" b="3302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95F33C5" w14:textId="77777777" w:rsidR="005310DD" w:rsidRDefault="005310DD" w:rsidP="005310DD">
      <w:pPr>
        <w:spacing w:line="480" w:lineRule="auto"/>
        <w:rPr>
          <w:rFonts w:asciiTheme="minorHAnsi" w:hAnsiTheme="minorHAnsi"/>
        </w:rPr>
      </w:pPr>
    </w:p>
    <w:p w14:paraId="2F0CC3DC" w14:textId="77777777" w:rsidR="00A658B0" w:rsidRDefault="005310DD" w:rsidP="005310DD">
      <w:pPr>
        <w:spacing w:line="480" w:lineRule="auto"/>
        <w:rPr>
          <w:rFonts w:asciiTheme="minorHAnsi" w:hAnsiTheme="minorHAnsi"/>
        </w:rPr>
      </w:pPr>
      <w:r w:rsidRPr="00A658B0">
        <w:rPr>
          <w:rFonts w:asciiTheme="minorHAnsi" w:hAnsiTheme="minorHAnsi"/>
          <w:b/>
        </w:rPr>
        <w:t>Figure 2. Synopsis of Intervention.</w:t>
      </w:r>
      <w:r w:rsidRPr="005A42F7">
        <w:rPr>
          <w:rFonts w:asciiTheme="minorHAnsi" w:hAnsiTheme="minorHAnsi"/>
        </w:rPr>
        <w:t xml:space="preserve">  </w:t>
      </w:r>
    </w:p>
    <w:p w14:paraId="6451D997" w14:textId="2BB738DA" w:rsidR="005310DD" w:rsidRPr="005A42F7" w:rsidRDefault="005310DD" w:rsidP="005310DD">
      <w:pPr>
        <w:spacing w:line="480" w:lineRule="auto"/>
        <w:rPr>
          <w:rFonts w:asciiTheme="minorHAnsi" w:hAnsiTheme="minorHAnsi"/>
        </w:rPr>
      </w:pPr>
      <w:r w:rsidRPr="005A42F7">
        <w:rPr>
          <w:rFonts w:asciiTheme="minorHAnsi" w:hAnsiTheme="minorHAnsi"/>
        </w:rPr>
        <w:t>Intervention of Education Email</w:t>
      </w:r>
      <w:r>
        <w:rPr>
          <w:rFonts w:asciiTheme="minorHAnsi" w:hAnsiTheme="minorHAnsi"/>
        </w:rPr>
        <w:t xml:space="preserve"> administered prior to each of three</w:t>
      </w:r>
      <w:r w:rsidRPr="005A42F7">
        <w:rPr>
          <w:rFonts w:asciiTheme="minorHAnsi" w:hAnsiTheme="minorHAnsi"/>
        </w:rPr>
        <w:t xml:space="preserve"> exams.</w:t>
      </w:r>
      <w:r>
        <w:rPr>
          <w:rFonts w:asciiTheme="minorHAnsi" w:hAnsiTheme="minorHAnsi"/>
        </w:rPr>
        <w:t xml:space="preserve">  Arrows indicating intervention emails and Brief COPE surveys occurring in conjunction with exam administration.  Three cycles of exams and Brief COPE surveys were completed.   End of Course survey administered after Exam 3 completed and Clinical Anatomy course was concluded.</w:t>
      </w:r>
    </w:p>
    <w:p w14:paraId="33156B92" w14:textId="77777777" w:rsidR="005310DD" w:rsidRDefault="005310DD" w:rsidP="005310DD">
      <w:pPr>
        <w:spacing w:line="480" w:lineRule="auto"/>
        <w:outlineLvl w:val="0"/>
        <w:rPr>
          <w:rFonts w:asciiTheme="minorHAnsi" w:hAnsiTheme="minorHAnsi"/>
        </w:rPr>
      </w:pPr>
    </w:p>
    <w:p w14:paraId="1925A21B" w14:textId="77777777" w:rsidR="000366D7" w:rsidRPr="00B417BF" w:rsidRDefault="000366D7" w:rsidP="000366D7">
      <w:pPr>
        <w:spacing w:line="480" w:lineRule="auto"/>
        <w:rPr>
          <w:rFonts w:asciiTheme="minorHAnsi" w:hAnsiTheme="minorHAnsi"/>
        </w:rPr>
      </w:pPr>
      <w:r w:rsidRPr="00B417BF">
        <w:rPr>
          <w:rFonts w:asciiTheme="minorHAnsi" w:hAnsiTheme="minorHAnsi"/>
        </w:rPr>
        <w:t>Qualitative Data Collection:</w:t>
      </w:r>
    </w:p>
    <w:p w14:paraId="53C898AF" w14:textId="77777777" w:rsidR="000366D7" w:rsidRPr="00B417BF" w:rsidRDefault="000366D7" w:rsidP="000366D7">
      <w:pPr>
        <w:spacing w:line="480" w:lineRule="auto"/>
        <w:rPr>
          <w:rFonts w:asciiTheme="minorHAnsi" w:hAnsiTheme="minorHAnsi"/>
        </w:rPr>
      </w:pPr>
      <w:r w:rsidRPr="00B417BF">
        <w:rPr>
          <w:rFonts w:asciiTheme="minorHAnsi" w:hAnsiTheme="minorHAnsi"/>
        </w:rPr>
        <w:t xml:space="preserve">All students were contacted with a link to a qualitative </w:t>
      </w:r>
      <w:r>
        <w:rPr>
          <w:rFonts w:asciiTheme="minorHAnsi" w:hAnsiTheme="minorHAnsi"/>
        </w:rPr>
        <w:t xml:space="preserve">End of Course Survey </w:t>
      </w:r>
      <w:r w:rsidRPr="00B417BF">
        <w:rPr>
          <w:rFonts w:asciiTheme="minorHAnsi" w:hAnsiTheme="minorHAnsi"/>
        </w:rPr>
        <w:t xml:space="preserve">following the last exam. Qualitative interview questions were presented </w:t>
      </w:r>
      <w:r w:rsidRPr="00B417BF">
        <w:rPr>
          <w:rFonts w:asciiTheme="minorHAnsi" w:hAnsiTheme="minorHAnsi"/>
        </w:rPr>
        <w:lastRenderedPageBreak/>
        <w:t>through the Qualtrics system.  Interviews were directly entered into data storage from Qualtrics and coded for themes.</w:t>
      </w:r>
      <w:r w:rsidRPr="00B417BF">
        <w:rPr>
          <w:rFonts w:asciiTheme="minorHAnsi" w:hAnsiTheme="minorHAnsi"/>
        </w:rPr>
        <w:fldChar w:fldCharType="begin"/>
      </w:r>
      <w:r>
        <w:rPr>
          <w:rFonts w:asciiTheme="minorHAnsi" w:hAnsiTheme="minorHAnsi"/>
        </w:rPr>
        <w:instrText xml:space="preserve"> ADDIN ZOTERO_ITEM CSL_CITATION {"citationID":"caqkmaia2","properties":{"formattedCitation":"\\super 101\\nosupersub{}","plainCitation":"101","noteIndex":0},"citationItems":[{"id":96,"uris":["http://zotero.org/users/1143701/items/U6P492NT"],"uri":["http://zotero.org/users/1143701/items/U6P492NT"],"itemData":{"id":96,"type":"article-journal","title":"Standards for Reporting Qualitative Research: A Synthesis of Recommendations","container-title":"Academic Medicine September 2014","page":"1245-1251","volume":"89","issue":"9","source":"Ovid (Your Journals@Ovid)","abstract":"Purpose: Standards for reporting exist for many types of quantitative research, but currently none exist for the broad spectrum of qualitative research. The purpose of the present study was to formulate and define standards for reporting qualitative research while preserving the requisite flexibility to accommodate various paradigms, approaches, and methods., Method: The authors identified guidelines, reporting standards, and critical appraisal criteria for qualitative research by searching PubMed, Web of Science, and Google through July 2013; reviewing the reference lists of retrieved sources; and contacting experts. Specifically, two authors reviewed a sample of sources to generate an initial set of items that were potentially important in reporting qualitative research. Through an iterative process of reviewing sources, modifying the set of items, and coding all sources for items, the authors prepared a near-final list of items and descriptions and sent this list to five external reviewers for feedback. The final items and descriptions included in the reporting standards reflect this feedback., Results: The Standards for Reporting Qualitative Research (SRQR) consists of 21 items. The authors define and explain key elements of each item and provide examples from recently published articles to illustrate ways in which the standards can be met., Conclusions: The SRQR aims to improve the transparency of all aspects of qualitative research by providing clear standards for reporting qualitative research. These standards will assist authors during manuscript preparation, editors and reviewers in evaluating a manuscript for potential publication, and readers when critically appraising, applying, and synthesizing study findings., (C) 2014 by the Association of American Medical Colleges","URL":"http://webproxy.ouhsc.edu/login?url=http://ovidsp.ovid.com/ovidweb.cgi?T=JS&amp;CSC=Y&amp;NEWS=N&amp;PAGE=fulltext&amp;D=yrovfto&amp;AN=00001888-201409000-00021","DOI":"10.1097/ACM.0000000000000388","ISSN":"1040-2446","shortTitle":"Standards for Reporting Qualitative Research","author":[{"family":"O'Brien","given":"Bridget C."},{"family":"Harris","given":"Ilene B."},{"family":"Beckman","given":"Thomas J."},{"family":"Reed","given":"Darcy A."},{"family":"Cook","given":"David A."}],"issued":{"date-parts":[["2014"]]},"accessed":{"date-parts":[["2014",9,9]]}}}],"schema":"https://github.com/citation-style-language/schema/raw/master/csl-citation.json"} </w:instrText>
      </w:r>
      <w:r w:rsidRPr="00B417BF">
        <w:rPr>
          <w:rFonts w:asciiTheme="minorHAnsi" w:hAnsiTheme="minorHAnsi"/>
        </w:rPr>
        <w:fldChar w:fldCharType="separate"/>
      </w:r>
      <w:r w:rsidRPr="00F521B2">
        <w:rPr>
          <w:rFonts w:ascii="Cambria" w:hAnsiTheme="minorHAnsi"/>
          <w:vertAlign w:val="superscript"/>
        </w:rPr>
        <w:t>101</w:t>
      </w:r>
      <w:r w:rsidRPr="00B417BF">
        <w:rPr>
          <w:rFonts w:asciiTheme="minorHAnsi" w:hAnsiTheme="minorHAnsi"/>
        </w:rPr>
        <w:fldChar w:fldCharType="end"/>
      </w:r>
      <w:r w:rsidRPr="00B417BF">
        <w:rPr>
          <w:rFonts w:asciiTheme="minorHAnsi" w:hAnsiTheme="minorHAnsi"/>
        </w:rPr>
        <w:t xml:space="preserve"> </w:t>
      </w:r>
    </w:p>
    <w:p w14:paraId="5196583A" w14:textId="77777777" w:rsidR="000366D7" w:rsidRPr="00B417BF" w:rsidRDefault="000366D7" w:rsidP="000366D7">
      <w:pPr>
        <w:spacing w:line="480" w:lineRule="auto"/>
        <w:rPr>
          <w:rFonts w:asciiTheme="minorHAnsi" w:hAnsiTheme="minorHAnsi"/>
        </w:rPr>
      </w:pPr>
    </w:p>
    <w:p w14:paraId="0FC37D11" w14:textId="77777777" w:rsidR="000366D7" w:rsidRPr="00B417BF" w:rsidRDefault="000366D7" w:rsidP="000366D7">
      <w:pPr>
        <w:spacing w:line="480" w:lineRule="auto"/>
        <w:rPr>
          <w:rFonts w:asciiTheme="minorHAnsi" w:hAnsiTheme="minorHAnsi"/>
        </w:rPr>
      </w:pPr>
      <w:r w:rsidRPr="00B417BF">
        <w:rPr>
          <w:rFonts w:asciiTheme="minorHAnsi" w:hAnsiTheme="minorHAnsi"/>
        </w:rPr>
        <w:t>Qualitative methods were used to obtain the following data:</w:t>
      </w:r>
    </w:p>
    <w:p w14:paraId="59A1C067" w14:textId="77777777" w:rsidR="000366D7" w:rsidRPr="00B417BF" w:rsidRDefault="000366D7" w:rsidP="000366D7">
      <w:pPr>
        <w:pStyle w:val="ListParagraph"/>
        <w:numPr>
          <w:ilvl w:val="0"/>
          <w:numId w:val="4"/>
        </w:numPr>
        <w:spacing w:line="480" w:lineRule="auto"/>
      </w:pPr>
      <w:r w:rsidRPr="00B417BF">
        <w:t>Detailed feedback about student perceptions</w:t>
      </w:r>
    </w:p>
    <w:p w14:paraId="2D5F1758" w14:textId="77777777" w:rsidR="000366D7" w:rsidRDefault="000366D7" w:rsidP="000366D7">
      <w:pPr>
        <w:pStyle w:val="ListParagraph"/>
        <w:numPr>
          <w:ilvl w:val="0"/>
          <w:numId w:val="4"/>
        </w:numPr>
        <w:spacing w:line="480" w:lineRule="auto"/>
      </w:pPr>
      <w:r w:rsidRPr="00B417BF">
        <w:t>Behavior trends</w:t>
      </w:r>
    </w:p>
    <w:p w14:paraId="7C679446" w14:textId="340F6256" w:rsidR="00CF35BE" w:rsidRDefault="00CF35BE" w:rsidP="00855627">
      <w:pPr>
        <w:spacing w:line="480" w:lineRule="auto"/>
        <w:outlineLvl w:val="0"/>
        <w:rPr>
          <w:rFonts w:asciiTheme="minorHAnsi" w:hAnsiTheme="minorHAnsi"/>
        </w:rPr>
      </w:pPr>
    </w:p>
    <w:p w14:paraId="22B22EC6" w14:textId="0F48F18E" w:rsidR="00FA004E" w:rsidRPr="00B417BF" w:rsidRDefault="00FA004E" w:rsidP="00855627">
      <w:pPr>
        <w:spacing w:line="480" w:lineRule="auto"/>
        <w:outlineLvl w:val="0"/>
        <w:rPr>
          <w:rFonts w:asciiTheme="minorHAnsi" w:hAnsiTheme="minorHAnsi"/>
        </w:rPr>
      </w:pPr>
      <w:r w:rsidRPr="00B417BF">
        <w:rPr>
          <w:rFonts w:asciiTheme="minorHAnsi" w:hAnsiTheme="minorHAnsi"/>
        </w:rPr>
        <w:t>Data Analysis:</w:t>
      </w:r>
      <w:r w:rsidRPr="00B417BF">
        <w:rPr>
          <w:rFonts w:asciiTheme="minorHAnsi" w:hAnsiTheme="minorHAnsi"/>
        </w:rPr>
        <w:fldChar w:fldCharType="begin"/>
      </w:r>
      <w:r w:rsidR="00F521B2">
        <w:rPr>
          <w:rFonts w:asciiTheme="minorHAnsi" w:hAnsiTheme="minorHAnsi"/>
        </w:rPr>
        <w:instrText xml:space="preserve"> ADDIN ZOTERO_ITEM CSL_CITATION {"citationID":"1k4she405q","properties":{"formattedCitation":"\\super 102\\nosupersub{}","plainCitation":"102","noteIndex":0},"citationItems":[{"id":449,"uris":["http://zotero.org/users/1143701/items/6393GUAE"],"uri":["http://zotero.org/users/1143701/items/6393GUAE"],"itemData":{"id":449,"type":"book","title":"Design of Experiments: Statistical Principles of Research Design and Analysis","publisher":"Brooks/Cole","publisher-place":"Belmont, CA","number-of-pages":"666","edition":"2nd","event-place":"Belmont, CA","ISBN":"0-534-36834-4","author":[{"family":"Kuehl","given":"Robert O"}],"issued":{"date-parts":[["2000"]]}}}],"schema":"https://github.com/citation-style-language/schema/raw/master/csl-citation.json"} </w:instrText>
      </w:r>
      <w:r w:rsidRPr="00B417BF">
        <w:rPr>
          <w:rFonts w:asciiTheme="minorHAnsi" w:hAnsiTheme="minorHAnsi"/>
        </w:rPr>
        <w:fldChar w:fldCharType="separate"/>
      </w:r>
      <w:r w:rsidR="00F521B2" w:rsidRPr="00F521B2">
        <w:rPr>
          <w:rFonts w:ascii="Cambria" w:hAnsiTheme="minorHAnsi"/>
          <w:vertAlign w:val="superscript"/>
        </w:rPr>
        <w:t>102</w:t>
      </w:r>
      <w:r w:rsidRPr="00B417BF">
        <w:rPr>
          <w:rFonts w:asciiTheme="minorHAnsi" w:hAnsiTheme="minorHAnsi"/>
        </w:rPr>
        <w:fldChar w:fldCharType="end"/>
      </w:r>
    </w:p>
    <w:p w14:paraId="28B92930" w14:textId="6320742E" w:rsidR="00FA004E" w:rsidRPr="00B417BF" w:rsidRDefault="00FA004E" w:rsidP="00FA004E">
      <w:pPr>
        <w:spacing w:line="480" w:lineRule="auto"/>
        <w:rPr>
          <w:rFonts w:asciiTheme="minorHAnsi" w:hAnsiTheme="minorHAnsi"/>
        </w:rPr>
      </w:pPr>
      <w:r w:rsidRPr="00B417BF">
        <w:rPr>
          <w:rFonts w:asciiTheme="minorHAnsi" w:hAnsiTheme="minorHAnsi"/>
        </w:rPr>
        <w:t xml:space="preserve">For purposes of this study, the cut point </w:t>
      </w:r>
      <w:r w:rsidR="001D77A8">
        <w:rPr>
          <w:rFonts w:asciiTheme="minorHAnsi" w:hAnsiTheme="minorHAnsi"/>
        </w:rPr>
        <w:t>was</w:t>
      </w:r>
      <w:r w:rsidRPr="00B417BF">
        <w:rPr>
          <w:rFonts w:asciiTheme="minorHAnsi" w:hAnsiTheme="minorHAnsi"/>
        </w:rPr>
        <w:t xml:space="preserve"> an overall course grade below 80%</w:t>
      </w:r>
      <w:r w:rsidR="001A34C5">
        <w:rPr>
          <w:rFonts w:asciiTheme="minorHAnsi" w:hAnsiTheme="minorHAnsi"/>
        </w:rPr>
        <w:t>.</w:t>
      </w:r>
      <w:r w:rsidR="005723EB" w:rsidRPr="00B417BF">
        <w:rPr>
          <w:rFonts w:asciiTheme="minorHAnsi" w:hAnsiTheme="minorHAnsi"/>
        </w:rPr>
        <w:fldChar w:fldCharType="begin"/>
      </w:r>
      <w:r w:rsidR="002F2356">
        <w:rPr>
          <w:rFonts w:asciiTheme="minorHAnsi" w:hAnsiTheme="minorHAnsi"/>
        </w:rPr>
        <w:instrText xml:space="preserve"> ADDIN ZOTERO_ITEM CSL_CITATION {"citationID":"a1drthc84nr","properties":{"formattedCitation":"\\super 5\\nosupersub{}","plainCitation":"5","noteIndex":0},"citationItems":[{"id":360,"uris":["http://zotero.org/users/1143701/items/KRDRIZSG"],"uri":["http://zotero.org/users/1143701/items/KRDRIZSG"],"itemData":{"id":360,"type":"article-journal","title":"Correlations between PANCE performance, physician assistant program grade point average, and selection criteria","container-title":"The Journal of Physician Assistant Education: The Official Journal of the Physician Assistant Education Association","page":"42-44","volume":"24","issue":"1","source":"NCBI PubMed","abstract":"PURPOSE: The purpose of this study was to examine correlations between first-time Physician Assistant National Certifying Exam (PANCE) scores and pass/fail status, physician assistant (PA) program didactic grade point average (GPA), and specific selection criteria.\nMETHODS: This retrospective study evaluated graduating classes from 2007, 2008, and 2009 at a single program (N = 119).\nRESULTS: There was no correlation between PANCE performance and undergraduate grade point average (GPA), science prerequisite GPA, or health care experience. There was a moderate correlation between PANCE pass/fail and where students took science prerequisites (r = 0.27, P = .003) but not with the PANCE score. PANCE scores were correlated with overall PA program GPA (r = 0.67), PA pharmacology grade (r = 0.68), and PA anatomy grade (r = 0.41) but not with PANCE pass/fail.\nCONCLUSIONS: Correlations between selection criteria and PANCE performance were limited, but further research regarding the influence of prerequisite institution type may be warranted and may improve admission decisions. PANCE scores and PA program GPA correlations may guide academic advising and remediation decisions for current students.","ISSN":"1941-9430","note":"PMID: 23858825","journalAbbreviation":"J Physician Assist Educ","language":"eng","author":[{"family":"Brown","given":"Gina"},{"family":"Imel","given":"Brittany"},{"family":"Nelson","given":"Alyssa"},{"family":"Hale","given":"LaDonna S."},{"family":"Jansen","given":"Nick"}],"issued":{"date-parts":[["2013"]]}}}],"schema":"https://github.com/citation-style-language/schema/raw/master/csl-citation.json"} </w:instrText>
      </w:r>
      <w:r w:rsidR="005723EB" w:rsidRPr="00B417BF">
        <w:rPr>
          <w:rFonts w:asciiTheme="minorHAnsi" w:hAnsiTheme="minorHAnsi"/>
        </w:rPr>
        <w:fldChar w:fldCharType="separate"/>
      </w:r>
      <w:r w:rsidR="002F2356" w:rsidRPr="002F2356">
        <w:rPr>
          <w:rFonts w:ascii="Cambria" w:hAnsiTheme="minorHAnsi"/>
          <w:vertAlign w:val="superscript"/>
        </w:rPr>
        <w:t>5</w:t>
      </w:r>
      <w:r w:rsidR="005723EB" w:rsidRPr="00B417BF">
        <w:rPr>
          <w:rFonts w:asciiTheme="minorHAnsi" w:hAnsiTheme="minorHAnsi"/>
        </w:rPr>
        <w:fldChar w:fldCharType="end"/>
      </w:r>
      <w:r w:rsidRPr="00B417BF">
        <w:rPr>
          <w:rFonts w:asciiTheme="minorHAnsi" w:hAnsiTheme="minorHAnsi"/>
        </w:rPr>
        <w:t xml:space="preserve"> Students scoring below 80% were considered Minimally Competent/Barely Passing </w:t>
      </w:r>
      <w:r w:rsidR="00645AF8">
        <w:rPr>
          <w:rFonts w:asciiTheme="minorHAnsi" w:hAnsiTheme="minorHAnsi"/>
        </w:rPr>
        <w:t>Students</w:t>
      </w:r>
      <w:r w:rsidRPr="00B417BF">
        <w:rPr>
          <w:rFonts w:asciiTheme="minorHAnsi" w:hAnsiTheme="minorHAnsi"/>
        </w:rPr>
        <w:t>(MCBP</w:t>
      </w:r>
      <w:r w:rsidR="00645AF8">
        <w:rPr>
          <w:rFonts w:asciiTheme="minorHAnsi" w:hAnsiTheme="minorHAnsi"/>
        </w:rPr>
        <w:t>s</w:t>
      </w:r>
      <w:r w:rsidRPr="00B417BF">
        <w:rPr>
          <w:rFonts w:asciiTheme="minorHAnsi" w:hAnsiTheme="minorHAnsi"/>
        </w:rPr>
        <w:t>)</w:t>
      </w:r>
      <w:r w:rsidR="003B5338">
        <w:rPr>
          <w:rFonts w:asciiTheme="minorHAnsi" w:hAnsiTheme="minorHAnsi"/>
        </w:rPr>
        <w:t>.</w:t>
      </w:r>
      <w:r w:rsidRPr="00B417BF">
        <w:rPr>
          <w:rFonts w:asciiTheme="minorHAnsi" w:hAnsiTheme="minorHAnsi"/>
        </w:rPr>
        <w:fldChar w:fldCharType="begin"/>
      </w:r>
      <w:r w:rsidR="00F521B2">
        <w:rPr>
          <w:rFonts w:asciiTheme="minorHAnsi" w:hAnsiTheme="minorHAnsi"/>
        </w:rPr>
        <w:instrText xml:space="preserve"> ADDIN ZOTERO_ITEM CSL_CITATION {"citationID":"28fug2hmt3","properties":{"formattedCitation":"\\super 103,104\\nosupersub{}","plainCitation":"103,104","noteIndex":0},"citationItems":[{"id":231,"uris":["http://zotero.org/users/1143701/items/BPTVHPUW"],"uri":["http://zotero.org/users/1143701/items/BPTVHPUW"],"itemData":{"id":231,"type":"article-journal","title":"The passing score in the objective structured clinical examination","container-title":"Medical Education","page":"345-348","volume":"30","issue":"5","source":"NCBI PubMed","abstract":"The objective structured clinical examination (OSCE) now has an established place in the assessment of the medical undergraduate. While much has been written about the reliability of the OSCE, empirical work on the determination of the passing score which represents competence on the OSCE is rarely encountered. If the OSCE is to play its role in the 'high stakes' testing of clinical competence, it is important that this passing score be set reliably and defensibly. This article illustrates how a two-session modified Angoff standard-setting procedure is used to set the passing score on a 14 station Obstetrics and Gynaecology OSCE used to assess final year students at The Queen's University of Belfast. The Angoff methodology harnesses the professional judgement of expert judges to establish defensible standards. Four university teachers, five non-academic consultants and six junior clinical staff took part in a two-session Angoff standard-setting procedure. In the first session, the judges (individually and in silence) used their professional judgement to estimate the score which a minimally competent final year obstetrics and gynaecology student should achieve on each tested element of the OSCE. In the second session they revised their session 1 judgements in the light of the OSCE scores of real students and the opportunity for structured discussion. The passing score for the OSCE is reported together with the statistical measures which assure its reliability.","ISSN":"0308-0110","note":"PMID: 8949473","journalAbbreviation":"Med Educ","language":"eng","author":[{"family":"Morrison","given":"H."},{"family":"McNally","given":"H."},{"family":"Wylie","given":"C."},{"family":"McFaul","given":"P."},{"family":"Thompson","given":"W."}],"issued":{"date-parts":[["1996",9]]}}},{"id":233,"uris":["http://zotero.org/users/1143701/items/X3I8M2MB"],"uri":["http://zotero.org/users/1143701/items/X3I8M2MB"],"itemData":{"id":233,"type":"article-journal","title":"Is an Angoff Standard an Indication of Minimal Competence of Examinees or of Judges?","container-title":"Advances in Health Sciences Education","page":"203-211","volume":"13","issue":"2","source":"link.springer.com.webproxy.ouhsc.edu","abstract":"Background To establish credible, defensible and acceptable passing scores for written tests is a challenge for health profession educators. Angoff procedures are often used to establish pass/fail decisions for written and performance tests. In an Angoff procedure judges’ expertise and professional skills are assumed to influence their ratings of the items during standard-setting. The purpose of this study was to investigate the impact of judges’ item-related knowledge on their judgement of the difficulty of items, and second, to determine the stability of differences between judges. Method Thirteen judges were presented with two sets of 60 items on different occasions. They were asked to not only judge the difficulty of the items but also to answer them, without the benefit of the answer key. For each of the 120 items an Angoff estimate and an item score were obtained. The relationship between the Angoff estimate and the item score was examined by applying a regression analysis to the 60 items (Angoff estimate, score) for each judge at each occasion. Results and conclusions This study shows that in standard-setting the individual judgement of the individual item is not only a reflection of the difficulty of the item but also of the inherent stringency of the judge and his/her subject-related knowledge. Considerable variation between judges in their stringency was found, and Angoff estimates were significantly affected by a judge knowing or not knowing the answer to the item. These findings stress the importance of a careful selection process of the Angoff judges when making pass/fail decisions in health professions education. They imply that judges should be selected who are not only capable of conceptualising the ‘minimally competent student’, but who would also be capable of answering all the items.","URL":"http://link.springer.com/article/10.1007/s10459-006-9035-1","DOI":"10.1007/s10459-006-9035-1","ISSN":"1382-4996, 1573-1677","journalAbbreviation":"Adv in Health Sci Educ","language":"en","author":[{"family":"Verheggen","given":"M. M."},{"family":"Muijtjens","given":"A. M. M."},{"family":"Os","given":"J. Van"},{"family":"Schuwirth","given":"L. W. T."}],"issued":{"date-parts":[["2008",5,1]]},"accessed":{"date-parts":[["2014",12,29]]}}}],"schema":"https://github.com/citation-style-language/schema/raw/master/csl-citation.json"} </w:instrText>
      </w:r>
      <w:r w:rsidRPr="00B417BF">
        <w:rPr>
          <w:rFonts w:asciiTheme="minorHAnsi" w:hAnsiTheme="minorHAnsi"/>
        </w:rPr>
        <w:fldChar w:fldCharType="separate"/>
      </w:r>
      <w:r w:rsidR="00F521B2" w:rsidRPr="00F521B2">
        <w:rPr>
          <w:rFonts w:ascii="Cambria" w:hAnsiTheme="minorHAnsi"/>
          <w:vertAlign w:val="superscript"/>
        </w:rPr>
        <w:t>103,104</w:t>
      </w:r>
      <w:r w:rsidRPr="00B417BF">
        <w:rPr>
          <w:rFonts w:asciiTheme="minorHAnsi" w:hAnsiTheme="minorHAnsi"/>
        </w:rPr>
        <w:fldChar w:fldCharType="end"/>
      </w:r>
      <w:r w:rsidRPr="00B417BF">
        <w:rPr>
          <w:rFonts w:asciiTheme="minorHAnsi" w:hAnsiTheme="minorHAnsi"/>
          <w:vertAlign w:val="superscript"/>
        </w:rPr>
        <w:t>,</w:t>
      </w:r>
      <w:r w:rsidRPr="00B417BF">
        <w:rPr>
          <w:rFonts w:asciiTheme="minorHAnsi" w:hAnsiTheme="minorHAnsi"/>
        </w:rPr>
        <w:fldChar w:fldCharType="begin"/>
      </w:r>
      <w:r w:rsidR="002F2356">
        <w:rPr>
          <w:rFonts w:asciiTheme="minorHAnsi" w:hAnsiTheme="minorHAnsi"/>
        </w:rPr>
        <w:instrText xml:space="preserve"> ADDIN ZOTERO_ITEM CSL_CITATION {"citationID":"31fmi6q2j","properties":{"formattedCitation":"\\super 5\\nosupersub{}","plainCitation":"5","noteIndex":0},"citationItems":[{"id":360,"uris":["http://zotero.org/users/1143701/items/KRDRIZSG"],"uri":["http://zotero.org/users/1143701/items/KRDRIZSG"],"itemData":{"id":360,"type":"article-journal","title":"Correlations between PANCE performance, physician assistant program grade point average, and selection criteria","container-title":"The Journal of Physician Assistant Education: The Official Journal of the Physician Assistant Education Association","page":"42-44","volume":"24","issue":"1","source":"NCBI PubMed","abstract":"PURPOSE: The purpose of this study was to examine correlations between first-time Physician Assistant National Certifying Exam (PANCE) scores and pass/fail status, physician assistant (PA) program didactic grade point average (GPA), and specific selection criteria.\nMETHODS: This retrospective study evaluated graduating classes from 2007, 2008, and 2009 at a single program (N = 119).\nRESULTS: There was no correlation between PANCE performance and undergraduate grade point average (GPA), science prerequisite GPA, or health care experience. There was a moderate correlation between PANCE pass/fail and where students took science prerequisites (r = 0.27, P = .003) but not with the PANCE score. PANCE scores were correlated with overall PA program GPA (r = 0.67), PA pharmacology grade (r = 0.68), and PA anatomy grade (r = 0.41) but not with PANCE pass/fail.\nCONCLUSIONS: Correlations between selection criteria and PANCE performance were limited, but further research regarding the influence of prerequisite institution type may be warranted and may improve admission decisions. PANCE scores and PA program GPA correlations may guide academic advising and remediation decisions for current students.","ISSN":"1941-9430","note":"PMID: 23858825","journalAbbreviation":"J Physician Assist Educ","language":"eng","author":[{"family":"Brown","given":"Gina"},{"family":"Imel","given":"Brittany"},{"family":"Nelson","given":"Alyssa"},{"family":"Hale","given":"LaDonna S."},{"family":"Jansen","given":"Nick"}],"issued":{"date-parts":[["2013"]]}}}],"schema":"https://github.com/citation-style-language/schema/raw/master/csl-citation.json"} </w:instrText>
      </w:r>
      <w:r w:rsidRPr="00B417BF">
        <w:rPr>
          <w:rFonts w:asciiTheme="minorHAnsi" w:hAnsiTheme="minorHAnsi"/>
        </w:rPr>
        <w:fldChar w:fldCharType="separate"/>
      </w:r>
      <w:r w:rsidR="002F2356" w:rsidRPr="002F2356">
        <w:rPr>
          <w:rFonts w:ascii="Cambria" w:hAnsiTheme="minorHAnsi"/>
          <w:vertAlign w:val="superscript"/>
        </w:rPr>
        <w:t>5</w:t>
      </w:r>
      <w:r w:rsidRPr="00B417BF">
        <w:rPr>
          <w:rFonts w:asciiTheme="minorHAnsi" w:hAnsiTheme="minorHAnsi"/>
        </w:rPr>
        <w:fldChar w:fldCharType="end"/>
      </w:r>
      <w:r w:rsidRPr="00B417BF">
        <w:rPr>
          <w:rFonts w:asciiTheme="minorHAnsi" w:hAnsiTheme="minorHAnsi"/>
          <w:vertAlign w:val="superscript"/>
        </w:rPr>
        <w:t>,</w:t>
      </w:r>
      <w:r w:rsidRPr="00B417BF">
        <w:rPr>
          <w:rFonts w:asciiTheme="minorHAnsi" w:hAnsiTheme="minorHAnsi"/>
          <w:vertAlign w:val="superscript"/>
        </w:rPr>
        <w:fldChar w:fldCharType="begin"/>
      </w:r>
      <w:r w:rsidR="00F521B2">
        <w:rPr>
          <w:rFonts w:asciiTheme="minorHAnsi" w:hAnsiTheme="minorHAnsi"/>
          <w:vertAlign w:val="superscript"/>
        </w:rPr>
        <w:instrText xml:space="preserve"> ADDIN ZOTERO_ITEM CSL_CITATION {"citationID":"b6u8up23a","properties":{"formattedCitation":"\\super 105\\nosupersub{}","plainCitation":"105","noteIndex":0},"citationItems":[{"id":262,"uris":["http://zotero.org/users/1143701/items/3S7X8RDX"],"uri":["http://zotero.org/users/1143701/items/3S7X8RDX"],"itemData":{"id":262,"type":"article-journal","title":"Setting Standards in a Professional Higher Education Course: Defining the Concept of the Minimally Competent Student in Performance-Based Assessment at the Level of Graduation from Medical School","container-title":"Higher Education Quarterly","page":"74-90","volume":"60","issue":"1","source":"Wiley Online Library","abstract":"In this era of audit and accountability, there is an imperative to demonstrate and document that appropriate standards have been set in professional education. In medicine, stakeholders want assurance that graduates have attained the required level of competence to be awarded a provisional licence to practise. To investigate the results of a previous study, which revealed that different medical schools set significantly different pass marks for graduating examinations, we examined the descriptors for the minimally competent or ‘borderline’ students which the participants had produced. In this paper we analyse the differences in these descriptors. There was good agreement in the areas of knowledge and clinical skills proficiencies but much less consistency in the use of descriptors covering the themes of communication skills, interpersonal skills and professionalism. It may be that clinicians are not used to thinking about the ‘borderline’ area of clinical competence and have difficulty in translating this nebulous concept into a numerical score.","URL":"http://onlinelibrary.wiley.com.ezproxy.lib.ou.edu/doi/10.1111/j.1468-2273.2006.00308.x/abstract","DOI":"10.1111/j.1468-2273.2006.00308.x","ISSN":"1468-2273","shortTitle":"Setting Standards in a Professional Higher Education Course","language":"en","author":[{"family":"Boursicot","given":"Katharine"}],"issued":{"date-parts":[["2006"]]},"accessed":{"date-parts":[["2014",12,29]]}}}],"schema":"https://github.com/citation-style-language/schema/raw/master/csl-citation.json"} </w:instrText>
      </w:r>
      <w:r w:rsidRPr="00B417BF">
        <w:rPr>
          <w:rFonts w:asciiTheme="minorHAnsi" w:hAnsiTheme="minorHAnsi"/>
          <w:vertAlign w:val="superscript"/>
        </w:rPr>
        <w:fldChar w:fldCharType="separate"/>
      </w:r>
      <w:r w:rsidR="00F521B2" w:rsidRPr="00F521B2">
        <w:rPr>
          <w:rFonts w:ascii="Cambria" w:hAnsiTheme="minorHAnsi"/>
          <w:vertAlign w:val="superscript"/>
        </w:rPr>
        <w:t>105</w:t>
      </w:r>
      <w:r w:rsidRPr="00B417BF">
        <w:rPr>
          <w:rFonts w:asciiTheme="minorHAnsi" w:hAnsiTheme="minorHAnsi"/>
          <w:vertAlign w:val="superscript"/>
        </w:rPr>
        <w:fldChar w:fldCharType="end"/>
      </w:r>
      <w:r w:rsidR="006B235F" w:rsidRPr="00B417BF">
        <w:rPr>
          <w:rFonts w:asciiTheme="minorHAnsi" w:hAnsiTheme="minorHAnsi"/>
        </w:rPr>
        <w:t xml:space="preserve">  </w:t>
      </w:r>
    </w:p>
    <w:p w14:paraId="626DE64F" w14:textId="77777777" w:rsidR="00FA004E" w:rsidRPr="00B417BF" w:rsidRDefault="00FA004E" w:rsidP="00FA004E">
      <w:pPr>
        <w:spacing w:line="480" w:lineRule="auto"/>
        <w:rPr>
          <w:rFonts w:asciiTheme="minorHAnsi" w:hAnsiTheme="minorHAnsi"/>
        </w:rPr>
      </w:pPr>
    </w:p>
    <w:p w14:paraId="25EE9C2A" w14:textId="48B83A26" w:rsidR="00FA004E" w:rsidRPr="00B417BF" w:rsidRDefault="001A34C5" w:rsidP="00FA004E">
      <w:pPr>
        <w:spacing w:line="480" w:lineRule="auto"/>
        <w:rPr>
          <w:rFonts w:asciiTheme="minorHAnsi" w:hAnsiTheme="minorHAnsi"/>
        </w:rPr>
      </w:pPr>
      <w:r>
        <w:rPr>
          <w:rFonts w:asciiTheme="minorHAnsi" w:hAnsiTheme="minorHAnsi"/>
        </w:rPr>
        <w:t>D</w:t>
      </w:r>
      <w:r w:rsidR="00FA004E" w:rsidRPr="00B417BF">
        <w:rPr>
          <w:rFonts w:asciiTheme="minorHAnsi" w:hAnsiTheme="minorHAnsi"/>
        </w:rPr>
        <w:t xml:space="preserve">emographic information, </w:t>
      </w:r>
      <w:r w:rsidR="006B235F" w:rsidRPr="00B417BF">
        <w:rPr>
          <w:rFonts w:asciiTheme="minorHAnsi" w:hAnsiTheme="minorHAnsi"/>
        </w:rPr>
        <w:t xml:space="preserve">Brief </w:t>
      </w:r>
      <w:r w:rsidR="00FA004E" w:rsidRPr="00B417BF">
        <w:rPr>
          <w:rFonts w:asciiTheme="minorHAnsi" w:hAnsiTheme="minorHAnsi"/>
        </w:rPr>
        <w:t xml:space="preserve">COPE score, and academic performance </w:t>
      </w:r>
      <w:r w:rsidR="006B235F" w:rsidRPr="00B417BF">
        <w:rPr>
          <w:rFonts w:asciiTheme="minorHAnsi" w:hAnsiTheme="minorHAnsi"/>
        </w:rPr>
        <w:t>were explored</w:t>
      </w:r>
      <w:r w:rsidR="00FA004E" w:rsidRPr="00B417BF">
        <w:rPr>
          <w:rFonts w:asciiTheme="minorHAnsi" w:hAnsiTheme="minorHAnsi"/>
        </w:rPr>
        <w:t xml:space="preserve"> using Chronbach’s Alpha and Linear Regression model.  Correlati</w:t>
      </w:r>
      <w:r w:rsidR="002C72C1">
        <w:rPr>
          <w:rFonts w:asciiTheme="minorHAnsi" w:hAnsiTheme="minorHAnsi"/>
        </w:rPr>
        <w:t>on of exam scores</w:t>
      </w:r>
      <w:r w:rsidR="00D742BB" w:rsidRPr="00B417BF">
        <w:rPr>
          <w:rFonts w:asciiTheme="minorHAnsi" w:hAnsiTheme="minorHAnsi"/>
        </w:rPr>
        <w:t xml:space="preserve"> and </w:t>
      </w:r>
      <w:r w:rsidR="006B235F" w:rsidRPr="00B417BF">
        <w:rPr>
          <w:rFonts w:asciiTheme="minorHAnsi" w:hAnsiTheme="minorHAnsi"/>
        </w:rPr>
        <w:t xml:space="preserve">Brief </w:t>
      </w:r>
      <w:r w:rsidR="00D742BB" w:rsidRPr="00B417BF">
        <w:rPr>
          <w:rFonts w:asciiTheme="minorHAnsi" w:hAnsiTheme="minorHAnsi"/>
        </w:rPr>
        <w:t xml:space="preserve">COPE item </w:t>
      </w:r>
      <w:r w:rsidR="002C72C1">
        <w:rPr>
          <w:rFonts w:asciiTheme="minorHAnsi" w:hAnsiTheme="minorHAnsi"/>
        </w:rPr>
        <w:t>responses</w:t>
      </w:r>
      <w:r w:rsidR="00D742BB" w:rsidRPr="00B417BF">
        <w:rPr>
          <w:rFonts w:asciiTheme="minorHAnsi" w:hAnsiTheme="minorHAnsi"/>
        </w:rPr>
        <w:t xml:space="preserve"> w</w:t>
      </w:r>
      <w:r w:rsidR="00FA004E" w:rsidRPr="00B417BF">
        <w:rPr>
          <w:rFonts w:asciiTheme="minorHAnsi" w:hAnsiTheme="minorHAnsi"/>
        </w:rPr>
        <w:t>ere obtain</w:t>
      </w:r>
      <w:r w:rsidR="006B235F" w:rsidRPr="00B417BF">
        <w:rPr>
          <w:rFonts w:asciiTheme="minorHAnsi" w:hAnsiTheme="minorHAnsi"/>
        </w:rPr>
        <w:t xml:space="preserve">ed.  </w:t>
      </w:r>
      <w:r w:rsidR="00A035A2">
        <w:rPr>
          <w:rFonts w:asciiTheme="minorHAnsi" w:hAnsiTheme="minorHAnsi"/>
        </w:rPr>
        <w:t xml:space="preserve">Significance was analyzed via a 2-tailed </w:t>
      </w:r>
      <w:r w:rsidR="00A035A2">
        <w:rPr>
          <w:rFonts w:asciiTheme="minorHAnsi" w:hAnsiTheme="minorHAnsi"/>
          <w:i/>
        </w:rPr>
        <w:t>t-</w:t>
      </w:r>
      <w:r w:rsidR="00A035A2">
        <w:rPr>
          <w:rFonts w:asciiTheme="minorHAnsi" w:hAnsiTheme="minorHAnsi"/>
        </w:rPr>
        <w:t xml:space="preserve">test.  </w:t>
      </w:r>
      <w:r w:rsidR="006B235F" w:rsidRPr="00B417BF">
        <w:rPr>
          <w:rFonts w:asciiTheme="minorHAnsi" w:hAnsiTheme="minorHAnsi"/>
        </w:rPr>
        <w:t xml:space="preserve">The </w:t>
      </w:r>
      <w:r w:rsidR="006B235F" w:rsidRPr="00B417BF">
        <w:rPr>
          <w:rFonts w:asciiTheme="minorHAnsi" w:hAnsiTheme="minorHAnsi"/>
          <w:i/>
        </w:rPr>
        <w:t>p</w:t>
      </w:r>
      <w:r w:rsidR="00C56B2A" w:rsidRPr="00B417BF">
        <w:rPr>
          <w:rFonts w:asciiTheme="minorHAnsi" w:hAnsiTheme="minorHAnsi"/>
        </w:rPr>
        <w:t xml:space="preserve"> value was set at 0.05</w:t>
      </w:r>
      <w:r w:rsidR="00FA004E" w:rsidRPr="00B417BF">
        <w:rPr>
          <w:rFonts w:asciiTheme="minorHAnsi" w:hAnsiTheme="minorHAnsi"/>
        </w:rPr>
        <w:t xml:space="preserve">.  </w:t>
      </w:r>
      <w:r w:rsidR="002C72C1">
        <w:rPr>
          <w:rFonts w:asciiTheme="minorHAnsi" w:hAnsiTheme="minorHAnsi"/>
        </w:rPr>
        <w:t>Brief COPE items that had significant correlation with exam score where then further evaluated.</w:t>
      </w:r>
    </w:p>
    <w:p w14:paraId="23DB15BE" w14:textId="77777777" w:rsidR="00C56B2A" w:rsidRPr="00B417BF" w:rsidRDefault="00C56B2A" w:rsidP="00FA004E">
      <w:pPr>
        <w:spacing w:line="480" w:lineRule="auto"/>
        <w:rPr>
          <w:rFonts w:asciiTheme="minorHAnsi" w:hAnsiTheme="minorHAnsi"/>
        </w:rPr>
      </w:pPr>
    </w:p>
    <w:p w14:paraId="1A922597" w14:textId="2A4EC910" w:rsidR="00FA004E" w:rsidRPr="00B417BF" w:rsidRDefault="00FA004E" w:rsidP="00FA004E">
      <w:pPr>
        <w:spacing w:line="480" w:lineRule="auto"/>
        <w:rPr>
          <w:rFonts w:asciiTheme="minorHAnsi" w:hAnsiTheme="minorHAnsi"/>
        </w:rPr>
      </w:pPr>
      <w:r w:rsidRPr="00B417BF">
        <w:rPr>
          <w:rFonts w:asciiTheme="minorHAnsi" w:hAnsiTheme="minorHAnsi"/>
        </w:rPr>
        <w:t>Between groups:</w:t>
      </w:r>
    </w:p>
    <w:p w14:paraId="73B8C82D" w14:textId="4B6E27DB" w:rsidR="00FA004E" w:rsidRPr="00B417BF" w:rsidRDefault="001A34C5" w:rsidP="00FA004E">
      <w:pPr>
        <w:spacing w:line="480" w:lineRule="auto"/>
        <w:rPr>
          <w:rFonts w:asciiTheme="minorHAnsi" w:hAnsiTheme="minorHAnsi"/>
        </w:rPr>
      </w:pPr>
      <w:r>
        <w:rPr>
          <w:rFonts w:asciiTheme="minorHAnsi" w:hAnsiTheme="minorHAnsi"/>
        </w:rPr>
        <w:t>Brief</w:t>
      </w:r>
      <w:r w:rsidR="00FA004E" w:rsidRPr="00B417BF">
        <w:rPr>
          <w:rFonts w:asciiTheme="minorHAnsi" w:hAnsiTheme="minorHAnsi"/>
        </w:rPr>
        <w:t xml:space="preserve"> COPE scores </w:t>
      </w:r>
      <w:r>
        <w:rPr>
          <w:rFonts w:asciiTheme="minorHAnsi" w:hAnsiTheme="minorHAnsi"/>
        </w:rPr>
        <w:t>were compared to</w:t>
      </w:r>
      <w:r w:rsidR="00FA004E" w:rsidRPr="00B417BF">
        <w:rPr>
          <w:rFonts w:asciiTheme="minorHAnsi" w:hAnsiTheme="minorHAnsi"/>
        </w:rPr>
        <w:t xml:space="preserve"> grade</w:t>
      </w:r>
      <w:r>
        <w:rPr>
          <w:rFonts w:asciiTheme="minorHAnsi" w:hAnsiTheme="minorHAnsi"/>
        </w:rPr>
        <w:t>s</w:t>
      </w:r>
      <w:r w:rsidR="00FA004E" w:rsidRPr="00B417BF">
        <w:rPr>
          <w:rFonts w:asciiTheme="minorHAnsi" w:hAnsiTheme="minorHAnsi"/>
        </w:rPr>
        <w:t xml:space="preserve"> for each exam an</w:t>
      </w:r>
      <w:r w:rsidR="006B235F" w:rsidRPr="00B417BF">
        <w:rPr>
          <w:rFonts w:asciiTheme="minorHAnsi" w:hAnsiTheme="minorHAnsi"/>
        </w:rPr>
        <w:t xml:space="preserve">d overall course grade using </w:t>
      </w:r>
      <w:r w:rsidR="00CB6DE5" w:rsidRPr="00B417BF">
        <w:rPr>
          <w:rFonts w:asciiTheme="minorHAnsi" w:hAnsiTheme="minorHAnsi"/>
        </w:rPr>
        <w:t xml:space="preserve">mixed </w:t>
      </w:r>
      <w:r w:rsidR="006B235F" w:rsidRPr="00B417BF">
        <w:rPr>
          <w:rFonts w:asciiTheme="minorHAnsi" w:hAnsiTheme="minorHAnsi"/>
        </w:rPr>
        <w:t>AN</w:t>
      </w:r>
      <w:r w:rsidR="00FA004E" w:rsidRPr="00B417BF">
        <w:rPr>
          <w:rFonts w:asciiTheme="minorHAnsi" w:hAnsiTheme="minorHAnsi"/>
        </w:rPr>
        <w:t>OVA modeling</w:t>
      </w:r>
      <w:r w:rsidR="006B235F" w:rsidRPr="00B417BF">
        <w:rPr>
          <w:rFonts w:asciiTheme="minorHAnsi" w:hAnsiTheme="minorHAnsi"/>
        </w:rPr>
        <w:t>.  AN</w:t>
      </w:r>
      <w:r w:rsidR="00FA004E" w:rsidRPr="00B417BF">
        <w:rPr>
          <w:rFonts w:asciiTheme="minorHAnsi" w:hAnsiTheme="minorHAnsi"/>
        </w:rPr>
        <w:t xml:space="preserve">OVA combines linear relationships and comparisons of means and characteristics across groups.  Repeated measures </w:t>
      </w:r>
      <w:r w:rsidR="006B235F" w:rsidRPr="00B417BF">
        <w:rPr>
          <w:rFonts w:asciiTheme="minorHAnsi" w:hAnsiTheme="minorHAnsi"/>
        </w:rPr>
        <w:t xml:space="preserve">were performed for each group as an examination of variable interactions over </w:t>
      </w:r>
      <w:r w:rsidR="006B235F" w:rsidRPr="00B417BF">
        <w:rPr>
          <w:rFonts w:asciiTheme="minorHAnsi" w:hAnsiTheme="minorHAnsi"/>
        </w:rPr>
        <w:lastRenderedPageBreak/>
        <w:t xml:space="preserve">time.  Further examinations of Brief COPE items as co-variates were </w:t>
      </w:r>
      <w:r w:rsidR="003A7CC1">
        <w:rPr>
          <w:rFonts w:asciiTheme="minorHAnsi" w:hAnsiTheme="minorHAnsi"/>
        </w:rPr>
        <w:t>performed</w:t>
      </w:r>
      <w:r w:rsidR="006B235F" w:rsidRPr="00B417BF">
        <w:rPr>
          <w:rFonts w:asciiTheme="minorHAnsi" w:hAnsiTheme="minorHAnsi"/>
        </w:rPr>
        <w:t xml:space="preserve"> using a repeated measure ANCOVA.  Tests of sphericity were conducted as verification of variable influence.</w:t>
      </w:r>
    </w:p>
    <w:p w14:paraId="12E45AA4" w14:textId="77777777" w:rsidR="00FA004E" w:rsidRPr="00B417BF" w:rsidRDefault="00FA004E" w:rsidP="00FA004E">
      <w:pPr>
        <w:spacing w:line="480" w:lineRule="auto"/>
        <w:rPr>
          <w:rFonts w:asciiTheme="minorHAnsi" w:hAnsiTheme="minorHAnsi"/>
        </w:rPr>
      </w:pPr>
    </w:p>
    <w:p w14:paraId="115665F8" w14:textId="4764F1D3" w:rsidR="00FA004E" w:rsidRPr="00B417BF" w:rsidRDefault="006B235F" w:rsidP="00FA004E">
      <w:pPr>
        <w:spacing w:line="480" w:lineRule="auto"/>
        <w:rPr>
          <w:rFonts w:asciiTheme="minorHAnsi" w:hAnsiTheme="minorHAnsi"/>
        </w:rPr>
      </w:pPr>
      <w:r w:rsidRPr="00B417BF">
        <w:rPr>
          <w:rFonts w:asciiTheme="minorHAnsi" w:hAnsiTheme="minorHAnsi"/>
        </w:rPr>
        <w:t xml:space="preserve">Qualitative results were analyzed </w:t>
      </w:r>
      <w:r w:rsidR="006F1E53" w:rsidRPr="00B417BF">
        <w:rPr>
          <w:rFonts w:asciiTheme="minorHAnsi" w:hAnsiTheme="minorHAnsi"/>
        </w:rPr>
        <w:t xml:space="preserve">using manual </w:t>
      </w:r>
      <w:r w:rsidR="00C56B2A" w:rsidRPr="00B417BF">
        <w:rPr>
          <w:rFonts w:asciiTheme="minorHAnsi" w:hAnsiTheme="minorHAnsi"/>
        </w:rPr>
        <w:t xml:space="preserve">categorical </w:t>
      </w:r>
      <w:r w:rsidR="006F1E53" w:rsidRPr="00B417BF">
        <w:rPr>
          <w:rFonts w:asciiTheme="minorHAnsi" w:hAnsiTheme="minorHAnsi"/>
        </w:rPr>
        <w:t>coding</w:t>
      </w:r>
      <w:r w:rsidR="003B5338">
        <w:rPr>
          <w:rFonts w:asciiTheme="minorHAnsi" w:hAnsiTheme="minorHAnsi"/>
        </w:rPr>
        <w:t>.</w:t>
      </w:r>
      <w:r w:rsidR="00267983" w:rsidRPr="00B417BF">
        <w:rPr>
          <w:rFonts w:asciiTheme="minorHAnsi" w:hAnsiTheme="minorHAnsi"/>
        </w:rPr>
        <w:fldChar w:fldCharType="begin"/>
      </w:r>
      <w:r w:rsidR="00F521B2">
        <w:rPr>
          <w:rFonts w:asciiTheme="minorHAnsi" w:hAnsiTheme="minorHAnsi"/>
        </w:rPr>
        <w:instrText xml:space="preserve"> ADDIN ZOTERO_ITEM CSL_CITATION {"citationID":"a2vkd9b8vh","properties":{"formattedCitation":"\\super 106\\nosupersub{}","plainCitation":"106","noteIndex":0},"citationItems":[{"id":1060,"uris":["http://zotero.org/users/1143701/items/TEFVLITT"],"uri":["http://zotero.org/users/1143701/items/TEFVLITT"],"itemData":{"id":1060,"type":"article-journal","title":"Manual or electronic? The role of coding in qualitative data analysis","container-title":"Educational Research","page":"143-154","volume":"45","issue":"2","source":"Taylor and Francis+NEJM","abstract":"Data analysis is the most difficult and most crucial aspect of qualitative research. Coding is one of the significant steps taken during analysis to organize and make sense of textual data. This paper examines the use of manual and electronic methods to code data in two rather different projects in which the data were collected mainly by in-depth interviewing. The author looks at both the methods in the light of her own experience and concludes that the choice will be dependent on the size of the project, the funds and time available, and the inclination and expertise of the researcher.","URL":"https://doi.org/10.1080/0013188032000133548","DOI":"10.1080/0013188032000133548","ISSN":"0013-1881","shortTitle":"Manual or electronic?","author":[{"family":"Basit","given":"Tehmina"}],"issued":{"date-parts":[["2003",6,1]]},"accessed":{"date-parts":[["2018",3,11]]}}}],"schema":"https://github.com/citation-style-language/schema/raw/master/csl-citation.json"} </w:instrText>
      </w:r>
      <w:r w:rsidR="00267983" w:rsidRPr="00B417BF">
        <w:rPr>
          <w:rFonts w:asciiTheme="minorHAnsi" w:hAnsiTheme="minorHAnsi"/>
        </w:rPr>
        <w:fldChar w:fldCharType="separate"/>
      </w:r>
      <w:r w:rsidR="00F521B2" w:rsidRPr="00F521B2">
        <w:rPr>
          <w:rFonts w:ascii="Cambria" w:hAnsiTheme="minorHAnsi"/>
          <w:vertAlign w:val="superscript"/>
        </w:rPr>
        <w:t>106</w:t>
      </w:r>
      <w:r w:rsidR="00267983" w:rsidRPr="00B417BF">
        <w:rPr>
          <w:rFonts w:asciiTheme="minorHAnsi" w:hAnsiTheme="minorHAnsi"/>
        </w:rPr>
        <w:fldChar w:fldCharType="end"/>
      </w:r>
      <w:r w:rsidR="006F1E53" w:rsidRPr="00B417BF">
        <w:rPr>
          <w:rFonts w:asciiTheme="minorHAnsi" w:hAnsiTheme="minorHAnsi"/>
        </w:rPr>
        <w:t xml:space="preserve"> </w:t>
      </w:r>
      <w:r w:rsidR="00C4515B">
        <w:rPr>
          <w:rFonts w:asciiTheme="minorHAnsi" w:hAnsiTheme="minorHAnsi"/>
        </w:rPr>
        <w:t xml:space="preserve"> </w:t>
      </w:r>
      <w:r w:rsidR="00C4515B" w:rsidRPr="00B417BF">
        <w:rPr>
          <w:rFonts w:asciiTheme="minorHAnsi" w:hAnsiTheme="minorHAnsi"/>
        </w:rPr>
        <w:t>The investigators using manual coding triangulated thematic evaluation of survey results</w:t>
      </w:r>
      <w:r w:rsidR="00C4515B">
        <w:rPr>
          <w:rFonts w:asciiTheme="minorHAnsi" w:hAnsiTheme="minorHAnsi"/>
        </w:rPr>
        <w:t xml:space="preserve">. </w:t>
      </w:r>
      <w:r w:rsidR="00C4515B" w:rsidRPr="00B417BF">
        <w:rPr>
          <w:rFonts w:asciiTheme="minorHAnsi" w:hAnsiTheme="minorHAnsi"/>
        </w:rPr>
        <w:t xml:space="preserve"> </w:t>
      </w:r>
      <w:r w:rsidR="00C53C6B">
        <w:rPr>
          <w:rFonts w:asciiTheme="minorHAnsi" w:hAnsiTheme="minorHAnsi"/>
        </w:rPr>
        <w:t xml:space="preserve">All three coders were familiar with the study and had some previous experience with coding </w:t>
      </w:r>
      <w:r w:rsidR="00301965">
        <w:rPr>
          <w:rFonts w:asciiTheme="minorHAnsi" w:hAnsiTheme="minorHAnsi"/>
        </w:rPr>
        <w:t>and/</w:t>
      </w:r>
      <w:r w:rsidR="00C53C6B">
        <w:rPr>
          <w:rFonts w:asciiTheme="minorHAnsi" w:hAnsiTheme="minorHAnsi"/>
        </w:rPr>
        <w:t xml:space="preserve">or coursework that involved manual coding.  </w:t>
      </w:r>
      <w:r w:rsidR="00FA004E" w:rsidRPr="00B417BF">
        <w:rPr>
          <w:rFonts w:asciiTheme="minorHAnsi" w:hAnsiTheme="minorHAnsi"/>
        </w:rPr>
        <w:t>Three reviewers completed qualitative analysis of survey via coding comparison</w:t>
      </w:r>
      <w:r w:rsidR="006F1E53" w:rsidRPr="00B417BF">
        <w:rPr>
          <w:rFonts w:asciiTheme="minorHAnsi" w:hAnsiTheme="minorHAnsi"/>
        </w:rPr>
        <w:t>s</w:t>
      </w:r>
      <w:r w:rsidR="00FA004E" w:rsidRPr="00B417BF">
        <w:rPr>
          <w:rFonts w:asciiTheme="minorHAnsi" w:hAnsiTheme="minorHAnsi"/>
        </w:rPr>
        <w:t xml:space="preserve"> of qualitative themes.</w:t>
      </w:r>
      <w:r w:rsidR="00C4515B" w:rsidRPr="00B417BF">
        <w:rPr>
          <w:rFonts w:asciiTheme="minorHAnsi" w:hAnsiTheme="minorHAnsi"/>
        </w:rPr>
        <w:t xml:space="preserve"> </w:t>
      </w:r>
      <w:r w:rsidR="00C4515B">
        <w:rPr>
          <w:rFonts w:asciiTheme="minorHAnsi" w:hAnsiTheme="minorHAnsi"/>
        </w:rPr>
        <w:t xml:space="preserve"> </w:t>
      </w:r>
      <w:r w:rsidR="00FA004E" w:rsidRPr="00B417BF">
        <w:rPr>
          <w:rFonts w:asciiTheme="minorHAnsi" w:hAnsiTheme="minorHAnsi"/>
        </w:rPr>
        <w:t>The</w:t>
      </w:r>
      <w:r w:rsidR="00267983" w:rsidRPr="00B417BF">
        <w:rPr>
          <w:rFonts w:asciiTheme="minorHAnsi" w:hAnsiTheme="minorHAnsi"/>
        </w:rPr>
        <w:t xml:space="preserve"> reviewers were blinded to </w:t>
      </w:r>
      <w:r w:rsidR="00FA004E" w:rsidRPr="00B417BF">
        <w:rPr>
          <w:rFonts w:asciiTheme="minorHAnsi" w:hAnsiTheme="minorHAnsi"/>
        </w:rPr>
        <w:t xml:space="preserve">others’ coding.  The </w:t>
      </w:r>
      <w:r w:rsidR="000366D7">
        <w:rPr>
          <w:rFonts w:asciiTheme="minorHAnsi" w:hAnsiTheme="minorHAnsi"/>
        </w:rPr>
        <w:t>principal investigator</w:t>
      </w:r>
      <w:r w:rsidR="00FA004E" w:rsidRPr="00B417BF">
        <w:rPr>
          <w:rFonts w:asciiTheme="minorHAnsi" w:hAnsiTheme="minorHAnsi"/>
        </w:rPr>
        <w:t xml:space="preserve"> compiled the coding and </w:t>
      </w:r>
      <w:r w:rsidR="00C53C6B">
        <w:rPr>
          <w:rFonts w:asciiTheme="minorHAnsi" w:hAnsiTheme="minorHAnsi"/>
        </w:rPr>
        <w:t xml:space="preserve">thematic </w:t>
      </w:r>
      <w:r w:rsidR="00FA004E" w:rsidRPr="00B417BF">
        <w:rPr>
          <w:rFonts w:asciiTheme="minorHAnsi" w:hAnsiTheme="minorHAnsi"/>
        </w:rPr>
        <w:t>differences were resolved between coders meeting together.</w:t>
      </w:r>
      <w:r w:rsidR="00267983" w:rsidRPr="00B417BF">
        <w:rPr>
          <w:rFonts w:asciiTheme="minorHAnsi" w:hAnsiTheme="minorHAnsi"/>
        </w:rPr>
        <w:t xml:space="preserve"> </w:t>
      </w:r>
      <w:r w:rsidR="00C53C6B">
        <w:rPr>
          <w:rFonts w:asciiTheme="minorHAnsi" w:hAnsiTheme="minorHAnsi"/>
        </w:rPr>
        <w:t xml:space="preserve">Discrepancies were resolved </w:t>
      </w:r>
      <w:r w:rsidR="00301965">
        <w:rPr>
          <w:rFonts w:asciiTheme="minorHAnsi" w:hAnsiTheme="minorHAnsi"/>
        </w:rPr>
        <w:t xml:space="preserve">though in-person sessions and re-coded as required.  </w:t>
      </w:r>
      <w:r w:rsidR="00267983" w:rsidRPr="00B417BF">
        <w:rPr>
          <w:rFonts w:asciiTheme="minorHAnsi" w:hAnsiTheme="minorHAnsi"/>
        </w:rPr>
        <w:t xml:space="preserve">Coding terms </w:t>
      </w:r>
      <w:r w:rsidR="001A34C5">
        <w:rPr>
          <w:rFonts w:asciiTheme="minorHAnsi" w:hAnsiTheme="minorHAnsi"/>
        </w:rPr>
        <w:t xml:space="preserve">and procedures </w:t>
      </w:r>
      <w:r w:rsidR="00267983" w:rsidRPr="00B417BF">
        <w:rPr>
          <w:rFonts w:asciiTheme="minorHAnsi" w:hAnsiTheme="minorHAnsi"/>
        </w:rPr>
        <w:t>were borrowed from current literature cited in this study.</w:t>
      </w:r>
    </w:p>
    <w:p w14:paraId="3A92941D" w14:textId="77777777" w:rsidR="00FA004E" w:rsidRPr="00B417BF" w:rsidRDefault="00FA004E" w:rsidP="00FA004E">
      <w:pPr>
        <w:spacing w:line="480" w:lineRule="auto"/>
        <w:rPr>
          <w:rFonts w:asciiTheme="minorHAnsi" w:hAnsiTheme="minorHAnsi"/>
        </w:rPr>
      </w:pPr>
    </w:p>
    <w:p w14:paraId="70A06DFF" w14:textId="1F9CBF0D" w:rsidR="00C4515B" w:rsidRPr="00B417BF" w:rsidRDefault="00FA004E" w:rsidP="00855627">
      <w:pPr>
        <w:spacing w:line="480" w:lineRule="auto"/>
        <w:outlineLvl w:val="0"/>
        <w:rPr>
          <w:rFonts w:asciiTheme="minorHAnsi" w:hAnsiTheme="minorHAnsi"/>
          <w:b/>
        </w:rPr>
      </w:pPr>
      <w:r w:rsidRPr="00B417BF">
        <w:rPr>
          <w:rFonts w:asciiTheme="minorHAnsi" w:hAnsiTheme="minorHAnsi"/>
          <w:b/>
        </w:rPr>
        <w:t>Strengths of Design:</w:t>
      </w:r>
    </w:p>
    <w:p w14:paraId="1F70E36B" w14:textId="5030A7D4" w:rsidR="00FA004E" w:rsidRPr="00B417BF" w:rsidRDefault="00FA004E" w:rsidP="00FA004E">
      <w:pPr>
        <w:spacing w:line="480" w:lineRule="auto"/>
        <w:rPr>
          <w:rFonts w:asciiTheme="minorHAnsi" w:hAnsiTheme="minorHAnsi"/>
        </w:rPr>
      </w:pPr>
      <w:r w:rsidRPr="00B417BF">
        <w:rPr>
          <w:rFonts w:asciiTheme="minorHAnsi" w:hAnsiTheme="minorHAnsi"/>
        </w:rPr>
        <w:t>Several aspects of the study design</w:t>
      </w:r>
      <w:r w:rsidR="001A34C5">
        <w:rPr>
          <w:rFonts w:asciiTheme="minorHAnsi" w:hAnsiTheme="minorHAnsi"/>
        </w:rPr>
        <w:t xml:space="preserve"> were selected to</w:t>
      </w:r>
      <w:r w:rsidRPr="00B417BF">
        <w:rPr>
          <w:rFonts w:asciiTheme="minorHAnsi" w:hAnsiTheme="minorHAnsi"/>
        </w:rPr>
        <w:t xml:space="preserve"> increase the </w:t>
      </w:r>
      <w:r w:rsidR="001A34C5">
        <w:rPr>
          <w:rFonts w:asciiTheme="minorHAnsi" w:hAnsiTheme="minorHAnsi"/>
        </w:rPr>
        <w:t>validity</w:t>
      </w:r>
      <w:r w:rsidRPr="00B417BF">
        <w:rPr>
          <w:rFonts w:asciiTheme="minorHAnsi" w:hAnsiTheme="minorHAnsi"/>
        </w:rPr>
        <w:t xml:space="preserve"> of the project. The Brief COPE instrument has been widely used to measure stress and student self-perception of distress</w:t>
      </w:r>
      <w:r w:rsidR="001A34C5">
        <w:rPr>
          <w:rFonts w:asciiTheme="minorHAnsi" w:hAnsiTheme="minorHAnsi"/>
        </w:rPr>
        <w:t xml:space="preserve"> and</w:t>
      </w:r>
      <w:r w:rsidRPr="00B417BF">
        <w:rPr>
          <w:rFonts w:asciiTheme="minorHAnsi" w:hAnsiTheme="minorHAnsi"/>
        </w:rPr>
        <w:t xml:space="preserve"> has been validated </w:t>
      </w:r>
      <w:r w:rsidR="006F1E53" w:rsidRPr="00B417BF">
        <w:rPr>
          <w:rFonts w:asciiTheme="minorHAnsi" w:hAnsiTheme="minorHAnsi"/>
        </w:rPr>
        <w:t>with</w:t>
      </w:r>
      <w:r w:rsidRPr="00B417BF">
        <w:rPr>
          <w:rFonts w:asciiTheme="minorHAnsi" w:hAnsiTheme="minorHAnsi"/>
        </w:rPr>
        <w:t xml:space="preserve"> college </w:t>
      </w:r>
      <w:r w:rsidR="006F1E53" w:rsidRPr="00B417BF">
        <w:rPr>
          <w:rFonts w:asciiTheme="minorHAnsi" w:hAnsiTheme="minorHAnsi"/>
        </w:rPr>
        <w:t>students</w:t>
      </w:r>
      <w:r w:rsidRPr="00B417BF">
        <w:rPr>
          <w:rFonts w:asciiTheme="minorHAnsi" w:hAnsiTheme="minorHAnsi"/>
        </w:rPr>
        <w:t xml:space="preserve"> in a wide variety of settings.  The Brief COPE also has good inter-item reliability and</w:t>
      </w:r>
      <w:r w:rsidR="001A34C5">
        <w:rPr>
          <w:rFonts w:asciiTheme="minorHAnsi" w:hAnsiTheme="minorHAnsi"/>
        </w:rPr>
        <w:t xml:space="preserve"> some</w:t>
      </w:r>
      <w:r w:rsidRPr="00B417BF">
        <w:rPr>
          <w:rFonts w:asciiTheme="minorHAnsi" w:hAnsiTheme="minorHAnsi"/>
        </w:rPr>
        <w:t xml:space="preserve"> items are reverse coded</w:t>
      </w:r>
      <w:r w:rsidR="001A34C5">
        <w:rPr>
          <w:rFonts w:asciiTheme="minorHAnsi" w:hAnsiTheme="minorHAnsi"/>
        </w:rPr>
        <w:t xml:space="preserve"> allowing</w:t>
      </w:r>
      <w:r w:rsidRPr="00B417BF">
        <w:rPr>
          <w:rFonts w:asciiTheme="minorHAnsi" w:hAnsiTheme="minorHAnsi"/>
        </w:rPr>
        <w:t xml:space="preserve"> for </w:t>
      </w:r>
      <w:r w:rsidR="00CB5412">
        <w:rPr>
          <w:rFonts w:asciiTheme="minorHAnsi" w:hAnsiTheme="minorHAnsi"/>
        </w:rPr>
        <w:t>detection of</w:t>
      </w:r>
      <w:r w:rsidRPr="00B417BF">
        <w:rPr>
          <w:rFonts w:asciiTheme="minorHAnsi" w:hAnsiTheme="minorHAnsi"/>
        </w:rPr>
        <w:t xml:space="preserve"> convenience responses.  Also, because </w:t>
      </w:r>
      <w:r w:rsidR="00CB5412">
        <w:rPr>
          <w:rFonts w:asciiTheme="minorHAnsi" w:hAnsiTheme="minorHAnsi"/>
        </w:rPr>
        <w:t>questions are</w:t>
      </w:r>
      <w:r w:rsidRPr="00B417BF">
        <w:rPr>
          <w:rFonts w:asciiTheme="minorHAnsi" w:hAnsiTheme="minorHAnsi"/>
        </w:rPr>
        <w:t xml:space="preserve"> formatted </w:t>
      </w:r>
      <w:r w:rsidR="00CB5412">
        <w:rPr>
          <w:rFonts w:asciiTheme="minorHAnsi" w:hAnsiTheme="minorHAnsi"/>
        </w:rPr>
        <w:t xml:space="preserve">to be answered </w:t>
      </w:r>
      <w:r w:rsidRPr="00B417BF">
        <w:rPr>
          <w:rFonts w:asciiTheme="minorHAnsi" w:hAnsiTheme="minorHAnsi"/>
        </w:rPr>
        <w:t>in a Likert-</w:t>
      </w:r>
      <w:r w:rsidRPr="00B417BF">
        <w:rPr>
          <w:rFonts w:asciiTheme="minorHAnsi" w:hAnsiTheme="minorHAnsi"/>
        </w:rPr>
        <w:lastRenderedPageBreak/>
        <w:t xml:space="preserve">type format, the data </w:t>
      </w:r>
      <w:r w:rsidR="00CB5412">
        <w:rPr>
          <w:rFonts w:asciiTheme="minorHAnsi" w:hAnsiTheme="minorHAnsi"/>
        </w:rPr>
        <w:t>can be</w:t>
      </w:r>
      <w:r w:rsidRPr="00B417BF">
        <w:rPr>
          <w:rFonts w:asciiTheme="minorHAnsi" w:hAnsiTheme="minorHAnsi"/>
        </w:rPr>
        <w:t xml:space="preserve"> analyzed numerically.  </w:t>
      </w:r>
      <w:r w:rsidR="000366D7">
        <w:rPr>
          <w:rFonts w:asciiTheme="minorHAnsi" w:hAnsiTheme="minorHAnsi"/>
        </w:rPr>
        <w:t>T</w:t>
      </w:r>
      <w:r w:rsidRPr="00B417BF">
        <w:rPr>
          <w:rFonts w:asciiTheme="minorHAnsi" w:hAnsiTheme="minorHAnsi"/>
        </w:rPr>
        <w:t>he Brief COPE can be administered by individual researchers</w:t>
      </w:r>
      <w:r w:rsidR="000366D7">
        <w:rPr>
          <w:rFonts w:asciiTheme="minorHAnsi" w:hAnsiTheme="minorHAnsi"/>
        </w:rPr>
        <w:t xml:space="preserve"> and</w:t>
      </w:r>
      <w:r w:rsidRPr="00B417BF">
        <w:rPr>
          <w:rFonts w:asciiTheme="minorHAnsi" w:hAnsiTheme="minorHAnsi"/>
        </w:rPr>
        <w:t xml:space="preserve"> is not restricted to paper format.</w:t>
      </w:r>
    </w:p>
    <w:p w14:paraId="48D14375" w14:textId="77777777" w:rsidR="00FA004E" w:rsidRPr="00B417BF" w:rsidRDefault="00FA004E" w:rsidP="00FA004E">
      <w:pPr>
        <w:spacing w:line="480" w:lineRule="auto"/>
        <w:rPr>
          <w:rFonts w:asciiTheme="minorHAnsi" w:hAnsiTheme="minorHAnsi"/>
        </w:rPr>
      </w:pPr>
    </w:p>
    <w:p w14:paraId="1F15B333" w14:textId="167C0A09" w:rsidR="00FA004E" w:rsidRPr="00B417BF" w:rsidRDefault="006F1E53" w:rsidP="00FA004E">
      <w:pPr>
        <w:spacing w:line="480" w:lineRule="auto"/>
        <w:rPr>
          <w:rFonts w:asciiTheme="minorHAnsi" w:hAnsiTheme="minorHAnsi"/>
        </w:rPr>
      </w:pPr>
      <w:r w:rsidRPr="00B417BF">
        <w:rPr>
          <w:rFonts w:asciiTheme="minorHAnsi" w:hAnsiTheme="minorHAnsi"/>
        </w:rPr>
        <w:t>The format of the Brief COPE</w:t>
      </w:r>
      <w:r w:rsidR="00FA004E" w:rsidRPr="00B417BF">
        <w:rPr>
          <w:rFonts w:asciiTheme="minorHAnsi" w:hAnsiTheme="minorHAnsi"/>
        </w:rPr>
        <w:t xml:space="preserve"> </w:t>
      </w:r>
      <w:r w:rsidRPr="00B417BF">
        <w:rPr>
          <w:rFonts w:asciiTheme="minorHAnsi" w:hAnsiTheme="minorHAnsi"/>
        </w:rPr>
        <w:t>allows for the</w:t>
      </w:r>
      <w:r w:rsidR="00FA004E" w:rsidRPr="00B417BF">
        <w:rPr>
          <w:rFonts w:asciiTheme="minorHAnsi" w:hAnsiTheme="minorHAnsi"/>
        </w:rPr>
        <w:t xml:space="preserve"> use</w:t>
      </w:r>
      <w:r w:rsidR="00E802AC">
        <w:rPr>
          <w:rFonts w:asciiTheme="minorHAnsi" w:hAnsiTheme="minorHAnsi"/>
        </w:rPr>
        <w:t xml:space="preserve"> of</w:t>
      </w:r>
      <w:r w:rsidR="00FA004E" w:rsidRPr="00B417BF">
        <w:rPr>
          <w:rFonts w:asciiTheme="minorHAnsi" w:hAnsiTheme="minorHAnsi"/>
        </w:rPr>
        <w:t xml:space="preserve"> Qualtrics for survey administration</w:t>
      </w:r>
      <w:r w:rsidR="00CB5412">
        <w:rPr>
          <w:rFonts w:asciiTheme="minorHAnsi" w:hAnsiTheme="minorHAnsi"/>
        </w:rPr>
        <w:t xml:space="preserve"> which</w:t>
      </w:r>
      <w:r w:rsidR="00FA004E" w:rsidRPr="00B417BF">
        <w:rPr>
          <w:rFonts w:asciiTheme="minorHAnsi" w:hAnsiTheme="minorHAnsi"/>
        </w:rPr>
        <w:t xml:space="preserve"> has several advantages to paper administration.</w:t>
      </w:r>
      <w:r w:rsidR="00CB5412" w:rsidRPr="00B417BF">
        <w:rPr>
          <w:rFonts w:asciiTheme="minorHAnsi" w:hAnsiTheme="minorHAnsi"/>
        </w:rPr>
        <w:fldChar w:fldCharType="begin"/>
      </w:r>
      <w:r w:rsidR="00F521B2">
        <w:rPr>
          <w:rFonts w:asciiTheme="minorHAnsi" w:hAnsiTheme="minorHAnsi"/>
        </w:rPr>
        <w:instrText xml:space="preserve"> ADDIN ZOTERO_ITEM CSL_CITATION {"citationID":"1pelbapgv0","properties":{"formattedCitation":"\\super 107\\nosupersub{}","plainCitation":"107","noteIndex":0},"citationItems":[{"id":298,"uris":["http://zotero.org/users/1143701/items/RUGJJU4P"],"uri":["http://zotero.org/users/1143701/items/RUGJJU4P"],"itemData":{"id":298,"type":"article-journal","title":"A Computerized Risk Index Screening Program for At-Risk Students.","source":"eric.ed.gov","abstract":"This paper describes a data-based screening tool for identifying at-risk students. It is intended to complement referral and other qualitative means of identification. The Computerized Risk Index Screening Program (CRISP) is an application of a commonly available data management program that: (1) provides a school-based screening system; (2) can be tailored to local needs and characteristics; (3) is capable of reliably and unobtrusively \"flagging\" at-risk students; and (4) could be used by school office staff. In setting up CRISP, the user must identify risk factors to be tracked, determine the criterion or cut-off point for each risk factor, and set a value or weight on each risk factor relative to the other factors. High absence rate, low grades, and poor conduct are included as standard risk factors, but any factor for which data are quantifiable and readily accessible to the school may be added. The computer program: (1) produces an index score for each student listed; (2)","URL":"http://eric.ed.gov/?id=ED337308","language":"en","author":[{"family":"Stowitschek","given":"Joseph J."},{"family":"Others","given":"And"}],"issued":{"date-parts":[["1990",8]]},"accessed":{"date-parts":[["2014",12,29]]}}}],"schema":"https://github.com/citation-style-language/schema/raw/master/csl-citation.json"} </w:instrText>
      </w:r>
      <w:r w:rsidR="00CB5412" w:rsidRPr="00B417BF">
        <w:rPr>
          <w:rFonts w:asciiTheme="minorHAnsi" w:hAnsiTheme="minorHAnsi"/>
        </w:rPr>
        <w:fldChar w:fldCharType="separate"/>
      </w:r>
      <w:r w:rsidR="00F521B2" w:rsidRPr="00F521B2">
        <w:rPr>
          <w:rFonts w:ascii="Cambria" w:hAnsiTheme="minorHAnsi"/>
          <w:vertAlign w:val="superscript"/>
        </w:rPr>
        <w:t>107</w:t>
      </w:r>
      <w:r w:rsidR="00CB5412" w:rsidRPr="00B417BF">
        <w:rPr>
          <w:rFonts w:asciiTheme="minorHAnsi" w:hAnsiTheme="minorHAnsi"/>
        </w:rPr>
        <w:fldChar w:fldCharType="end"/>
      </w:r>
      <w:r w:rsidR="00FA004E" w:rsidRPr="00B417BF">
        <w:rPr>
          <w:rFonts w:asciiTheme="minorHAnsi" w:hAnsiTheme="minorHAnsi"/>
        </w:rPr>
        <w:t xml:space="preserve">  One is that students can access the instrument immediate</w:t>
      </w:r>
      <w:r w:rsidR="000366D7">
        <w:rPr>
          <w:rFonts w:asciiTheme="minorHAnsi" w:hAnsiTheme="minorHAnsi"/>
        </w:rPr>
        <w:t xml:space="preserve">ly after completing each exam. </w:t>
      </w:r>
      <w:r w:rsidR="00CB5412">
        <w:rPr>
          <w:rFonts w:asciiTheme="minorHAnsi" w:hAnsiTheme="minorHAnsi"/>
        </w:rPr>
        <w:t>Computer</w:t>
      </w:r>
      <w:r w:rsidR="00FA004E" w:rsidRPr="00B417BF">
        <w:rPr>
          <w:rFonts w:asciiTheme="minorHAnsi" w:hAnsiTheme="minorHAnsi"/>
        </w:rPr>
        <w:t xml:space="preserve"> access also minimizes intrusiveness of administration in the already stressful test environment.  </w:t>
      </w:r>
      <w:r w:rsidR="000366D7">
        <w:rPr>
          <w:rFonts w:asciiTheme="minorHAnsi" w:hAnsiTheme="minorHAnsi"/>
        </w:rPr>
        <w:t>Another is the integration with t</w:t>
      </w:r>
      <w:r w:rsidR="00FA004E" w:rsidRPr="00B417BF">
        <w:rPr>
          <w:rFonts w:asciiTheme="minorHAnsi" w:hAnsiTheme="minorHAnsi"/>
        </w:rPr>
        <w:t xml:space="preserve">he Qualtrics system </w:t>
      </w:r>
      <w:r w:rsidR="000366D7">
        <w:rPr>
          <w:rFonts w:asciiTheme="minorHAnsi" w:hAnsiTheme="minorHAnsi"/>
        </w:rPr>
        <w:t>that</w:t>
      </w:r>
      <w:r w:rsidR="00FA004E" w:rsidRPr="00B417BF">
        <w:rPr>
          <w:rFonts w:asciiTheme="minorHAnsi" w:hAnsiTheme="minorHAnsi"/>
        </w:rPr>
        <w:t xml:space="preserve"> imports the data directly into SPSS and Excel to minimize data entry errors.</w:t>
      </w:r>
    </w:p>
    <w:p w14:paraId="1E88813F" w14:textId="77777777" w:rsidR="00FA004E" w:rsidRPr="00B417BF" w:rsidRDefault="00FA004E" w:rsidP="00FA004E">
      <w:pPr>
        <w:spacing w:line="480" w:lineRule="auto"/>
        <w:rPr>
          <w:rFonts w:asciiTheme="minorHAnsi" w:hAnsiTheme="minorHAnsi"/>
        </w:rPr>
      </w:pPr>
    </w:p>
    <w:p w14:paraId="75D31FEE" w14:textId="5C8B124F" w:rsidR="00FA004E" w:rsidRPr="00B417BF" w:rsidRDefault="000366D7" w:rsidP="00FA004E">
      <w:pPr>
        <w:spacing w:line="480" w:lineRule="auto"/>
        <w:rPr>
          <w:rFonts w:asciiTheme="minorHAnsi" w:hAnsiTheme="minorHAnsi"/>
        </w:rPr>
      </w:pPr>
      <w:r>
        <w:rPr>
          <w:rFonts w:asciiTheme="minorHAnsi" w:hAnsiTheme="minorHAnsi"/>
        </w:rPr>
        <w:t xml:space="preserve">The </w:t>
      </w:r>
      <w:r w:rsidR="00FA004E" w:rsidRPr="00B417BF">
        <w:rPr>
          <w:rFonts w:asciiTheme="minorHAnsi" w:hAnsiTheme="minorHAnsi"/>
        </w:rPr>
        <w:t xml:space="preserve">online administration of the qualitative portion of the research question </w:t>
      </w:r>
      <w:r>
        <w:rPr>
          <w:rFonts w:asciiTheme="minorHAnsi" w:hAnsiTheme="minorHAnsi"/>
        </w:rPr>
        <w:t xml:space="preserve">also </w:t>
      </w:r>
      <w:r w:rsidR="00FA004E" w:rsidRPr="00B417BF">
        <w:rPr>
          <w:rFonts w:asciiTheme="minorHAnsi" w:hAnsiTheme="minorHAnsi"/>
        </w:rPr>
        <w:t>has significant advantages.  The first is ease of administration.  Rather than trying to get students to come to face-to-face interviews during a semester break, they can respond to the interview questions at their leisure.  Another advantage of the online administration is increased anonymity participants feel online.  Individuals can respond without the increased pressure or influence of a live interviewer.</w:t>
      </w:r>
      <w:r w:rsidR="00FA004E" w:rsidRPr="00B417BF">
        <w:rPr>
          <w:rFonts w:asciiTheme="minorHAnsi" w:hAnsiTheme="minorHAnsi"/>
        </w:rPr>
        <w:fldChar w:fldCharType="begin"/>
      </w:r>
      <w:r w:rsidR="00F521B2">
        <w:rPr>
          <w:rFonts w:asciiTheme="minorHAnsi" w:hAnsiTheme="minorHAnsi"/>
        </w:rPr>
        <w:instrText xml:space="preserve"> ADDIN ZOTERO_ITEM CSL_CITATION {"citationID":"gk18l6ake","properties":{"formattedCitation":"\\super 108,109\\nosupersub{}","plainCitation":"108,109","noteIndex":0},"citationItems":[{"id":277,"uris":["http://zotero.org/users/1143701/items/JES8JZH5"],"uri":["http://zotero.org/users/1143701/items/JES8JZH5"],"itemData":{"id":277,"type":"article-journal","title":"Factors Associated with High Use of a Workplace Web-Based Stress Management Program in a Randomized Controlled Intervention Study","container-title":"Health Education Research","page":"596-607","volume":"25","issue":"4","source":"EBSCOhost","archive_location":"Oxford University Press. Great Clarendon Street, Oxford OX2 6DP, UK. Tel: +44-1865-353907; Fax: +44-1865-353485; e-mail: jnls.cust.serv@oxfordjournals.org; Web site: http://her.oxfordjournals.org/","abstract":"In web-based health promotion programs, large variations in participant engagement are common. The aim was to investigate determinants of high use of a worksite self-help web-based program for stress management. Two versions of the program were offered to randomly selected departments in IT and media companies. A static version of the program including health screening tool, diary and information about stress was offered to the control group. Additional materials, i.e. interactive, cognitive-based and classical stress management exercises and a chat room, were offered to the intervention group. Baseline data regarding participants' demographics, health (self-ratings and biological measures), lifestyle, work-related factors and group membership were analyzed to study determinants of employees' participation in the program during a period of 12 months. Multiple logistic regression analysis was used and found intervention group membership, being a woman, having at most a secondary education, regular physical exercise habits and having positive expectations of the program were significant predictors of high use. The findings demonstrate that the interactivity of a web-based program is an important factor for determining participation in a web-based worksite stress management program. Implications for those developing and implementing future web-based health promotion activities are discussed. (Contains 4 tables and 1 figure.)","ISSN":"0268-1153","journalAbbreviation":"Health Education Research","author":[{"family":"Hasson","given":"H."},{"family":"Brown","given":"C."},{"family":"Hasson","given":"D."}],"issued":{"date-parts":[["2010",8,1]]}}},{"id":421,"uris":["http://zotero.org/users/1143701/items/BXGA2WFC"],"uri":["http://zotero.org/users/1143701/items/BXGA2WFC"],"itemData":{"id":421,"type":"article-journal","title":"I am no longer alone – How do university students perceive the possibilities of social media?","container-title":"International Journal of Adolescence and Youth","page":"293-305","volume":"19","issue":"3","source":"PubMed Central","abstract":"An increasing number of people have become users of social media, mostly looking for social contacts and networking. But what kind of social capital do social networking services (SNSs) provide? University students' (N = 90) experiences of and opinions on social media were studied through a semi-structured questionnaire. The following research questions were set for this study: (1) What kinds of benefits do university students perceive in the usage of social media? and (2) What kind of social capital does social media produce according to university students' opinions? Their answers were analysed with the qualitative content analysis method. The results revealed that SNSs can increase students' social capital in many ways, such as in the form of peer support groups and learning environments, and enhance bonding and communality in them. These possibilities should be better studied in educational contexts, as they can have a positive impact on students' well-being, engagement to studies and, thus, study success.","URL":"http://www.ncbi.nlm.nih.gov/pmc/articles/PMC4238292/","DOI":"10.1080/02673843.2014.919600","ISSN":"0267-3843","note":"PMID: 25431510\nPMCID: PMC4238292","journalAbbreviation":"Int J Adolesc Youth","author":[{"family":"Uusiautti","given":"Satu"},{"family":"Määttä","given":"Kaarina"}],"issued":{"date-parts":[["2014",7,3]]},"accessed":{"date-parts":[["2015",2,28]]}}}],"schema":"https://github.com/citation-style-language/schema/raw/master/csl-citation.json"} </w:instrText>
      </w:r>
      <w:r w:rsidR="00FA004E" w:rsidRPr="00B417BF">
        <w:rPr>
          <w:rFonts w:asciiTheme="minorHAnsi" w:hAnsiTheme="minorHAnsi"/>
        </w:rPr>
        <w:fldChar w:fldCharType="separate"/>
      </w:r>
      <w:r w:rsidR="00F521B2" w:rsidRPr="00F521B2">
        <w:rPr>
          <w:rFonts w:ascii="Cambria" w:hAnsiTheme="minorHAnsi"/>
          <w:vertAlign w:val="superscript"/>
        </w:rPr>
        <w:t>108,109</w:t>
      </w:r>
      <w:r w:rsidR="00FA004E" w:rsidRPr="00B417BF">
        <w:rPr>
          <w:rFonts w:asciiTheme="minorHAnsi" w:hAnsiTheme="minorHAnsi"/>
        </w:rPr>
        <w:fldChar w:fldCharType="end"/>
      </w:r>
      <w:r w:rsidR="00FA004E" w:rsidRPr="00B417BF">
        <w:rPr>
          <w:rFonts w:asciiTheme="minorHAnsi" w:hAnsiTheme="minorHAnsi"/>
        </w:rPr>
        <w:t xml:space="preserve"> </w:t>
      </w:r>
      <w:r w:rsidR="00CB5412">
        <w:rPr>
          <w:rFonts w:asciiTheme="minorHAnsi" w:hAnsiTheme="minorHAnsi"/>
        </w:rPr>
        <w:t xml:space="preserve"> A</w:t>
      </w:r>
      <w:r w:rsidR="00FA004E" w:rsidRPr="00B417BF">
        <w:rPr>
          <w:rFonts w:asciiTheme="minorHAnsi" w:hAnsiTheme="minorHAnsi"/>
        </w:rPr>
        <w:t>s with the Brief COPE survey, responses are entered directly into the database with little chance of error that can occur with hand transcription.  This reduction in error and transcription time until the data can be coded is another advantage to online administration</w:t>
      </w:r>
      <w:r w:rsidR="00CA36BE">
        <w:rPr>
          <w:rFonts w:asciiTheme="minorHAnsi" w:hAnsiTheme="minorHAnsi"/>
        </w:rPr>
        <w:t>.</w:t>
      </w:r>
      <w:r w:rsidR="00FA004E" w:rsidRPr="00B417BF">
        <w:rPr>
          <w:rFonts w:asciiTheme="minorHAnsi" w:hAnsiTheme="minorHAnsi"/>
        </w:rPr>
        <w:fldChar w:fldCharType="begin"/>
      </w:r>
      <w:r w:rsidR="002F2356">
        <w:rPr>
          <w:rFonts w:asciiTheme="minorHAnsi" w:hAnsiTheme="minorHAnsi"/>
        </w:rPr>
        <w:instrText xml:space="preserve"> ADDIN ZOTERO_ITEM CSL_CITATION {"citationID":"pgAOK92N","properties":{"formattedCitation":"\\super 57\\nosupersub{}","plainCitation":"57","noteIndex":0},"citationItems":[{"id":148,"uris":["http://zotero.org/users/1143701/items/KXZ2N9G5"],"uri":["http://zotero.org/users/1143701/items/KXZ2N9G5"],"itemData":{"id":148,"type":"article-journal","title":"Relationships between Learning Strategies, Stress, and Study Success Among First-Year Veterinary Students During an Educational Transition Phase","container-title":"Journal of Veterinary Medical Education","page":"284-293","volume":"41","issue":"3","source":"jvme.utpjournals.press (Atypon)","abstract":"We investigated the relationships between stress, learning strategies, and study success among first-year veterinary students at the very beginning of their veterinary studies. The study was carried out during the first course on macroscopic anatomy (osteology), which students have in the past found to be exceptionally stressful. Students (N=45) completed a questionnaire concerning their self-reported views on stress and learning strategies, which were compared with their self-reported written-test scores. Participants who had previously gained university credits did not have significantly better test scores, but they achieved the learning goals with significantly less stress than other participants. Previous experience of university study helped students not only to adjust to a new type of course content and to achieve the learning goal of the osteology course, but also to cope with the stress experienced from taking concurrently running courses. Of the respondents who specifically named factors relating to self-regulation and modification of their learning strategy, all had gained prior credits. These students were able to use their study time efficiently and adjust their schedules according to the course demands.","URL":"http://jvme.utpjournals.press/doi/abs/10.3138/jvme.0214-016R1","DOI":"10.3138/jvme.0214-016R1","ISSN":"0748-321X","journalAbbreviation":"Journal of Veterinary Medical Education","author":[{"family":"Laakkonen","given":"Juha"},{"family":"Nevgi","given":"Anne"}],"issued":{"date-parts":[["2014",6,30]]},"accessed":{"date-parts":[["2015",10,13]]}}}],"schema":"https://github.com/citation-style-language/schema/raw/master/csl-citation.json"} </w:instrText>
      </w:r>
      <w:r w:rsidR="00FA004E" w:rsidRPr="00B417BF">
        <w:rPr>
          <w:rFonts w:asciiTheme="minorHAnsi" w:hAnsiTheme="minorHAnsi"/>
        </w:rPr>
        <w:fldChar w:fldCharType="separate"/>
      </w:r>
      <w:r w:rsidR="002F2356" w:rsidRPr="002F2356">
        <w:rPr>
          <w:rFonts w:ascii="Cambria" w:hAnsiTheme="minorHAnsi"/>
          <w:vertAlign w:val="superscript"/>
        </w:rPr>
        <w:t>57</w:t>
      </w:r>
      <w:r w:rsidR="00FA004E" w:rsidRPr="00B417BF">
        <w:rPr>
          <w:rFonts w:asciiTheme="minorHAnsi" w:hAnsiTheme="minorHAnsi"/>
        </w:rPr>
        <w:fldChar w:fldCharType="end"/>
      </w:r>
    </w:p>
    <w:p w14:paraId="39A97CE3" w14:textId="2F2260EA" w:rsidR="00FA004E" w:rsidRDefault="00FA004E" w:rsidP="00FA004E">
      <w:pPr>
        <w:spacing w:line="480" w:lineRule="auto"/>
        <w:rPr>
          <w:rFonts w:asciiTheme="minorHAnsi" w:hAnsiTheme="minorHAnsi"/>
        </w:rPr>
      </w:pPr>
    </w:p>
    <w:p w14:paraId="54ECBD82" w14:textId="77777777" w:rsidR="00FF6CC9" w:rsidRPr="00B417BF" w:rsidRDefault="00FF6CC9" w:rsidP="00FA004E">
      <w:pPr>
        <w:spacing w:line="480" w:lineRule="auto"/>
        <w:rPr>
          <w:rFonts w:asciiTheme="minorHAnsi" w:hAnsiTheme="minorHAnsi"/>
        </w:rPr>
      </w:pPr>
    </w:p>
    <w:p w14:paraId="44A2663D" w14:textId="63DC4D76" w:rsidR="00C4515B" w:rsidRPr="00B417BF" w:rsidRDefault="00FA004E" w:rsidP="00855627">
      <w:pPr>
        <w:spacing w:line="480" w:lineRule="auto"/>
        <w:outlineLvl w:val="0"/>
        <w:rPr>
          <w:rFonts w:asciiTheme="minorHAnsi" w:hAnsiTheme="minorHAnsi"/>
          <w:b/>
        </w:rPr>
      </w:pPr>
      <w:r w:rsidRPr="00B417BF">
        <w:rPr>
          <w:rFonts w:asciiTheme="minorHAnsi" w:hAnsiTheme="minorHAnsi"/>
          <w:b/>
        </w:rPr>
        <w:lastRenderedPageBreak/>
        <w:t xml:space="preserve">Potential </w:t>
      </w:r>
      <w:r w:rsidR="00FF376F">
        <w:rPr>
          <w:rFonts w:asciiTheme="minorHAnsi" w:hAnsiTheme="minorHAnsi"/>
          <w:b/>
        </w:rPr>
        <w:t>Design Problems</w:t>
      </w:r>
      <w:r w:rsidRPr="00B417BF">
        <w:rPr>
          <w:rFonts w:asciiTheme="minorHAnsi" w:hAnsiTheme="minorHAnsi"/>
          <w:b/>
        </w:rPr>
        <w:t>:</w:t>
      </w:r>
    </w:p>
    <w:p w14:paraId="5A7DC656" w14:textId="1BA9982F" w:rsidR="00FA004E" w:rsidRPr="00B417BF" w:rsidRDefault="00CA129E" w:rsidP="00FA004E">
      <w:pPr>
        <w:spacing w:line="480" w:lineRule="auto"/>
        <w:rPr>
          <w:rFonts w:asciiTheme="minorHAnsi" w:hAnsiTheme="minorHAnsi"/>
        </w:rPr>
      </w:pPr>
      <w:r>
        <w:rPr>
          <w:rFonts w:asciiTheme="minorHAnsi" w:hAnsiTheme="minorHAnsi"/>
        </w:rPr>
        <w:t>One</w:t>
      </w:r>
      <w:r w:rsidR="00FA004E" w:rsidRPr="00B417BF">
        <w:rPr>
          <w:rFonts w:asciiTheme="minorHAnsi" w:hAnsiTheme="minorHAnsi"/>
        </w:rPr>
        <w:t xml:space="preserve"> </w:t>
      </w:r>
      <w:r w:rsidR="006F1E53" w:rsidRPr="00B417BF">
        <w:rPr>
          <w:rFonts w:asciiTheme="minorHAnsi" w:hAnsiTheme="minorHAnsi"/>
        </w:rPr>
        <w:t>issue</w:t>
      </w:r>
      <w:r w:rsidR="00FA004E" w:rsidRPr="00B417BF">
        <w:rPr>
          <w:rFonts w:asciiTheme="minorHAnsi" w:hAnsiTheme="minorHAnsi"/>
        </w:rPr>
        <w:t xml:space="preserve"> </w:t>
      </w:r>
      <w:r w:rsidR="009651F9">
        <w:rPr>
          <w:rFonts w:asciiTheme="minorHAnsi" w:hAnsiTheme="minorHAnsi"/>
        </w:rPr>
        <w:t>was</w:t>
      </w:r>
      <w:r>
        <w:rPr>
          <w:rFonts w:asciiTheme="minorHAnsi" w:hAnsiTheme="minorHAnsi"/>
        </w:rPr>
        <w:t xml:space="preserve"> the </w:t>
      </w:r>
      <w:r w:rsidR="00FA004E" w:rsidRPr="00B417BF">
        <w:rPr>
          <w:rFonts w:asciiTheme="minorHAnsi" w:hAnsiTheme="minorHAnsi"/>
        </w:rPr>
        <w:t>assignment of cut points as to what qualifies students as MCBP.  There is no national data for gross anatomy scores related to board passage for PA students</w:t>
      </w:r>
      <w:r w:rsidR="003B5338">
        <w:rPr>
          <w:rFonts w:asciiTheme="minorHAnsi" w:hAnsiTheme="minorHAnsi"/>
        </w:rPr>
        <w:t>.</w:t>
      </w:r>
      <w:r w:rsidR="00FA004E" w:rsidRPr="00B417BF">
        <w:rPr>
          <w:rFonts w:asciiTheme="minorHAnsi" w:hAnsiTheme="minorHAnsi"/>
        </w:rPr>
        <w:fldChar w:fldCharType="begin"/>
      </w:r>
      <w:r w:rsidR="002F2356">
        <w:rPr>
          <w:rFonts w:asciiTheme="minorHAnsi" w:hAnsiTheme="minorHAnsi"/>
        </w:rPr>
        <w:instrText xml:space="preserve"> ADDIN ZOTERO_ITEM CSL_CITATION {"citationID":"2gum2ti7s3","properties":{"formattedCitation":"\\super 6\\nosupersub{}","plainCitation":"6","noteIndex":0},"citationItems":[{"id":372,"uris":["http://zotero.org/users/1143701/items/N9VIKE3R"],"uri":["http://zotero.org/users/1143701/items/N9VIKE3R"],"itemData":{"id":372,"type":"article-journal","title":"Physician assistant program characteristics and faculty credentials on physician assistant national certifying exam pass rates","container-title":"The Journal of Physician Assistant Education: The Official Journal of the Physician Assistant Education Association","page":"19-23","volume":"23","issue":"1","source":"NCBI PubMed","abstract":"PURPOSE: Determination of the ideal terminal degree for physician assistants (PAs) and academic preparedness of PA educators have received much attention in recent years. This investigation, completed in 2009, sought to describe the current state of PA training programs, specifically regarding Carnegie classification, percent conferring master's degrees, number of full-time faculty, percent of faculty--both principal and other full-time faculty--with doctoral degrees, student-to-faculty ratio, and first-time graduate Physician Assistant National Certifying Exam (PANCE) pass rates. A secondary aim was to determine if any of these variables predict PANCE pass rates.\nMETHODS: This study combined existing data obtained from multiple Internet resources including PA program websites and the PAEA Faculty Directory to determine the number of faculty, faculty credentials, number of students, and PANCE reports. Faculty members were categorized by highest degree attained. Linear regression was used to examine whether any of the programmatic variables were significant predictors of PANCE pass rates.\nRESULTS: Two of four predictors were significant--whether the program conferred a master's degree (Beta = 0.54, t = 7.25, P = .001) and student-to-faculty ratio (Beta = -0.21, t = 2.63, P = .01). Mean number of full-time faculty per training program was eight (SD = 4, range = 2-36). The mean percent of full-time faculty members with doctorates per training program was 17.6% (SD = 17.7%, range = 0-80%).\nCONCLUSIONS: These results, if replicated, suggest that if a program is seeking to increase its student performance on the PANCE, it may be more helpful to focus resources on improving student-to-faculty ratio, regardless of whether or not the faculty are doctoral level.","ISSN":"1941-9430","note":"PMID: 22479902","journalAbbreviation":"J Physician Assist Educ","language":"eng","author":[{"family":"Bushardt","given":"Reamer L."},{"family":"Booze","given":"Loraine E."},{"family":"Hewett","given":"Mary L."},{"family":"Hildebrandt","given":"Carol"},{"family":"Thomas","given":"Suzanne E."}],"issued":{"date-parts":[["2012"]]}}}],"schema":"https://github.com/citation-style-language/schema/raw/master/csl-citation.json"} </w:instrText>
      </w:r>
      <w:r w:rsidR="00FA004E" w:rsidRPr="00B417BF">
        <w:rPr>
          <w:rFonts w:asciiTheme="minorHAnsi" w:hAnsiTheme="minorHAnsi"/>
        </w:rPr>
        <w:fldChar w:fldCharType="separate"/>
      </w:r>
      <w:r w:rsidR="002F2356" w:rsidRPr="002F2356">
        <w:rPr>
          <w:rFonts w:ascii="Cambria" w:hAnsiTheme="minorHAnsi"/>
          <w:vertAlign w:val="superscript"/>
        </w:rPr>
        <w:t>6</w:t>
      </w:r>
      <w:r w:rsidR="00FA004E" w:rsidRPr="00B417BF">
        <w:rPr>
          <w:rFonts w:asciiTheme="minorHAnsi" w:hAnsiTheme="minorHAnsi"/>
        </w:rPr>
        <w:fldChar w:fldCharType="end"/>
      </w:r>
      <w:r w:rsidR="00FA004E" w:rsidRPr="00B417BF">
        <w:rPr>
          <w:rFonts w:asciiTheme="minorHAnsi" w:hAnsiTheme="minorHAnsi"/>
        </w:rPr>
        <w:t xml:space="preserve">  Students pass </w:t>
      </w:r>
      <w:r w:rsidR="0027120E">
        <w:rPr>
          <w:rFonts w:asciiTheme="minorHAnsi" w:hAnsiTheme="minorHAnsi"/>
        </w:rPr>
        <w:t>Clinical Anatomy</w:t>
      </w:r>
      <w:r w:rsidR="00FA004E" w:rsidRPr="00B417BF">
        <w:rPr>
          <w:rFonts w:asciiTheme="minorHAnsi" w:hAnsiTheme="minorHAnsi"/>
        </w:rPr>
        <w:t xml:space="preserve"> with an overall minimum score of 70%.  Cut points have been assigned based on correlation of gross anatomy scores and medical student STEP I pass rates at the same institution.  This data indicates students scoring below 80% in </w:t>
      </w:r>
      <w:r w:rsidR="0027120E">
        <w:rPr>
          <w:rFonts w:asciiTheme="minorHAnsi" w:hAnsiTheme="minorHAnsi"/>
        </w:rPr>
        <w:t xml:space="preserve">Clinical </w:t>
      </w:r>
      <w:r w:rsidR="009651F9">
        <w:rPr>
          <w:rFonts w:asciiTheme="minorHAnsi" w:hAnsiTheme="minorHAnsi"/>
        </w:rPr>
        <w:t>Anatomy</w:t>
      </w:r>
      <w:r w:rsidR="00FA004E" w:rsidRPr="00B417BF">
        <w:rPr>
          <w:rFonts w:asciiTheme="minorHAnsi" w:hAnsiTheme="minorHAnsi"/>
        </w:rPr>
        <w:t xml:space="preserve"> have a 30% chance of failing the STEP I exam.    </w:t>
      </w:r>
    </w:p>
    <w:p w14:paraId="262EA816" w14:textId="77777777" w:rsidR="00FA004E" w:rsidRPr="00B417BF" w:rsidRDefault="00FA004E" w:rsidP="00FA004E">
      <w:pPr>
        <w:spacing w:line="480" w:lineRule="auto"/>
        <w:rPr>
          <w:rFonts w:asciiTheme="minorHAnsi" w:hAnsiTheme="minorHAnsi"/>
        </w:rPr>
      </w:pPr>
    </w:p>
    <w:p w14:paraId="66F31B79" w14:textId="42F83E3B" w:rsidR="00FA004E" w:rsidRPr="00B417BF" w:rsidRDefault="00FA004E" w:rsidP="00FA004E">
      <w:pPr>
        <w:spacing w:line="480" w:lineRule="auto"/>
        <w:rPr>
          <w:rFonts w:asciiTheme="minorHAnsi" w:hAnsiTheme="minorHAnsi"/>
        </w:rPr>
      </w:pPr>
      <w:r w:rsidRPr="00B417BF">
        <w:rPr>
          <w:rFonts w:asciiTheme="minorHAnsi" w:hAnsiTheme="minorHAnsi"/>
        </w:rPr>
        <w:t xml:space="preserve">Another </w:t>
      </w:r>
      <w:r w:rsidR="006F1E53" w:rsidRPr="00B417BF">
        <w:rPr>
          <w:rFonts w:asciiTheme="minorHAnsi" w:hAnsiTheme="minorHAnsi"/>
        </w:rPr>
        <w:t>issue</w:t>
      </w:r>
      <w:r w:rsidRPr="00B417BF">
        <w:rPr>
          <w:rFonts w:asciiTheme="minorHAnsi" w:hAnsiTheme="minorHAnsi"/>
        </w:rPr>
        <w:t xml:space="preserve"> </w:t>
      </w:r>
      <w:r w:rsidR="009651F9">
        <w:rPr>
          <w:rFonts w:asciiTheme="minorHAnsi" w:hAnsiTheme="minorHAnsi"/>
        </w:rPr>
        <w:t xml:space="preserve">was </w:t>
      </w:r>
      <w:r w:rsidRPr="00B417BF">
        <w:rPr>
          <w:rFonts w:asciiTheme="minorHAnsi" w:hAnsiTheme="minorHAnsi"/>
        </w:rPr>
        <w:t xml:space="preserve">the </w:t>
      </w:r>
      <w:r w:rsidR="006F1E53" w:rsidRPr="00B417BF">
        <w:rPr>
          <w:rFonts w:asciiTheme="minorHAnsi" w:hAnsiTheme="minorHAnsi"/>
        </w:rPr>
        <w:t xml:space="preserve">possible amplification of </w:t>
      </w:r>
      <w:r w:rsidRPr="00B417BF">
        <w:rPr>
          <w:rFonts w:asciiTheme="minorHAnsi" w:hAnsiTheme="minorHAnsi"/>
        </w:rPr>
        <w:t>stress associated with functioning in a new environment</w:t>
      </w:r>
      <w:r w:rsidR="003B5338">
        <w:rPr>
          <w:rFonts w:asciiTheme="minorHAnsi" w:hAnsiTheme="minorHAnsi"/>
        </w:rPr>
        <w:t>.</w:t>
      </w:r>
      <w:r w:rsidRPr="00B417BF">
        <w:rPr>
          <w:rFonts w:asciiTheme="minorHAnsi" w:hAnsiTheme="minorHAnsi"/>
        </w:rPr>
        <w:fldChar w:fldCharType="begin"/>
      </w:r>
      <w:r w:rsidR="002F2356">
        <w:rPr>
          <w:rFonts w:asciiTheme="minorHAnsi" w:hAnsiTheme="minorHAnsi"/>
        </w:rPr>
        <w:instrText xml:space="preserve"> ADDIN ZOTERO_ITEM CSL_CITATION {"citationID":"cAU4faTs","properties":{"formattedCitation":"\\super 58\\nosupersub{}","plainCitation":"58","noteIndex":0},"citationItems":[{"id":130,"uris":["http://zotero.org/users/1143701/items/FNBUTNBH"],"uri":["http://zotero.org/users/1143701/items/FNBUTNBH"],"itemData":{"id":130,"type":"article-journal","title":"First year medical student stress and coping in a problem-based learning medical curriculum","container-title":"Medical Education","page":"482-491","volume":"38","issue":"5","source":"Wiley Online Library","abstract":"Objective  To examine the prevalence of psychological morbidity, sources of stress and coping mechanisms in first year students in a problem-based learning undergraduate medical curriculum. Design  Longitudinal cohort questionnaire survey. Setting  Glasgow University Medical School. Participants  All first year students (n = 275) in the 1997–98 intake. Main outcome measures  Scores on the 12-item General Health Questionnaire (GHQ-12), sources of stress and coping strategies. Results  The prevalence of psychological morbidity and mean GHQ-12 scores increased significantly between term 1 and term 3, with no significant gender differences. Principal stressors were related to medical training rather than to personal problems, in particular uncertainty about individual study behaviour, progress and aptitude, with specific concerns about assessment and the availability of learning materials. The group learning environment, including tutor performance, and interactions with peers and patients caused little stress. Students generally used active coping strategies. Both stressor group scoring and coping strategies showed some variation with gender and GHQ caseness. Conclusions  Increased student feedback and guidance about progress throughout the year and the provision of adequate learning resources may reduce student stress. Educational or pastoral intervention regarding effective coping strategies may also be beneficial. Continued follow-up of this cohort could provide information to inform further curriculum development and, if appropriate, aid the design of programmes for the prevention of stress-related problems.","URL":"http://onlinelibrary.wiley.com/doi/10.1046/j.1365-2929.2004.01814.x/abstract","DOI":"10.1046/j.1365-2929.2004.01814.x","ISSN":"1365-2923","language":"en","author":[{"family":"Moffat","given":"Katrina J"},{"family":"McConnachie","given":"Alex"},{"family":"Ross","given":"Sue"},{"family":"Morrison","given":"Jillian M"}],"issued":{"date-parts":[["2004",5,1]]},"accessed":{"date-parts":[["2015",10,13]]}}}],"schema":"https://github.com/citation-style-language/schema/raw/master/csl-citation.json"} </w:instrText>
      </w:r>
      <w:r w:rsidRPr="00B417BF">
        <w:rPr>
          <w:rFonts w:asciiTheme="minorHAnsi" w:hAnsiTheme="minorHAnsi"/>
        </w:rPr>
        <w:fldChar w:fldCharType="separate"/>
      </w:r>
      <w:r w:rsidR="002F2356" w:rsidRPr="002F2356">
        <w:rPr>
          <w:rFonts w:ascii="Cambria" w:hAnsiTheme="minorHAnsi"/>
          <w:vertAlign w:val="superscript"/>
        </w:rPr>
        <w:t>58</w:t>
      </w:r>
      <w:r w:rsidRPr="00B417BF">
        <w:rPr>
          <w:rFonts w:asciiTheme="minorHAnsi" w:hAnsiTheme="minorHAnsi"/>
        </w:rPr>
        <w:fldChar w:fldCharType="end"/>
      </w:r>
      <w:r w:rsidRPr="00B417BF">
        <w:rPr>
          <w:rFonts w:asciiTheme="minorHAnsi" w:hAnsiTheme="minorHAnsi"/>
        </w:rPr>
        <w:t xml:space="preserve">  As all participants </w:t>
      </w:r>
      <w:r w:rsidR="009651F9">
        <w:rPr>
          <w:rFonts w:asciiTheme="minorHAnsi" w:hAnsiTheme="minorHAnsi"/>
        </w:rPr>
        <w:t xml:space="preserve">were </w:t>
      </w:r>
      <w:r w:rsidRPr="00B417BF">
        <w:rPr>
          <w:rFonts w:asciiTheme="minorHAnsi" w:hAnsiTheme="minorHAnsi"/>
        </w:rPr>
        <w:t xml:space="preserve">entering students, there </w:t>
      </w:r>
      <w:r w:rsidR="009651F9">
        <w:rPr>
          <w:rFonts w:asciiTheme="minorHAnsi" w:hAnsiTheme="minorHAnsi"/>
        </w:rPr>
        <w:t>was</w:t>
      </w:r>
      <w:r w:rsidRPr="00B417BF">
        <w:rPr>
          <w:rFonts w:asciiTheme="minorHAnsi" w:hAnsiTheme="minorHAnsi"/>
        </w:rPr>
        <w:t xml:space="preserve"> an expected amount of stress that may </w:t>
      </w:r>
      <w:r w:rsidR="00CA129E">
        <w:rPr>
          <w:rFonts w:asciiTheme="minorHAnsi" w:hAnsiTheme="minorHAnsi"/>
        </w:rPr>
        <w:t>distort</w:t>
      </w:r>
      <w:r w:rsidRPr="00B417BF">
        <w:rPr>
          <w:rFonts w:asciiTheme="minorHAnsi" w:hAnsiTheme="minorHAnsi"/>
        </w:rPr>
        <w:t xml:space="preserve"> responses, especially on the first administration of the survey.  However, as the survey </w:t>
      </w:r>
      <w:r w:rsidR="009651F9">
        <w:rPr>
          <w:rFonts w:asciiTheme="minorHAnsi" w:hAnsiTheme="minorHAnsi"/>
        </w:rPr>
        <w:t xml:space="preserve">was </w:t>
      </w:r>
      <w:r w:rsidRPr="00B417BF">
        <w:rPr>
          <w:rFonts w:asciiTheme="minorHAnsi" w:hAnsiTheme="minorHAnsi"/>
        </w:rPr>
        <w:t xml:space="preserve">given multiple times, </w:t>
      </w:r>
      <w:r w:rsidR="00CA129E">
        <w:rPr>
          <w:rFonts w:asciiTheme="minorHAnsi" w:hAnsiTheme="minorHAnsi"/>
        </w:rPr>
        <w:t>distortion</w:t>
      </w:r>
      <w:r w:rsidRPr="00B417BF">
        <w:rPr>
          <w:rFonts w:asciiTheme="minorHAnsi" w:hAnsiTheme="minorHAnsi"/>
        </w:rPr>
        <w:t xml:space="preserve"> may </w:t>
      </w:r>
      <w:r w:rsidR="003A7CC1">
        <w:rPr>
          <w:rFonts w:asciiTheme="minorHAnsi" w:hAnsiTheme="minorHAnsi"/>
        </w:rPr>
        <w:t>play out</w:t>
      </w:r>
      <w:r w:rsidR="00CA129E">
        <w:rPr>
          <w:rFonts w:asciiTheme="minorHAnsi" w:hAnsiTheme="minorHAnsi"/>
        </w:rPr>
        <w:t xml:space="preserve"> during </w:t>
      </w:r>
      <w:r w:rsidRPr="00B417BF">
        <w:rPr>
          <w:rFonts w:asciiTheme="minorHAnsi" w:hAnsiTheme="minorHAnsi"/>
        </w:rPr>
        <w:t>data analysis.</w:t>
      </w:r>
    </w:p>
    <w:p w14:paraId="1771D5BD" w14:textId="77777777" w:rsidR="00FA004E" w:rsidRPr="00B417BF" w:rsidRDefault="00FA004E" w:rsidP="00FA004E">
      <w:pPr>
        <w:spacing w:line="480" w:lineRule="auto"/>
        <w:rPr>
          <w:rFonts w:asciiTheme="minorHAnsi" w:hAnsiTheme="minorHAnsi"/>
        </w:rPr>
      </w:pPr>
    </w:p>
    <w:p w14:paraId="052172E7" w14:textId="5F4A0AF3" w:rsidR="00FA004E" w:rsidRPr="00B417BF" w:rsidRDefault="00FA004E" w:rsidP="00FA004E">
      <w:pPr>
        <w:spacing w:line="480" w:lineRule="auto"/>
        <w:rPr>
          <w:rFonts w:asciiTheme="minorHAnsi" w:hAnsiTheme="minorHAnsi"/>
        </w:rPr>
      </w:pPr>
      <w:r w:rsidRPr="00B417BF">
        <w:rPr>
          <w:rFonts w:asciiTheme="minorHAnsi" w:hAnsiTheme="minorHAnsi"/>
        </w:rPr>
        <w:t>Any</w:t>
      </w:r>
      <w:r w:rsidR="00CA129E">
        <w:rPr>
          <w:rFonts w:asciiTheme="minorHAnsi" w:hAnsiTheme="minorHAnsi"/>
        </w:rPr>
        <w:t xml:space="preserve"> </w:t>
      </w:r>
      <w:r w:rsidRPr="00B417BF">
        <w:rPr>
          <w:rFonts w:asciiTheme="minorHAnsi" w:hAnsiTheme="minorHAnsi"/>
        </w:rPr>
        <w:t>time survey data is used there are potential issues with participation rates, accuracy of responses, and convenience</w:t>
      </w:r>
      <w:r w:rsidR="009651F9">
        <w:rPr>
          <w:rFonts w:asciiTheme="minorHAnsi" w:hAnsiTheme="minorHAnsi"/>
        </w:rPr>
        <w:t xml:space="preserve"> responses.  This study also had</w:t>
      </w:r>
      <w:r w:rsidRPr="00B417BF">
        <w:rPr>
          <w:rFonts w:asciiTheme="minorHAnsi" w:hAnsiTheme="minorHAnsi"/>
        </w:rPr>
        <w:t xml:space="preserve"> the potential for creating survey fatigue since the instrument is given multiple times</w:t>
      </w:r>
      <w:r w:rsidR="003B5338">
        <w:rPr>
          <w:rFonts w:asciiTheme="minorHAnsi" w:hAnsiTheme="minorHAnsi"/>
        </w:rPr>
        <w:t>.</w:t>
      </w:r>
      <w:r w:rsidRPr="00B417BF">
        <w:rPr>
          <w:rFonts w:asciiTheme="minorHAnsi" w:hAnsiTheme="minorHAnsi"/>
        </w:rPr>
        <w:fldChar w:fldCharType="begin"/>
      </w:r>
      <w:r w:rsidR="00F521B2">
        <w:rPr>
          <w:rFonts w:asciiTheme="minorHAnsi" w:hAnsiTheme="minorHAnsi"/>
        </w:rPr>
        <w:instrText xml:space="preserve"> ADDIN ZOTERO_ITEM CSL_CITATION {"citationID":"1psagni1ak","properties":{"formattedCitation":"\\super 110,111\\nosupersub{}","plainCitation":"110,111","noteIndex":0},"citationItems":[{"id":296,"uris":["http://zotero.org/users/1143701/items/CE3CNJ26"],"uri":["http://zotero.org/users/1143701/items/CE3CNJ26"],"itemData":{"id":296,"type":"article-journal","title":"Convergent and Discriminant Validity of the Microcomputer Evaluation Screening and Assessment (MESA) Interest Survey","container-title":"Rehabilitation Counseling Bulletin","page":"139-48","volume":"34","issue":"2","source":"EBSCOhost","abstract":"Examined construct validity of Microcomputer Evaluation Screening and Assessment (MESA) Interest Survey. Administered MESA and United States Employment Service (USES) Interest Inventory to 74 volunteer rehabilitation clients. Evidence supported convergent and discriminant validity of MESA. Found fewer significant intercorrelations among MESA scores than was true for USES intercorrelations. (Author/NB)","ISSN":"0034-3552","journalAbbreviation":"Rehabilitation Counseling Bulletin","author":[{"family":"Janikowski","given":"Timothy P."},{"literal":"And Others"}],"issued":{"date-parts":[["1990",12,1]]}}},{"id":444,"uris":["http://zotero.org/users/1143701/items/XPH4KREN"],"uri":["http://zotero.org/users/1143701/items/XPH4KREN"],"itemData":{"id":444,"type":"book","title":"Educational assessment of students","publisher":"Pearson","publisher-place":"Upper Saddle River, NJ","edition":"6th","event-place":"Upper Saddle River, NJ","author":[{"family":"Nitko","given":"AJ"},{"family":"Brookharg","given":"SM"}],"issued":{"date-parts":[["2011"]]}}}],"schema":"https://github.com/citation-style-language/schema/raw/master/csl-citation.json"} </w:instrText>
      </w:r>
      <w:r w:rsidRPr="00B417BF">
        <w:rPr>
          <w:rFonts w:asciiTheme="minorHAnsi" w:hAnsiTheme="minorHAnsi"/>
        </w:rPr>
        <w:fldChar w:fldCharType="separate"/>
      </w:r>
      <w:r w:rsidR="00F521B2" w:rsidRPr="00F521B2">
        <w:rPr>
          <w:rFonts w:ascii="Cambria" w:hAnsiTheme="minorHAnsi"/>
          <w:vertAlign w:val="superscript"/>
        </w:rPr>
        <w:t>110,111</w:t>
      </w:r>
      <w:r w:rsidRPr="00B417BF">
        <w:rPr>
          <w:rFonts w:asciiTheme="minorHAnsi" w:hAnsiTheme="minorHAnsi"/>
        </w:rPr>
        <w:fldChar w:fldCharType="end"/>
      </w:r>
      <w:r w:rsidRPr="00B417BF">
        <w:rPr>
          <w:rFonts w:asciiTheme="minorHAnsi" w:hAnsiTheme="minorHAnsi"/>
        </w:rPr>
        <w:t xml:space="preserve">  Several steps </w:t>
      </w:r>
      <w:r w:rsidR="009651F9">
        <w:rPr>
          <w:rFonts w:asciiTheme="minorHAnsi" w:hAnsiTheme="minorHAnsi"/>
        </w:rPr>
        <w:t xml:space="preserve">were </w:t>
      </w:r>
      <w:r w:rsidRPr="00B417BF">
        <w:rPr>
          <w:rFonts w:asciiTheme="minorHAnsi" w:hAnsiTheme="minorHAnsi"/>
        </w:rPr>
        <w:t xml:space="preserve">taken to avoid these problems.  To maximize participation rates, the instrument </w:t>
      </w:r>
      <w:r w:rsidR="009651F9">
        <w:rPr>
          <w:rFonts w:asciiTheme="minorHAnsi" w:hAnsiTheme="minorHAnsi"/>
        </w:rPr>
        <w:t>was a</w:t>
      </w:r>
      <w:r w:rsidRPr="00B417BF">
        <w:rPr>
          <w:rFonts w:asciiTheme="minorHAnsi" w:hAnsiTheme="minorHAnsi"/>
        </w:rPr>
        <w:t>dministered immediately after the students complete</w:t>
      </w:r>
      <w:r w:rsidR="009651F9">
        <w:rPr>
          <w:rFonts w:asciiTheme="minorHAnsi" w:hAnsiTheme="minorHAnsi"/>
        </w:rPr>
        <w:t>d</w:t>
      </w:r>
      <w:r w:rsidRPr="00B417BF">
        <w:rPr>
          <w:rFonts w:asciiTheme="minorHAnsi" w:hAnsiTheme="minorHAnsi"/>
        </w:rPr>
        <w:t xml:space="preserve"> their exams.  The </w:t>
      </w:r>
      <w:r w:rsidR="00267983" w:rsidRPr="00B417BF">
        <w:rPr>
          <w:rFonts w:asciiTheme="minorHAnsi" w:hAnsiTheme="minorHAnsi"/>
        </w:rPr>
        <w:t xml:space="preserve">computerized </w:t>
      </w:r>
      <w:r w:rsidRPr="00B417BF">
        <w:rPr>
          <w:rFonts w:asciiTheme="minorHAnsi" w:hAnsiTheme="minorHAnsi"/>
        </w:rPr>
        <w:t xml:space="preserve">administration </w:t>
      </w:r>
      <w:r w:rsidR="001D77A8">
        <w:rPr>
          <w:rFonts w:asciiTheme="minorHAnsi" w:hAnsiTheme="minorHAnsi"/>
        </w:rPr>
        <w:t xml:space="preserve">was put in </w:t>
      </w:r>
      <w:r w:rsidR="00267983" w:rsidRPr="00B417BF">
        <w:rPr>
          <w:rFonts w:asciiTheme="minorHAnsi" w:hAnsiTheme="minorHAnsi"/>
        </w:rPr>
        <w:t xml:space="preserve">place </w:t>
      </w:r>
      <w:r w:rsidRPr="00B417BF">
        <w:rPr>
          <w:rFonts w:asciiTheme="minorHAnsi" w:hAnsiTheme="minorHAnsi"/>
        </w:rPr>
        <w:t>so students access</w:t>
      </w:r>
      <w:r w:rsidR="00E802AC">
        <w:rPr>
          <w:rFonts w:asciiTheme="minorHAnsi" w:hAnsiTheme="minorHAnsi"/>
        </w:rPr>
        <w:t>ed</w:t>
      </w:r>
      <w:r w:rsidRPr="00B417BF">
        <w:rPr>
          <w:rFonts w:asciiTheme="minorHAnsi" w:hAnsiTheme="minorHAnsi"/>
        </w:rPr>
        <w:t xml:space="preserve"> the web link directly from their laptops</w:t>
      </w:r>
      <w:r w:rsidR="006F1E53" w:rsidRPr="00B417BF">
        <w:rPr>
          <w:rFonts w:asciiTheme="minorHAnsi" w:hAnsiTheme="minorHAnsi"/>
        </w:rPr>
        <w:t xml:space="preserve"> before </w:t>
      </w:r>
      <w:r w:rsidR="006F1E53" w:rsidRPr="00B417BF">
        <w:rPr>
          <w:rFonts w:asciiTheme="minorHAnsi" w:hAnsiTheme="minorHAnsi"/>
        </w:rPr>
        <w:lastRenderedPageBreak/>
        <w:t>leaving the exam room</w:t>
      </w:r>
      <w:r w:rsidRPr="00B417BF">
        <w:rPr>
          <w:rFonts w:asciiTheme="minorHAnsi" w:hAnsiTheme="minorHAnsi"/>
        </w:rPr>
        <w:t xml:space="preserve">.  The </w:t>
      </w:r>
      <w:r w:rsidR="006F1E53" w:rsidRPr="00B417BF">
        <w:rPr>
          <w:rFonts w:asciiTheme="minorHAnsi" w:hAnsiTheme="minorHAnsi"/>
        </w:rPr>
        <w:t xml:space="preserve">survey’s </w:t>
      </w:r>
      <w:r w:rsidRPr="00B417BF">
        <w:rPr>
          <w:rFonts w:asciiTheme="minorHAnsi" w:hAnsiTheme="minorHAnsi"/>
        </w:rPr>
        <w:t xml:space="preserve">ease of completion </w:t>
      </w:r>
      <w:r w:rsidR="009651F9">
        <w:rPr>
          <w:rFonts w:asciiTheme="minorHAnsi" w:hAnsiTheme="minorHAnsi"/>
        </w:rPr>
        <w:t>helped</w:t>
      </w:r>
      <w:r w:rsidRPr="00B417BF">
        <w:rPr>
          <w:rFonts w:asciiTheme="minorHAnsi" w:hAnsiTheme="minorHAnsi"/>
        </w:rPr>
        <w:t xml:space="preserve"> to avoid survey fatigue.</w:t>
      </w:r>
    </w:p>
    <w:p w14:paraId="6F41C714" w14:textId="77777777" w:rsidR="00FA004E" w:rsidRPr="00B417BF" w:rsidRDefault="00FA004E" w:rsidP="00FA004E">
      <w:pPr>
        <w:spacing w:line="480" w:lineRule="auto"/>
        <w:rPr>
          <w:rFonts w:asciiTheme="minorHAnsi" w:hAnsiTheme="minorHAnsi"/>
        </w:rPr>
      </w:pPr>
    </w:p>
    <w:p w14:paraId="497F4F30" w14:textId="2852E8AA" w:rsidR="00FA004E" w:rsidRPr="00B417BF" w:rsidRDefault="00FA004E" w:rsidP="00FA004E">
      <w:pPr>
        <w:spacing w:line="480" w:lineRule="auto"/>
        <w:rPr>
          <w:rFonts w:asciiTheme="minorHAnsi" w:hAnsiTheme="minorHAnsi"/>
        </w:rPr>
      </w:pPr>
      <w:r w:rsidRPr="00B417BF">
        <w:rPr>
          <w:rFonts w:asciiTheme="minorHAnsi" w:hAnsiTheme="minorHAnsi"/>
        </w:rPr>
        <w:t xml:space="preserve">The Brief COPE has several reverse response questions built in to </w:t>
      </w:r>
      <w:r w:rsidR="006F1E53" w:rsidRPr="00B417BF">
        <w:rPr>
          <w:rFonts w:asciiTheme="minorHAnsi" w:hAnsiTheme="minorHAnsi"/>
        </w:rPr>
        <w:t xml:space="preserve">identify </w:t>
      </w:r>
      <w:r w:rsidRPr="00B417BF">
        <w:rPr>
          <w:rFonts w:asciiTheme="minorHAnsi" w:hAnsiTheme="minorHAnsi"/>
        </w:rPr>
        <w:t xml:space="preserve">convenience responses.  However, because the students </w:t>
      </w:r>
      <w:r w:rsidR="009651F9">
        <w:rPr>
          <w:rFonts w:asciiTheme="minorHAnsi" w:hAnsiTheme="minorHAnsi"/>
        </w:rPr>
        <w:t>retook</w:t>
      </w:r>
      <w:r w:rsidRPr="00B417BF">
        <w:rPr>
          <w:rFonts w:asciiTheme="minorHAnsi" w:hAnsiTheme="minorHAnsi"/>
        </w:rPr>
        <w:t xml:space="preserve"> the same in</w:t>
      </w:r>
      <w:r w:rsidR="009651F9">
        <w:rPr>
          <w:rFonts w:asciiTheme="minorHAnsi" w:hAnsiTheme="minorHAnsi"/>
        </w:rPr>
        <w:t>strument multiple times, there wa</w:t>
      </w:r>
      <w:r w:rsidRPr="00B417BF">
        <w:rPr>
          <w:rFonts w:asciiTheme="minorHAnsi" w:hAnsiTheme="minorHAnsi"/>
        </w:rPr>
        <w:t>s</w:t>
      </w:r>
      <w:r w:rsidR="00CA129E">
        <w:rPr>
          <w:rFonts w:asciiTheme="minorHAnsi" w:hAnsiTheme="minorHAnsi"/>
        </w:rPr>
        <w:t xml:space="preserve"> the potential for them to give </w:t>
      </w:r>
      <w:r w:rsidRPr="00B417BF">
        <w:rPr>
          <w:rFonts w:asciiTheme="minorHAnsi" w:hAnsiTheme="minorHAnsi"/>
        </w:rPr>
        <w:t xml:space="preserve">responses </w:t>
      </w:r>
      <w:r w:rsidR="00E802AC">
        <w:rPr>
          <w:rFonts w:asciiTheme="minorHAnsi" w:hAnsiTheme="minorHAnsi"/>
        </w:rPr>
        <w:t>without reflection or</w:t>
      </w:r>
      <w:r w:rsidR="00CA129E">
        <w:rPr>
          <w:rFonts w:asciiTheme="minorHAnsi" w:hAnsiTheme="minorHAnsi"/>
        </w:rPr>
        <w:t xml:space="preserve"> thinking</w:t>
      </w:r>
      <w:r w:rsidR="009651F9">
        <w:rPr>
          <w:rFonts w:asciiTheme="minorHAnsi" w:hAnsiTheme="minorHAnsi"/>
        </w:rPr>
        <w:t xml:space="preserve">.  </w:t>
      </w:r>
      <w:r w:rsidR="00CA129E">
        <w:rPr>
          <w:rFonts w:asciiTheme="minorHAnsi" w:hAnsiTheme="minorHAnsi"/>
        </w:rPr>
        <w:t>Of course, t</w:t>
      </w:r>
      <w:r w:rsidR="009651F9">
        <w:rPr>
          <w:rFonts w:asciiTheme="minorHAnsi" w:hAnsiTheme="minorHAnsi"/>
        </w:rPr>
        <w:t>here wa</w:t>
      </w:r>
      <w:r w:rsidRPr="00B417BF">
        <w:rPr>
          <w:rFonts w:asciiTheme="minorHAnsi" w:hAnsiTheme="minorHAnsi"/>
        </w:rPr>
        <w:t xml:space="preserve">s no way to </w:t>
      </w:r>
      <w:r w:rsidR="00E802AC">
        <w:rPr>
          <w:rFonts w:asciiTheme="minorHAnsi" w:hAnsiTheme="minorHAnsi"/>
        </w:rPr>
        <w:t>ensure</w:t>
      </w:r>
      <w:r w:rsidR="00CA129E">
        <w:rPr>
          <w:rFonts w:asciiTheme="minorHAnsi" w:hAnsiTheme="minorHAnsi"/>
        </w:rPr>
        <w:t xml:space="preserve"> truthfulness of responses. </w:t>
      </w:r>
      <w:r w:rsidR="00E802AC">
        <w:rPr>
          <w:rFonts w:asciiTheme="minorHAnsi" w:hAnsiTheme="minorHAnsi"/>
        </w:rPr>
        <w:t>However,</w:t>
      </w:r>
      <w:r w:rsidRPr="00B417BF">
        <w:rPr>
          <w:rFonts w:asciiTheme="minorHAnsi" w:hAnsiTheme="minorHAnsi"/>
        </w:rPr>
        <w:t xml:space="preserve"> multiple administrations of the instrument can help identify inconsistencies of r</w:t>
      </w:r>
      <w:r w:rsidR="00E802AC">
        <w:rPr>
          <w:rFonts w:asciiTheme="minorHAnsi" w:hAnsiTheme="minorHAnsi"/>
        </w:rPr>
        <w:t>esponses for each participant.</w:t>
      </w:r>
      <w:r w:rsidRPr="00B417BF">
        <w:rPr>
          <w:rFonts w:asciiTheme="minorHAnsi" w:hAnsiTheme="minorHAnsi"/>
        </w:rPr>
        <w:t xml:space="preserve">  The Brief COPE has been analyzed for inter-item reliability</w:t>
      </w:r>
      <w:r w:rsidR="006F1E53" w:rsidRPr="00B417BF">
        <w:rPr>
          <w:rFonts w:asciiTheme="minorHAnsi" w:hAnsiTheme="minorHAnsi"/>
        </w:rPr>
        <w:t xml:space="preserve"> and</w:t>
      </w:r>
      <w:r w:rsidRPr="00B417BF">
        <w:rPr>
          <w:rFonts w:asciiTheme="minorHAnsi" w:hAnsiTheme="minorHAnsi"/>
        </w:rPr>
        <w:t xml:space="preserve"> abnormal trends </w:t>
      </w:r>
      <w:r w:rsidR="006F1E53" w:rsidRPr="00B417BF">
        <w:rPr>
          <w:rFonts w:asciiTheme="minorHAnsi" w:hAnsiTheme="minorHAnsi"/>
        </w:rPr>
        <w:t>can</w:t>
      </w:r>
      <w:r w:rsidRPr="00B417BF">
        <w:rPr>
          <w:rFonts w:asciiTheme="minorHAnsi" w:hAnsiTheme="minorHAnsi"/>
        </w:rPr>
        <w:t xml:space="preserve"> be </w:t>
      </w:r>
      <w:r w:rsidR="00CA129E">
        <w:rPr>
          <w:rFonts w:asciiTheme="minorHAnsi" w:hAnsiTheme="minorHAnsi"/>
        </w:rPr>
        <w:t>readily</w:t>
      </w:r>
      <w:r w:rsidRPr="00B417BF">
        <w:rPr>
          <w:rFonts w:asciiTheme="minorHAnsi" w:hAnsiTheme="minorHAnsi"/>
        </w:rPr>
        <w:t xml:space="preserve"> </w:t>
      </w:r>
      <w:r w:rsidR="006F1E53" w:rsidRPr="00B417BF">
        <w:rPr>
          <w:rFonts w:asciiTheme="minorHAnsi" w:hAnsiTheme="minorHAnsi"/>
        </w:rPr>
        <w:t>detected</w:t>
      </w:r>
      <w:r w:rsidRPr="00B417BF">
        <w:rPr>
          <w:rFonts w:asciiTheme="minorHAnsi" w:hAnsiTheme="minorHAnsi"/>
        </w:rPr>
        <w:t xml:space="preserve">.  </w:t>
      </w:r>
    </w:p>
    <w:p w14:paraId="340DC745" w14:textId="77777777" w:rsidR="00FA004E" w:rsidRPr="00B417BF" w:rsidRDefault="00FA004E" w:rsidP="00FA004E">
      <w:pPr>
        <w:spacing w:line="480" w:lineRule="auto"/>
        <w:rPr>
          <w:rFonts w:asciiTheme="minorHAnsi" w:hAnsiTheme="minorHAnsi"/>
        </w:rPr>
      </w:pPr>
    </w:p>
    <w:p w14:paraId="0FA26BF3" w14:textId="4548060D" w:rsidR="00FA004E" w:rsidRPr="00B417BF" w:rsidRDefault="00FA004E" w:rsidP="00FA004E">
      <w:pPr>
        <w:spacing w:line="480" w:lineRule="auto"/>
        <w:rPr>
          <w:rFonts w:asciiTheme="minorHAnsi" w:hAnsiTheme="minorHAnsi"/>
        </w:rPr>
      </w:pPr>
      <w:r w:rsidRPr="00B417BF">
        <w:rPr>
          <w:rFonts w:asciiTheme="minorHAnsi" w:hAnsiTheme="minorHAnsi"/>
        </w:rPr>
        <w:t xml:space="preserve">The </w:t>
      </w:r>
      <w:r w:rsidR="00FF376F">
        <w:rPr>
          <w:rFonts w:asciiTheme="minorHAnsi" w:hAnsiTheme="minorHAnsi"/>
        </w:rPr>
        <w:t>End of C</w:t>
      </w:r>
      <w:r w:rsidR="009651F9">
        <w:rPr>
          <w:rFonts w:asciiTheme="minorHAnsi" w:hAnsiTheme="minorHAnsi"/>
        </w:rPr>
        <w:t xml:space="preserve">ourse </w:t>
      </w:r>
      <w:r w:rsidR="00FF376F">
        <w:rPr>
          <w:rFonts w:asciiTheme="minorHAnsi" w:hAnsiTheme="minorHAnsi"/>
        </w:rPr>
        <w:t xml:space="preserve">Survey </w:t>
      </w:r>
      <w:r w:rsidRPr="00B417BF">
        <w:rPr>
          <w:rFonts w:asciiTheme="minorHAnsi" w:hAnsiTheme="minorHAnsi"/>
        </w:rPr>
        <w:t xml:space="preserve">qualitative portion of the study </w:t>
      </w:r>
      <w:r w:rsidR="009651F9">
        <w:rPr>
          <w:rFonts w:asciiTheme="minorHAnsi" w:hAnsiTheme="minorHAnsi"/>
        </w:rPr>
        <w:t>was</w:t>
      </w:r>
      <w:r w:rsidR="005723EB" w:rsidRPr="00B417BF">
        <w:rPr>
          <w:rFonts w:asciiTheme="minorHAnsi" w:hAnsiTheme="minorHAnsi"/>
        </w:rPr>
        <w:t xml:space="preserve"> administered online</w:t>
      </w:r>
      <w:r w:rsidR="0067255E">
        <w:rPr>
          <w:rFonts w:asciiTheme="minorHAnsi" w:hAnsiTheme="minorHAnsi"/>
        </w:rPr>
        <w:t xml:space="preserve"> via Qualtrics software</w:t>
      </w:r>
      <w:r w:rsidRPr="00B417BF">
        <w:rPr>
          <w:rFonts w:asciiTheme="minorHAnsi" w:hAnsiTheme="minorHAnsi"/>
        </w:rPr>
        <w:t xml:space="preserve"> </w:t>
      </w:r>
      <w:r w:rsidR="006F1E53" w:rsidRPr="00B417BF">
        <w:rPr>
          <w:rFonts w:asciiTheme="minorHAnsi" w:hAnsiTheme="minorHAnsi"/>
        </w:rPr>
        <w:t>and</w:t>
      </w:r>
      <w:r w:rsidR="009651F9">
        <w:rPr>
          <w:rFonts w:asciiTheme="minorHAnsi" w:hAnsiTheme="minorHAnsi"/>
        </w:rPr>
        <w:t xml:space="preserve"> allowed</w:t>
      </w:r>
      <w:r w:rsidRPr="00B417BF">
        <w:rPr>
          <w:rFonts w:asciiTheme="minorHAnsi" w:hAnsiTheme="minorHAnsi"/>
        </w:rPr>
        <w:t xml:space="preserve"> participants to opt out of the interview.  </w:t>
      </w:r>
      <w:r w:rsidR="006F1E53" w:rsidRPr="00B417BF">
        <w:rPr>
          <w:rFonts w:asciiTheme="minorHAnsi" w:hAnsiTheme="minorHAnsi"/>
        </w:rPr>
        <w:t>Of course</w:t>
      </w:r>
      <w:r w:rsidR="005723EB" w:rsidRPr="00B417BF">
        <w:rPr>
          <w:rFonts w:asciiTheme="minorHAnsi" w:hAnsiTheme="minorHAnsi"/>
        </w:rPr>
        <w:t>,</w:t>
      </w:r>
      <w:r w:rsidR="006F1E53" w:rsidRPr="00B417BF">
        <w:rPr>
          <w:rFonts w:asciiTheme="minorHAnsi" w:hAnsiTheme="minorHAnsi"/>
        </w:rPr>
        <w:t xml:space="preserve"> students</w:t>
      </w:r>
      <w:r w:rsidRPr="00B417BF">
        <w:rPr>
          <w:rFonts w:asciiTheme="minorHAnsi" w:hAnsiTheme="minorHAnsi"/>
        </w:rPr>
        <w:t xml:space="preserve"> </w:t>
      </w:r>
      <w:r w:rsidR="009651F9">
        <w:rPr>
          <w:rFonts w:asciiTheme="minorHAnsi" w:hAnsiTheme="minorHAnsi"/>
        </w:rPr>
        <w:t xml:space="preserve">could have </w:t>
      </w:r>
      <w:r w:rsidRPr="00B417BF">
        <w:rPr>
          <w:rFonts w:asciiTheme="minorHAnsi" w:hAnsiTheme="minorHAnsi"/>
        </w:rPr>
        <w:t>accidentally opt</w:t>
      </w:r>
      <w:r w:rsidR="009651F9">
        <w:rPr>
          <w:rFonts w:asciiTheme="minorHAnsi" w:hAnsiTheme="minorHAnsi"/>
        </w:rPr>
        <w:t>ed</w:t>
      </w:r>
      <w:r w:rsidRPr="00B417BF">
        <w:rPr>
          <w:rFonts w:asciiTheme="minorHAnsi" w:hAnsiTheme="minorHAnsi"/>
        </w:rPr>
        <w:t xml:space="preserve"> out by missing the email or notification of the interview.</w:t>
      </w:r>
      <w:r w:rsidR="0067255E">
        <w:rPr>
          <w:rFonts w:asciiTheme="minorHAnsi" w:hAnsiTheme="minorHAnsi"/>
        </w:rPr>
        <w:fldChar w:fldCharType="begin"/>
      </w:r>
      <w:r w:rsidR="00F521B2">
        <w:rPr>
          <w:rFonts w:asciiTheme="minorHAnsi" w:hAnsiTheme="minorHAnsi"/>
        </w:rPr>
        <w:instrText xml:space="preserve"> ADDIN ZOTERO_ITEM CSL_CITATION {"citationID":"a2mtuad3dsv","properties":{"formattedCitation":"\\super 99\\nosupersub{}","plainCitation":"99","noteIndex":0},"citationItems":[{"id":445,"uris":["http://zotero.org/users/1143701/items/6U6R2XKQ"],"uri":["http://zotero.org/users/1143701/items/6U6R2XKQ"],"itemData":{"id":445,"type":"webpage","title":"Qualtrics: Online Survey Software &amp; Insight Platform","container-title":"Qualtrics","abstract":"Qualtrics is the industry-leading provider of Online Survey Software. See how we can help you build an Online Survey. Get a Free Account Today!","URL":"http://www.qualtrics.com/","shortTitle":"Qualtrics","accessed":{"date-parts":[["2015",4,17]]}}}],"schema":"https://github.com/citation-style-language/schema/raw/master/csl-citation.json"} </w:instrText>
      </w:r>
      <w:r w:rsidR="0067255E">
        <w:rPr>
          <w:rFonts w:asciiTheme="minorHAnsi" w:hAnsiTheme="minorHAnsi"/>
        </w:rPr>
        <w:fldChar w:fldCharType="separate"/>
      </w:r>
      <w:r w:rsidR="00F521B2" w:rsidRPr="00F521B2">
        <w:rPr>
          <w:rFonts w:ascii="Cambria" w:hAnsiTheme="minorHAnsi"/>
          <w:vertAlign w:val="superscript"/>
        </w:rPr>
        <w:t>99</w:t>
      </w:r>
      <w:r w:rsidR="0067255E">
        <w:rPr>
          <w:rFonts w:asciiTheme="minorHAnsi" w:hAnsiTheme="minorHAnsi"/>
        </w:rPr>
        <w:fldChar w:fldCharType="end"/>
      </w:r>
      <w:r w:rsidRPr="00B417BF">
        <w:rPr>
          <w:rFonts w:asciiTheme="minorHAnsi" w:hAnsiTheme="minorHAnsi"/>
        </w:rPr>
        <w:t xml:space="preserve">  Just as with survey data, there</w:t>
      </w:r>
      <w:r w:rsidR="009651F9">
        <w:rPr>
          <w:rFonts w:asciiTheme="minorHAnsi" w:hAnsiTheme="minorHAnsi"/>
        </w:rPr>
        <w:t xml:space="preserve"> were</w:t>
      </w:r>
      <w:r w:rsidRPr="00B417BF">
        <w:rPr>
          <w:rFonts w:asciiTheme="minorHAnsi" w:hAnsiTheme="minorHAnsi"/>
        </w:rPr>
        <w:t xml:space="preserve"> issues of accuracy with interview questions.  While triangulation of coding help</w:t>
      </w:r>
      <w:r w:rsidR="00CA36BE">
        <w:rPr>
          <w:rFonts w:asciiTheme="minorHAnsi" w:hAnsiTheme="minorHAnsi"/>
        </w:rPr>
        <w:t>ed</w:t>
      </w:r>
      <w:r w:rsidRPr="00B417BF">
        <w:rPr>
          <w:rFonts w:asciiTheme="minorHAnsi" w:hAnsiTheme="minorHAnsi"/>
        </w:rPr>
        <w:t xml:space="preserve"> establi</w:t>
      </w:r>
      <w:r w:rsidR="009651F9">
        <w:rPr>
          <w:rFonts w:asciiTheme="minorHAnsi" w:hAnsiTheme="minorHAnsi"/>
        </w:rPr>
        <w:t>sh response reliability, there wa</w:t>
      </w:r>
      <w:r w:rsidRPr="00B417BF">
        <w:rPr>
          <w:rFonts w:asciiTheme="minorHAnsi" w:hAnsiTheme="minorHAnsi"/>
        </w:rPr>
        <w:t xml:space="preserve">s still the potential for wide variation between interview responses. </w:t>
      </w:r>
    </w:p>
    <w:p w14:paraId="6514007F" w14:textId="77777777" w:rsidR="00FA004E" w:rsidRPr="00B417BF" w:rsidRDefault="00FA004E" w:rsidP="00FA004E">
      <w:pPr>
        <w:spacing w:line="480" w:lineRule="auto"/>
        <w:rPr>
          <w:rFonts w:asciiTheme="minorHAnsi" w:hAnsiTheme="minorHAnsi"/>
        </w:rPr>
      </w:pPr>
    </w:p>
    <w:p w14:paraId="4B640352" w14:textId="601E6280" w:rsidR="00FA004E" w:rsidRPr="00B417BF" w:rsidRDefault="00FA004E" w:rsidP="00FA004E">
      <w:pPr>
        <w:spacing w:line="480" w:lineRule="auto"/>
        <w:rPr>
          <w:rFonts w:asciiTheme="minorHAnsi" w:hAnsiTheme="minorHAnsi"/>
        </w:rPr>
      </w:pPr>
      <w:r w:rsidRPr="00B417BF">
        <w:rPr>
          <w:rFonts w:asciiTheme="minorHAnsi" w:hAnsiTheme="minorHAnsi"/>
        </w:rPr>
        <w:t xml:space="preserve">To avoid FERPA breeches of privacy, several steps </w:t>
      </w:r>
      <w:r w:rsidR="009651F9">
        <w:rPr>
          <w:rFonts w:asciiTheme="minorHAnsi" w:hAnsiTheme="minorHAnsi"/>
        </w:rPr>
        <w:t>were</w:t>
      </w:r>
      <w:r w:rsidRPr="00B417BF">
        <w:rPr>
          <w:rFonts w:asciiTheme="minorHAnsi" w:hAnsiTheme="minorHAnsi"/>
        </w:rPr>
        <w:t xml:space="preserve"> taken.  Each student </w:t>
      </w:r>
      <w:r w:rsidR="009651F9">
        <w:rPr>
          <w:rFonts w:asciiTheme="minorHAnsi" w:hAnsiTheme="minorHAnsi"/>
        </w:rPr>
        <w:t xml:space="preserve">was </w:t>
      </w:r>
      <w:r w:rsidRPr="00B417BF">
        <w:rPr>
          <w:rFonts w:asciiTheme="minorHAnsi" w:hAnsiTheme="minorHAnsi"/>
        </w:rPr>
        <w:t>assigned a n</w:t>
      </w:r>
      <w:r w:rsidR="00F017D9">
        <w:rPr>
          <w:rFonts w:asciiTheme="minorHAnsi" w:hAnsiTheme="minorHAnsi"/>
        </w:rPr>
        <w:t xml:space="preserve">umerical code that </w:t>
      </w:r>
      <w:r w:rsidR="000E2946">
        <w:rPr>
          <w:rFonts w:asciiTheme="minorHAnsi" w:hAnsiTheme="minorHAnsi"/>
        </w:rPr>
        <w:t>identified</w:t>
      </w:r>
      <w:r w:rsidRPr="00B417BF">
        <w:rPr>
          <w:rFonts w:asciiTheme="minorHAnsi" w:hAnsiTheme="minorHAnsi"/>
        </w:rPr>
        <w:t xml:space="preserve"> him or her in the data set. All identifying information </w:t>
      </w:r>
      <w:r w:rsidR="00E802AC">
        <w:rPr>
          <w:rFonts w:asciiTheme="minorHAnsi" w:hAnsiTheme="minorHAnsi"/>
        </w:rPr>
        <w:t>such as student ID number were</w:t>
      </w:r>
      <w:r w:rsidRPr="00B417BF">
        <w:rPr>
          <w:rFonts w:asciiTheme="minorHAnsi" w:hAnsiTheme="minorHAnsi"/>
        </w:rPr>
        <w:t xml:space="preserve"> remo</w:t>
      </w:r>
      <w:r w:rsidR="00913F89">
        <w:rPr>
          <w:rFonts w:asciiTheme="minorHAnsi" w:hAnsiTheme="minorHAnsi"/>
        </w:rPr>
        <w:t xml:space="preserve">ved from the data </w:t>
      </w:r>
      <w:r w:rsidR="00913F89">
        <w:rPr>
          <w:rFonts w:asciiTheme="minorHAnsi" w:hAnsiTheme="minorHAnsi"/>
        </w:rPr>
        <w:lastRenderedPageBreak/>
        <w:t>set after it was</w:t>
      </w:r>
      <w:r w:rsidRPr="00B417BF">
        <w:rPr>
          <w:rFonts w:asciiTheme="minorHAnsi" w:hAnsiTheme="minorHAnsi"/>
        </w:rPr>
        <w:t xml:space="preserve"> matched with the exam grade and associated with the code.  All data </w:t>
      </w:r>
      <w:r w:rsidR="009651F9">
        <w:rPr>
          <w:rFonts w:asciiTheme="minorHAnsi" w:hAnsiTheme="minorHAnsi"/>
        </w:rPr>
        <w:t xml:space="preserve">was </w:t>
      </w:r>
      <w:r w:rsidRPr="00B417BF">
        <w:rPr>
          <w:rFonts w:asciiTheme="minorHAnsi" w:hAnsiTheme="minorHAnsi"/>
        </w:rPr>
        <w:t xml:space="preserve">stored on an encrypted hard drive that is password protected. However, because students </w:t>
      </w:r>
      <w:r w:rsidR="009651F9">
        <w:rPr>
          <w:rFonts w:asciiTheme="minorHAnsi" w:hAnsiTheme="minorHAnsi"/>
        </w:rPr>
        <w:t>were</w:t>
      </w:r>
      <w:r w:rsidRPr="00B417BF">
        <w:rPr>
          <w:rFonts w:asciiTheme="minorHAnsi" w:hAnsiTheme="minorHAnsi"/>
        </w:rPr>
        <w:t xml:space="preserve"> identified with their grade for a portion of the data collection, the privacy integrity of the study could be called into question.</w:t>
      </w:r>
    </w:p>
    <w:p w14:paraId="69C2F162" w14:textId="52565D5B" w:rsidR="00FA004E" w:rsidRPr="00B417BF" w:rsidRDefault="00604C23" w:rsidP="00604C23">
      <w:pPr>
        <w:rPr>
          <w:rFonts w:asciiTheme="minorHAnsi" w:hAnsiTheme="minorHAnsi"/>
        </w:rPr>
      </w:pPr>
      <w:r>
        <w:rPr>
          <w:rFonts w:asciiTheme="minorHAnsi" w:hAnsiTheme="minorHAnsi"/>
        </w:rPr>
        <w:br w:type="page"/>
      </w:r>
    </w:p>
    <w:p w14:paraId="71029D81" w14:textId="77777777" w:rsidR="00FA004E" w:rsidRPr="00B417BF" w:rsidRDefault="00FA004E" w:rsidP="00FA004E">
      <w:pPr>
        <w:spacing w:line="480" w:lineRule="auto"/>
        <w:rPr>
          <w:rFonts w:asciiTheme="minorHAnsi" w:hAnsiTheme="minorHAnsi"/>
        </w:rPr>
      </w:pPr>
    </w:p>
    <w:p w14:paraId="0C615FB8" w14:textId="2F9AE3CA" w:rsidR="00FA004E" w:rsidRPr="00B417BF" w:rsidRDefault="00CA36BE" w:rsidP="00370897">
      <w:pPr>
        <w:pStyle w:val="Bibliography"/>
        <w:spacing w:line="480" w:lineRule="auto"/>
        <w:jc w:val="center"/>
        <w:outlineLvl w:val="0"/>
        <w:rPr>
          <w:b/>
        </w:rPr>
      </w:pPr>
      <w:r>
        <w:rPr>
          <w:b/>
        </w:rPr>
        <w:t>Chapter 4</w:t>
      </w:r>
    </w:p>
    <w:p w14:paraId="59E549A4" w14:textId="77777777" w:rsidR="005D6B38" w:rsidRDefault="005D6B38" w:rsidP="00177E33">
      <w:pPr>
        <w:spacing w:line="480" w:lineRule="auto"/>
        <w:rPr>
          <w:rFonts w:asciiTheme="minorHAnsi" w:hAnsiTheme="minorHAnsi"/>
          <w:b/>
        </w:rPr>
      </w:pPr>
    </w:p>
    <w:p w14:paraId="15F06BCF" w14:textId="0C4AAE5F" w:rsidR="00C4515B" w:rsidRDefault="00C56311" w:rsidP="00177E33">
      <w:pPr>
        <w:spacing w:line="480" w:lineRule="auto"/>
        <w:rPr>
          <w:rFonts w:asciiTheme="minorHAnsi" w:hAnsiTheme="minorHAnsi"/>
          <w:b/>
        </w:rPr>
      </w:pPr>
      <w:r w:rsidRPr="00B417BF">
        <w:rPr>
          <w:rFonts w:asciiTheme="minorHAnsi" w:hAnsiTheme="minorHAnsi"/>
          <w:b/>
        </w:rPr>
        <w:t xml:space="preserve">Problem </w:t>
      </w:r>
      <w:r w:rsidR="007B028C">
        <w:rPr>
          <w:rFonts w:asciiTheme="minorHAnsi" w:hAnsiTheme="minorHAnsi"/>
          <w:b/>
        </w:rPr>
        <w:t>Analysis</w:t>
      </w:r>
    </w:p>
    <w:p w14:paraId="71125978" w14:textId="43309345" w:rsidR="00056A33" w:rsidRDefault="00177E33" w:rsidP="00177E33">
      <w:pPr>
        <w:spacing w:line="480" w:lineRule="auto"/>
        <w:rPr>
          <w:rFonts w:asciiTheme="minorHAnsi" w:hAnsiTheme="minorHAnsi"/>
        </w:rPr>
      </w:pPr>
      <w:r w:rsidRPr="00177E33">
        <w:rPr>
          <w:rFonts w:asciiTheme="minorHAnsi" w:hAnsiTheme="minorHAnsi"/>
        </w:rPr>
        <w:t xml:space="preserve"> </w:t>
      </w:r>
      <w:r w:rsidRPr="00B417BF">
        <w:rPr>
          <w:rFonts w:asciiTheme="minorHAnsi" w:hAnsiTheme="minorHAnsi"/>
        </w:rPr>
        <w:t>Individual COPE and exam grades for both</w:t>
      </w:r>
      <w:r w:rsidR="00645AF8">
        <w:rPr>
          <w:rFonts w:asciiTheme="minorHAnsi" w:hAnsiTheme="minorHAnsi"/>
        </w:rPr>
        <w:t xml:space="preserve"> the</w:t>
      </w:r>
      <w:r w:rsidRPr="00B417BF">
        <w:rPr>
          <w:rFonts w:asciiTheme="minorHAnsi" w:hAnsiTheme="minorHAnsi"/>
        </w:rPr>
        <w:t xml:space="preserve"> 2016</w:t>
      </w:r>
      <w:r w:rsidR="00E36806">
        <w:rPr>
          <w:rFonts w:asciiTheme="minorHAnsi" w:hAnsiTheme="minorHAnsi"/>
        </w:rPr>
        <w:t xml:space="preserve"> c</w:t>
      </w:r>
      <w:r>
        <w:rPr>
          <w:rFonts w:asciiTheme="minorHAnsi" w:hAnsiTheme="minorHAnsi"/>
        </w:rPr>
        <w:t xml:space="preserve">ontrol </w:t>
      </w:r>
      <w:r w:rsidRPr="00B417BF">
        <w:rPr>
          <w:rFonts w:asciiTheme="minorHAnsi" w:hAnsiTheme="minorHAnsi"/>
        </w:rPr>
        <w:t xml:space="preserve">and 2017 </w:t>
      </w:r>
      <w:r w:rsidR="00E36806">
        <w:rPr>
          <w:rFonts w:asciiTheme="minorHAnsi" w:hAnsiTheme="minorHAnsi"/>
        </w:rPr>
        <w:t>e</w:t>
      </w:r>
      <w:r>
        <w:rPr>
          <w:rFonts w:asciiTheme="minorHAnsi" w:hAnsiTheme="minorHAnsi"/>
        </w:rPr>
        <w:t xml:space="preserve">xperimental </w:t>
      </w:r>
      <w:r w:rsidRPr="00B417BF">
        <w:rPr>
          <w:rFonts w:asciiTheme="minorHAnsi" w:hAnsiTheme="minorHAnsi"/>
        </w:rPr>
        <w:t xml:space="preserve">groups were analyzed across the three exams </w:t>
      </w:r>
      <w:r w:rsidR="00CF35BE">
        <w:rPr>
          <w:rFonts w:asciiTheme="minorHAnsi" w:hAnsiTheme="minorHAnsi"/>
        </w:rPr>
        <w:t xml:space="preserve">for each group </w:t>
      </w:r>
      <w:r w:rsidRPr="00B417BF">
        <w:rPr>
          <w:rFonts w:asciiTheme="minorHAnsi" w:hAnsiTheme="minorHAnsi"/>
        </w:rPr>
        <w:t>and then between</w:t>
      </w:r>
      <w:r w:rsidR="00CF35BE">
        <w:rPr>
          <w:rFonts w:asciiTheme="minorHAnsi" w:hAnsiTheme="minorHAnsi"/>
        </w:rPr>
        <w:t xml:space="preserve"> control and experimental</w:t>
      </w:r>
      <w:r w:rsidRPr="00B417BF">
        <w:rPr>
          <w:rFonts w:asciiTheme="minorHAnsi" w:hAnsiTheme="minorHAnsi"/>
        </w:rPr>
        <w:t xml:space="preserve"> groups.  </w:t>
      </w:r>
      <w:r>
        <w:rPr>
          <w:rFonts w:asciiTheme="minorHAnsi" w:hAnsiTheme="minorHAnsi"/>
        </w:rPr>
        <w:t xml:space="preserve">Analysis of both groups individually provided examination of behaviors of each </w:t>
      </w:r>
      <w:r w:rsidR="00CF35BE">
        <w:rPr>
          <w:rFonts w:asciiTheme="minorHAnsi" w:hAnsiTheme="minorHAnsi"/>
        </w:rPr>
        <w:t>group over time</w:t>
      </w:r>
      <w:r w:rsidR="00056A33">
        <w:rPr>
          <w:rFonts w:asciiTheme="minorHAnsi" w:hAnsiTheme="minorHAnsi"/>
        </w:rPr>
        <w:t xml:space="preserve"> to allow for initial examination of coping mechanisms and support service usage.  </w:t>
      </w:r>
      <w:r>
        <w:rPr>
          <w:rFonts w:asciiTheme="minorHAnsi" w:hAnsiTheme="minorHAnsi"/>
        </w:rPr>
        <w:t xml:space="preserve">Comparison across groups </w:t>
      </w:r>
      <w:r w:rsidR="00643FA4">
        <w:rPr>
          <w:rFonts w:asciiTheme="minorHAnsi" w:hAnsiTheme="minorHAnsi"/>
        </w:rPr>
        <w:t>examined</w:t>
      </w:r>
      <w:r>
        <w:rPr>
          <w:rFonts w:asciiTheme="minorHAnsi" w:hAnsiTheme="minorHAnsi"/>
        </w:rPr>
        <w:t xml:space="preserve"> differences between control and experimental groups</w:t>
      </w:r>
      <w:r w:rsidR="00056A33">
        <w:rPr>
          <w:rFonts w:asciiTheme="minorHAnsi" w:hAnsiTheme="minorHAnsi"/>
        </w:rPr>
        <w:t xml:space="preserve"> and</w:t>
      </w:r>
      <w:r w:rsidR="00643FA4">
        <w:rPr>
          <w:rFonts w:asciiTheme="minorHAnsi" w:hAnsiTheme="minorHAnsi"/>
        </w:rPr>
        <w:t xml:space="preserve"> evaluated the</w:t>
      </w:r>
      <w:r w:rsidR="00056A33">
        <w:rPr>
          <w:rFonts w:asciiTheme="minorHAnsi" w:hAnsiTheme="minorHAnsi"/>
        </w:rPr>
        <w:t xml:space="preserve"> effectiveness of intervention</w:t>
      </w:r>
      <w:r w:rsidR="00B32891">
        <w:rPr>
          <w:rFonts w:asciiTheme="minorHAnsi" w:hAnsiTheme="minorHAnsi"/>
        </w:rPr>
        <w:t xml:space="preserve"> (Fig 3)</w:t>
      </w:r>
      <w:r>
        <w:rPr>
          <w:rFonts w:asciiTheme="minorHAnsi" w:hAnsiTheme="minorHAnsi"/>
        </w:rPr>
        <w:t>.</w:t>
      </w:r>
    </w:p>
    <w:p w14:paraId="611697F6" w14:textId="66E9D1E6" w:rsidR="00903D2D" w:rsidRDefault="00903D2D">
      <w:pPr>
        <w:rPr>
          <w:rFonts w:asciiTheme="minorHAnsi" w:hAnsiTheme="minorHAnsi"/>
        </w:rPr>
      </w:pPr>
      <w:r>
        <w:rPr>
          <w:rFonts w:asciiTheme="minorHAnsi" w:hAnsiTheme="minorHAnsi"/>
        </w:rPr>
        <w:br w:type="page"/>
      </w:r>
    </w:p>
    <w:p w14:paraId="3326479C" w14:textId="77777777" w:rsidR="00903D2D" w:rsidRDefault="00903D2D" w:rsidP="00903D2D">
      <w:pPr>
        <w:spacing w:line="480" w:lineRule="auto"/>
        <w:outlineLvl w:val="0"/>
        <w:rPr>
          <w:rFonts w:asciiTheme="minorHAnsi" w:hAnsiTheme="minorHAnsi"/>
          <w:b/>
        </w:rPr>
      </w:pPr>
    </w:p>
    <w:p w14:paraId="612C28AD" w14:textId="77777777" w:rsidR="00903D2D" w:rsidRDefault="00903D2D" w:rsidP="00903D2D">
      <w:pPr>
        <w:spacing w:line="480" w:lineRule="auto"/>
        <w:outlineLvl w:val="0"/>
        <w:rPr>
          <w:rFonts w:asciiTheme="minorHAnsi" w:hAnsiTheme="minorHAnsi"/>
          <w:b/>
        </w:rPr>
      </w:pPr>
      <w:r>
        <w:rPr>
          <w:rFonts w:asciiTheme="minorHAnsi" w:hAnsiTheme="minorHAnsi"/>
          <w:b/>
          <w:noProof/>
        </w:rPr>
        <mc:AlternateContent>
          <mc:Choice Requires="wps">
            <w:drawing>
              <wp:anchor distT="0" distB="0" distL="114300" distR="114300" simplePos="0" relativeHeight="251734016" behindDoc="0" locked="0" layoutInCell="1" allowOverlap="1" wp14:anchorId="1ED06963" wp14:editId="3C67C84B">
                <wp:simplePos x="0" y="0"/>
                <wp:positionH relativeFrom="column">
                  <wp:posOffset>34834</wp:posOffset>
                </wp:positionH>
                <wp:positionV relativeFrom="paragraph">
                  <wp:posOffset>27123</wp:posOffset>
                </wp:positionV>
                <wp:extent cx="1661886" cy="261257"/>
                <wp:effectExtent l="0" t="0" r="14605" b="18415"/>
                <wp:wrapNone/>
                <wp:docPr id="37" name="Text Box 37"/>
                <wp:cNvGraphicFramePr/>
                <a:graphic xmlns:a="http://schemas.openxmlformats.org/drawingml/2006/main">
                  <a:graphicData uri="http://schemas.microsoft.com/office/word/2010/wordprocessingShape">
                    <wps:wsp>
                      <wps:cNvSpPr txBox="1"/>
                      <wps:spPr>
                        <a:xfrm>
                          <a:off x="0" y="0"/>
                          <a:ext cx="1661886" cy="261257"/>
                        </a:xfrm>
                        <a:prstGeom prst="rect">
                          <a:avLst/>
                        </a:prstGeom>
                        <a:solidFill>
                          <a:schemeClr val="lt1"/>
                        </a:solidFill>
                        <a:ln w="6350">
                          <a:solidFill>
                            <a:prstClr val="black"/>
                          </a:solidFill>
                        </a:ln>
                      </wps:spPr>
                      <wps:txbx>
                        <w:txbxContent>
                          <w:p w14:paraId="0C407111" w14:textId="77777777" w:rsidR="00041D3B" w:rsidRDefault="00041D3B" w:rsidP="00903D2D">
                            <w:r>
                              <w:t>Control Group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D06963" id="_x0000_t202" coordsize="21600,21600" o:spt="202" path="m,l,21600r21600,l21600,xe">
                <v:stroke joinstyle="miter"/>
                <v:path gradientshapeok="t" o:connecttype="rect"/>
              </v:shapetype>
              <v:shape id="Text Box 37" o:spid="_x0000_s1026" type="#_x0000_t202" style="position:absolute;margin-left:2.75pt;margin-top:2.15pt;width:130.85pt;height:20.5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" fillcolor="white [3201]" strokeweight=".5pt">
                <v:textbox>
                  <w:txbxContent>
                    <w:p w14:paraId="0C407111" w14:textId="77777777" w:rsidR="00041D3B" w:rsidRDefault="00041D3B" w:rsidP="00903D2D">
                      <w:r>
                        <w:t>Control Group 2016</w:t>
                      </w:r>
                    </w:p>
                  </w:txbxContent>
                </v:textbox>
              </v:shape>
            </w:pict>
          </mc:Fallback>
        </mc:AlternateContent>
      </w:r>
    </w:p>
    <w:p w14:paraId="76215760" w14:textId="77777777" w:rsidR="00903D2D" w:rsidRPr="00B417BF" w:rsidRDefault="00903D2D" w:rsidP="00903D2D">
      <w:pPr>
        <w:spacing w:line="480" w:lineRule="auto"/>
        <w:outlineLvl w:val="0"/>
        <w:rPr>
          <w:rFonts w:asciiTheme="minorHAnsi" w:hAnsiTheme="minorHAnsi"/>
          <w:b/>
        </w:rPr>
      </w:pPr>
      <w:r>
        <w:rPr>
          <w:rFonts w:asciiTheme="minorHAnsi" w:hAnsiTheme="minorHAnsi"/>
          <w:b/>
          <w:noProof/>
        </w:rPr>
        <mc:AlternateContent>
          <mc:Choice Requires="wps">
            <w:drawing>
              <wp:anchor distT="0" distB="0" distL="114300" distR="114300" simplePos="0" relativeHeight="251738112" behindDoc="0" locked="0" layoutInCell="1" allowOverlap="1" wp14:anchorId="747BAA1A" wp14:editId="4739A4E0">
                <wp:simplePos x="0" y="0"/>
                <wp:positionH relativeFrom="column">
                  <wp:posOffset>3445147</wp:posOffset>
                </wp:positionH>
                <wp:positionV relativeFrom="paragraph">
                  <wp:posOffset>2146844</wp:posOffset>
                </wp:positionV>
                <wp:extent cx="311785" cy="152763"/>
                <wp:effectExtent l="50800" t="25400" r="5715" b="76200"/>
                <wp:wrapNone/>
                <wp:docPr id="38" name="Left-Right Arrow 38"/>
                <wp:cNvGraphicFramePr/>
                <a:graphic xmlns:a="http://schemas.openxmlformats.org/drawingml/2006/main">
                  <a:graphicData uri="http://schemas.microsoft.com/office/word/2010/wordprocessingShape">
                    <wps:wsp>
                      <wps:cNvSpPr/>
                      <wps:spPr>
                        <a:xfrm flipV="1">
                          <a:off x="0" y="0"/>
                          <a:ext cx="311785" cy="152763"/>
                        </a:xfrm>
                        <a:prstGeom prst="leftRightArrow">
                          <a:avLst/>
                        </a:prstGeom>
                        <a:gradFill>
                          <a:gsLst>
                            <a:gs pos="43000">
                              <a:srgbClr val="92D050">
                                <a:lumMod val="92000"/>
                                <a:lumOff val="8000"/>
                              </a:srgbClr>
                            </a:gs>
                            <a:gs pos="99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2BD88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38" o:spid="_x0000_s1026" type="#_x0000_t69" style="position:absolute;margin-left:271.25pt;margin-top:169.05pt;width:24.55pt;height:12.0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" adj="5292" fillcolor="#9bd45e" strokecolor="#4579b8 [3044]">
                <v:fill color2="#a7bfde [1620]" rotate="t" angle="180" colors="0 #9bd45e;28180f #9bd45e" focus="100%" type="gradient">
                  <o:fill v:ext="view" type="gradientUnscaled"/>
                </v:fill>
                <v:shadow on="t" color="black" opacity="22937f" origin=",.5" offset="0,.63889mm"/>
              </v:shape>
            </w:pict>
          </mc:Fallback>
        </mc:AlternateContent>
      </w:r>
      <w:r>
        <w:rPr>
          <w:rFonts w:asciiTheme="minorHAnsi" w:hAnsiTheme="minorHAnsi"/>
          <w:b/>
          <w:noProof/>
        </w:rPr>
        <mc:AlternateContent>
          <mc:Choice Requires="wps">
            <w:drawing>
              <wp:anchor distT="0" distB="0" distL="114300" distR="114300" simplePos="0" relativeHeight="251737088" behindDoc="0" locked="0" layoutInCell="1" allowOverlap="1" wp14:anchorId="097701EA" wp14:editId="35912DFF">
                <wp:simplePos x="0" y="0"/>
                <wp:positionH relativeFrom="column">
                  <wp:posOffset>1659890</wp:posOffset>
                </wp:positionH>
                <wp:positionV relativeFrom="paragraph">
                  <wp:posOffset>2096044</wp:posOffset>
                </wp:positionV>
                <wp:extent cx="311785" cy="152763"/>
                <wp:effectExtent l="50800" t="25400" r="5715" b="76200"/>
                <wp:wrapNone/>
                <wp:docPr id="43" name="Left-Right Arrow 43"/>
                <wp:cNvGraphicFramePr/>
                <a:graphic xmlns:a="http://schemas.openxmlformats.org/drawingml/2006/main">
                  <a:graphicData uri="http://schemas.microsoft.com/office/word/2010/wordprocessingShape">
                    <wps:wsp>
                      <wps:cNvSpPr/>
                      <wps:spPr>
                        <a:xfrm flipV="1">
                          <a:off x="0" y="0"/>
                          <a:ext cx="311785" cy="152763"/>
                        </a:xfrm>
                        <a:prstGeom prst="leftRightArrow">
                          <a:avLst/>
                        </a:prstGeom>
                        <a:gradFill>
                          <a:gsLst>
                            <a:gs pos="43000">
                              <a:srgbClr val="92D050">
                                <a:lumMod val="92000"/>
                                <a:lumOff val="8000"/>
                              </a:srgbClr>
                            </a:gs>
                            <a:gs pos="99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53027" id="Left-Right Arrow 43" o:spid="_x0000_s1026" type="#_x0000_t69" style="position:absolute;margin-left:130.7pt;margin-top:165.05pt;width:24.55pt;height:12.05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" adj="5292" fillcolor="#9bd45e" strokecolor="#4579b8 [3044]">
                <v:fill color2="#a7bfde [1620]" rotate="t" angle="180" colors="0 #9bd45e;28180f #9bd45e" focus="100%" type="gradient">
                  <o:fill v:ext="view" type="gradientUnscaled"/>
                </v:fill>
                <v:shadow on="t" color="black" opacity="22937f" origin=",.5" offset="0,.63889mm"/>
              </v:shape>
            </w:pict>
          </mc:Fallback>
        </mc:AlternateContent>
      </w:r>
      <w:r>
        <w:rPr>
          <w:rFonts w:asciiTheme="minorHAnsi" w:hAnsiTheme="minorHAnsi"/>
          <w:b/>
          <w:noProof/>
        </w:rPr>
        <mc:AlternateContent>
          <mc:Choice Requires="wps">
            <w:drawing>
              <wp:anchor distT="0" distB="0" distL="114300" distR="114300" simplePos="0" relativeHeight="251736064" behindDoc="0" locked="0" layoutInCell="1" allowOverlap="1" wp14:anchorId="1D9E6E20" wp14:editId="61F376F9">
                <wp:simplePos x="0" y="0"/>
                <wp:positionH relativeFrom="column">
                  <wp:posOffset>3445510</wp:posOffset>
                </wp:positionH>
                <wp:positionV relativeFrom="paragraph">
                  <wp:posOffset>615315</wp:posOffset>
                </wp:positionV>
                <wp:extent cx="311785" cy="152763"/>
                <wp:effectExtent l="50800" t="25400" r="5715" b="76200"/>
                <wp:wrapNone/>
                <wp:docPr id="46" name="Left-Right Arrow 46"/>
                <wp:cNvGraphicFramePr/>
                <a:graphic xmlns:a="http://schemas.openxmlformats.org/drawingml/2006/main">
                  <a:graphicData uri="http://schemas.microsoft.com/office/word/2010/wordprocessingShape">
                    <wps:wsp>
                      <wps:cNvSpPr/>
                      <wps:spPr>
                        <a:xfrm flipV="1">
                          <a:off x="0" y="0"/>
                          <a:ext cx="311785" cy="152763"/>
                        </a:xfrm>
                        <a:prstGeom prst="leftRightArrow">
                          <a:avLst/>
                        </a:prstGeom>
                        <a:gradFill>
                          <a:gsLst>
                            <a:gs pos="43000">
                              <a:srgbClr val="92D050">
                                <a:lumMod val="92000"/>
                                <a:lumOff val="8000"/>
                              </a:srgbClr>
                            </a:gs>
                            <a:gs pos="99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62F98" id="Left-Right Arrow 46" o:spid="_x0000_s1026" type="#_x0000_t69" style="position:absolute;margin-left:271.3pt;margin-top:48.45pt;width:24.55pt;height:12.05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" adj="5292" fillcolor="#9bd45e" strokecolor="#4579b8 [3044]">
                <v:fill color2="#a7bfde [1620]" rotate="t" angle="180" colors="0 #9bd45e;28180f #9bd45e" focus="100%" type="gradient">
                  <o:fill v:ext="view" type="gradientUnscaled"/>
                </v:fill>
                <v:shadow on="t" color="black" opacity="22937f" origin=",.5" offset="0,.63889mm"/>
              </v:shape>
            </w:pict>
          </mc:Fallback>
        </mc:AlternateContent>
      </w:r>
      <w:r>
        <w:rPr>
          <w:rFonts w:asciiTheme="minorHAnsi" w:hAnsiTheme="minorHAnsi"/>
          <w:b/>
          <w:noProof/>
        </w:rPr>
        <mc:AlternateContent>
          <mc:Choice Requires="wps">
            <w:drawing>
              <wp:anchor distT="0" distB="0" distL="114300" distR="114300" simplePos="0" relativeHeight="251735040" behindDoc="0" locked="0" layoutInCell="1" allowOverlap="1" wp14:anchorId="542814E2" wp14:editId="20B6078F">
                <wp:simplePos x="0" y="0"/>
                <wp:positionH relativeFrom="column">
                  <wp:posOffset>34834</wp:posOffset>
                </wp:positionH>
                <wp:positionV relativeFrom="paragraph">
                  <wp:posOffset>2587625</wp:posOffset>
                </wp:positionV>
                <wp:extent cx="1857829" cy="261257"/>
                <wp:effectExtent l="0" t="0" r="9525" b="18415"/>
                <wp:wrapNone/>
                <wp:docPr id="53" name="Text Box 53"/>
                <wp:cNvGraphicFramePr/>
                <a:graphic xmlns:a="http://schemas.openxmlformats.org/drawingml/2006/main">
                  <a:graphicData uri="http://schemas.microsoft.com/office/word/2010/wordprocessingShape">
                    <wps:wsp>
                      <wps:cNvSpPr txBox="1"/>
                      <wps:spPr>
                        <a:xfrm>
                          <a:off x="0" y="0"/>
                          <a:ext cx="1857829" cy="261257"/>
                        </a:xfrm>
                        <a:prstGeom prst="rect">
                          <a:avLst/>
                        </a:prstGeom>
                        <a:solidFill>
                          <a:schemeClr val="lt1"/>
                        </a:solidFill>
                        <a:ln w="6350">
                          <a:solidFill>
                            <a:prstClr val="black"/>
                          </a:solidFill>
                        </a:ln>
                      </wps:spPr>
                      <wps:txbx>
                        <w:txbxContent>
                          <w:p w14:paraId="1F3E600F" w14:textId="77777777" w:rsidR="00041D3B" w:rsidRDefault="00041D3B" w:rsidP="00903D2D">
                            <w:r>
                              <w:t>Experimental Group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814E2" id="Text Box 53" o:spid="_x0000_s1027" type="#_x0000_t202" style="position:absolute;margin-left:2.75pt;margin-top:203.75pt;width:146.3pt;height:20.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" fillcolor="white [3201]" strokeweight=".5pt">
                <v:textbox>
                  <w:txbxContent>
                    <w:p w14:paraId="1F3E600F" w14:textId="77777777" w:rsidR="00041D3B" w:rsidRDefault="00041D3B" w:rsidP="00903D2D">
                      <w:r>
                        <w:t>Experimental Group 2017</w:t>
                      </w:r>
                    </w:p>
                  </w:txbxContent>
                </v:textbox>
              </v:shape>
            </w:pict>
          </mc:Fallback>
        </mc:AlternateContent>
      </w:r>
      <w:r>
        <w:rPr>
          <w:rFonts w:asciiTheme="minorHAnsi" w:hAnsiTheme="minorHAnsi"/>
          <w:b/>
          <w:noProof/>
        </w:rPr>
        <mc:AlternateContent>
          <mc:Choice Requires="wps">
            <w:drawing>
              <wp:anchor distT="0" distB="0" distL="114300" distR="114300" simplePos="0" relativeHeight="251732992" behindDoc="0" locked="0" layoutInCell="1" allowOverlap="1" wp14:anchorId="024CAA2E" wp14:editId="52296726">
                <wp:simplePos x="0" y="0"/>
                <wp:positionH relativeFrom="column">
                  <wp:posOffset>1660434</wp:posOffset>
                </wp:positionH>
                <wp:positionV relativeFrom="paragraph">
                  <wp:posOffset>609236</wp:posOffset>
                </wp:positionV>
                <wp:extent cx="311785" cy="152763"/>
                <wp:effectExtent l="50800" t="25400" r="5715" b="76200"/>
                <wp:wrapNone/>
                <wp:docPr id="54" name="Left-Right Arrow 54"/>
                <wp:cNvGraphicFramePr/>
                <a:graphic xmlns:a="http://schemas.openxmlformats.org/drawingml/2006/main">
                  <a:graphicData uri="http://schemas.microsoft.com/office/word/2010/wordprocessingShape">
                    <wps:wsp>
                      <wps:cNvSpPr/>
                      <wps:spPr>
                        <a:xfrm flipV="1">
                          <a:off x="0" y="0"/>
                          <a:ext cx="311785" cy="152763"/>
                        </a:xfrm>
                        <a:prstGeom prst="leftRightArrow">
                          <a:avLst/>
                        </a:prstGeom>
                        <a:gradFill>
                          <a:gsLst>
                            <a:gs pos="43000">
                              <a:srgbClr val="92D050">
                                <a:lumMod val="92000"/>
                                <a:lumOff val="8000"/>
                              </a:srgbClr>
                            </a:gs>
                            <a:gs pos="99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95F4C" id="Left-Right Arrow 54" o:spid="_x0000_s1026" type="#_x0000_t69" style="position:absolute;margin-left:130.75pt;margin-top:47.95pt;width:24.55pt;height:12.0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" adj="5292" fillcolor="#9bd45e" strokecolor="#4579b8 [3044]">
                <v:fill color2="#a7bfde [1620]" rotate="t" angle="180" colors="0 #9bd45e;28180f #9bd45e" focus="100%" type="gradient">
                  <o:fill v:ext="view" type="gradientUnscaled"/>
                </v:fill>
                <v:shadow on="t" color="black" opacity="22937f" origin=",.5" offset="0,.63889mm"/>
              </v:shape>
            </w:pict>
          </mc:Fallback>
        </mc:AlternateContent>
      </w:r>
      <w:r>
        <w:rPr>
          <w:rFonts w:asciiTheme="minorHAnsi" w:hAnsiTheme="minorHAnsi"/>
          <w:b/>
          <w:noProof/>
        </w:rPr>
        <mc:AlternateContent>
          <mc:Choice Requires="wps">
            <w:drawing>
              <wp:anchor distT="0" distB="0" distL="114300" distR="114300" simplePos="0" relativeHeight="251731968" behindDoc="0" locked="0" layoutInCell="1" allowOverlap="1" wp14:anchorId="1966FEBE" wp14:editId="1F4772A7">
                <wp:simplePos x="0" y="0"/>
                <wp:positionH relativeFrom="column">
                  <wp:posOffset>4432118</wp:posOffset>
                </wp:positionH>
                <wp:positionV relativeFrom="paragraph">
                  <wp:posOffset>943429</wp:posOffset>
                </wp:positionV>
                <wp:extent cx="152400" cy="442685"/>
                <wp:effectExtent l="50800" t="25400" r="63500" b="90805"/>
                <wp:wrapNone/>
                <wp:docPr id="55" name="Up-Down Arrow 55"/>
                <wp:cNvGraphicFramePr/>
                <a:graphic xmlns:a="http://schemas.openxmlformats.org/drawingml/2006/main">
                  <a:graphicData uri="http://schemas.microsoft.com/office/word/2010/wordprocessingShape">
                    <wps:wsp>
                      <wps:cNvSpPr/>
                      <wps:spPr>
                        <a:xfrm>
                          <a:off x="0" y="0"/>
                          <a:ext cx="152400" cy="442685"/>
                        </a:xfrm>
                        <a:prstGeom prst="upDownArrow">
                          <a:avLst/>
                        </a:prstGeom>
                        <a:gradFill>
                          <a:gsLst>
                            <a:gs pos="46000">
                              <a:srgbClr val="92D050"/>
                            </a:gs>
                            <a:gs pos="100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BE9F32B"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55" o:spid="_x0000_s1026" type="#_x0000_t70" style="position:absolute;margin-left:349pt;margin-top:74.3pt;width:12pt;height:34.8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" adj=",3718" fillcolor="#92d050" strokecolor="#4579b8 [3044]">
                <v:fill color2="#a7bfde [1620]" rotate="t" angle="180" colors="0 #92d050;30147f #92d050" focus="100%" type="gradient">
                  <o:fill v:ext="view" type="gradientUnscaled"/>
                </v:fill>
                <v:shadow on="t" color="black" opacity="22937f" origin=",.5" offset="0,.63889mm"/>
              </v:shape>
            </w:pict>
          </mc:Fallback>
        </mc:AlternateContent>
      </w:r>
      <w:r>
        <w:rPr>
          <w:rFonts w:asciiTheme="minorHAnsi" w:hAnsiTheme="minorHAnsi"/>
          <w:b/>
          <w:noProof/>
        </w:rPr>
        <mc:AlternateContent>
          <mc:Choice Requires="wps">
            <w:drawing>
              <wp:anchor distT="0" distB="0" distL="114300" distR="114300" simplePos="0" relativeHeight="251730944" behindDoc="0" locked="0" layoutInCell="1" allowOverlap="1" wp14:anchorId="130629EB" wp14:editId="6E82C727">
                <wp:simplePos x="0" y="0"/>
                <wp:positionH relativeFrom="column">
                  <wp:posOffset>2596061</wp:posOffset>
                </wp:positionH>
                <wp:positionV relativeFrom="paragraph">
                  <wp:posOffset>943429</wp:posOffset>
                </wp:positionV>
                <wp:extent cx="152400" cy="442685"/>
                <wp:effectExtent l="50800" t="25400" r="63500" b="90805"/>
                <wp:wrapNone/>
                <wp:docPr id="56" name="Up-Down Arrow 56"/>
                <wp:cNvGraphicFramePr/>
                <a:graphic xmlns:a="http://schemas.openxmlformats.org/drawingml/2006/main">
                  <a:graphicData uri="http://schemas.microsoft.com/office/word/2010/wordprocessingShape">
                    <wps:wsp>
                      <wps:cNvSpPr/>
                      <wps:spPr>
                        <a:xfrm>
                          <a:off x="0" y="0"/>
                          <a:ext cx="152400" cy="442685"/>
                        </a:xfrm>
                        <a:prstGeom prst="upDownArrow">
                          <a:avLst/>
                        </a:prstGeom>
                        <a:gradFill>
                          <a:gsLst>
                            <a:gs pos="44000">
                              <a:srgbClr val="92D050"/>
                            </a:gs>
                            <a:gs pos="100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B08608" id="Up-Down Arrow 56" o:spid="_x0000_s1026" type="#_x0000_t70" style="position:absolute;margin-left:204.4pt;margin-top:74.3pt;width:12pt;height:34.8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" adj=",3718" fillcolor="#92d050" strokecolor="#4579b8 [3044]">
                <v:fill color2="#a7bfde [1620]" rotate="t" angle="180" colors="0 #92d050;28836f #92d050" focus="100%" type="gradient">
                  <o:fill v:ext="view" type="gradientUnscaled"/>
                </v:fill>
                <v:shadow on="t" color="black" opacity="22937f" origin=",.5" offset="0,.63889mm"/>
              </v:shape>
            </w:pict>
          </mc:Fallback>
        </mc:AlternateContent>
      </w:r>
      <w:r>
        <w:rPr>
          <w:rFonts w:asciiTheme="minorHAnsi" w:hAnsiTheme="minorHAnsi"/>
          <w:b/>
          <w:noProof/>
        </w:rPr>
        <mc:AlternateContent>
          <mc:Choice Requires="wps">
            <w:drawing>
              <wp:anchor distT="0" distB="0" distL="114300" distR="114300" simplePos="0" relativeHeight="251729920" behindDoc="0" locked="0" layoutInCell="1" allowOverlap="1" wp14:anchorId="2A1F1882" wp14:editId="05FBF817">
                <wp:simplePos x="0" y="0"/>
                <wp:positionH relativeFrom="column">
                  <wp:posOffset>862149</wp:posOffset>
                </wp:positionH>
                <wp:positionV relativeFrom="paragraph">
                  <wp:posOffset>950686</wp:posOffset>
                </wp:positionV>
                <wp:extent cx="152400" cy="442685"/>
                <wp:effectExtent l="50800" t="25400" r="63500" b="90805"/>
                <wp:wrapNone/>
                <wp:docPr id="57" name="Up-Down Arrow 57"/>
                <wp:cNvGraphicFramePr/>
                <a:graphic xmlns:a="http://schemas.openxmlformats.org/drawingml/2006/main">
                  <a:graphicData uri="http://schemas.microsoft.com/office/word/2010/wordprocessingShape">
                    <wps:wsp>
                      <wps:cNvSpPr/>
                      <wps:spPr>
                        <a:xfrm>
                          <a:off x="0" y="0"/>
                          <a:ext cx="152400" cy="442685"/>
                        </a:xfrm>
                        <a:prstGeom prst="upDownArrow">
                          <a:avLst/>
                        </a:prstGeom>
                        <a:gradFill>
                          <a:gsLst>
                            <a:gs pos="39000">
                              <a:srgbClr val="92D050"/>
                            </a:gs>
                            <a:gs pos="100000">
                              <a:schemeClr val="accent1">
                                <a:tint val="50000"/>
                                <a:shade val="100000"/>
                                <a:satMod val="350000"/>
                              </a:schemeClr>
                            </a:gs>
                          </a:gsLst>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FF84AC" id="Up-Down Arrow 57" o:spid="_x0000_s1026" type="#_x0000_t70" style="position:absolute;margin-left:67.9pt;margin-top:74.85pt;width:12pt;height:34.8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" adj=",3718" fillcolor="#92d050" strokecolor="#4579b8 [3044]">
                <v:fill color2="#a7bfde [1620]" rotate="t" angle="180" colors="0 #92d050;25559f #92d050" focus="100%" type="gradient">
                  <o:fill v:ext="view" type="gradientUnscaled"/>
                </v:fill>
                <v:shadow on="t" color="black" opacity="22937f" origin=",.5" offset="0,.63889mm"/>
              </v:shape>
            </w:pict>
          </mc:Fallback>
        </mc:AlternateContent>
      </w:r>
      <w:r>
        <w:rPr>
          <w:rFonts w:asciiTheme="minorHAnsi" w:hAnsiTheme="minorHAnsi"/>
          <w:b/>
          <w:noProof/>
        </w:rPr>
        <w:drawing>
          <wp:inline distT="0" distB="0" distL="0" distR="0" wp14:anchorId="2E693B0F" wp14:editId="5E57D92E">
            <wp:extent cx="5368290" cy="3093720"/>
            <wp:effectExtent l="12700" t="0" r="29210" b="0"/>
            <wp:docPr id="58" name="Diagram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568C8F3A" w14:textId="77777777" w:rsidR="00A658B0" w:rsidRDefault="00903D2D" w:rsidP="00903D2D">
      <w:pPr>
        <w:spacing w:line="480" w:lineRule="auto"/>
        <w:rPr>
          <w:rFonts w:asciiTheme="minorHAnsi" w:hAnsiTheme="minorHAnsi"/>
          <w:b/>
        </w:rPr>
      </w:pPr>
      <w:r w:rsidRPr="00A658B0">
        <w:rPr>
          <w:rFonts w:asciiTheme="minorHAnsi" w:hAnsiTheme="minorHAnsi"/>
          <w:b/>
        </w:rPr>
        <w:t>Figure 3. Data analysis process for comparison of Brief COPE and Support Service Usage.</w:t>
      </w:r>
    </w:p>
    <w:p w14:paraId="7821F89B" w14:textId="54525628" w:rsidR="00903D2D" w:rsidRDefault="00903D2D" w:rsidP="00903D2D">
      <w:pPr>
        <w:spacing w:line="480" w:lineRule="auto"/>
        <w:rPr>
          <w:rFonts w:asciiTheme="minorHAnsi" w:hAnsiTheme="minorHAnsi"/>
        </w:rPr>
      </w:pPr>
      <w:r>
        <w:rPr>
          <w:rFonts w:asciiTheme="minorHAnsi" w:hAnsiTheme="minorHAnsi"/>
        </w:rPr>
        <w:t xml:space="preserve">Correlations completed for Brief COPE responses, support service usage, and exam grades for each exam for each group.  Time and natural maturation over the course was not a significant factor for either group.  Analysis of individual </w:t>
      </w:r>
      <w:r w:rsidR="007B028C">
        <w:rPr>
          <w:rFonts w:asciiTheme="minorHAnsi" w:hAnsiTheme="minorHAnsi"/>
        </w:rPr>
        <w:t>study</w:t>
      </w:r>
      <w:r>
        <w:rPr>
          <w:rFonts w:asciiTheme="minorHAnsi" w:hAnsiTheme="minorHAnsi"/>
        </w:rPr>
        <w:t xml:space="preserve"> groups revealed unique trends for each.</w:t>
      </w:r>
    </w:p>
    <w:p w14:paraId="0136E18B" w14:textId="46F47E9A" w:rsidR="00CA36BE" w:rsidRDefault="00CA36BE" w:rsidP="00903D2D">
      <w:pPr>
        <w:spacing w:line="480" w:lineRule="auto"/>
        <w:rPr>
          <w:rFonts w:asciiTheme="minorHAnsi" w:hAnsiTheme="minorHAnsi"/>
        </w:rPr>
      </w:pPr>
    </w:p>
    <w:p w14:paraId="039FA6D8" w14:textId="2D1B8890" w:rsidR="00903D2D" w:rsidRDefault="00903D2D" w:rsidP="00A658B0">
      <w:pPr>
        <w:spacing w:line="480" w:lineRule="auto"/>
        <w:rPr>
          <w:rFonts w:asciiTheme="minorHAnsi" w:hAnsiTheme="minorHAnsi"/>
        </w:rPr>
      </w:pPr>
      <w:r>
        <w:rPr>
          <w:rFonts w:asciiTheme="minorHAnsi" w:hAnsiTheme="minorHAnsi"/>
        </w:rPr>
        <w:t xml:space="preserve">Exam scores, Brief COPE responses (grouped by behavioral scales), and support service usage were compared between treatment groups.  Comparison between groups examined differences in exam grades, coping behavior scales, and treatment effect of the support service education email. </w:t>
      </w:r>
      <w:r>
        <w:rPr>
          <w:rFonts w:asciiTheme="minorHAnsi" w:hAnsiTheme="minorHAnsi"/>
        </w:rPr>
        <w:br w:type="page"/>
      </w:r>
    </w:p>
    <w:p w14:paraId="47614427" w14:textId="1452C8F8" w:rsidR="00056A33" w:rsidRDefault="00056A33" w:rsidP="00360639">
      <w:pPr>
        <w:spacing w:before="100" w:beforeAutospacing="1" w:after="100" w:afterAutospacing="1" w:line="480" w:lineRule="auto"/>
        <w:rPr>
          <w:rFonts w:asciiTheme="minorHAnsi" w:hAnsiTheme="minorHAnsi"/>
        </w:rPr>
      </w:pPr>
      <w:r>
        <w:rPr>
          <w:rFonts w:asciiTheme="minorHAnsi" w:hAnsiTheme="minorHAnsi"/>
        </w:rPr>
        <w:lastRenderedPageBreak/>
        <w:t xml:space="preserve">Brief COPE results were grouped into the behavior scales as per the instrument </w:t>
      </w:r>
      <w:r w:rsidR="00A73241">
        <w:rPr>
          <w:rFonts w:asciiTheme="minorHAnsi" w:hAnsiTheme="minorHAnsi"/>
          <w:color w:val="000000" w:themeColor="text1"/>
        </w:rPr>
        <w:t>mentioned on page 28</w:t>
      </w:r>
      <w:r w:rsidR="00360639">
        <w:rPr>
          <w:rFonts w:asciiTheme="minorHAnsi" w:hAnsiTheme="minorHAnsi"/>
          <w:color w:val="000000" w:themeColor="text1"/>
        </w:rPr>
        <w:t xml:space="preserve">. </w:t>
      </w:r>
      <w:r w:rsidR="00B32891">
        <w:rPr>
          <w:rFonts w:asciiTheme="minorHAnsi" w:hAnsiTheme="minorHAnsi"/>
          <w:color w:val="000000" w:themeColor="text1"/>
        </w:rPr>
        <w:t xml:space="preserve"> </w:t>
      </w:r>
      <w:r>
        <w:rPr>
          <w:rFonts w:asciiTheme="minorHAnsi" w:hAnsiTheme="minorHAnsi"/>
        </w:rPr>
        <w:t xml:space="preserve">Analysis of coping mechanisms was performed with behavioral scale grouping.  Individual items of note are indicated in the data analysis.  </w:t>
      </w:r>
      <w:r w:rsidR="00360639">
        <w:rPr>
          <w:rFonts w:asciiTheme="minorHAnsi" w:hAnsiTheme="minorHAnsi"/>
        </w:rPr>
        <w:t>At several points in the analysis</w:t>
      </w:r>
      <w:r>
        <w:rPr>
          <w:rFonts w:asciiTheme="minorHAnsi" w:hAnsiTheme="minorHAnsi"/>
        </w:rPr>
        <w:t>, only one item of a scale was of statistical significance.  These are noted in the calculations.</w:t>
      </w:r>
    </w:p>
    <w:p w14:paraId="5E10152D" w14:textId="77777777" w:rsidR="00312DE5" w:rsidRDefault="00312DE5" w:rsidP="00312DE5">
      <w:pPr>
        <w:spacing w:line="480" w:lineRule="auto"/>
        <w:outlineLvl w:val="0"/>
        <w:rPr>
          <w:rFonts w:asciiTheme="minorHAnsi" w:hAnsiTheme="minorHAnsi"/>
        </w:rPr>
      </w:pPr>
    </w:p>
    <w:tbl>
      <w:tblPr>
        <w:tblW w:w="7375" w:type="dxa"/>
        <w:tblLook w:val="04A0" w:firstRow="1" w:lastRow="0" w:firstColumn="1" w:lastColumn="0" w:noHBand="0" w:noVBand="1"/>
      </w:tblPr>
      <w:tblGrid>
        <w:gridCol w:w="985"/>
        <w:gridCol w:w="1080"/>
        <w:gridCol w:w="1080"/>
        <w:gridCol w:w="1272"/>
        <w:gridCol w:w="978"/>
        <w:gridCol w:w="990"/>
        <w:gridCol w:w="990"/>
      </w:tblGrid>
      <w:tr w:rsidR="00312DE5" w:rsidRPr="00A94794" w14:paraId="3142E96C" w14:textId="77777777" w:rsidTr="000A60CE">
        <w:trPr>
          <w:trHeight w:val="440"/>
        </w:trPr>
        <w:tc>
          <w:tcPr>
            <w:tcW w:w="985" w:type="dxa"/>
            <w:tcBorders>
              <w:top w:val="single" w:sz="4" w:space="0" w:color="auto"/>
              <w:left w:val="single" w:sz="4" w:space="0" w:color="auto"/>
              <w:bottom w:val="single" w:sz="4" w:space="0" w:color="auto"/>
              <w:right w:val="nil"/>
            </w:tcBorders>
            <w:shd w:val="clear" w:color="auto" w:fill="auto"/>
            <w:noWrap/>
            <w:vAlign w:val="center"/>
            <w:hideMark/>
          </w:tcPr>
          <w:p w14:paraId="2A093DFC"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BAFD5" w14:textId="79E97206" w:rsidR="00312DE5" w:rsidRPr="00A94794" w:rsidRDefault="00CA36BE" w:rsidP="000A60CE">
            <w:pPr>
              <w:jc w:val="center"/>
              <w:rPr>
                <w:rFonts w:ascii="Cambria" w:hAnsi="Cambria" w:cs="Calibri"/>
                <w:color w:val="000000"/>
                <w:sz w:val="16"/>
                <w:szCs w:val="16"/>
              </w:rPr>
            </w:pPr>
            <w:r>
              <w:rPr>
                <w:rFonts w:ascii="Cambria" w:hAnsi="Cambria" w:cs="Calibri"/>
                <w:color w:val="000000"/>
                <w:sz w:val="16"/>
                <w:szCs w:val="16"/>
              </w:rPr>
              <w:t>Self-</w:t>
            </w:r>
            <w:r w:rsidR="00312DE5" w:rsidRPr="00A94794">
              <w:rPr>
                <w:rFonts w:ascii="Cambria" w:hAnsi="Cambria" w:cs="Calibri"/>
                <w:color w:val="000000"/>
                <w:sz w:val="16"/>
                <w:szCs w:val="16"/>
              </w:rPr>
              <w:t>Blame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2B55C90"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Denial</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14:paraId="12ACE685"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Disengagement</w:t>
            </w:r>
          </w:p>
        </w:tc>
        <w:tc>
          <w:tcPr>
            <w:tcW w:w="978" w:type="dxa"/>
            <w:tcBorders>
              <w:top w:val="single" w:sz="4" w:space="0" w:color="auto"/>
              <w:left w:val="nil"/>
              <w:bottom w:val="single" w:sz="4" w:space="0" w:color="auto"/>
              <w:right w:val="single" w:sz="4" w:space="0" w:color="auto"/>
            </w:tcBorders>
            <w:shd w:val="clear" w:color="auto" w:fill="auto"/>
            <w:noWrap/>
            <w:vAlign w:val="center"/>
            <w:hideMark/>
          </w:tcPr>
          <w:p w14:paraId="0E142681"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Exam 1</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615E075"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Exam 2</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050A7D3"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Exam 3</w:t>
            </w:r>
          </w:p>
        </w:tc>
      </w:tr>
      <w:tr w:rsidR="00312DE5" w:rsidRPr="00A94794" w14:paraId="3C04671D" w14:textId="77777777" w:rsidTr="000A60CE">
        <w:trPr>
          <w:trHeight w:val="320"/>
        </w:trPr>
        <w:tc>
          <w:tcPr>
            <w:tcW w:w="985" w:type="dxa"/>
            <w:tcBorders>
              <w:top w:val="nil"/>
              <w:left w:val="single" w:sz="4" w:space="0" w:color="auto"/>
              <w:bottom w:val="single" w:sz="4" w:space="0" w:color="auto"/>
              <w:right w:val="single" w:sz="4" w:space="0" w:color="auto"/>
            </w:tcBorders>
            <w:shd w:val="clear" w:color="000000" w:fill="D9D9D9"/>
            <w:noWrap/>
            <w:vAlign w:val="center"/>
            <w:hideMark/>
          </w:tcPr>
          <w:p w14:paraId="6F01AEAC"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Control Group</w:t>
            </w:r>
          </w:p>
        </w:tc>
        <w:tc>
          <w:tcPr>
            <w:tcW w:w="1080" w:type="dxa"/>
            <w:tcBorders>
              <w:top w:val="nil"/>
              <w:left w:val="nil"/>
              <w:bottom w:val="single" w:sz="4" w:space="0" w:color="auto"/>
              <w:right w:val="single" w:sz="4" w:space="0" w:color="auto"/>
            </w:tcBorders>
            <w:shd w:val="clear" w:color="000000" w:fill="D9D9D9"/>
            <w:noWrap/>
            <w:vAlign w:val="center"/>
            <w:hideMark/>
          </w:tcPr>
          <w:p w14:paraId="2E96EDED"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 </w:t>
            </w:r>
          </w:p>
        </w:tc>
        <w:tc>
          <w:tcPr>
            <w:tcW w:w="1080" w:type="dxa"/>
            <w:tcBorders>
              <w:top w:val="nil"/>
              <w:left w:val="nil"/>
              <w:bottom w:val="single" w:sz="4" w:space="0" w:color="auto"/>
              <w:right w:val="single" w:sz="4" w:space="0" w:color="auto"/>
            </w:tcBorders>
            <w:shd w:val="clear" w:color="000000" w:fill="D9D9D9"/>
            <w:noWrap/>
            <w:vAlign w:val="center"/>
            <w:hideMark/>
          </w:tcPr>
          <w:p w14:paraId="6F32773C"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 </w:t>
            </w:r>
          </w:p>
        </w:tc>
        <w:tc>
          <w:tcPr>
            <w:tcW w:w="1272" w:type="dxa"/>
            <w:tcBorders>
              <w:top w:val="nil"/>
              <w:left w:val="nil"/>
              <w:bottom w:val="single" w:sz="4" w:space="0" w:color="auto"/>
              <w:right w:val="single" w:sz="4" w:space="0" w:color="auto"/>
            </w:tcBorders>
            <w:shd w:val="clear" w:color="000000" w:fill="D9D9D9"/>
            <w:noWrap/>
            <w:vAlign w:val="center"/>
            <w:hideMark/>
          </w:tcPr>
          <w:p w14:paraId="7E152657"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 </w:t>
            </w:r>
          </w:p>
        </w:tc>
        <w:tc>
          <w:tcPr>
            <w:tcW w:w="978" w:type="dxa"/>
            <w:tcBorders>
              <w:top w:val="nil"/>
              <w:left w:val="nil"/>
              <w:bottom w:val="single" w:sz="4" w:space="0" w:color="auto"/>
              <w:right w:val="single" w:sz="4" w:space="0" w:color="auto"/>
            </w:tcBorders>
            <w:shd w:val="clear" w:color="000000" w:fill="D9D9D9"/>
            <w:noWrap/>
            <w:vAlign w:val="center"/>
            <w:hideMark/>
          </w:tcPr>
          <w:p w14:paraId="0C6CC707"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 </w:t>
            </w:r>
          </w:p>
        </w:tc>
        <w:tc>
          <w:tcPr>
            <w:tcW w:w="990" w:type="dxa"/>
            <w:tcBorders>
              <w:top w:val="nil"/>
              <w:left w:val="nil"/>
              <w:bottom w:val="single" w:sz="4" w:space="0" w:color="auto"/>
              <w:right w:val="single" w:sz="4" w:space="0" w:color="auto"/>
            </w:tcBorders>
            <w:shd w:val="clear" w:color="000000" w:fill="D9D9D9"/>
            <w:noWrap/>
            <w:vAlign w:val="center"/>
            <w:hideMark/>
          </w:tcPr>
          <w:p w14:paraId="441C0EEA"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 </w:t>
            </w:r>
          </w:p>
        </w:tc>
        <w:tc>
          <w:tcPr>
            <w:tcW w:w="990" w:type="dxa"/>
            <w:tcBorders>
              <w:top w:val="nil"/>
              <w:left w:val="nil"/>
              <w:bottom w:val="single" w:sz="4" w:space="0" w:color="auto"/>
              <w:right w:val="single" w:sz="4" w:space="0" w:color="auto"/>
            </w:tcBorders>
            <w:shd w:val="clear" w:color="000000" w:fill="D9D9D9"/>
            <w:noWrap/>
            <w:vAlign w:val="center"/>
            <w:hideMark/>
          </w:tcPr>
          <w:p w14:paraId="037509C4"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 </w:t>
            </w:r>
          </w:p>
        </w:tc>
      </w:tr>
      <w:tr w:rsidR="00312DE5" w:rsidRPr="00A94794" w14:paraId="024BF36A" w14:textId="77777777" w:rsidTr="000A60CE">
        <w:trPr>
          <w:trHeight w:val="32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FF4A53F"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Exam 1</w:t>
            </w:r>
          </w:p>
        </w:tc>
        <w:tc>
          <w:tcPr>
            <w:tcW w:w="1080" w:type="dxa"/>
            <w:tcBorders>
              <w:top w:val="nil"/>
              <w:left w:val="nil"/>
              <w:bottom w:val="single" w:sz="4" w:space="0" w:color="auto"/>
              <w:right w:val="single" w:sz="4" w:space="0" w:color="auto"/>
            </w:tcBorders>
            <w:shd w:val="clear" w:color="auto" w:fill="auto"/>
            <w:noWrap/>
            <w:vAlign w:val="center"/>
            <w:hideMark/>
          </w:tcPr>
          <w:p w14:paraId="3EBF0CBD" w14:textId="71E40CB6" w:rsidR="006B3858" w:rsidRDefault="006B3858" w:rsidP="000A60CE">
            <w:pPr>
              <w:jc w:val="center"/>
              <w:rPr>
                <w:rFonts w:ascii="Cambria" w:hAnsi="Cambria" w:cs="Calibri"/>
                <w:color w:val="000000"/>
                <w:sz w:val="16"/>
                <w:szCs w:val="16"/>
              </w:rPr>
            </w:pPr>
            <w:r>
              <w:rPr>
                <w:rFonts w:ascii="Cambria" w:hAnsi="Cambria" w:cs="Calibri"/>
                <w:color w:val="000000"/>
                <w:sz w:val="16"/>
                <w:szCs w:val="16"/>
              </w:rPr>
              <w:t>p=</w:t>
            </w:r>
            <w:r w:rsidR="00312DE5" w:rsidRPr="00A94794">
              <w:rPr>
                <w:rFonts w:ascii="Cambria" w:hAnsi="Cambria" w:cs="Calibri"/>
                <w:color w:val="000000"/>
                <w:sz w:val="16"/>
                <w:szCs w:val="16"/>
              </w:rPr>
              <w:t>0.01</w:t>
            </w:r>
            <w:r>
              <w:rPr>
                <w:rFonts w:ascii="Cambria" w:hAnsi="Cambria" w:cs="Calibri"/>
                <w:color w:val="000000"/>
                <w:sz w:val="16"/>
                <w:szCs w:val="16"/>
              </w:rPr>
              <w:t xml:space="preserve"> </w:t>
            </w:r>
          </w:p>
          <w:p w14:paraId="37740FF8" w14:textId="2FE3519F" w:rsidR="00312DE5" w:rsidRPr="00A94794" w:rsidRDefault="006B3858" w:rsidP="000A60CE">
            <w:pPr>
              <w:jc w:val="center"/>
              <w:rPr>
                <w:rFonts w:ascii="Cambria" w:hAnsi="Cambria" w:cs="Calibri"/>
                <w:color w:val="000000"/>
                <w:sz w:val="16"/>
                <w:szCs w:val="16"/>
              </w:rPr>
            </w:pPr>
            <w:r>
              <w:rPr>
                <w:rFonts w:ascii="Cambria" w:hAnsi="Cambria" w:cs="Calibri"/>
                <w:color w:val="000000"/>
                <w:sz w:val="16"/>
                <w:szCs w:val="16"/>
              </w:rPr>
              <w:t>r=-0.30</w:t>
            </w:r>
          </w:p>
        </w:tc>
        <w:tc>
          <w:tcPr>
            <w:tcW w:w="1080" w:type="dxa"/>
            <w:tcBorders>
              <w:top w:val="nil"/>
              <w:left w:val="nil"/>
              <w:bottom w:val="single" w:sz="4" w:space="0" w:color="auto"/>
              <w:right w:val="single" w:sz="4" w:space="0" w:color="auto"/>
            </w:tcBorders>
            <w:shd w:val="clear" w:color="auto" w:fill="auto"/>
            <w:noWrap/>
            <w:vAlign w:val="center"/>
            <w:hideMark/>
          </w:tcPr>
          <w:p w14:paraId="4E646C43" w14:textId="77777777" w:rsidR="00312DE5" w:rsidRDefault="006B3858" w:rsidP="000A60CE">
            <w:pPr>
              <w:jc w:val="center"/>
              <w:rPr>
                <w:rFonts w:ascii="Cambria" w:hAnsi="Cambria" w:cs="Calibri"/>
                <w:color w:val="000000"/>
                <w:sz w:val="16"/>
                <w:szCs w:val="16"/>
              </w:rPr>
            </w:pPr>
            <w:r>
              <w:rPr>
                <w:rFonts w:ascii="Cambria" w:hAnsi="Cambria" w:cs="Calibri"/>
                <w:color w:val="000000"/>
                <w:sz w:val="16"/>
                <w:szCs w:val="16"/>
              </w:rPr>
              <w:t>p=</w:t>
            </w:r>
            <w:r w:rsidR="00312DE5" w:rsidRPr="00A94794">
              <w:rPr>
                <w:rFonts w:ascii="Cambria" w:hAnsi="Cambria" w:cs="Calibri"/>
                <w:color w:val="000000"/>
                <w:sz w:val="16"/>
                <w:szCs w:val="16"/>
              </w:rPr>
              <w:t>0.01</w:t>
            </w:r>
          </w:p>
          <w:p w14:paraId="7A956BC4" w14:textId="7739115E" w:rsidR="006B3858" w:rsidRPr="00A94794" w:rsidRDefault="006B3858" w:rsidP="000A60CE">
            <w:pPr>
              <w:jc w:val="center"/>
              <w:rPr>
                <w:rFonts w:ascii="Cambria" w:hAnsi="Cambria" w:cs="Calibri"/>
                <w:color w:val="000000"/>
                <w:sz w:val="16"/>
                <w:szCs w:val="16"/>
              </w:rPr>
            </w:pPr>
            <w:r>
              <w:rPr>
                <w:rFonts w:ascii="Cambria" w:hAnsi="Cambria" w:cs="Calibri"/>
                <w:color w:val="000000"/>
                <w:sz w:val="16"/>
                <w:szCs w:val="16"/>
              </w:rPr>
              <w:t>r=-0.31</w:t>
            </w:r>
          </w:p>
        </w:tc>
        <w:tc>
          <w:tcPr>
            <w:tcW w:w="1272" w:type="dxa"/>
            <w:tcBorders>
              <w:top w:val="nil"/>
              <w:left w:val="nil"/>
              <w:bottom w:val="single" w:sz="4" w:space="0" w:color="auto"/>
              <w:right w:val="single" w:sz="4" w:space="0" w:color="auto"/>
            </w:tcBorders>
            <w:shd w:val="clear" w:color="auto" w:fill="auto"/>
            <w:noWrap/>
            <w:vAlign w:val="center"/>
            <w:hideMark/>
          </w:tcPr>
          <w:p w14:paraId="515433C4"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0</w:t>
            </w:r>
          </w:p>
        </w:tc>
        <w:tc>
          <w:tcPr>
            <w:tcW w:w="978" w:type="dxa"/>
            <w:tcBorders>
              <w:top w:val="nil"/>
              <w:left w:val="nil"/>
              <w:bottom w:val="single" w:sz="4" w:space="0" w:color="auto"/>
              <w:right w:val="single" w:sz="4" w:space="0" w:color="auto"/>
            </w:tcBorders>
            <w:shd w:val="clear" w:color="auto" w:fill="auto"/>
            <w:noWrap/>
            <w:vAlign w:val="center"/>
            <w:hideMark/>
          </w:tcPr>
          <w:p w14:paraId="2652BFE5"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w:t>
            </w:r>
          </w:p>
        </w:tc>
        <w:tc>
          <w:tcPr>
            <w:tcW w:w="990" w:type="dxa"/>
            <w:tcBorders>
              <w:top w:val="nil"/>
              <w:left w:val="nil"/>
              <w:bottom w:val="single" w:sz="4" w:space="0" w:color="auto"/>
              <w:right w:val="single" w:sz="4" w:space="0" w:color="auto"/>
            </w:tcBorders>
            <w:shd w:val="clear" w:color="auto" w:fill="auto"/>
            <w:noWrap/>
            <w:vAlign w:val="center"/>
            <w:hideMark/>
          </w:tcPr>
          <w:p w14:paraId="67737840" w14:textId="77777777" w:rsidR="00312DE5"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w:t>
            </w:r>
            <w:r w:rsidR="005563D9">
              <w:rPr>
                <w:rFonts w:ascii="Cambria" w:hAnsi="Cambria" w:cs="Calibri"/>
                <w:color w:val="000000"/>
                <w:sz w:val="16"/>
                <w:szCs w:val="16"/>
              </w:rPr>
              <w:t>p=</w:t>
            </w:r>
            <w:r w:rsidRPr="00A94794">
              <w:rPr>
                <w:rFonts w:ascii="Cambria" w:hAnsi="Cambria" w:cs="Calibri"/>
                <w:color w:val="000000"/>
                <w:sz w:val="16"/>
                <w:szCs w:val="16"/>
              </w:rPr>
              <w:t>0.01</w:t>
            </w:r>
          </w:p>
          <w:p w14:paraId="4F9877ED" w14:textId="115588D2" w:rsidR="005563D9" w:rsidRPr="00A94794" w:rsidRDefault="005563D9" w:rsidP="000A60CE">
            <w:pPr>
              <w:jc w:val="center"/>
              <w:rPr>
                <w:rFonts w:ascii="Cambria" w:hAnsi="Cambria" w:cs="Calibri"/>
                <w:color w:val="000000"/>
                <w:sz w:val="16"/>
                <w:szCs w:val="16"/>
              </w:rPr>
            </w:pPr>
            <w:r>
              <w:rPr>
                <w:rFonts w:ascii="Cambria" w:hAnsi="Cambria" w:cs="Calibri"/>
                <w:color w:val="000000"/>
                <w:sz w:val="16"/>
                <w:szCs w:val="16"/>
              </w:rPr>
              <w:t>r=0.69</w:t>
            </w:r>
          </w:p>
        </w:tc>
        <w:tc>
          <w:tcPr>
            <w:tcW w:w="990" w:type="dxa"/>
            <w:tcBorders>
              <w:top w:val="nil"/>
              <w:left w:val="nil"/>
              <w:bottom w:val="single" w:sz="4" w:space="0" w:color="auto"/>
              <w:right w:val="single" w:sz="4" w:space="0" w:color="auto"/>
            </w:tcBorders>
            <w:shd w:val="clear" w:color="auto" w:fill="auto"/>
            <w:noWrap/>
            <w:vAlign w:val="center"/>
            <w:hideMark/>
          </w:tcPr>
          <w:p w14:paraId="00E3E228" w14:textId="77777777" w:rsidR="00312DE5"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w:t>
            </w:r>
            <w:r w:rsidR="005563D9">
              <w:rPr>
                <w:rFonts w:ascii="Cambria" w:hAnsi="Cambria" w:cs="Calibri"/>
                <w:color w:val="000000"/>
                <w:sz w:val="16"/>
                <w:szCs w:val="16"/>
              </w:rPr>
              <w:t>p=</w:t>
            </w:r>
            <w:r w:rsidRPr="00A94794">
              <w:rPr>
                <w:rFonts w:ascii="Cambria" w:hAnsi="Cambria" w:cs="Calibri"/>
                <w:color w:val="000000"/>
                <w:sz w:val="16"/>
                <w:szCs w:val="16"/>
              </w:rPr>
              <w:t>0.01</w:t>
            </w:r>
          </w:p>
          <w:p w14:paraId="273DA0BB" w14:textId="52A59130" w:rsidR="005563D9" w:rsidRPr="00A94794" w:rsidRDefault="005563D9" w:rsidP="000A60CE">
            <w:pPr>
              <w:jc w:val="center"/>
              <w:rPr>
                <w:rFonts w:ascii="Cambria" w:hAnsi="Cambria" w:cs="Calibri"/>
                <w:color w:val="000000"/>
                <w:sz w:val="16"/>
                <w:szCs w:val="16"/>
              </w:rPr>
            </w:pPr>
            <w:r>
              <w:rPr>
                <w:rFonts w:ascii="Cambria" w:hAnsi="Cambria" w:cs="Calibri"/>
                <w:color w:val="000000"/>
                <w:sz w:val="16"/>
                <w:szCs w:val="16"/>
              </w:rPr>
              <w:t>r=0.66</w:t>
            </w:r>
          </w:p>
        </w:tc>
      </w:tr>
      <w:tr w:rsidR="00312DE5" w:rsidRPr="00A94794" w14:paraId="043DDB20" w14:textId="77777777" w:rsidTr="000A60CE">
        <w:trPr>
          <w:trHeight w:val="32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36C5D5F1"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Exam 2</w:t>
            </w:r>
          </w:p>
        </w:tc>
        <w:tc>
          <w:tcPr>
            <w:tcW w:w="1080" w:type="dxa"/>
            <w:tcBorders>
              <w:top w:val="nil"/>
              <w:left w:val="nil"/>
              <w:bottom w:val="single" w:sz="4" w:space="0" w:color="auto"/>
              <w:right w:val="single" w:sz="4" w:space="0" w:color="auto"/>
            </w:tcBorders>
            <w:shd w:val="clear" w:color="auto" w:fill="auto"/>
            <w:noWrap/>
            <w:vAlign w:val="center"/>
            <w:hideMark/>
          </w:tcPr>
          <w:p w14:paraId="5A879C04" w14:textId="2FB1B96B" w:rsidR="006B3858" w:rsidRDefault="006B3858" w:rsidP="000A60CE">
            <w:pPr>
              <w:jc w:val="center"/>
              <w:rPr>
                <w:rFonts w:ascii="Cambria" w:hAnsi="Cambria" w:cs="Calibri"/>
                <w:color w:val="000000"/>
                <w:sz w:val="16"/>
                <w:szCs w:val="16"/>
              </w:rPr>
            </w:pPr>
            <w:r>
              <w:rPr>
                <w:rFonts w:ascii="Cambria" w:hAnsi="Cambria" w:cs="Calibri"/>
                <w:color w:val="000000"/>
                <w:sz w:val="16"/>
                <w:szCs w:val="16"/>
              </w:rPr>
              <w:t>p=</w:t>
            </w:r>
            <w:r w:rsidR="00312DE5" w:rsidRPr="00A94794">
              <w:rPr>
                <w:rFonts w:ascii="Cambria" w:hAnsi="Cambria" w:cs="Calibri"/>
                <w:color w:val="000000"/>
                <w:sz w:val="16"/>
                <w:szCs w:val="16"/>
              </w:rPr>
              <w:t>0.01</w:t>
            </w:r>
            <w:r>
              <w:rPr>
                <w:rFonts w:ascii="Cambria" w:hAnsi="Cambria" w:cs="Calibri"/>
                <w:color w:val="000000"/>
                <w:sz w:val="16"/>
                <w:szCs w:val="16"/>
              </w:rPr>
              <w:t xml:space="preserve"> </w:t>
            </w:r>
          </w:p>
          <w:p w14:paraId="5EAD4D60" w14:textId="42588F8B" w:rsidR="00312DE5" w:rsidRPr="00A94794" w:rsidRDefault="006B3858" w:rsidP="000A60CE">
            <w:pPr>
              <w:jc w:val="center"/>
              <w:rPr>
                <w:rFonts w:ascii="Cambria" w:hAnsi="Cambria" w:cs="Calibri"/>
                <w:color w:val="000000"/>
                <w:sz w:val="16"/>
                <w:szCs w:val="16"/>
              </w:rPr>
            </w:pPr>
            <w:r>
              <w:rPr>
                <w:rFonts w:ascii="Cambria" w:hAnsi="Cambria" w:cs="Calibri"/>
                <w:color w:val="000000"/>
                <w:sz w:val="16"/>
                <w:szCs w:val="16"/>
              </w:rPr>
              <w:t>r=-0.35</w:t>
            </w:r>
          </w:p>
        </w:tc>
        <w:tc>
          <w:tcPr>
            <w:tcW w:w="1080" w:type="dxa"/>
            <w:tcBorders>
              <w:top w:val="nil"/>
              <w:left w:val="nil"/>
              <w:bottom w:val="single" w:sz="4" w:space="0" w:color="auto"/>
              <w:right w:val="single" w:sz="4" w:space="0" w:color="auto"/>
            </w:tcBorders>
            <w:shd w:val="clear" w:color="auto" w:fill="auto"/>
            <w:noWrap/>
            <w:vAlign w:val="center"/>
            <w:hideMark/>
          </w:tcPr>
          <w:p w14:paraId="1A237297" w14:textId="77777777" w:rsidR="00312DE5" w:rsidRDefault="006B3858" w:rsidP="000A60CE">
            <w:pPr>
              <w:jc w:val="center"/>
              <w:rPr>
                <w:rFonts w:ascii="Cambria" w:hAnsi="Cambria" w:cs="Calibri"/>
                <w:color w:val="000000"/>
                <w:sz w:val="16"/>
                <w:szCs w:val="16"/>
              </w:rPr>
            </w:pPr>
            <w:r>
              <w:rPr>
                <w:rFonts w:ascii="Cambria" w:hAnsi="Cambria" w:cs="Calibri"/>
                <w:color w:val="000000"/>
                <w:sz w:val="16"/>
                <w:szCs w:val="16"/>
              </w:rPr>
              <w:t>p=</w:t>
            </w:r>
            <w:r w:rsidR="00312DE5" w:rsidRPr="00A94794">
              <w:rPr>
                <w:rFonts w:ascii="Cambria" w:hAnsi="Cambria" w:cs="Calibri"/>
                <w:color w:val="000000"/>
                <w:sz w:val="16"/>
                <w:szCs w:val="16"/>
              </w:rPr>
              <w:t>0.01</w:t>
            </w:r>
          </w:p>
          <w:p w14:paraId="397E5004" w14:textId="1303DA75" w:rsidR="006B3858" w:rsidRPr="00A94794" w:rsidRDefault="006B3858" w:rsidP="000A60CE">
            <w:pPr>
              <w:jc w:val="center"/>
              <w:rPr>
                <w:rFonts w:ascii="Cambria" w:hAnsi="Cambria" w:cs="Calibri"/>
                <w:color w:val="000000"/>
                <w:sz w:val="16"/>
                <w:szCs w:val="16"/>
              </w:rPr>
            </w:pPr>
            <w:r>
              <w:rPr>
                <w:rFonts w:ascii="Cambria" w:hAnsi="Cambria" w:cs="Calibri"/>
                <w:color w:val="000000"/>
                <w:sz w:val="16"/>
                <w:szCs w:val="16"/>
              </w:rPr>
              <w:t>r=-0.30</w:t>
            </w:r>
          </w:p>
        </w:tc>
        <w:tc>
          <w:tcPr>
            <w:tcW w:w="1272" w:type="dxa"/>
            <w:tcBorders>
              <w:top w:val="nil"/>
              <w:left w:val="nil"/>
              <w:bottom w:val="single" w:sz="4" w:space="0" w:color="auto"/>
              <w:right w:val="single" w:sz="4" w:space="0" w:color="auto"/>
            </w:tcBorders>
            <w:shd w:val="clear" w:color="auto" w:fill="auto"/>
            <w:noWrap/>
            <w:vAlign w:val="center"/>
            <w:hideMark/>
          </w:tcPr>
          <w:p w14:paraId="3DD071C2"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0</w:t>
            </w:r>
          </w:p>
        </w:tc>
        <w:tc>
          <w:tcPr>
            <w:tcW w:w="978" w:type="dxa"/>
            <w:tcBorders>
              <w:top w:val="nil"/>
              <w:left w:val="nil"/>
              <w:bottom w:val="single" w:sz="4" w:space="0" w:color="auto"/>
              <w:right w:val="single" w:sz="4" w:space="0" w:color="auto"/>
            </w:tcBorders>
            <w:shd w:val="clear" w:color="auto" w:fill="auto"/>
            <w:noWrap/>
            <w:vAlign w:val="center"/>
            <w:hideMark/>
          </w:tcPr>
          <w:p w14:paraId="5CDD4C3B" w14:textId="77777777" w:rsidR="00312DE5" w:rsidRDefault="005563D9" w:rsidP="000A60CE">
            <w:pPr>
              <w:jc w:val="center"/>
              <w:rPr>
                <w:rFonts w:ascii="Cambria" w:hAnsi="Cambria" w:cs="Calibri"/>
                <w:color w:val="000000"/>
                <w:sz w:val="16"/>
                <w:szCs w:val="16"/>
              </w:rPr>
            </w:pPr>
            <w:r>
              <w:rPr>
                <w:rFonts w:ascii="Cambria" w:hAnsi="Cambria" w:cs="Calibri"/>
                <w:color w:val="000000"/>
                <w:sz w:val="16"/>
                <w:szCs w:val="16"/>
              </w:rPr>
              <w:t>p=</w:t>
            </w:r>
            <w:r w:rsidR="00312DE5" w:rsidRPr="00A94794">
              <w:rPr>
                <w:rFonts w:ascii="Cambria" w:hAnsi="Cambria" w:cs="Calibri"/>
                <w:color w:val="000000"/>
                <w:sz w:val="16"/>
                <w:szCs w:val="16"/>
              </w:rPr>
              <w:t>0.01</w:t>
            </w:r>
          </w:p>
          <w:p w14:paraId="00A9042F" w14:textId="578271FC" w:rsidR="005563D9" w:rsidRPr="00A94794" w:rsidRDefault="005563D9" w:rsidP="000A60CE">
            <w:pPr>
              <w:jc w:val="center"/>
              <w:rPr>
                <w:rFonts w:ascii="Cambria" w:hAnsi="Cambria" w:cs="Calibri"/>
                <w:color w:val="000000"/>
                <w:sz w:val="16"/>
                <w:szCs w:val="16"/>
              </w:rPr>
            </w:pPr>
            <w:r>
              <w:rPr>
                <w:rFonts w:ascii="Cambria" w:hAnsi="Cambria" w:cs="Calibri"/>
                <w:color w:val="000000"/>
                <w:sz w:val="16"/>
                <w:szCs w:val="16"/>
              </w:rPr>
              <w:t>r=0.69</w:t>
            </w:r>
          </w:p>
        </w:tc>
        <w:tc>
          <w:tcPr>
            <w:tcW w:w="990" w:type="dxa"/>
            <w:tcBorders>
              <w:top w:val="nil"/>
              <w:left w:val="nil"/>
              <w:bottom w:val="single" w:sz="4" w:space="0" w:color="auto"/>
              <w:right w:val="single" w:sz="4" w:space="0" w:color="auto"/>
            </w:tcBorders>
            <w:shd w:val="clear" w:color="auto" w:fill="auto"/>
            <w:noWrap/>
            <w:vAlign w:val="center"/>
            <w:hideMark/>
          </w:tcPr>
          <w:p w14:paraId="6F123758"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w:t>
            </w:r>
          </w:p>
        </w:tc>
        <w:tc>
          <w:tcPr>
            <w:tcW w:w="990" w:type="dxa"/>
            <w:tcBorders>
              <w:top w:val="nil"/>
              <w:left w:val="nil"/>
              <w:bottom w:val="single" w:sz="4" w:space="0" w:color="auto"/>
              <w:right w:val="single" w:sz="4" w:space="0" w:color="auto"/>
            </w:tcBorders>
            <w:shd w:val="clear" w:color="auto" w:fill="auto"/>
            <w:noWrap/>
            <w:vAlign w:val="center"/>
            <w:hideMark/>
          </w:tcPr>
          <w:p w14:paraId="315D917D" w14:textId="77777777" w:rsidR="00312DE5" w:rsidRDefault="005563D9" w:rsidP="000A60CE">
            <w:pPr>
              <w:jc w:val="center"/>
              <w:rPr>
                <w:rFonts w:ascii="Cambria" w:hAnsi="Cambria" w:cs="Calibri"/>
                <w:color w:val="000000"/>
                <w:sz w:val="16"/>
                <w:szCs w:val="16"/>
              </w:rPr>
            </w:pPr>
            <w:r>
              <w:rPr>
                <w:rFonts w:ascii="Cambria" w:hAnsi="Cambria" w:cs="Calibri"/>
                <w:color w:val="000000"/>
                <w:sz w:val="16"/>
                <w:szCs w:val="16"/>
              </w:rPr>
              <w:t> p=0.01</w:t>
            </w:r>
          </w:p>
          <w:p w14:paraId="28E2149F" w14:textId="2858DF81" w:rsidR="005563D9" w:rsidRPr="00A94794" w:rsidRDefault="005563D9" w:rsidP="000A60CE">
            <w:pPr>
              <w:jc w:val="center"/>
              <w:rPr>
                <w:rFonts w:ascii="Cambria" w:hAnsi="Cambria" w:cs="Calibri"/>
                <w:color w:val="000000"/>
                <w:sz w:val="16"/>
                <w:szCs w:val="16"/>
              </w:rPr>
            </w:pPr>
            <w:r>
              <w:rPr>
                <w:rFonts w:ascii="Cambria" w:hAnsi="Cambria" w:cs="Calibri"/>
                <w:color w:val="000000"/>
                <w:sz w:val="16"/>
                <w:szCs w:val="16"/>
              </w:rPr>
              <w:t>r=0.68</w:t>
            </w:r>
          </w:p>
        </w:tc>
      </w:tr>
      <w:tr w:rsidR="00312DE5" w:rsidRPr="00A94794" w14:paraId="74865AED" w14:textId="77777777" w:rsidTr="000A60CE">
        <w:trPr>
          <w:trHeight w:val="32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540C196A"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Exam 3</w:t>
            </w:r>
          </w:p>
        </w:tc>
        <w:tc>
          <w:tcPr>
            <w:tcW w:w="1080" w:type="dxa"/>
            <w:tcBorders>
              <w:top w:val="nil"/>
              <w:left w:val="nil"/>
              <w:bottom w:val="single" w:sz="4" w:space="0" w:color="auto"/>
              <w:right w:val="single" w:sz="4" w:space="0" w:color="auto"/>
            </w:tcBorders>
            <w:shd w:val="clear" w:color="auto" w:fill="auto"/>
            <w:noWrap/>
            <w:vAlign w:val="center"/>
            <w:hideMark/>
          </w:tcPr>
          <w:p w14:paraId="6F37D996"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0</w:t>
            </w:r>
          </w:p>
        </w:tc>
        <w:tc>
          <w:tcPr>
            <w:tcW w:w="1080" w:type="dxa"/>
            <w:tcBorders>
              <w:top w:val="nil"/>
              <w:left w:val="nil"/>
              <w:bottom w:val="single" w:sz="4" w:space="0" w:color="auto"/>
              <w:right w:val="single" w:sz="4" w:space="0" w:color="auto"/>
            </w:tcBorders>
            <w:shd w:val="clear" w:color="auto" w:fill="auto"/>
            <w:noWrap/>
            <w:vAlign w:val="center"/>
            <w:hideMark/>
          </w:tcPr>
          <w:p w14:paraId="7CE0B4C1" w14:textId="77777777" w:rsidR="00312DE5" w:rsidRDefault="006B3858" w:rsidP="000A60CE">
            <w:pPr>
              <w:jc w:val="center"/>
              <w:rPr>
                <w:rFonts w:ascii="Cambria" w:hAnsi="Cambria" w:cs="Calibri"/>
                <w:color w:val="000000"/>
                <w:sz w:val="16"/>
                <w:szCs w:val="16"/>
              </w:rPr>
            </w:pPr>
            <w:r>
              <w:rPr>
                <w:rFonts w:ascii="Cambria" w:hAnsi="Cambria" w:cs="Calibri"/>
                <w:color w:val="000000"/>
                <w:sz w:val="16"/>
                <w:szCs w:val="16"/>
              </w:rPr>
              <w:t>p=</w:t>
            </w:r>
            <w:r w:rsidR="00312DE5" w:rsidRPr="00A94794">
              <w:rPr>
                <w:rFonts w:ascii="Cambria" w:hAnsi="Cambria" w:cs="Calibri"/>
                <w:color w:val="000000"/>
                <w:sz w:val="16"/>
                <w:szCs w:val="16"/>
              </w:rPr>
              <w:t>0.01</w:t>
            </w:r>
          </w:p>
          <w:p w14:paraId="4CA346C7" w14:textId="6FF4E9CF" w:rsidR="006B3858" w:rsidRPr="00A94794" w:rsidRDefault="006B3858" w:rsidP="000A60CE">
            <w:pPr>
              <w:jc w:val="center"/>
              <w:rPr>
                <w:rFonts w:ascii="Cambria" w:hAnsi="Cambria" w:cs="Calibri"/>
                <w:color w:val="000000"/>
                <w:sz w:val="16"/>
                <w:szCs w:val="16"/>
              </w:rPr>
            </w:pPr>
            <w:r>
              <w:rPr>
                <w:rFonts w:ascii="Cambria" w:hAnsi="Cambria" w:cs="Calibri"/>
                <w:color w:val="000000"/>
                <w:sz w:val="16"/>
                <w:szCs w:val="16"/>
              </w:rPr>
              <w:t>r=-0.50</w:t>
            </w:r>
          </w:p>
        </w:tc>
        <w:tc>
          <w:tcPr>
            <w:tcW w:w="1272" w:type="dxa"/>
            <w:tcBorders>
              <w:top w:val="nil"/>
              <w:left w:val="nil"/>
              <w:bottom w:val="single" w:sz="4" w:space="0" w:color="auto"/>
              <w:right w:val="single" w:sz="4" w:space="0" w:color="auto"/>
            </w:tcBorders>
            <w:shd w:val="clear" w:color="auto" w:fill="auto"/>
            <w:noWrap/>
            <w:vAlign w:val="center"/>
            <w:hideMark/>
          </w:tcPr>
          <w:p w14:paraId="6EE7288B" w14:textId="77777777" w:rsidR="00312DE5" w:rsidRDefault="006B3858" w:rsidP="000A60CE">
            <w:pPr>
              <w:jc w:val="center"/>
              <w:rPr>
                <w:rFonts w:ascii="Cambria" w:hAnsi="Cambria" w:cs="Calibri"/>
                <w:color w:val="000000"/>
                <w:sz w:val="16"/>
                <w:szCs w:val="16"/>
              </w:rPr>
            </w:pPr>
            <w:r>
              <w:rPr>
                <w:rFonts w:ascii="Cambria" w:hAnsi="Cambria" w:cs="Calibri"/>
                <w:color w:val="000000"/>
                <w:sz w:val="16"/>
                <w:szCs w:val="16"/>
              </w:rPr>
              <w:t>p=</w:t>
            </w:r>
            <w:r w:rsidR="00312DE5" w:rsidRPr="00A94794">
              <w:rPr>
                <w:rFonts w:ascii="Cambria" w:hAnsi="Cambria" w:cs="Calibri"/>
                <w:color w:val="000000"/>
                <w:sz w:val="16"/>
                <w:szCs w:val="16"/>
              </w:rPr>
              <w:t>0.01</w:t>
            </w:r>
          </w:p>
          <w:p w14:paraId="2EDF20BA" w14:textId="36D661AB" w:rsidR="006B3858" w:rsidRPr="00A94794" w:rsidRDefault="006B3858" w:rsidP="000A60CE">
            <w:pPr>
              <w:jc w:val="center"/>
              <w:rPr>
                <w:rFonts w:ascii="Cambria" w:hAnsi="Cambria" w:cs="Calibri"/>
                <w:color w:val="000000"/>
                <w:sz w:val="16"/>
                <w:szCs w:val="16"/>
              </w:rPr>
            </w:pPr>
            <w:r>
              <w:rPr>
                <w:rFonts w:ascii="Cambria" w:hAnsi="Cambria" w:cs="Calibri"/>
                <w:color w:val="000000"/>
                <w:sz w:val="16"/>
                <w:szCs w:val="16"/>
              </w:rPr>
              <w:t>r=-0.35</w:t>
            </w:r>
          </w:p>
        </w:tc>
        <w:tc>
          <w:tcPr>
            <w:tcW w:w="978" w:type="dxa"/>
            <w:tcBorders>
              <w:top w:val="nil"/>
              <w:left w:val="nil"/>
              <w:bottom w:val="single" w:sz="4" w:space="0" w:color="auto"/>
              <w:right w:val="single" w:sz="4" w:space="0" w:color="auto"/>
            </w:tcBorders>
            <w:shd w:val="clear" w:color="auto" w:fill="auto"/>
            <w:noWrap/>
            <w:vAlign w:val="center"/>
            <w:hideMark/>
          </w:tcPr>
          <w:p w14:paraId="4E8501F0" w14:textId="77777777" w:rsidR="00312DE5" w:rsidRDefault="005563D9" w:rsidP="000A60CE">
            <w:pPr>
              <w:jc w:val="center"/>
              <w:rPr>
                <w:rFonts w:ascii="Cambria" w:hAnsi="Cambria" w:cs="Calibri"/>
                <w:color w:val="000000"/>
                <w:sz w:val="16"/>
                <w:szCs w:val="16"/>
              </w:rPr>
            </w:pPr>
            <w:r>
              <w:rPr>
                <w:rFonts w:ascii="Cambria" w:hAnsi="Cambria" w:cs="Calibri"/>
                <w:color w:val="000000"/>
                <w:sz w:val="16"/>
                <w:szCs w:val="16"/>
              </w:rPr>
              <w:t>p=</w:t>
            </w:r>
            <w:r w:rsidR="00312DE5" w:rsidRPr="00A94794">
              <w:rPr>
                <w:rFonts w:ascii="Cambria" w:hAnsi="Cambria" w:cs="Calibri"/>
                <w:color w:val="000000"/>
                <w:sz w:val="16"/>
                <w:szCs w:val="16"/>
              </w:rPr>
              <w:t>0.01</w:t>
            </w:r>
          </w:p>
          <w:p w14:paraId="40F750A5" w14:textId="74AD2358" w:rsidR="005563D9" w:rsidRPr="00A94794" w:rsidRDefault="005563D9" w:rsidP="000A60CE">
            <w:pPr>
              <w:jc w:val="center"/>
              <w:rPr>
                <w:rFonts w:ascii="Cambria" w:hAnsi="Cambria" w:cs="Calibri"/>
                <w:color w:val="000000"/>
                <w:sz w:val="16"/>
                <w:szCs w:val="16"/>
              </w:rPr>
            </w:pPr>
            <w:r>
              <w:rPr>
                <w:rFonts w:ascii="Cambria" w:hAnsi="Cambria" w:cs="Calibri"/>
                <w:color w:val="000000"/>
                <w:sz w:val="16"/>
                <w:szCs w:val="16"/>
              </w:rPr>
              <w:t>r=0.66</w:t>
            </w:r>
          </w:p>
        </w:tc>
        <w:tc>
          <w:tcPr>
            <w:tcW w:w="990" w:type="dxa"/>
            <w:tcBorders>
              <w:top w:val="nil"/>
              <w:left w:val="nil"/>
              <w:bottom w:val="single" w:sz="4" w:space="0" w:color="auto"/>
              <w:right w:val="single" w:sz="4" w:space="0" w:color="auto"/>
            </w:tcBorders>
            <w:shd w:val="clear" w:color="auto" w:fill="auto"/>
            <w:noWrap/>
            <w:vAlign w:val="center"/>
            <w:hideMark/>
          </w:tcPr>
          <w:p w14:paraId="5EE872A4" w14:textId="77777777" w:rsidR="00312DE5"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w:t>
            </w:r>
            <w:r w:rsidR="005563D9">
              <w:rPr>
                <w:rFonts w:ascii="Cambria" w:hAnsi="Cambria" w:cs="Calibri"/>
                <w:color w:val="000000"/>
                <w:sz w:val="16"/>
                <w:szCs w:val="16"/>
              </w:rPr>
              <w:t>p=</w:t>
            </w:r>
            <w:r w:rsidRPr="00A94794">
              <w:rPr>
                <w:rFonts w:ascii="Cambria" w:hAnsi="Cambria" w:cs="Calibri"/>
                <w:color w:val="000000"/>
                <w:sz w:val="16"/>
                <w:szCs w:val="16"/>
              </w:rPr>
              <w:t>0.01</w:t>
            </w:r>
          </w:p>
          <w:p w14:paraId="6ADD91F2" w14:textId="05C72612" w:rsidR="005563D9" w:rsidRPr="00A94794" w:rsidRDefault="005563D9" w:rsidP="000A60CE">
            <w:pPr>
              <w:jc w:val="center"/>
              <w:rPr>
                <w:rFonts w:ascii="Cambria" w:hAnsi="Cambria" w:cs="Calibri"/>
                <w:color w:val="000000"/>
                <w:sz w:val="16"/>
                <w:szCs w:val="16"/>
              </w:rPr>
            </w:pPr>
            <w:r>
              <w:rPr>
                <w:rFonts w:ascii="Cambria" w:hAnsi="Cambria" w:cs="Calibri"/>
                <w:color w:val="000000"/>
                <w:sz w:val="16"/>
                <w:szCs w:val="16"/>
              </w:rPr>
              <w:t>r=</w:t>
            </w:r>
            <w:r w:rsidR="00E50254">
              <w:rPr>
                <w:rFonts w:ascii="Cambria" w:hAnsi="Cambria" w:cs="Calibri"/>
                <w:color w:val="000000"/>
                <w:sz w:val="16"/>
                <w:szCs w:val="16"/>
              </w:rPr>
              <w:t>0.68</w:t>
            </w:r>
          </w:p>
        </w:tc>
        <w:tc>
          <w:tcPr>
            <w:tcW w:w="990" w:type="dxa"/>
            <w:tcBorders>
              <w:top w:val="nil"/>
              <w:left w:val="nil"/>
              <w:bottom w:val="single" w:sz="4" w:space="0" w:color="auto"/>
              <w:right w:val="single" w:sz="4" w:space="0" w:color="auto"/>
            </w:tcBorders>
            <w:shd w:val="clear" w:color="auto" w:fill="auto"/>
            <w:noWrap/>
            <w:vAlign w:val="center"/>
            <w:hideMark/>
          </w:tcPr>
          <w:p w14:paraId="5134E01B"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w:t>
            </w:r>
          </w:p>
        </w:tc>
      </w:tr>
      <w:tr w:rsidR="00312DE5" w:rsidRPr="00A94794" w14:paraId="5C70BF74" w14:textId="77777777" w:rsidTr="000A60CE">
        <w:trPr>
          <w:trHeight w:val="320"/>
        </w:trPr>
        <w:tc>
          <w:tcPr>
            <w:tcW w:w="985" w:type="dxa"/>
            <w:tcBorders>
              <w:top w:val="nil"/>
              <w:left w:val="single" w:sz="4" w:space="0" w:color="auto"/>
              <w:bottom w:val="single" w:sz="4" w:space="0" w:color="auto"/>
              <w:right w:val="single" w:sz="4" w:space="0" w:color="auto"/>
            </w:tcBorders>
            <w:shd w:val="clear" w:color="000000" w:fill="D9D9D9"/>
            <w:noWrap/>
            <w:vAlign w:val="center"/>
            <w:hideMark/>
          </w:tcPr>
          <w:p w14:paraId="615B1E3F"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Group 2</w:t>
            </w:r>
          </w:p>
        </w:tc>
        <w:tc>
          <w:tcPr>
            <w:tcW w:w="1080" w:type="dxa"/>
            <w:tcBorders>
              <w:top w:val="nil"/>
              <w:left w:val="nil"/>
              <w:bottom w:val="single" w:sz="4" w:space="0" w:color="auto"/>
              <w:right w:val="single" w:sz="4" w:space="0" w:color="auto"/>
            </w:tcBorders>
            <w:shd w:val="clear" w:color="000000" w:fill="D9D9D9"/>
            <w:noWrap/>
            <w:vAlign w:val="center"/>
            <w:hideMark/>
          </w:tcPr>
          <w:p w14:paraId="7FA4434E"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w:t>
            </w:r>
          </w:p>
        </w:tc>
        <w:tc>
          <w:tcPr>
            <w:tcW w:w="1080" w:type="dxa"/>
            <w:tcBorders>
              <w:top w:val="nil"/>
              <w:left w:val="nil"/>
              <w:bottom w:val="single" w:sz="4" w:space="0" w:color="auto"/>
              <w:right w:val="single" w:sz="4" w:space="0" w:color="auto"/>
            </w:tcBorders>
            <w:shd w:val="clear" w:color="000000" w:fill="D9D9D9"/>
            <w:noWrap/>
            <w:vAlign w:val="center"/>
            <w:hideMark/>
          </w:tcPr>
          <w:p w14:paraId="5BB7012B"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w:t>
            </w:r>
          </w:p>
        </w:tc>
        <w:tc>
          <w:tcPr>
            <w:tcW w:w="1272" w:type="dxa"/>
            <w:tcBorders>
              <w:top w:val="nil"/>
              <w:left w:val="nil"/>
              <w:bottom w:val="single" w:sz="4" w:space="0" w:color="auto"/>
              <w:right w:val="single" w:sz="4" w:space="0" w:color="auto"/>
            </w:tcBorders>
            <w:shd w:val="clear" w:color="000000" w:fill="D9D9D9"/>
            <w:noWrap/>
            <w:vAlign w:val="center"/>
            <w:hideMark/>
          </w:tcPr>
          <w:p w14:paraId="16B4B5F3"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w:t>
            </w:r>
          </w:p>
        </w:tc>
        <w:tc>
          <w:tcPr>
            <w:tcW w:w="978" w:type="dxa"/>
            <w:tcBorders>
              <w:top w:val="nil"/>
              <w:left w:val="nil"/>
              <w:bottom w:val="single" w:sz="4" w:space="0" w:color="auto"/>
              <w:right w:val="single" w:sz="4" w:space="0" w:color="auto"/>
            </w:tcBorders>
            <w:shd w:val="clear" w:color="000000" w:fill="D9D9D9"/>
            <w:noWrap/>
            <w:vAlign w:val="center"/>
            <w:hideMark/>
          </w:tcPr>
          <w:p w14:paraId="2DB4F143"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w:t>
            </w:r>
          </w:p>
        </w:tc>
        <w:tc>
          <w:tcPr>
            <w:tcW w:w="990" w:type="dxa"/>
            <w:tcBorders>
              <w:top w:val="nil"/>
              <w:left w:val="nil"/>
              <w:bottom w:val="single" w:sz="4" w:space="0" w:color="auto"/>
              <w:right w:val="single" w:sz="4" w:space="0" w:color="auto"/>
            </w:tcBorders>
            <w:shd w:val="clear" w:color="000000" w:fill="D9D9D9"/>
            <w:noWrap/>
            <w:vAlign w:val="center"/>
            <w:hideMark/>
          </w:tcPr>
          <w:p w14:paraId="119863D8"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w:t>
            </w:r>
          </w:p>
        </w:tc>
        <w:tc>
          <w:tcPr>
            <w:tcW w:w="990" w:type="dxa"/>
            <w:tcBorders>
              <w:top w:val="nil"/>
              <w:left w:val="nil"/>
              <w:bottom w:val="single" w:sz="4" w:space="0" w:color="auto"/>
              <w:right w:val="single" w:sz="4" w:space="0" w:color="auto"/>
            </w:tcBorders>
            <w:shd w:val="clear" w:color="000000" w:fill="D9D9D9"/>
            <w:noWrap/>
            <w:vAlign w:val="center"/>
            <w:hideMark/>
          </w:tcPr>
          <w:p w14:paraId="1E3B1A68"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w:t>
            </w:r>
          </w:p>
        </w:tc>
      </w:tr>
      <w:tr w:rsidR="00312DE5" w:rsidRPr="00A94794" w14:paraId="639AC084" w14:textId="77777777" w:rsidTr="000A60CE">
        <w:trPr>
          <w:trHeight w:val="32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6C6D9D67"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Exam 1</w:t>
            </w:r>
          </w:p>
        </w:tc>
        <w:tc>
          <w:tcPr>
            <w:tcW w:w="1080" w:type="dxa"/>
            <w:tcBorders>
              <w:top w:val="nil"/>
              <w:left w:val="nil"/>
              <w:bottom w:val="single" w:sz="4" w:space="0" w:color="auto"/>
              <w:right w:val="single" w:sz="4" w:space="0" w:color="auto"/>
            </w:tcBorders>
            <w:shd w:val="clear" w:color="auto" w:fill="auto"/>
            <w:noWrap/>
            <w:vAlign w:val="center"/>
            <w:hideMark/>
          </w:tcPr>
          <w:p w14:paraId="0411592A" w14:textId="69D37B02" w:rsidR="006B3858"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w:t>
            </w:r>
            <w:r w:rsidR="006B3858">
              <w:rPr>
                <w:rFonts w:ascii="Cambria" w:hAnsi="Cambria" w:cs="Calibri"/>
                <w:color w:val="000000"/>
                <w:sz w:val="16"/>
                <w:szCs w:val="16"/>
              </w:rPr>
              <w:t>p=</w:t>
            </w:r>
            <w:r w:rsidRPr="00A94794">
              <w:rPr>
                <w:rFonts w:ascii="Cambria" w:hAnsi="Cambria" w:cs="Calibri"/>
                <w:color w:val="000000"/>
                <w:sz w:val="16"/>
                <w:szCs w:val="16"/>
              </w:rPr>
              <w:t>0.05</w:t>
            </w:r>
            <w:r w:rsidR="006B3858">
              <w:rPr>
                <w:rFonts w:ascii="Cambria" w:hAnsi="Cambria" w:cs="Calibri"/>
                <w:color w:val="000000"/>
                <w:sz w:val="16"/>
                <w:szCs w:val="16"/>
              </w:rPr>
              <w:t xml:space="preserve"> </w:t>
            </w:r>
          </w:p>
          <w:p w14:paraId="443C7792" w14:textId="1F791B19" w:rsidR="00312DE5" w:rsidRPr="00A94794" w:rsidRDefault="006B3858" w:rsidP="000A60CE">
            <w:pPr>
              <w:jc w:val="center"/>
              <w:rPr>
                <w:rFonts w:ascii="Cambria" w:hAnsi="Cambria" w:cs="Calibri"/>
                <w:color w:val="000000"/>
                <w:sz w:val="16"/>
                <w:szCs w:val="16"/>
              </w:rPr>
            </w:pPr>
            <w:r>
              <w:rPr>
                <w:rFonts w:ascii="Cambria" w:hAnsi="Cambria" w:cs="Calibri"/>
                <w:color w:val="000000"/>
                <w:sz w:val="16"/>
                <w:szCs w:val="16"/>
              </w:rPr>
              <w:t>r=-0.30</w:t>
            </w:r>
          </w:p>
        </w:tc>
        <w:tc>
          <w:tcPr>
            <w:tcW w:w="1080" w:type="dxa"/>
            <w:tcBorders>
              <w:top w:val="nil"/>
              <w:left w:val="nil"/>
              <w:bottom w:val="single" w:sz="4" w:space="0" w:color="auto"/>
              <w:right w:val="single" w:sz="4" w:space="0" w:color="auto"/>
            </w:tcBorders>
            <w:shd w:val="clear" w:color="auto" w:fill="auto"/>
            <w:noWrap/>
            <w:vAlign w:val="center"/>
            <w:hideMark/>
          </w:tcPr>
          <w:p w14:paraId="5EC3FF51"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0</w:t>
            </w:r>
          </w:p>
        </w:tc>
        <w:tc>
          <w:tcPr>
            <w:tcW w:w="1272" w:type="dxa"/>
            <w:tcBorders>
              <w:top w:val="nil"/>
              <w:left w:val="nil"/>
              <w:bottom w:val="single" w:sz="4" w:space="0" w:color="auto"/>
              <w:right w:val="single" w:sz="4" w:space="0" w:color="auto"/>
            </w:tcBorders>
            <w:shd w:val="clear" w:color="auto" w:fill="auto"/>
            <w:noWrap/>
            <w:vAlign w:val="center"/>
            <w:hideMark/>
          </w:tcPr>
          <w:p w14:paraId="2026BA1E"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0</w:t>
            </w:r>
          </w:p>
        </w:tc>
        <w:tc>
          <w:tcPr>
            <w:tcW w:w="978" w:type="dxa"/>
            <w:tcBorders>
              <w:top w:val="nil"/>
              <w:left w:val="nil"/>
              <w:bottom w:val="single" w:sz="4" w:space="0" w:color="auto"/>
              <w:right w:val="single" w:sz="4" w:space="0" w:color="auto"/>
            </w:tcBorders>
            <w:shd w:val="clear" w:color="auto" w:fill="auto"/>
            <w:noWrap/>
            <w:vAlign w:val="center"/>
            <w:hideMark/>
          </w:tcPr>
          <w:p w14:paraId="08BED5C3"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w:t>
            </w:r>
          </w:p>
        </w:tc>
        <w:tc>
          <w:tcPr>
            <w:tcW w:w="990" w:type="dxa"/>
            <w:tcBorders>
              <w:top w:val="nil"/>
              <w:left w:val="nil"/>
              <w:bottom w:val="single" w:sz="4" w:space="0" w:color="auto"/>
              <w:right w:val="single" w:sz="4" w:space="0" w:color="auto"/>
            </w:tcBorders>
            <w:shd w:val="clear" w:color="auto" w:fill="auto"/>
            <w:noWrap/>
            <w:vAlign w:val="center"/>
            <w:hideMark/>
          </w:tcPr>
          <w:p w14:paraId="3CE21083" w14:textId="77777777" w:rsidR="00312DE5"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w:t>
            </w:r>
            <w:r w:rsidR="001A4428">
              <w:rPr>
                <w:rFonts w:ascii="Cambria" w:hAnsi="Cambria" w:cs="Calibri"/>
                <w:color w:val="000000"/>
                <w:sz w:val="16"/>
                <w:szCs w:val="16"/>
              </w:rPr>
              <w:t>p=</w:t>
            </w:r>
            <w:r w:rsidRPr="00A94794">
              <w:rPr>
                <w:rFonts w:ascii="Cambria" w:hAnsi="Cambria" w:cs="Calibri"/>
                <w:color w:val="000000"/>
                <w:sz w:val="16"/>
                <w:szCs w:val="16"/>
              </w:rPr>
              <w:t>0.05</w:t>
            </w:r>
          </w:p>
          <w:p w14:paraId="1C1B4A8C" w14:textId="79248175" w:rsidR="001A4428" w:rsidRPr="00A94794" w:rsidRDefault="001A4428" w:rsidP="000A60CE">
            <w:pPr>
              <w:jc w:val="center"/>
              <w:rPr>
                <w:rFonts w:ascii="Cambria" w:hAnsi="Cambria" w:cs="Calibri"/>
                <w:color w:val="000000"/>
                <w:sz w:val="16"/>
                <w:szCs w:val="16"/>
              </w:rPr>
            </w:pPr>
            <w:r>
              <w:rPr>
                <w:rFonts w:ascii="Cambria" w:hAnsi="Cambria" w:cs="Calibri"/>
                <w:color w:val="000000"/>
                <w:sz w:val="16"/>
                <w:szCs w:val="16"/>
              </w:rPr>
              <w:t>r=0.60</w:t>
            </w:r>
          </w:p>
        </w:tc>
        <w:tc>
          <w:tcPr>
            <w:tcW w:w="990" w:type="dxa"/>
            <w:tcBorders>
              <w:top w:val="nil"/>
              <w:left w:val="nil"/>
              <w:bottom w:val="single" w:sz="4" w:space="0" w:color="auto"/>
              <w:right w:val="single" w:sz="4" w:space="0" w:color="auto"/>
            </w:tcBorders>
            <w:shd w:val="clear" w:color="auto" w:fill="auto"/>
            <w:noWrap/>
            <w:vAlign w:val="center"/>
            <w:hideMark/>
          </w:tcPr>
          <w:p w14:paraId="54F25275" w14:textId="77777777" w:rsidR="00312DE5" w:rsidRDefault="001A4428" w:rsidP="000A60CE">
            <w:pPr>
              <w:jc w:val="center"/>
              <w:rPr>
                <w:rFonts w:ascii="Cambria" w:hAnsi="Cambria" w:cs="Calibri"/>
                <w:color w:val="000000"/>
                <w:sz w:val="16"/>
                <w:szCs w:val="16"/>
              </w:rPr>
            </w:pPr>
            <w:r>
              <w:rPr>
                <w:rFonts w:ascii="Cambria" w:hAnsi="Cambria" w:cs="Calibri"/>
                <w:color w:val="000000"/>
                <w:sz w:val="16"/>
                <w:szCs w:val="16"/>
              </w:rPr>
              <w:t>p=</w:t>
            </w:r>
            <w:r w:rsidR="00312DE5" w:rsidRPr="00A94794">
              <w:rPr>
                <w:rFonts w:ascii="Cambria" w:hAnsi="Cambria" w:cs="Calibri"/>
                <w:color w:val="000000"/>
                <w:sz w:val="16"/>
                <w:szCs w:val="16"/>
              </w:rPr>
              <w:t>0.01</w:t>
            </w:r>
          </w:p>
          <w:p w14:paraId="5E0792E2" w14:textId="7C22E217" w:rsidR="001A4428" w:rsidRPr="00A94794" w:rsidRDefault="001A4428" w:rsidP="000A60CE">
            <w:pPr>
              <w:jc w:val="center"/>
              <w:rPr>
                <w:rFonts w:ascii="Cambria" w:hAnsi="Cambria" w:cs="Calibri"/>
                <w:color w:val="000000"/>
                <w:sz w:val="16"/>
                <w:szCs w:val="16"/>
              </w:rPr>
            </w:pPr>
            <w:r>
              <w:rPr>
                <w:rFonts w:ascii="Cambria" w:hAnsi="Cambria" w:cs="Calibri"/>
                <w:color w:val="000000"/>
                <w:sz w:val="16"/>
                <w:szCs w:val="16"/>
              </w:rPr>
              <w:t>r=0.67</w:t>
            </w:r>
          </w:p>
        </w:tc>
      </w:tr>
      <w:tr w:rsidR="00312DE5" w:rsidRPr="00A94794" w14:paraId="72E606D4" w14:textId="77777777" w:rsidTr="000A60CE">
        <w:trPr>
          <w:trHeight w:val="32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2D86EAE"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Exam 2</w:t>
            </w:r>
          </w:p>
        </w:tc>
        <w:tc>
          <w:tcPr>
            <w:tcW w:w="1080" w:type="dxa"/>
            <w:tcBorders>
              <w:top w:val="nil"/>
              <w:left w:val="nil"/>
              <w:bottom w:val="single" w:sz="4" w:space="0" w:color="auto"/>
              <w:right w:val="single" w:sz="4" w:space="0" w:color="auto"/>
            </w:tcBorders>
            <w:shd w:val="clear" w:color="auto" w:fill="auto"/>
            <w:noWrap/>
            <w:vAlign w:val="center"/>
            <w:hideMark/>
          </w:tcPr>
          <w:p w14:paraId="041AE42E"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0</w:t>
            </w:r>
          </w:p>
        </w:tc>
        <w:tc>
          <w:tcPr>
            <w:tcW w:w="1080" w:type="dxa"/>
            <w:tcBorders>
              <w:top w:val="nil"/>
              <w:left w:val="nil"/>
              <w:bottom w:val="single" w:sz="4" w:space="0" w:color="auto"/>
              <w:right w:val="single" w:sz="4" w:space="0" w:color="auto"/>
            </w:tcBorders>
            <w:shd w:val="clear" w:color="auto" w:fill="auto"/>
            <w:noWrap/>
            <w:vAlign w:val="center"/>
            <w:hideMark/>
          </w:tcPr>
          <w:p w14:paraId="16B05975"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0</w:t>
            </w:r>
          </w:p>
        </w:tc>
        <w:tc>
          <w:tcPr>
            <w:tcW w:w="1272" w:type="dxa"/>
            <w:tcBorders>
              <w:top w:val="nil"/>
              <w:left w:val="nil"/>
              <w:bottom w:val="single" w:sz="4" w:space="0" w:color="auto"/>
              <w:right w:val="single" w:sz="4" w:space="0" w:color="auto"/>
            </w:tcBorders>
            <w:shd w:val="clear" w:color="auto" w:fill="auto"/>
            <w:noWrap/>
            <w:vAlign w:val="center"/>
            <w:hideMark/>
          </w:tcPr>
          <w:p w14:paraId="06649F72"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0</w:t>
            </w:r>
          </w:p>
        </w:tc>
        <w:tc>
          <w:tcPr>
            <w:tcW w:w="978" w:type="dxa"/>
            <w:tcBorders>
              <w:top w:val="nil"/>
              <w:left w:val="nil"/>
              <w:bottom w:val="single" w:sz="4" w:space="0" w:color="auto"/>
              <w:right w:val="single" w:sz="4" w:space="0" w:color="auto"/>
            </w:tcBorders>
            <w:shd w:val="clear" w:color="auto" w:fill="auto"/>
            <w:noWrap/>
            <w:vAlign w:val="center"/>
            <w:hideMark/>
          </w:tcPr>
          <w:p w14:paraId="228F9ED9" w14:textId="77777777" w:rsidR="00312DE5" w:rsidRDefault="001A4428" w:rsidP="000A60CE">
            <w:pPr>
              <w:jc w:val="center"/>
              <w:rPr>
                <w:rFonts w:ascii="Cambria" w:hAnsi="Cambria" w:cs="Calibri"/>
                <w:color w:val="000000"/>
                <w:sz w:val="16"/>
                <w:szCs w:val="16"/>
              </w:rPr>
            </w:pPr>
            <w:r>
              <w:rPr>
                <w:rFonts w:ascii="Cambria" w:hAnsi="Cambria" w:cs="Calibri"/>
                <w:color w:val="000000"/>
                <w:sz w:val="16"/>
                <w:szCs w:val="16"/>
              </w:rPr>
              <w:t>p=</w:t>
            </w:r>
            <w:r w:rsidR="00312DE5" w:rsidRPr="00A94794">
              <w:rPr>
                <w:rFonts w:ascii="Cambria" w:hAnsi="Cambria" w:cs="Calibri"/>
                <w:color w:val="000000"/>
                <w:sz w:val="16"/>
                <w:szCs w:val="16"/>
              </w:rPr>
              <w:t>0.05</w:t>
            </w:r>
          </w:p>
          <w:p w14:paraId="5D4585E5" w14:textId="63B499F7" w:rsidR="001A4428" w:rsidRPr="00A94794" w:rsidRDefault="001A4428" w:rsidP="000A60CE">
            <w:pPr>
              <w:jc w:val="center"/>
              <w:rPr>
                <w:rFonts w:ascii="Cambria" w:hAnsi="Cambria" w:cs="Calibri"/>
                <w:color w:val="000000"/>
                <w:sz w:val="16"/>
                <w:szCs w:val="16"/>
              </w:rPr>
            </w:pPr>
            <w:r>
              <w:rPr>
                <w:rFonts w:ascii="Cambria" w:hAnsi="Cambria" w:cs="Calibri"/>
                <w:color w:val="000000"/>
                <w:sz w:val="16"/>
                <w:szCs w:val="16"/>
              </w:rPr>
              <w:t>r=0.60</w:t>
            </w:r>
          </w:p>
        </w:tc>
        <w:tc>
          <w:tcPr>
            <w:tcW w:w="990" w:type="dxa"/>
            <w:tcBorders>
              <w:top w:val="nil"/>
              <w:left w:val="nil"/>
              <w:bottom w:val="single" w:sz="4" w:space="0" w:color="auto"/>
              <w:right w:val="single" w:sz="4" w:space="0" w:color="auto"/>
            </w:tcBorders>
            <w:shd w:val="clear" w:color="auto" w:fill="auto"/>
            <w:noWrap/>
            <w:vAlign w:val="center"/>
            <w:hideMark/>
          </w:tcPr>
          <w:p w14:paraId="4F2E85D8"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w:t>
            </w:r>
          </w:p>
        </w:tc>
        <w:tc>
          <w:tcPr>
            <w:tcW w:w="990" w:type="dxa"/>
            <w:tcBorders>
              <w:top w:val="nil"/>
              <w:left w:val="nil"/>
              <w:bottom w:val="single" w:sz="4" w:space="0" w:color="auto"/>
              <w:right w:val="single" w:sz="4" w:space="0" w:color="auto"/>
            </w:tcBorders>
            <w:shd w:val="clear" w:color="auto" w:fill="auto"/>
            <w:noWrap/>
            <w:vAlign w:val="center"/>
            <w:hideMark/>
          </w:tcPr>
          <w:p w14:paraId="46D19FA3"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0</w:t>
            </w:r>
          </w:p>
        </w:tc>
      </w:tr>
      <w:tr w:rsidR="00312DE5" w:rsidRPr="00A94794" w14:paraId="25F150FC" w14:textId="77777777" w:rsidTr="000A60CE">
        <w:trPr>
          <w:trHeight w:val="320"/>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DA0F251" w14:textId="77777777" w:rsidR="00312DE5" w:rsidRPr="00A94794" w:rsidRDefault="00312DE5" w:rsidP="000A60CE">
            <w:pPr>
              <w:rPr>
                <w:rFonts w:ascii="Cambria" w:hAnsi="Cambria" w:cs="Calibri"/>
                <w:color w:val="000000"/>
                <w:sz w:val="16"/>
                <w:szCs w:val="16"/>
              </w:rPr>
            </w:pPr>
            <w:r w:rsidRPr="00A94794">
              <w:rPr>
                <w:rFonts w:ascii="Cambria" w:hAnsi="Cambria" w:cs="Calibri"/>
                <w:color w:val="000000"/>
                <w:sz w:val="16"/>
                <w:szCs w:val="16"/>
              </w:rPr>
              <w:t>Exam 3</w:t>
            </w:r>
          </w:p>
        </w:tc>
        <w:tc>
          <w:tcPr>
            <w:tcW w:w="1080" w:type="dxa"/>
            <w:tcBorders>
              <w:top w:val="nil"/>
              <w:left w:val="nil"/>
              <w:bottom w:val="single" w:sz="4" w:space="0" w:color="auto"/>
              <w:right w:val="single" w:sz="4" w:space="0" w:color="auto"/>
            </w:tcBorders>
            <w:shd w:val="clear" w:color="auto" w:fill="auto"/>
            <w:noWrap/>
            <w:vAlign w:val="center"/>
            <w:hideMark/>
          </w:tcPr>
          <w:p w14:paraId="227CFEA5"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0</w:t>
            </w:r>
          </w:p>
        </w:tc>
        <w:tc>
          <w:tcPr>
            <w:tcW w:w="1080" w:type="dxa"/>
            <w:tcBorders>
              <w:top w:val="nil"/>
              <w:left w:val="nil"/>
              <w:bottom w:val="single" w:sz="4" w:space="0" w:color="auto"/>
              <w:right w:val="single" w:sz="4" w:space="0" w:color="auto"/>
            </w:tcBorders>
            <w:shd w:val="clear" w:color="auto" w:fill="auto"/>
            <w:noWrap/>
            <w:vAlign w:val="center"/>
            <w:hideMark/>
          </w:tcPr>
          <w:p w14:paraId="3041C51A"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0</w:t>
            </w:r>
          </w:p>
        </w:tc>
        <w:tc>
          <w:tcPr>
            <w:tcW w:w="1272" w:type="dxa"/>
            <w:tcBorders>
              <w:top w:val="nil"/>
              <w:left w:val="nil"/>
              <w:bottom w:val="single" w:sz="4" w:space="0" w:color="auto"/>
              <w:right w:val="single" w:sz="4" w:space="0" w:color="auto"/>
            </w:tcBorders>
            <w:shd w:val="clear" w:color="auto" w:fill="auto"/>
            <w:noWrap/>
            <w:vAlign w:val="center"/>
            <w:hideMark/>
          </w:tcPr>
          <w:p w14:paraId="66334305"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 0</w:t>
            </w:r>
          </w:p>
        </w:tc>
        <w:tc>
          <w:tcPr>
            <w:tcW w:w="978" w:type="dxa"/>
            <w:tcBorders>
              <w:top w:val="nil"/>
              <w:left w:val="nil"/>
              <w:bottom w:val="single" w:sz="4" w:space="0" w:color="auto"/>
              <w:right w:val="single" w:sz="4" w:space="0" w:color="auto"/>
            </w:tcBorders>
            <w:shd w:val="clear" w:color="auto" w:fill="auto"/>
            <w:noWrap/>
            <w:vAlign w:val="center"/>
            <w:hideMark/>
          </w:tcPr>
          <w:p w14:paraId="14A298C0" w14:textId="77777777" w:rsidR="00312DE5" w:rsidRDefault="001A4428" w:rsidP="000A60CE">
            <w:pPr>
              <w:jc w:val="center"/>
              <w:rPr>
                <w:rFonts w:ascii="Cambria" w:hAnsi="Cambria" w:cs="Calibri"/>
                <w:color w:val="000000"/>
                <w:sz w:val="16"/>
                <w:szCs w:val="16"/>
              </w:rPr>
            </w:pPr>
            <w:r>
              <w:rPr>
                <w:rFonts w:ascii="Cambria" w:hAnsi="Cambria" w:cs="Calibri"/>
                <w:color w:val="000000"/>
                <w:sz w:val="16"/>
                <w:szCs w:val="16"/>
              </w:rPr>
              <w:t>p=</w:t>
            </w:r>
            <w:r w:rsidR="00312DE5" w:rsidRPr="00A94794">
              <w:rPr>
                <w:rFonts w:ascii="Cambria" w:hAnsi="Cambria" w:cs="Calibri"/>
                <w:color w:val="000000"/>
                <w:sz w:val="16"/>
                <w:szCs w:val="16"/>
              </w:rPr>
              <w:t>0.01</w:t>
            </w:r>
          </w:p>
          <w:p w14:paraId="579F0915" w14:textId="681A423A" w:rsidR="001A4428" w:rsidRPr="00A94794" w:rsidRDefault="001A4428" w:rsidP="000A60CE">
            <w:pPr>
              <w:jc w:val="center"/>
              <w:rPr>
                <w:rFonts w:ascii="Cambria" w:hAnsi="Cambria" w:cs="Calibri"/>
                <w:color w:val="000000"/>
                <w:sz w:val="16"/>
                <w:szCs w:val="16"/>
              </w:rPr>
            </w:pPr>
            <w:r>
              <w:rPr>
                <w:rFonts w:ascii="Cambria" w:hAnsi="Cambria" w:cs="Calibri"/>
                <w:color w:val="000000"/>
                <w:sz w:val="16"/>
                <w:szCs w:val="16"/>
              </w:rPr>
              <w:t>r=0.67</w:t>
            </w:r>
          </w:p>
        </w:tc>
        <w:tc>
          <w:tcPr>
            <w:tcW w:w="990" w:type="dxa"/>
            <w:tcBorders>
              <w:top w:val="nil"/>
              <w:left w:val="nil"/>
              <w:bottom w:val="single" w:sz="4" w:space="0" w:color="auto"/>
              <w:right w:val="single" w:sz="4" w:space="0" w:color="auto"/>
            </w:tcBorders>
            <w:shd w:val="clear" w:color="auto" w:fill="auto"/>
            <w:noWrap/>
            <w:vAlign w:val="center"/>
            <w:hideMark/>
          </w:tcPr>
          <w:p w14:paraId="0B2C448C"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0</w:t>
            </w:r>
          </w:p>
        </w:tc>
        <w:tc>
          <w:tcPr>
            <w:tcW w:w="990" w:type="dxa"/>
            <w:tcBorders>
              <w:top w:val="nil"/>
              <w:left w:val="nil"/>
              <w:bottom w:val="single" w:sz="4" w:space="0" w:color="auto"/>
              <w:right w:val="single" w:sz="4" w:space="0" w:color="auto"/>
            </w:tcBorders>
            <w:shd w:val="clear" w:color="auto" w:fill="auto"/>
            <w:noWrap/>
            <w:vAlign w:val="center"/>
            <w:hideMark/>
          </w:tcPr>
          <w:p w14:paraId="3C4E6123" w14:textId="77777777" w:rsidR="00312DE5" w:rsidRPr="00A94794" w:rsidRDefault="00312DE5" w:rsidP="000A60CE">
            <w:pPr>
              <w:jc w:val="center"/>
              <w:rPr>
                <w:rFonts w:ascii="Cambria" w:hAnsi="Cambria" w:cs="Calibri"/>
                <w:color w:val="000000"/>
                <w:sz w:val="16"/>
                <w:szCs w:val="16"/>
              </w:rPr>
            </w:pPr>
            <w:r w:rsidRPr="00A94794">
              <w:rPr>
                <w:rFonts w:ascii="Cambria" w:hAnsi="Cambria" w:cs="Calibri"/>
                <w:color w:val="000000"/>
                <w:sz w:val="16"/>
                <w:szCs w:val="16"/>
              </w:rPr>
              <w:t>**</w:t>
            </w:r>
          </w:p>
        </w:tc>
      </w:tr>
    </w:tbl>
    <w:p w14:paraId="35BCA226" w14:textId="77777777" w:rsidR="00312DE5" w:rsidRDefault="00312DE5" w:rsidP="00312DE5">
      <w:pPr>
        <w:spacing w:line="480" w:lineRule="auto"/>
        <w:outlineLvl w:val="0"/>
        <w:rPr>
          <w:rFonts w:asciiTheme="minorHAnsi" w:hAnsiTheme="minorHAnsi"/>
        </w:rPr>
      </w:pPr>
    </w:p>
    <w:p w14:paraId="20A5540A" w14:textId="77777777" w:rsidR="00312DE5" w:rsidRDefault="00312DE5" w:rsidP="00312DE5">
      <w:pPr>
        <w:spacing w:line="480" w:lineRule="auto"/>
        <w:outlineLvl w:val="0"/>
        <w:rPr>
          <w:rFonts w:asciiTheme="minorHAnsi" w:hAnsiTheme="minorHAnsi"/>
        </w:rPr>
      </w:pPr>
      <w:r w:rsidRPr="00A658B0">
        <w:rPr>
          <w:rFonts w:asciiTheme="minorHAnsi" w:hAnsiTheme="minorHAnsi"/>
          <w:b/>
        </w:rPr>
        <w:t>Figure 4. Brief COPE behavioral scale and exam grade correlations</w:t>
      </w:r>
      <w:r>
        <w:rPr>
          <w:rFonts w:asciiTheme="minorHAnsi" w:hAnsiTheme="minorHAnsi"/>
        </w:rPr>
        <w:t xml:space="preserve">. </w:t>
      </w:r>
    </w:p>
    <w:p w14:paraId="0195BB02" w14:textId="239BF0D5" w:rsidR="00312DE5" w:rsidRPr="00065272" w:rsidRDefault="00312DE5" w:rsidP="00312DE5">
      <w:pPr>
        <w:spacing w:line="480" w:lineRule="auto"/>
        <w:outlineLvl w:val="0"/>
        <w:rPr>
          <w:rFonts w:asciiTheme="minorHAnsi" w:hAnsiTheme="minorHAnsi"/>
        </w:rPr>
      </w:pPr>
      <w:r>
        <w:rPr>
          <w:rFonts w:asciiTheme="minorHAnsi" w:hAnsiTheme="minorHAnsi"/>
        </w:rPr>
        <w:t xml:space="preserve">For the control group, Self-Blame, items 13 &amp; 26; </w:t>
      </w:r>
      <w:r w:rsidRPr="000D0BEC">
        <w:rPr>
          <w:rFonts w:asciiTheme="minorHAnsi" w:hAnsiTheme="minorHAnsi"/>
          <w:color w:val="000000" w:themeColor="text1"/>
        </w:rPr>
        <w:t>Denial, items 3 and 8</w:t>
      </w:r>
      <w:r>
        <w:rPr>
          <w:rFonts w:asciiTheme="minorHAnsi" w:hAnsiTheme="minorHAnsi"/>
          <w:color w:val="000000" w:themeColor="text1"/>
        </w:rPr>
        <w:t>;</w:t>
      </w:r>
      <w:r w:rsidR="00A37639">
        <w:rPr>
          <w:rFonts w:asciiTheme="minorHAnsi" w:hAnsiTheme="minorHAnsi"/>
          <w:color w:val="000000" w:themeColor="text1"/>
        </w:rPr>
        <w:t xml:space="preserve"> </w:t>
      </w:r>
      <w:r w:rsidRPr="000D0BEC">
        <w:rPr>
          <w:rFonts w:asciiTheme="minorHAnsi" w:hAnsiTheme="minorHAnsi"/>
          <w:color w:val="000000" w:themeColor="text1"/>
        </w:rPr>
        <w:t>Behaviora</w:t>
      </w:r>
      <w:r>
        <w:rPr>
          <w:rFonts w:asciiTheme="minorHAnsi" w:hAnsiTheme="minorHAnsi"/>
          <w:color w:val="000000" w:themeColor="text1"/>
        </w:rPr>
        <w:t>l Disengagement, items 6 and 16 all had significant correlations with poor exam performance (</w:t>
      </w:r>
      <w:r w:rsidRPr="000D0BEC">
        <w:rPr>
          <w:rFonts w:asciiTheme="minorHAnsi" w:hAnsiTheme="minorHAnsi"/>
          <w:i/>
          <w:color w:val="000000" w:themeColor="text1"/>
        </w:rPr>
        <w:t>p</w:t>
      </w:r>
      <w:r w:rsidRPr="000D0BEC">
        <w:rPr>
          <w:rFonts w:asciiTheme="minorHAnsi" w:hAnsiTheme="minorHAnsi"/>
          <w:color w:val="000000" w:themeColor="text1"/>
        </w:rPr>
        <w:t>=.05</w:t>
      </w:r>
      <w:r>
        <w:rPr>
          <w:rFonts w:asciiTheme="minorHAnsi" w:hAnsiTheme="minorHAnsi"/>
          <w:color w:val="000000" w:themeColor="text1"/>
        </w:rPr>
        <w:t>)</w:t>
      </w:r>
      <w:r>
        <w:rPr>
          <w:rFonts w:asciiTheme="minorHAnsi" w:hAnsiTheme="minorHAnsi"/>
          <w:i/>
        </w:rPr>
        <w:t xml:space="preserve">.  </w:t>
      </w:r>
      <w:r>
        <w:rPr>
          <w:rFonts w:asciiTheme="minorHAnsi" w:hAnsiTheme="minorHAnsi"/>
        </w:rPr>
        <w:t xml:space="preserve">Similar correlations were not seen for positive behaviors or higher exam scores in either group.  </w:t>
      </w:r>
      <w:r w:rsidR="00A37639">
        <w:rPr>
          <w:rFonts w:asciiTheme="minorHAnsi" w:hAnsiTheme="minorHAnsi"/>
        </w:rPr>
        <w:t xml:space="preserve">Items with better than </w:t>
      </w:r>
      <w:r w:rsidR="00A37639">
        <w:rPr>
          <w:rFonts w:asciiTheme="minorHAnsi" w:hAnsiTheme="minorHAnsi"/>
          <w:i/>
        </w:rPr>
        <w:t>p</w:t>
      </w:r>
      <w:r w:rsidR="00A37639">
        <w:rPr>
          <w:rFonts w:asciiTheme="minorHAnsi" w:hAnsiTheme="minorHAnsi"/>
        </w:rPr>
        <w:t>=0.05 are also noted.</w:t>
      </w:r>
      <w:r w:rsidR="00EB3322">
        <w:rPr>
          <w:rFonts w:asciiTheme="minorHAnsi" w:hAnsiTheme="minorHAnsi"/>
        </w:rPr>
        <w:t xml:space="preserve">  </w:t>
      </w:r>
      <w:r w:rsidR="00065272">
        <w:rPr>
          <w:rFonts w:asciiTheme="minorHAnsi" w:hAnsiTheme="minorHAnsi"/>
        </w:rPr>
        <w:t xml:space="preserve">Negative correlation </w:t>
      </w:r>
      <w:r w:rsidR="00065272">
        <w:rPr>
          <w:rFonts w:asciiTheme="minorHAnsi" w:hAnsiTheme="minorHAnsi"/>
          <w:i/>
        </w:rPr>
        <w:t>r-</w:t>
      </w:r>
      <w:r w:rsidR="00065272">
        <w:rPr>
          <w:rFonts w:asciiTheme="minorHAnsi" w:hAnsiTheme="minorHAnsi"/>
        </w:rPr>
        <w:t>values indicated correlation between decreasing exam grades and use of behaviors (</w:t>
      </w:r>
      <w:r w:rsidR="00065272">
        <w:rPr>
          <w:rFonts w:asciiTheme="minorHAnsi" w:hAnsiTheme="minorHAnsi"/>
          <w:i/>
        </w:rPr>
        <w:t>r</w:t>
      </w:r>
      <w:r w:rsidR="00065272">
        <w:rPr>
          <w:rFonts w:asciiTheme="minorHAnsi" w:hAnsiTheme="minorHAnsi"/>
        </w:rPr>
        <w:t>&gt;0.30).  Magnitude of behavioral correlations consistent.</w:t>
      </w:r>
    </w:p>
    <w:p w14:paraId="383ED8CD" w14:textId="6B8F85CC" w:rsidR="00A37639" w:rsidRDefault="00A37639">
      <w:pPr>
        <w:rPr>
          <w:rFonts w:asciiTheme="minorHAnsi" w:hAnsiTheme="minorHAnsi"/>
        </w:rPr>
      </w:pPr>
      <w:r>
        <w:rPr>
          <w:rFonts w:asciiTheme="minorHAnsi" w:hAnsiTheme="minorHAnsi"/>
        </w:rPr>
        <w:br w:type="page"/>
      </w:r>
    </w:p>
    <w:p w14:paraId="7C0CDF7D" w14:textId="77777777" w:rsidR="00312DE5" w:rsidRDefault="00312DE5" w:rsidP="00360639">
      <w:pPr>
        <w:spacing w:before="100" w:beforeAutospacing="1" w:after="100" w:afterAutospacing="1" w:line="480" w:lineRule="auto"/>
        <w:rPr>
          <w:rFonts w:asciiTheme="minorHAnsi" w:hAnsiTheme="minorHAnsi"/>
        </w:rPr>
      </w:pPr>
    </w:p>
    <w:p w14:paraId="51F531A3" w14:textId="292426E1" w:rsidR="00F64868" w:rsidRDefault="00C77520" w:rsidP="00C56311">
      <w:pPr>
        <w:spacing w:line="480" w:lineRule="auto"/>
        <w:rPr>
          <w:rFonts w:asciiTheme="minorHAnsi" w:hAnsiTheme="minorHAnsi"/>
          <w:b/>
        </w:rPr>
      </w:pPr>
      <w:r>
        <w:rPr>
          <w:rFonts w:asciiTheme="minorHAnsi" w:hAnsiTheme="minorHAnsi"/>
          <w:b/>
        </w:rPr>
        <w:t>Problem Discussion</w:t>
      </w:r>
    </w:p>
    <w:p w14:paraId="6AF4547C" w14:textId="77777777" w:rsidR="00C77520" w:rsidRDefault="00C77520" w:rsidP="00C56311">
      <w:pPr>
        <w:spacing w:line="480" w:lineRule="auto"/>
        <w:rPr>
          <w:rFonts w:asciiTheme="minorHAnsi" w:hAnsiTheme="minorHAnsi"/>
          <w:b/>
        </w:rPr>
      </w:pPr>
    </w:p>
    <w:p w14:paraId="3CC09BA1" w14:textId="3A1BA77D" w:rsidR="00C56311" w:rsidRDefault="00C56311" w:rsidP="00C56311">
      <w:pPr>
        <w:spacing w:line="480" w:lineRule="auto"/>
        <w:rPr>
          <w:rFonts w:asciiTheme="minorHAnsi" w:hAnsiTheme="minorHAnsi"/>
          <w:b/>
        </w:rPr>
      </w:pPr>
      <w:r w:rsidRPr="006F660B">
        <w:rPr>
          <w:rFonts w:asciiTheme="minorHAnsi" w:hAnsiTheme="minorHAnsi"/>
          <w:b/>
        </w:rPr>
        <w:t>1. What are the coping mechanisms and support services used by first year PA and Dental students?</w:t>
      </w:r>
    </w:p>
    <w:p w14:paraId="71640E98" w14:textId="4DFF2BCC" w:rsidR="00617A45" w:rsidRDefault="00617A45" w:rsidP="00C56311">
      <w:pPr>
        <w:spacing w:line="480" w:lineRule="auto"/>
        <w:rPr>
          <w:rFonts w:asciiTheme="minorHAnsi" w:hAnsiTheme="minorHAnsi"/>
        </w:rPr>
      </w:pPr>
    </w:p>
    <w:p w14:paraId="51400D92" w14:textId="39243623" w:rsidR="003A5FC9" w:rsidRPr="00617A45" w:rsidRDefault="003A5FC9" w:rsidP="00C56311">
      <w:pPr>
        <w:spacing w:line="480" w:lineRule="auto"/>
        <w:rPr>
          <w:rFonts w:asciiTheme="minorHAnsi" w:hAnsiTheme="minorHAnsi"/>
        </w:rPr>
      </w:pPr>
      <w:r>
        <w:rPr>
          <w:rFonts w:asciiTheme="minorHAnsi" w:hAnsiTheme="minorHAnsi"/>
        </w:rPr>
        <w:t>Analysis of Brief COPE Responses:</w:t>
      </w:r>
    </w:p>
    <w:p w14:paraId="43C78239" w14:textId="1DCC3C6B" w:rsidR="00F94693" w:rsidRDefault="00F94693" w:rsidP="00C56311">
      <w:pPr>
        <w:spacing w:line="480" w:lineRule="auto"/>
        <w:rPr>
          <w:rFonts w:asciiTheme="minorHAnsi" w:hAnsiTheme="minorHAnsi"/>
        </w:rPr>
      </w:pPr>
      <w:r>
        <w:rPr>
          <w:rFonts w:asciiTheme="minorHAnsi" w:hAnsiTheme="minorHAnsi"/>
        </w:rPr>
        <w:t xml:space="preserve">Students in both the </w:t>
      </w:r>
      <w:r w:rsidR="00E36806">
        <w:rPr>
          <w:rFonts w:asciiTheme="minorHAnsi" w:hAnsiTheme="minorHAnsi"/>
        </w:rPr>
        <w:t>control and e</w:t>
      </w:r>
      <w:r w:rsidR="007C64C0">
        <w:rPr>
          <w:rFonts w:asciiTheme="minorHAnsi" w:hAnsiTheme="minorHAnsi"/>
        </w:rPr>
        <w:t>xperimental groups using positive coping strategies as measured by the Brief COPE did not have significant correlations between items or with support service usage.  However, the data did reveal the MCBP</w:t>
      </w:r>
      <w:r w:rsidR="00CA36BE">
        <w:rPr>
          <w:rFonts w:asciiTheme="minorHAnsi" w:hAnsiTheme="minorHAnsi"/>
        </w:rPr>
        <w:t>s</w:t>
      </w:r>
      <w:r w:rsidR="007C64C0">
        <w:rPr>
          <w:rFonts w:asciiTheme="minorHAnsi" w:hAnsiTheme="minorHAnsi"/>
        </w:rPr>
        <w:t xml:space="preserve"> from both groups had decreased coping b</w:t>
      </w:r>
      <w:r w:rsidR="00BE7AC7">
        <w:rPr>
          <w:rFonts w:asciiTheme="minorHAnsi" w:hAnsiTheme="minorHAnsi"/>
        </w:rPr>
        <w:t xml:space="preserve">ehaviors </w:t>
      </w:r>
      <w:r w:rsidR="000A1A22">
        <w:rPr>
          <w:rFonts w:asciiTheme="minorHAnsi" w:hAnsiTheme="minorHAnsi"/>
        </w:rPr>
        <w:t>(Fig. 4)</w:t>
      </w:r>
      <w:r w:rsidR="00BE7AC7">
        <w:rPr>
          <w:rFonts w:asciiTheme="minorHAnsi" w:hAnsiTheme="minorHAnsi"/>
        </w:rPr>
        <w:t xml:space="preserve">.  </w:t>
      </w:r>
      <w:r w:rsidR="007C64C0">
        <w:rPr>
          <w:rFonts w:asciiTheme="minorHAnsi" w:hAnsiTheme="minorHAnsi"/>
        </w:rPr>
        <w:t>Similar patterns of behav</w:t>
      </w:r>
      <w:r w:rsidR="00BE2593">
        <w:rPr>
          <w:rFonts w:asciiTheme="minorHAnsi" w:hAnsiTheme="minorHAnsi"/>
        </w:rPr>
        <w:t>ior were not found with items identifying positive coping behaviors.</w:t>
      </w:r>
    </w:p>
    <w:p w14:paraId="723C2753" w14:textId="77777777" w:rsidR="001D5793" w:rsidRDefault="001D5793" w:rsidP="00143039">
      <w:pPr>
        <w:spacing w:line="480" w:lineRule="auto"/>
        <w:rPr>
          <w:rFonts w:asciiTheme="minorHAnsi" w:hAnsiTheme="minorHAnsi"/>
        </w:rPr>
      </w:pPr>
    </w:p>
    <w:p w14:paraId="696206A6" w14:textId="1079E745" w:rsidR="00143039" w:rsidRPr="00B417BF" w:rsidRDefault="001D5793" w:rsidP="00143039">
      <w:pPr>
        <w:spacing w:line="480" w:lineRule="auto"/>
        <w:rPr>
          <w:rFonts w:asciiTheme="minorHAnsi" w:hAnsiTheme="minorHAnsi"/>
        </w:rPr>
      </w:pPr>
      <w:r>
        <w:rPr>
          <w:rFonts w:asciiTheme="minorHAnsi" w:hAnsiTheme="minorHAnsi"/>
        </w:rPr>
        <w:t xml:space="preserve">In order to </w:t>
      </w:r>
      <w:r w:rsidR="00BE2593">
        <w:rPr>
          <w:rFonts w:asciiTheme="minorHAnsi" w:hAnsiTheme="minorHAnsi"/>
        </w:rPr>
        <w:t>compare the</w:t>
      </w:r>
      <w:r>
        <w:rPr>
          <w:rFonts w:asciiTheme="minorHAnsi" w:hAnsiTheme="minorHAnsi"/>
        </w:rPr>
        <w:t xml:space="preserve"> influence of coping behaviors over the duration of the course, an analysis of v</w:t>
      </w:r>
      <w:r w:rsidR="00143039" w:rsidRPr="00B417BF">
        <w:rPr>
          <w:rFonts w:asciiTheme="minorHAnsi" w:hAnsiTheme="minorHAnsi"/>
        </w:rPr>
        <w:t xml:space="preserve">ariance determined significant differences between </w:t>
      </w:r>
      <w:r>
        <w:rPr>
          <w:rFonts w:asciiTheme="minorHAnsi" w:hAnsiTheme="minorHAnsi"/>
        </w:rPr>
        <w:t xml:space="preserve">individual </w:t>
      </w:r>
      <w:r w:rsidR="00143039" w:rsidRPr="00B417BF">
        <w:rPr>
          <w:rFonts w:asciiTheme="minorHAnsi" w:hAnsiTheme="minorHAnsi"/>
        </w:rPr>
        <w:t xml:space="preserve">Brief COPE items and exam grades. </w:t>
      </w:r>
      <w:r w:rsidR="00143039">
        <w:rPr>
          <w:rFonts w:asciiTheme="minorHAnsi" w:hAnsiTheme="minorHAnsi"/>
        </w:rPr>
        <w:t xml:space="preserve"> This test </w:t>
      </w:r>
      <w:r w:rsidR="00BE2593">
        <w:rPr>
          <w:rFonts w:asciiTheme="minorHAnsi" w:hAnsiTheme="minorHAnsi"/>
        </w:rPr>
        <w:t>was also used</w:t>
      </w:r>
      <w:r w:rsidR="00143039" w:rsidRPr="00B417BF">
        <w:rPr>
          <w:rFonts w:asciiTheme="minorHAnsi" w:hAnsiTheme="minorHAnsi"/>
        </w:rPr>
        <w:t xml:space="preserve"> </w:t>
      </w:r>
      <w:r w:rsidR="00CA13F7">
        <w:rPr>
          <w:rFonts w:asciiTheme="minorHAnsi" w:hAnsiTheme="minorHAnsi"/>
        </w:rPr>
        <w:t xml:space="preserve">to </w:t>
      </w:r>
      <w:r w:rsidR="00143039" w:rsidRPr="00B417BF">
        <w:rPr>
          <w:rFonts w:asciiTheme="minorHAnsi" w:hAnsiTheme="minorHAnsi"/>
        </w:rPr>
        <w:t>determine difference</w:t>
      </w:r>
      <w:r w:rsidR="00CA13F7">
        <w:rPr>
          <w:rFonts w:asciiTheme="minorHAnsi" w:hAnsiTheme="minorHAnsi"/>
        </w:rPr>
        <w:t>s</w:t>
      </w:r>
      <w:r w:rsidR="00143039" w:rsidRPr="00B417BF">
        <w:rPr>
          <w:rFonts w:asciiTheme="minorHAnsi" w:hAnsiTheme="minorHAnsi"/>
        </w:rPr>
        <w:t xml:space="preserve"> between </w:t>
      </w:r>
      <w:r w:rsidR="00E36806">
        <w:rPr>
          <w:rFonts w:asciiTheme="minorHAnsi" w:hAnsiTheme="minorHAnsi"/>
        </w:rPr>
        <w:t>c</w:t>
      </w:r>
      <w:r>
        <w:rPr>
          <w:rFonts w:asciiTheme="minorHAnsi" w:hAnsiTheme="minorHAnsi"/>
        </w:rPr>
        <w:t xml:space="preserve">ontrol </w:t>
      </w:r>
      <w:r w:rsidR="00143039" w:rsidRPr="00B417BF">
        <w:rPr>
          <w:rFonts w:asciiTheme="minorHAnsi" w:hAnsiTheme="minorHAnsi"/>
        </w:rPr>
        <w:t xml:space="preserve">and </w:t>
      </w:r>
      <w:r w:rsidR="00E36806">
        <w:rPr>
          <w:rFonts w:asciiTheme="minorHAnsi" w:hAnsiTheme="minorHAnsi"/>
        </w:rPr>
        <w:t>e</w:t>
      </w:r>
      <w:r>
        <w:rPr>
          <w:rFonts w:asciiTheme="minorHAnsi" w:hAnsiTheme="minorHAnsi"/>
        </w:rPr>
        <w:t>xperimental</w:t>
      </w:r>
      <w:r w:rsidR="00143039" w:rsidRPr="00B417BF">
        <w:rPr>
          <w:rFonts w:asciiTheme="minorHAnsi" w:hAnsiTheme="minorHAnsi"/>
        </w:rPr>
        <w:t xml:space="preserve"> groups. </w:t>
      </w:r>
      <w:r>
        <w:rPr>
          <w:rFonts w:asciiTheme="minorHAnsi" w:hAnsiTheme="minorHAnsi"/>
        </w:rPr>
        <w:t xml:space="preserve"> A m</w:t>
      </w:r>
      <w:r w:rsidR="00143039" w:rsidRPr="00B417BF">
        <w:rPr>
          <w:rFonts w:asciiTheme="minorHAnsi" w:hAnsiTheme="minorHAnsi"/>
        </w:rPr>
        <w:t>ixed ANOVA</w:t>
      </w:r>
      <w:r>
        <w:rPr>
          <w:rFonts w:asciiTheme="minorHAnsi" w:hAnsiTheme="minorHAnsi"/>
        </w:rPr>
        <w:t>/repeated m</w:t>
      </w:r>
      <w:r w:rsidR="00143039" w:rsidRPr="00B417BF">
        <w:rPr>
          <w:rFonts w:asciiTheme="minorHAnsi" w:hAnsiTheme="minorHAnsi"/>
        </w:rPr>
        <w:t xml:space="preserve">easures </w:t>
      </w:r>
      <w:r w:rsidR="00A37639">
        <w:rPr>
          <w:rFonts w:asciiTheme="minorHAnsi" w:hAnsiTheme="minorHAnsi"/>
        </w:rPr>
        <w:t>procedure</w:t>
      </w:r>
      <w:r w:rsidR="00143039" w:rsidRPr="00B417BF">
        <w:rPr>
          <w:rFonts w:asciiTheme="minorHAnsi" w:hAnsiTheme="minorHAnsi"/>
        </w:rPr>
        <w:t xml:space="preserve"> was performed </w:t>
      </w:r>
      <w:r>
        <w:rPr>
          <w:rFonts w:asciiTheme="minorHAnsi" w:hAnsiTheme="minorHAnsi"/>
        </w:rPr>
        <w:t>for within-subjects/</w:t>
      </w:r>
      <w:r w:rsidR="00143039" w:rsidRPr="00B417BF">
        <w:rPr>
          <w:rFonts w:asciiTheme="minorHAnsi" w:hAnsiTheme="minorHAnsi"/>
        </w:rPr>
        <w:t xml:space="preserve"> exam score over time</w:t>
      </w:r>
      <w:r>
        <w:rPr>
          <w:rFonts w:asciiTheme="minorHAnsi" w:hAnsiTheme="minorHAnsi"/>
        </w:rPr>
        <w:t xml:space="preserve"> and a </w:t>
      </w:r>
      <w:r w:rsidR="00143039" w:rsidRPr="00B417BF">
        <w:rPr>
          <w:rFonts w:asciiTheme="minorHAnsi" w:hAnsiTheme="minorHAnsi"/>
        </w:rPr>
        <w:t>factor and a between subject factor (group/treatment/year).</w:t>
      </w:r>
    </w:p>
    <w:p w14:paraId="70A5FE8B" w14:textId="77777777" w:rsidR="00143039" w:rsidRPr="00B417BF" w:rsidRDefault="00143039" w:rsidP="00143039">
      <w:pPr>
        <w:spacing w:line="480" w:lineRule="auto"/>
        <w:rPr>
          <w:rFonts w:asciiTheme="minorHAnsi" w:hAnsiTheme="minorHAnsi"/>
          <w:color w:val="000000"/>
        </w:rPr>
      </w:pPr>
    </w:p>
    <w:p w14:paraId="08F991FB" w14:textId="1942D184" w:rsidR="00143039" w:rsidRPr="00F94693" w:rsidRDefault="00143039" w:rsidP="00C56311">
      <w:pPr>
        <w:spacing w:line="480" w:lineRule="auto"/>
        <w:rPr>
          <w:rFonts w:asciiTheme="minorHAnsi" w:hAnsiTheme="minorHAnsi"/>
        </w:rPr>
      </w:pPr>
      <w:r w:rsidRPr="00B417BF">
        <w:rPr>
          <w:rFonts w:asciiTheme="minorHAnsi" w:hAnsiTheme="minorHAnsi"/>
        </w:rPr>
        <w:lastRenderedPageBreak/>
        <w:t xml:space="preserve">However, the interaction between the groups and exam scores over time was not significant: F (2, 56) = 0.118, </w:t>
      </w:r>
      <w:r w:rsidRPr="007B028C">
        <w:rPr>
          <w:rFonts w:asciiTheme="minorHAnsi" w:hAnsiTheme="minorHAnsi"/>
          <w:i/>
        </w:rPr>
        <w:t>p</w:t>
      </w:r>
      <w:r w:rsidRPr="00B417BF">
        <w:rPr>
          <w:rFonts w:asciiTheme="minorHAnsi" w:hAnsiTheme="minorHAnsi"/>
        </w:rPr>
        <w:t xml:space="preserve"> = 0.889.  The exam scores did not vary as a function of the </w:t>
      </w:r>
      <w:r w:rsidR="007B028C">
        <w:rPr>
          <w:rFonts w:asciiTheme="minorHAnsi" w:hAnsiTheme="minorHAnsi"/>
        </w:rPr>
        <w:t>intervention</w:t>
      </w:r>
      <w:r w:rsidRPr="00B417BF">
        <w:rPr>
          <w:rFonts w:asciiTheme="minorHAnsi" w:hAnsiTheme="minorHAnsi"/>
        </w:rPr>
        <w:t xml:space="preserve">. </w:t>
      </w:r>
      <w:r w:rsidR="00CA13F7">
        <w:rPr>
          <w:rFonts w:asciiTheme="minorHAnsi" w:hAnsiTheme="minorHAnsi"/>
        </w:rPr>
        <w:t xml:space="preserve"> </w:t>
      </w:r>
      <w:r w:rsidRPr="00B417BF">
        <w:rPr>
          <w:rFonts w:asciiTheme="minorHAnsi" w:hAnsiTheme="minorHAnsi"/>
        </w:rPr>
        <w:t xml:space="preserve">The exam score </w:t>
      </w:r>
      <w:r w:rsidR="001D5793">
        <w:rPr>
          <w:rFonts w:asciiTheme="minorHAnsi" w:hAnsiTheme="minorHAnsi"/>
        </w:rPr>
        <w:t>pattern was consistent for both groups</w:t>
      </w:r>
      <w:r w:rsidR="00CA13F7">
        <w:rPr>
          <w:rFonts w:asciiTheme="minorHAnsi" w:hAnsiTheme="minorHAnsi"/>
        </w:rPr>
        <w:t xml:space="preserve">. </w:t>
      </w:r>
      <w:r w:rsidRPr="00B417BF">
        <w:rPr>
          <w:rFonts w:asciiTheme="minorHAnsi" w:hAnsiTheme="minorHAnsi"/>
        </w:rPr>
        <w:t xml:space="preserve"> Both groups had a similar increase in exam score over the duration of the course</w:t>
      </w:r>
      <w:r w:rsidR="001D5793">
        <w:rPr>
          <w:rFonts w:asciiTheme="minorHAnsi" w:hAnsiTheme="minorHAnsi"/>
        </w:rPr>
        <w:t xml:space="preserve"> regardless of Brief COPE responses</w:t>
      </w:r>
      <w:r w:rsidRPr="00B417BF">
        <w:rPr>
          <w:rFonts w:asciiTheme="minorHAnsi" w:hAnsiTheme="minorHAnsi"/>
        </w:rPr>
        <w:t xml:space="preserve">.  </w:t>
      </w:r>
      <w:r w:rsidR="004C4B9F">
        <w:rPr>
          <w:rFonts w:asciiTheme="minorHAnsi" w:hAnsiTheme="minorHAnsi"/>
        </w:rPr>
        <w:t>The use of email to increase student support use and improve coping behaviors was ineffective.</w:t>
      </w:r>
    </w:p>
    <w:p w14:paraId="224E1848" w14:textId="56244541" w:rsidR="007C64C0" w:rsidRDefault="007C64C0" w:rsidP="00886CAF">
      <w:pPr>
        <w:spacing w:line="480" w:lineRule="auto"/>
        <w:rPr>
          <w:rFonts w:asciiTheme="minorHAnsi" w:hAnsiTheme="minorHAnsi"/>
          <w:b/>
        </w:rPr>
      </w:pPr>
    </w:p>
    <w:p w14:paraId="390FDB6F" w14:textId="77C8A0B6" w:rsidR="00256B36" w:rsidRDefault="003A5FC9" w:rsidP="003A5FC9">
      <w:pPr>
        <w:spacing w:line="480" w:lineRule="auto"/>
        <w:rPr>
          <w:rFonts w:asciiTheme="minorHAnsi" w:hAnsiTheme="minorHAnsi"/>
        </w:rPr>
      </w:pPr>
      <w:r w:rsidRPr="00B417BF">
        <w:rPr>
          <w:rFonts w:asciiTheme="minorHAnsi" w:hAnsiTheme="minorHAnsi"/>
        </w:rPr>
        <w:t xml:space="preserve">The majority of students utilized support from family, peers, and upperclassmen.  Both groups had low percentages of students utilizing formal on-campus services such as student services, student health clinic, and counseling.  Both quantitative and qualitative data reflected </w:t>
      </w:r>
      <w:r w:rsidR="004C4B9F">
        <w:rPr>
          <w:rFonts w:asciiTheme="minorHAnsi" w:hAnsiTheme="minorHAnsi"/>
        </w:rPr>
        <w:t>low usage</w:t>
      </w:r>
      <w:r w:rsidR="00256B36">
        <w:rPr>
          <w:rFonts w:asciiTheme="minorHAnsi" w:hAnsiTheme="minorHAnsi"/>
        </w:rPr>
        <w:t>.</w:t>
      </w:r>
    </w:p>
    <w:p w14:paraId="4881AB4D" w14:textId="77777777" w:rsidR="003A5FC9" w:rsidRDefault="003A5FC9" w:rsidP="00886CAF">
      <w:pPr>
        <w:spacing w:line="480" w:lineRule="auto"/>
        <w:rPr>
          <w:rFonts w:asciiTheme="minorHAnsi" w:hAnsiTheme="minorHAnsi"/>
          <w:b/>
        </w:rPr>
      </w:pPr>
    </w:p>
    <w:p w14:paraId="7160ABEA" w14:textId="3C63A7AC" w:rsidR="003A5FC9" w:rsidRPr="007C64C0" w:rsidRDefault="00886CAF" w:rsidP="00886CAF">
      <w:pPr>
        <w:spacing w:line="480" w:lineRule="auto"/>
        <w:rPr>
          <w:rFonts w:asciiTheme="minorHAnsi" w:hAnsiTheme="minorHAnsi"/>
        </w:rPr>
      </w:pPr>
      <w:r w:rsidRPr="007C64C0">
        <w:rPr>
          <w:rFonts w:asciiTheme="minorHAnsi" w:hAnsiTheme="minorHAnsi"/>
        </w:rPr>
        <w:t>Frequency Data of Support Service Usage:</w:t>
      </w:r>
    </w:p>
    <w:p w14:paraId="3706C3AD" w14:textId="5C94702E" w:rsidR="00886CAF" w:rsidRPr="00B417BF" w:rsidRDefault="00886CAF" w:rsidP="00886CAF">
      <w:pPr>
        <w:spacing w:line="480" w:lineRule="auto"/>
        <w:rPr>
          <w:rFonts w:asciiTheme="minorHAnsi" w:hAnsiTheme="minorHAnsi"/>
        </w:rPr>
      </w:pPr>
      <w:r w:rsidRPr="00B417BF">
        <w:rPr>
          <w:rFonts w:asciiTheme="minorHAnsi" w:hAnsiTheme="minorHAnsi"/>
        </w:rPr>
        <w:t xml:space="preserve">Students reported what supports they used at each survey point.  The raw numbers and percentages are listed in </w:t>
      </w:r>
      <w:r w:rsidR="00C77520">
        <w:rPr>
          <w:rFonts w:asciiTheme="minorHAnsi" w:hAnsiTheme="minorHAnsi"/>
        </w:rPr>
        <w:t>(</w:t>
      </w:r>
      <w:r w:rsidR="005A156E">
        <w:rPr>
          <w:rFonts w:asciiTheme="minorHAnsi" w:hAnsiTheme="minorHAnsi"/>
        </w:rPr>
        <w:t>App A. Fig. 6-13, pp 85-92</w:t>
      </w:r>
      <w:r w:rsidR="00F10874" w:rsidRPr="00C77520">
        <w:rPr>
          <w:rFonts w:asciiTheme="minorHAnsi" w:hAnsiTheme="minorHAnsi"/>
        </w:rPr>
        <w:t>)</w:t>
      </w:r>
      <w:r w:rsidRPr="00C77520">
        <w:rPr>
          <w:rFonts w:asciiTheme="minorHAnsi" w:hAnsiTheme="minorHAnsi"/>
        </w:rPr>
        <w:t xml:space="preserve">.  </w:t>
      </w:r>
      <w:r w:rsidRPr="00B417BF">
        <w:rPr>
          <w:rFonts w:asciiTheme="minorHAnsi" w:hAnsiTheme="minorHAnsi"/>
        </w:rPr>
        <w:t>Participants were allowed to select multiple items to accurately reflect their behaviors.</w:t>
      </w:r>
    </w:p>
    <w:p w14:paraId="198DA40F" w14:textId="77777777" w:rsidR="00886CAF" w:rsidRPr="00B417BF" w:rsidRDefault="00886CAF" w:rsidP="00886CAF">
      <w:pPr>
        <w:spacing w:line="480" w:lineRule="auto"/>
        <w:rPr>
          <w:rFonts w:asciiTheme="minorHAnsi" w:hAnsiTheme="minorHAnsi"/>
        </w:rPr>
      </w:pPr>
    </w:p>
    <w:p w14:paraId="69DB8F9D" w14:textId="0AC15DD6" w:rsidR="00886CAF" w:rsidRPr="00B417BF" w:rsidRDefault="001045E3" w:rsidP="00886CAF">
      <w:pPr>
        <w:spacing w:line="480" w:lineRule="auto"/>
        <w:rPr>
          <w:rFonts w:asciiTheme="minorHAnsi" w:hAnsiTheme="minorHAnsi"/>
        </w:rPr>
      </w:pPr>
      <w:r>
        <w:rPr>
          <w:rFonts w:asciiTheme="minorHAnsi" w:hAnsiTheme="minorHAnsi"/>
        </w:rPr>
        <w:t>Over the span of the entire Clinical Anatomy course, s</w:t>
      </w:r>
      <w:r w:rsidR="00886CAF" w:rsidRPr="00B417BF">
        <w:rPr>
          <w:rFonts w:asciiTheme="minorHAnsi" w:hAnsiTheme="minorHAnsi"/>
        </w:rPr>
        <w:t xml:space="preserve">tudents in </w:t>
      </w:r>
      <w:r w:rsidR="00886CAF">
        <w:rPr>
          <w:rFonts w:asciiTheme="minorHAnsi" w:hAnsiTheme="minorHAnsi"/>
        </w:rPr>
        <w:t>the control group</w:t>
      </w:r>
      <w:r w:rsidR="00886CAF" w:rsidRPr="00B417BF">
        <w:rPr>
          <w:rFonts w:asciiTheme="minorHAnsi" w:hAnsiTheme="minorHAnsi"/>
        </w:rPr>
        <w:t xml:space="preserve"> used p</w:t>
      </w:r>
      <w:r w:rsidR="001D5793">
        <w:rPr>
          <w:rFonts w:asciiTheme="minorHAnsi" w:hAnsiTheme="minorHAnsi"/>
        </w:rPr>
        <w:t>rimarily peer support (</w:t>
      </w:r>
      <w:r>
        <w:rPr>
          <w:rFonts w:asciiTheme="minorHAnsi" w:hAnsiTheme="minorHAnsi"/>
        </w:rPr>
        <w:t>58</w:t>
      </w:r>
      <w:r w:rsidR="001D5793">
        <w:rPr>
          <w:rFonts w:asciiTheme="minorHAnsi" w:hAnsiTheme="minorHAnsi"/>
        </w:rPr>
        <w:t>%), a</w:t>
      </w:r>
      <w:r w:rsidR="00DE6276">
        <w:rPr>
          <w:rFonts w:asciiTheme="minorHAnsi" w:hAnsiTheme="minorHAnsi"/>
        </w:rPr>
        <w:t>dvic</w:t>
      </w:r>
      <w:r>
        <w:rPr>
          <w:rFonts w:asciiTheme="minorHAnsi" w:hAnsiTheme="minorHAnsi"/>
        </w:rPr>
        <w:t>e from upperclassmen (51%), and family support (56</w:t>
      </w:r>
      <w:r w:rsidR="00886CAF" w:rsidRPr="00B417BF">
        <w:rPr>
          <w:rFonts w:asciiTheme="minorHAnsi" w:hAnsiTheme="minorHAnsi"/>
        </w:rPr>
        <w:t xml:space="preserve">%).    </w:t>
      </w:r>
      <w:r>
        <w:rPr>
          <w:rFonts w:asciiTheme="minorHAnsi" w:hAnsiTheme="minorHAnsi"/>
        </w:rPr>
        <w:t>Students reporting no support service use was 15%.  The</w:t>
      </w:r>
      <w:r w:rsidR="00886CAF" w:rsidRPr="00B417BF">
        <w:rPr>
          <w:rFonts w:asciiTheme="minorHAnsi" w:hAnsiTheme="minorHAnsi"/>
        </w:rPr>
        <w:t xml:space="preserve"> overall percentage of tutor</w:t>
      </w:r>
      <w:r w:rsidR="00A51954">
        <w:rPr>
          <w:rFonts w:asciiTheme="minorHAnsi" w:hAnsiTheme="minorHAnsi"/>
        </w:rPr>
        <w:t xml:space="preserve"> usage</w:t>
      </w:r>
      <w:r w:rsidR="00886CAF" w:rsidRPr="00B417BF">
        <w:rPr>
          <w:rFonts w:asciiTheme="minorHAnsi" w:hAnsiTheme="minorHAnsi"/>
        </w:rPr>
        <w:t xml:space="preserve"> was </w:t>
      </w:r>
      <w:r>
        <w:rPr>
          <w:rFonts w:asciiTheme="minorHAnsi" w:hAnsiTheme="minorHAnsi"/>
        </w:rPr>
        <w:t>31</w:t>
      </w:r>
      <w:r w:rsidR="00886CAF" w:rsidRPr="00B417BF">
        <w:rPr>
          <w:rFonts w:asciiTheme="minorHAnsi" w:hAnsiTheme="minorHAnsi"/>
        </w:rPr>
        <w:t xml:space="preserve">%.  </w:t>
      </w:r>
    </w:p>
    <w:p w14:paraId="272174C5" w14:textId="77777777" w:rsidR="00886CAF" w:rsidRPr="00B417BF" w:rsidRDefault="00886CAF" w:rsidP="00886CAF">
      <w:pPr>
        <w:spacing w:line="480" w:lineRule="auto"/>
        <w:rPr>
          <w:rFonts w:asciiTheme="minorHAnsi" w:hAnsiTheme="minorHAnsi"/>
        </w:rPr>
      </w:pPr>
    </w:p>
    <w:p w14:paraId="38CB5DC0" w14:textId="3333E0FB" w:rsidR="00886CAF" w:rsidRDefault="00886CAF" w:rsidP="00886CAF">
      <w:pPr>
        <w:spacing w:line="480" w:lineRule="auto"/>
        <w:rPr>
          <w:rFonts w:asciiTheme="minorHAnsi" w:hAnsiTheme="minorHAnsi"/>
        </w:rPr>
      </w:pPr>
      <w:r w:rsidRPr="00B417BF">
        <w:rPr>
          <w:rFonts w:asciiTheme="minorHAnsi" w:hAnsiTheme="minorHAnsi"/>
        </w:rPr>
        <w:lastRenderedPageBreak/>
        <w:t xml:space="preserve">Students in </w:t>
      </w:r>
      <w:r>
        <w:rPr>
          <w:rFonts w:asciiTheme="minorHAnsi" w:hAnsiTheme="minorHAnsi"/>
        </w:rPr>
        <w:t xml:space="preserve">the experimental group </w:t>
      </w:r>
      <w:r w:rsidRPr="00B417BF">
        <w:rPr>
          <w:rFonts w:asciiTheme="minorHAnsi" w:hAnsiTheme="minorHAnsi"/>
        </w:rPr>
        <w:t>used primarily peer suppor</w:t>
      </w:r>
      <w:r w:rsidR="001045E3">
        <w:rPr>
          <w:rFonts w:asciiTheme="minorHAnsi" w:hAnsiTheme="minorHAnsi"/>
        </w:rPr>
        <w:t>t (58</w:t>
      </w:r>
      <w:r w:rsidRPr="00B417BF">
        <w:rPr>
          <w:rFonts w:asciiTheme="minorHAnsi" w:hAnsiTheme="minorHAnsi"/>
        </w:rPr>
        <w:t>%</w:t>
      </w:r>
      <w:r w:rsidR="001D5793">
        <w:rPr>
          <w:rFonts w:asciiTheme="minorHAnsi" w:hAnsiTheme="minorHAnsi"/>
        </w:rPr>
        <w:t>), a</w:t>
      </w:r>
      <w:r w:rsidR="00DE6276">
        <w:rPr>
          <w:rFonts w:asciiTheme="minorHAnsi" w:hAnsiTheme="minorHAnsi"/>
        </w:rPr>
        <w:t>dvic</w:t>
      </w:r>
      <w:r w:rsidR="001045E3">
        <w:rPr>
          <w:rFonts w:asciiTheme="minorHAnsi" w:hAnsiTheme="minorHAnsi"/>
        </w:rPr>
        <w:t>e from upperclassmen (53%), and family support (57</w:t>
      </w:r>
      <w:r w:rsidRPr="00B417BF">
        <w:rPr>
          <w:rFonts w:asciiTheme="minorHAnsi" w:hAnsiTheme="minorHAnsi"/>
        </w:rPr>
        <w:t xml:space="preserve">%).  Overall students reporting </w:t>
      </w:r>
      <w:r w:rsidR="001045E3">
        <w:rPr>
          <w:rFonts w:asciiTheme="minorHAnsi" w:hAnsiTheme="minorHAnsi"/>
        </w:rPr>
        <w:t>no support service use was 13</w:t>
      </w:r>
      <w:r w:rsidRPr="00B417BF">
        <w:rPr>
          <w:rFonts w:asciiTheme="minorHAnsi" w:hAnsiTheme="minorHAnsi"/>
        </w:rPr>
        <w:t>%</w:t>
      </w:r>
      <w:r w:rsidR="003A5FC9">
        <w:rPr>
          <w:rFonts w:asciiTheme="minorHAnsi" w:hAnsiTheme="minorHAnsi"/>
        </w:rPr>
        <w:t>. This was simila</w:t>
      </w:r>
      <w:r w:rsidR="008D4BD6">
        <w:rPr>
          <w:rFonts w:asciiTheme="minorHAnsi" w:hAnsiTheme="minorHAnsi"/>
        </w:rPr>
        <w:t>r to</w:t>
      </w:r>
      <w:r w:rsidR="001045E3">
        <w:rPr>
          <w:rFonts w:asciiTheme="minorHAnsi" w:hAnsiTheme="minorHAnsi"/>
        </w:rPr>
        <w:t xml:space="preserve"> the control group of 15</w:t>
      </w:r>
      <w:r w:rsidR="003A5FC9">
        <w:rPr>
          <w:rFonts w:asciiTheme="minorHAnsi" w:hAnsiTheme="minorHAnsi"/>
        </w:rPr>
        <w:t xml:space="preserve">%. </w:t>
      </w:r>
      <w:r w:rsidRPr="00B417BF">
        <w:rPr>
          <w:rFonts w:asciiTheme="minorHAnsi" w:hAnsiTheme="minorHAnsi"/>
        </w:rPr>
        <w:t xml:space="preserve"> </w:t>
      </w:r>
      <w:r w:rsidR="001045E3">
        <w:rPr>
          <w:rFonts w:asciiTheme="minorHAnsi" w:hAnsiTheme="minorHAnsi"/>
        </w:rPr>
        <w:t>Overall percentage of tutor</w:t>
      </w:r>
      <w:r w:rsidR="00A51954">
        <w:rPr>
          <w:rFonts w:asciiTheme="minorHAnsi" w:hAnsiTheme="minorHAnsi"/>
        </w:rPr>
        <w:t xml:space="preserve"> usage</w:t>
      </w:r>
      <w:r w:rsidR="001045E3">
        <w:rPr>
          <w:rFonts w:asciiTheme="minorHAnsi" w:hAnsiTheme="minorHAnsi"/>
        </w:rPr>
        <w:t xml:space="preserve"> was 44</w:t>
      </w:r>
      <w:r w:rsidRPr="00B417BF">
        <w:rPr>
          <w:rFonts w:asciiTheme="minorHAnsi" w:hAnsiTheme="minorHAnsi"/>
        </w:rPr>
        <w:t xml:space="preserve">%.  </w:t>
      </w:r>
    </w:p>
    <w:p w14:paraId="5E9D254A" w14:textId="77777777" w:rsidR="00070AA7" w:rsidRPr="00B417BF" w:rsidRDefault="00070AA7" w:rsidP="00886CAF">
      <w:pPr>
        <w:spacing w:line="480" w:lineRule="auto"/>
        <w:rPr>
          <w:rFonts w:asciiTheme="minorHAnsi" w:hAnsiTheme="minorHAnsi"/>
        </w:rPr>
      </w:pPr>
    </w:p>
    <w:p w14:paraId="6CD867FD" w14:textId="000EB4E0" w:rsidR="00886CAF" w:rsidRPr="00B417BF" w:rsidRDefault="00886CAF" w:rsidP="00886CAF">
      <w:pPr>
        <w:spacing w:line="480" w:lineRule="auto"/>
        <w:rPr>
          <w:rFonts w:asciiTheme="minorHAnsi" w:hAnsiTheme="minorHAnsi"/>
        </w:rPr>
      </w:pPr>
      <w:r>
        <w:rPr>
          <w:rFonts w:asciiTheme="minorHAnsi" w:hAnsiTheme="minorHAnsi"/>
        </w:rPr>
        <w:t>Both groups</w:t>
      </w:r>
      <w:r w:rsidRPr="00B417BF">
        <w:rPr>
          <w:rFonts w:asciiTheme="minorHAnsi" w:hAnsiTheme="minorHAnsi"/>
        </w:rPr>
        <w:t xml:space="preserve"> reported </w:t>
      </w:r>
      <w:r w:rsidR="001045E3">
        <w:rPr>
          <w:rFonts w:asciiTheme="minorHAnsi" w:hAnsiTheme="minorHAnsi"/>
        </w:rPr>
        <w:t>4%</w:t>
      </w:r>
      <w:r w:rsidRPr="00B417BF">
        <w:rPr>
          <w:rFonts w:asciiTheme="minorHAnsi" w:hAnsiTheme="minorHAnsi"/>
        </w:rPr>
        <w:t xml:space="preserve"> use for pastoral </w:t>
      </w:r>
      <w:r w:rsidR="001045E3">
        <w:rPr>
          <w:rFonts w:asciiTheme="minorHAnsi" w:hAnsiTheme="minorHAnsi"/>
        </w:rPr>
        <w:t>servic</w:t>
      </w:r>
      <w:r w:rsidR="00F72319">
        <w:rPr>
          <w:rFonts w:asciiTheme="minorHAnsi" w:hAnsiTheme="minorHAnsi"/>
        </w:rPr>
        <w:t>es and professional counseling.   S</w:t>
      </w:r>
      <w:r w:rsidRPr="00B417BF">
        <w:rPr>
          <w:rFonts w:asciiTheme="minorHAnsi" w:hAnsiTheme="minorHAnsi"/>
        </w:rPr>
        <w:t>tudent health clinic use</w:t>
      </w:r>
      <w:r w:rsidR="001045E3">
        <w:rPr>
          <w:rFonts w:asciiTheme="minorHAnsi" w:hAnsiTheme="minorHAnsi"/>
        </w:rPr>
        <w:t xml:space="preserve"> </w:t>
      </w:r>
      <w:r w:rsidR="00F72319">
        <w:rPr>
          <w:rFonts w:asciiTheme="minorHAnsi" w:hAnsiTheme="minorHAnsi"/>
        </w:rPr>
        <w:t xml:space="preserve">was similar between groups </w:t>
      </w:r>
      <w:r w:rsidR="001045E3">
        <w:rPr>
          <w:rFonts w:asciiTheme="minorHAnsi" w:hAnsiTheme="minorHAnsi"/>
        </w:rPr>
        <w:t xml:space="preserve">(13% </w:t>
      </w:r>
      <w:r w:rsidR="00A51954">
        <w:rPr>
          <w:rFonts w:asciiTheme="minorHAnsi" w:hAnsiTheme="minorHAnsi"/>
        </w:rPr>
        <w:t>versus</w:t>
      </w:r>
      <w:r w:rsidR="001045E3">
        <w:rPr>
          <w:rFonts w:asciiTheme="minorHAnsi" w:hAnsiTheme="minorHAnsi"/>
        </w:rPr>
        <w:t xml:space="preserve"> 12</w:t>
      </w:r>
      <w:r w:rsidR="00F72319">
        <w:rPr>
          <w:rFonts w:asciiTheme="minorHAnsi" w:hAnsiTheme="minorHAnsi"/>
        </w:rPr>
        <w:t>%)</w:t>
      </w:r>
      <w:r w:rsidRPr="00B417BF">
        <w:rPr>
          <w:rFonts w:asciiTheme="minorHAnsi" w:hAnsiTheme="minorHAnsi"/>
        </w:rPr>
        <w:t>.</w:t>
      </w:r>
      <w:r w:rsidR="003A5FC9">
        <w:rPr>
          <w:rFonts w:asciiTheme="minorHAnsi" w:hAnsiTheme="minorHAnsi"/>
        </w:rPr>
        <w:t xml:space="preserve"> </w:t>
      </w:r>
      <w:r w:rsidRPr="00B417BF">
        <w:rPr>
          <w:rFonts w:asciiTheme="minorHAnsi" w:hAnsiTheme="minorHAnsi"/>
        </w:rPr>
        <w:t xml:space="preserve">  </w:t>
      </w:r>
    </w:p>
    <w:p w14:paraId="793069EB" w14:textId="6EA3F74B" w:rsidR="000B7185" w:rsidRDefault="000B7185" w:rsidP="00C56311">
      <w:pPr>
        <w:spacing w:line="480" w:lineRule="auto"/>
        <w:rPr>
          <w:rFonts w:asciiTheme="minorHAnsi" w:hAnsiTheme="minorHAnsi"/>
        </w:rPr>
      </w:pPr>
    </w:p>
    <w:p w14:paraId="7BD31AD6" w14:textId="62A3C020" w:rsidR="007C64C0" w:rsidRDefault="007C64C0" w:rsidP="00C56311">
      <w:pPr>
        <w:spacing w:line="480" w:lineRule="auto"/>
        <w:rPr>
          <w:rFonts w:asciiTheme="minorHAnsi" w:hAnsiTheme="minorHAnsi"/>
        </w:rPr>
      </w:pPr>
      <w:r>
        <w:rPr>
          <w:rFonts w:asciiTheme="minorHAnsi" w:hAnsiTheme="minorHAnsi"/>
        </w:rPr>
        <w:t>Qualitative Data:</w:t>
      </w:r>
    </w:p>
    <w:p w14:paraId="7AC8F9D9" w14:textId="380B4E1D" w:rsidR="006F660B" w:rsidRPr="00B417BF" w:rsidRDefault="006F660B" w:rsidP="006F660B">
      <w:pPr>
        <w:spacing w:line="480" w:lineRule="auto"/>
        <w:rPr>
          <w:rFonts w:asciiTheme="minorHAnsi" w:hAnsiTheme="minorHAnsi"/>
        </w:rPr>
      </w:pPr>
      <w:r w:rsidRPr="00B417BF">
        <w:rPr>
          <w:rFonts w:asciiTheme="minorHAnsi" w:hAnsiTheme="minorHAnsi"/>
        </w:rPr>
        <w:t>Themes of support from family and friends were prominent</w:t>
      </w:r>
      <w:r w:rsidR="00572721">
        <w:rPr>
          <w:rFonts w:asciiTheme="minorHAnsi" w:hAnsiTheme="minorHAnsi"/>
        </w:rPr>
        <w:t xml:space="preserve"> (</w:t>
      </w:r>
      <w:r w:rsidR="003F1045">
        <w:rPr>
          <w:rFonts w:asciiTheme="minorHAnsi" w:hAnsiTheme="minorHAnsi"/>
        </w:rPr>
        <w:t>App A. Fig. 14</w:t>
      </w:r>
      <w:r w:rsidR="001B4828">
        <w:rPr>
          <w:rFonts w:asciiTheme="minorHAnsi" w:hAnsiTheme="minorHAnsi"/>
        </w:rPr>
        <w:t xml:space="preserve">, </w:t>
      </w:r>
      <w:r w:rsidR="005A156E">
        <w:rPr>
          <w:rFonts w:asciiTheme="minorHAnsi" w:hAnsiTheme="minorHAnsi"/>
        </w:rPr>
        <w:t>pp 93</w:t>
      </w:r>
      <w:r w:rsidR="00EE6AD9">
        <w:rPr>
          <w:rFonts w:asciiTheme="minorHAnsi" w:hAnsiTheme="minorHAnsi"/>
        </w:rPr>
        <w:t>)</w:t>
      </w:r>
      <w:r w:rsidRPr="00EE6AD9">
        <w:rPr>
          <w:rFonts w:asciiTheme="minorHAnsi" w:hAnsiTheme="minorHAnsi"/>
        </w:rPr>
        <w:t>.</w:t>
      </w:r>
      <w:r w:rsidRPr="00B417BF">
        <w:rPr>
          <w:rFonts w:asciiTheme="minorHAnsi" w:hAnsiTheme="minorHAnsi"/>
        </w:rPr>
        <w:t xml:space="preserve">  These support networks were utilized as both emotional and physical supports.  Families and friends provided “someone to talk to,” the ability to “verbalize things,” as well as assistance with household work and family duties.  Peer</w:t>
      </w:r>
      <w:r w:rsidR="00A51954">
        <w:rPr>
          <w:rFonts w:asciiTheme="minorHAnsi" w:hAnsiTheme="minorHAnsi"/>
        </w:rPr>
        <w:t>s</w:t>
      </w:r>
      <w:r w:rsidRPr="00B417BF">
        <w:rPr>
          <w:rFonts w:asciiTheme="minorHAnsi" w:hAnsiTheme="minorHAnsi"/>
        </w:rPr>
        <w:t xml:space="preserve"> and friends within the class reported commiseration of the situation and positive support.  As Human Anatomy was the first course of the program, all students were new to the learning environment and only six weeks long versus a traditional 16-week semester. During this study, students demonstrated </w:t>
      </w:r>
      <w:r w:rsidR="00FC5AA3">
        <w:rPr>
          <w:rFonts w:asciiTheme="minorHAnsi" w:hAnsiTheme="minorHAnsi"/>
        </w:rPr>
        <w:t xml:space="preserve">the </w:t>
      </w:r>
      <w:r w:rsidRPr="00B417BF">
        <w:rPr>
          <w:rFonts w:asciiTheme="minorHAnsi" w:hAnsiTheme="minorHAnsi"/>
        </w:rPr>
        <w:t xml:space="preserve">ability to quickly develop peer networks that organized study groups, texting networks, and tutoring.  </w:t>
      </w:r>
      <w:r w:rsidR="00B50BD3">
        <w:rPr>
          <w:rFonts w:asciiTheme="minorHAnsi" w:hAnsiTheme="minorHAnsi"/>
        </w:rPr>
        <w:t xml:space="preserve">  </w:t>
      </w:r>
      <w:r w:rsidRPr="00B417BF">
        <w:rPr>
          <w:rFonts w:asciiTheme="minorHAnsi" w:hAnsiTheme="minorHAnsi"/>
        </w:rPr>
        <w:t>This was s</w:t>
      </w:r>
      <w:r w:rsidR="003A5FC9">
        <w:rPr>
          <w:rFonts w:asciiTheme="minorHAnsi" w:hAnsiTheme="minorHAnsi"/>
        </w:rPr>
        <w:t>een between Exam 1 and Exam 2 (</w:t>
      </w:r>
      <w:r w:rsidR="003F1045">
        <w:rPr>
          <w:rFonts w:asciiTheme="minorHAnsi" w:hAnsiTheme="minorHAnsi"/>
        </w:rPr>
        <w:t>App A. Fig. 6</w:t>
      </w:r>
      <w:r w:rsidR="001B4828">
        <w:rPr>
          <w:rFonts w:asciiTheme="minorHAnsi" w:hAnsiTheme="minorHAnsi"/>
        </w:rPr>
        <w:t xml:space="preserve">-13, </w:t>
      </w:r>
      <w:r w:rsidR="005A156E">
        <w:rPr>
          <w:rFonts w:asciiTheme="minorHAnsi" w:hAnsiTheme="minorHAnsi"/>
        </w:rPr>
        <w:t>pp 85-92</w:t>
      </w:r>
      <w:r w:rsidRPr="00B417BF">
        <w:rPr>
          <w:rFonts w:asciiTheme="minorHAnsi" w:hAnsiTheme="minorHAnsi"/>
        </w:rPr>
        <w:t>).</w:t>
      </w:r>
      <w:r w:rsidR="00B50BD3">
        <w:rPr>
          <w:rFonts w:asciiTheme="minorHAnsi" w:hAnsiTheme="minorHAnsi"/>
        </w:rPr>
        <w:t xml:space="preserve">  In both groups there is an increase in the percentage of all st</w:t>
      </w:r>
      <w:r w:rsidR="00EA7ED2">
        <w:rPr>
          <w:rFonts w:asciiTheme="minorHAnsi" w:hAnsiTheme="minorHAnsi"/>
        </w:rPr>
        <w:t xml:space="preserve">udents using support from peer support </w:t>
      </w:r>
      <w:r w:rsidR="00B50BD3">
        <w:rPr>
          <w:rFonts w:asciiTheme="minorHAnsi" w:hAnsiTheme="minorHAnsi"/>
        </w:rPr>
        <w:t>and tutoring</w:t>
      </w:r>
    </w:p>
    <w:p w14:paraId="0B260068" w14:textId="77777777" w:rsidR="006F660B" w:rsidRPr="00B417BF" w:rsidRDefault="006F660B" w:rsidP="006F660B">
      <w:pPr>
        <w:spacing w:line="480" w:lineRule="auto"/>
        <w:rPr>
          <w:rFonts w:asciiTheme="minorHAnsi" w:hAnsiTheme="minorHAnsi"/>
        </w:rPr>
      </w:pPr>
    </w:p>
    <w:p w14:paraId="4818CEF9" w14:textId="09DDFDC0" w:rsidR="006F660B" w:rsidRPr="00B417BF" w:rsidRDefault="006F660B" w:rsidP="00C56311">
      <w:pPr>
        <w:spacing w:line="480" w:lineRule="auto"/>
        <w:rPr>
          <w:rFonts w:asciiTheme="minorHAnsi" w:hAnsiTheme="minorHAnsi"/>
        </w:rPr>
      </w:pPr>
      <w:r w:rsidRPr="00B417BF">
        <w:rPr>
          <w:rFonts w:asciiTheme="minorHAnsi" w:hAnsiTheme="minorHAnsi"/>
        </w:rPr>
        <w:lastRenderedPageBreak/>
        <w:t xml:space="preserve">The majority of students indicated they believed their current support system and strategies were effective.  Of the remainder, two </w:t>
      </w:r>
      <w:r w:rsidR="00EA7ED2">
        <w:rPr>
          <w:rFonts w:asciiTheme="minorHAnsi" w:hAnsiTheme="minorHAnsi"/>
        </w:rPr>
        <w:t>students suggested</w:t>
      </w:r>
      <w:r w:rsidRPr="00B417BF">
        <w:rPr>
          <w:rFonts w:asciiTheme="minorHAnsi" w:hAnsiTheme="minorHAnsi"/>
        </w:rPr>
        <w:t xml:space="preserve"> they would seek professional medical help earlier.  One student was unsure of the effectiveness of </w:t>
      </w:r>
      <w:r w:rsidR="00EA7ED2">
        <w:rPr>
          <w:rFonts w:asciiTheme="minorHAnsi" w:hAnsiTheme="minorHAnsi"/>
        </w:rPr>
        <w:t xml:space="preserve">any of </w:t>
      </w:r>
      <w:r w:rsidRPr="00B417BF">
        <w:rPr>
          <w:rFonts w:asciiTheme="minorHAnsi" w:hAnsiTheme="minorHAnsi"/>
        </w:rPr>
        <w:t xml:space="preserve">their support strategies.  </w:t>
      </w:r>
    </w:p>
    <w:p w14:paraId="7D222625" w14:textId="77777777" w:rsidR="00C56311" w:rsidRPr="00B417BF" w:rsidRDefault="00C56311" w:rsidP="00C56311">
      <w:pPr>
        <w:pStyle w:val="ListParagraph"/>
        <w:spacing w:line="480" w:lineRule="auto"/>
        <w:ind w:left="360"/>
      </w:pPr>
    </w:p>
    <w:p w14:paraId="6ED545C8" w14:textId="1BF5A720" w:rsidR="00183F21" w:rsidRPr="00C6704E" w:rsidRDefault="00C56311" w:rsidP="006F660B">
      <w:pPr>
        <w:spacing w:line="480" w:lineRule="auto"/>
        <w:rPr>
          <w:rFonts w:asciiTheme="minorHAnsi" w:hAnsiTheme="minorHAnsi"/>
          <w:b/>
        </w:rPr>
      </w:pPr>
      <w:r w:rsidRPr="006F660B">
        <w:rPr>
          <w:rFonts w:asciiTheme="minorHAnsi" w:hAnsiTheme="minorHAnsi"/>
          <w:b/>
        </w:rPr>
        <w:t>2. What is the relationship between coping mechanisms and academic performance among first year PA and Dental students?</w:t>
      </w:r>
    </w:p>
    <w:p w14:paraId="7CDA09A7" w14:textId="77777777" w:rsidR="00A623C5" w:rsidRDefault="00A623C5" w:rsidP="006F660B">
      <w:pPr>
        <w:spacing w:line="480" w:lineRule="auto"/>
        <w:rPr>
          <w:rFonts w:asciiTheme="minorHAnsi" w:hAnsiTheme="minorHAnsi"/>
        </w:rPr>
      </w:pPr>
    </w:p>
    <w:p w14:paraId="7F181183" w14:textId="02B88BDB" w:rsidR="00BE2593" w:rsidRDefault="00C6704E" w:rsidP="006F660B">
      <w:pPr>
        <w:spacing w:line="480" w:lineRule="auto"/>
        <w:rPr>
          <w:rFonts w:asciiTheme="minorHAnsi" w:hAnsiTheme="minorHAnsi"/>
        </w:rPr>
      </w:pPr>
      <w:r>
        <w:rPr>
          <w:rFonts w:asciiTheme="minorHAnsi" w:hAnsiTheme="minorHAnsi"/>
        </w:rPr>
        <w:t>T</w:t>
      </w:r>
      <w:r w:rsidR="00450DD7">
        <w:rPr>
          <w:rFonts w:asciiTheme="minorHAnsi" w:hAnsiTheme="minorHAnsi"/>
        </w:rPr>
        <w:t>he exam score pattern was c</w:t>
      </w:r>
      <w:r w:rsidR="00E36806">
        <w:rPr>
          <w:rFonts w:asciiTheme="minorHAnsi" w:hAnsiTheme="minorHAnsi"/>
        </w:rPr>
        <w:t>onsistent for both control and e</w:t>
      </w:r>
      <w:r w:rsidR="00450DD7">
        <w:rPr>
          <w:rFonts w:asciiTheme="minorHAnsi" w:hAnsiTheme="minorHAnsi"/>
        </w:rPr>
        <w:t xml:space="preserve">xperimental groups with both having similar increase in exam scores over the duration of the course. F (2, 56)=7.32, p=0.001.  </w:t>
      </w:r>
      <w:r w:rsidR="00BE7AC7">
        <w:rPr>
          <w:rFonts w:asciiTheme="minorHAnsi" w:hAnsiTheme="minorHAnsi"/>
        </w:rPr>
        <w:t xml:space="preserve"> </w:t>
      </w:r>
    </w:p>
    <w:p w14:paraId="505479BE" w14:textId="77777777" w:rsidR="00A623C5" w:rsidRDefault="00A623C5" w:rsidP="006F660B">
      <w:pPr>
        <w:spacing w:line="480" w:lineRule="auto"/>
        <w:rPr>
          <w:rFonts w:asciiTheme="minorHAnsi" w:hAnsiTheme="minorHAnsi"/>
        </w:rPr>
      </w:pPr>
    </w:p>
    <w:p w14:paraId="57410A20" w14:textId="4893BCE8" w:rsidR="006F660B" w:rsidRDefault="00450DD7" w:rsidP="006F660B">
      <w:pPr>
        <w:spacing w:line="480" w:lineRule="auto"/>
        <w:rPr>
          <w:rFonts w:asciiTheme="minorHAnsi" w:hAnsiTheme="minorHAnsi"/>
        </w:rPr>
      </w:pPr>
      <w:r>
        <w:rPr>
          <w:rFonts w:asciiTheme="minorHAnsi" w:hAnsiTheme="minorHAnsi"/>
        </w:rPr>
        <w:t xml:space="preserve">The test effect of intervention on overall exam scores was performed and revealed exam scores did not vary </w:t>
      </w:r>
      <w:r w:rsidR="00A37639">
        <w:rPr>
          <w:rFonts w:asciiTheme="minorHAnsi" w:hAnsiTheme="minorHAnsi"/>
        </w:rPr>
        <w:t xml:space="preserve">significantly </w:t>
      </w:r>
      <w:r>
        <w:rPr>
          <w:rFonts w:asciiTheme="minorHAnsi" w:hAnsiTheme="minorHAnsi"/>
        </w:rPr>
        <w:t xml:space="preserve">over time.  Exam scores did not vary as a function of the </w:t>
      </w:r>
      <w:r w:rsidR="008F7522">
        <w:rPr>
          <w:rFonts w:asciiTheme="minorHAnsi" w:hAnsiTheme="minorHAnsi"/>
        </w:rPr>
        <w:t>intervention, ignoring all other variable</w:t>
      </w:r>
      <w:r w:rsidR="00A37639">
        <w:rPr>
          <w:rFonts w:asciiTheme="minorHAnsi" w:hAnsiTheme="minorHAnsi"/>
        </w:rPr>
        <w:t>s</w:t>
      </w:r>
      <w:r w:rsidR="008F7522">
        <w:rPr>
          <w:rFonts w:asciiTheme="minorHAnsi" w:hAnsiTheme="minorHAnsi"/>
        </w:rPr>
        <w:t>, as verified by between subjects effects</w:t>
      </w:r>
      <w:r w:rsidR="00A37639">
        <w:rPr>
          <w:rFonts w:asciiTheme="minorHAnsi" w:hAnsiTheme="minorHAnsi"/>
        </w:rPr>
        <w:t xml:space="preserve"> (</w:t>
      </w:r>
      <w:r w:rsidR="00A37639">
        <w:rPr>
          <w:rFonts w:asciiTheme="minorHAnsi" w:hAnsiTheme="minorHAnsi"/>
          <w:i/>
        </w:rPr>
        <w:t>p</w:t>
      </w:r>
      <w:r w:rsidR="00A37639">
        <w:rPr>
          <w:rFonts w:asciiTheme="minorHAnsi" w:hAnsiTheme="minorHAnsi"/>
        </w:rPr>
        <w:t>=0.901)</w:t>
      </w:r>
      <w:r w:rsidR="008F7522">
        <w:rPr>
          <w:rFonts w:asciiTheme="minorHAnsi" w:hAnsiTheme="minorHAnsi"/>
        </w:rPr>
        <w:t xml:space="preserve">.  </w:t>
      </w:r>
    </w:p>
    <w:p w14:paraId="59FBD51D" w14:textId="52FE1CA8" w:rsidR="000B7185" w:rsidRPr="00B417BF" w:rsidRDefault="000B7185" w:rsidP="006F660B">
      <w:pPr>
        <w:spacing w:line="480" w:lineRule="auto"/>
        <w:rPr>
          <w:rFonts w:asciiTheme="minorHAnsi" w:hAnsiTheme="minorHAnsi"/>
        </w:rPr>
      </w:pPr>
    </w:p>
    <w:p w14:paraId="752E558C" w14:textId="53322CC2" w:rsidR="006F660B" w:rsidRPr="00B417BF" w:rsidRDefault="00070AA7" w:rsidP="006F660B">
      <w:pPr>
        <w:spacing w:line="480" w:lineRule="auto"/>
        <w:rPr>
          <w:rFonts w:asciiTheme="minorHAnsi" w:hAnsiTheme="minorHAnsi"/>
        </w:rPr>
      </w:pPr>
      <w:r>
        <w:rPr>
          <w:rFonts w:asciiTheme="minorHAnsi" w:hAnsiTheme="minorHAnsi"/>
        </w:rPr>
        <w:t xml:space="preserve">Control Group </w:t>
      </w:r>
      <w:r w:rsidR="006F660B" w:rsidRPr="00B417BF">
        <w:rPr>
          <w:rFonts w:asciiTheme="minorHAnsi" w:hAnsiTheme="minorHAnsi"/>
        </w:rPr>
        <w:t>2016:</w:t>
      </w:r>
    </w:p>
    <w:p w14:paraId="0D94D998" w14:textId="146BBF92" w:rsidR="006F660B" w:rsidRPr="00065272" w:rsidRDefault="007B028C" w:rsidP="006F660B">
      <w:pPr>
        <w:spacing w:line="480" w:lineRule="auto"/>
        <w:rPr>
          <w:rFonts w:asciiTheme="minorHAnsi" w:hAnsiTheme="minorHAnsi"/>
        </w:rPr>
      </w:pPr>
      <w:r>
        <w:rPr>
          <w:rFonts w:asciiTheme="minorHAnsi" w:hAnsiTheme="minorHAnsi"/>
        </w:rPr>
        <w:t>E</w:t>
      </w:r>
      <w:r w:rsidR="006F660B" w:rsidRPr="00B417BF">
        <w:rPr>
          <w:rFonts w:asciiTheme="minorHAnsi" w:hAnsiTheme="minorHAnsi"/>
        </w:rPr>
        <w:t xml:space="preserve">xam scores </w:t>
      </w:r>
      <w:r>
        <w:rPr>
          <w:rFonts w:asciiTheme="minorHAnsi" w:hAnsiTheme="minorHAnsi"/>
        </w:rPr>
        <w:t xml:space="preserve">from 2016 </w:t>
      </w:r>
      <w:r w:rsidR="006F660B" w:rsidRPr="00B417BF">
        <w:rPr>
          <w:rFonts w:asciiTheme="minorHAnsi" w:hAnsiTheme="minorHAnsi"/>
        </w:rPr>
        <w:t xml:space="preserve">correlated with Brief COPE items of self-blame, denial, and disengagement at </w:t>
      </w:r>
      <w:r w:rsidR="006F660B" w:rsidRPr="00B417BF">
        <w:rPr>
          <w:rFonts w:asciiTheme="minorHAnsi" w:hAnsiTheme="minorHAnsi"/>
          <w:i/>
        </w:rPr>
        <w:t>p</w:t>
      </w:r>
      <w:r w:rsidR="006F660B" w:rsidRPr="00B417BF">
        <w:rPr>
          <w:rFonts w:asciiTheme="minorHAnsi" w:hAnsiTheme="minorHAnsi"/>
        </w:rPr>
        <w:t xml:space="preserve">=0.01.  </w:t>
      </w:r>
      <w:r w:rsidR="00FC5AA3">
        <w:rPr>
          <w:rFonts w:asciiTheme="minorHAnsi" w:hAnsiTheme="minorHAnsi"/>
        </w:rPr>
        <w:t>A positive response</w:t>
      </w:r>
      <w:r w:rsidR="006F660B" w:rsidRPr="00B417BF">
        <w:rPr>
          <w:rFonts w:asciiTheme="minorHAnsi" w:hAnsiTheme="minorHAnsi"/>
        </w:rPr>
        <w:t xml:space="preserve"> to these items indicate</w:t>
      </w:r>
      <w:r w:rsidR="00FC5AA3">
        <w:rPr>
          <w:rFonts w:asciiTheme="minorHAnsi" w:hAnsiTheme="minorHAnsi"/>
        </w:rPr>
        <w:t>d</w:t>
      </w:r>
      <w:r w:rsidR="006F660B" w:rsidRPr="00B417BF">
        <w:rPr>
          <w:rFonts w:asciiTheme="minorHAnsi" w:hAnsiTheme="minorHAnsi"/>
        </w:rPr>
        <w:t xml:space="preserve"> poor coping skills.  Correlation of disengagement increased after the first exam.  Exam 1 and Exam 2 scores correlated at the </w:t>
      </w:r>
      <w:r w:rsidR="006F660B" w:rsidRPr="00B417BF">
        <w:rPr>
          <w:rFonts w:asciiTheme="minorHAnsi" w:hAnsiTheme="minorHAnsi"/>
          <w:i/>
        </w:rPr>
        <w:t>p=</w:t>
      </w:r>
      <w:r w:rsidR="006F660B" w:rsidRPr="00B417BF">
        <w:rPr>
          <w:rFonts w:asciiTheme="minorHAnsi" w:hAnsiTheme="minorHAnsi"/>
        </w:rPr>
        <w:t xml:space="preserve">0.01 level with support service use.  Exam 3 correlated with support service use at the </w:t>
      </w:r>
      <w:r w:rsidR="006F660B" w:rsidRPr="00B417BF">
        <w:rPr>
          <w:rFonts w:asciiTheme="minorHAnsi" w:hAnsiTheme="minorHAnsi"/>
          <w:i/>
        </w:rPr>
        <w:t>p=</w:t>
      </w:r>
      <w:r w:rsidR="006F660B" w:rsidRPr="00B417BF">
        <w:rPr>
          <w:rFonts w:asciiTheme="minorHAnsi" w:hAnsiTheme="minorHAnsi"/>
        </w:rPr>
        <w:t xml:space="preserve">0.05.   </w:t>
      </w:r>
      <w:r w:rsidR="00065272">
        <w:rPr>
          <w:rFonts w:asciiTheme="minorHAnsi" w:hAnsiTheme="minorHAnsi"/>
        </w:rPr>
        <w:t xml:space="preserve">These </w:t>
      </w:r>
      <w:r w:rsidR="00065272">
        <w:rPr>
          <w:rFonts w:asciiTheme="minorHAnsi" w:hAnsiTheme="minorHAnsi"/>
        </w:rPr>
        <w:lastRenderedPageBreak/>
        <w:t xml:space="preserve">correlations were supported by absolute value of </w:t>
      </w:r>
      <w:r w:rsidR="00065272">
        <w:rPr>
          <w:rFonts w:asciiTheme="minorHAnsi" w:hAnsiTheme="minorHAnsi"/>
          <w:i/>
        </w:rPr>
        <w:t>r</w:t>
      </w:r>
      <w:r w:rsidR="003E2A7A">
        <w:rPr>
          <w:rFonts w:asciiTheme="minorHAnsi" w:hAnsiTheme="minorHAnsi"/>
        </w:rPr>
        <w:t>=</w:t>
      </w:r>
      <w:r w:rsidR="00065272">
        <w:rPr>
          <w:rFonts w:asciiTheme="minorHAnsi" w:hAnsiTheme="minorHAnsi"/>
        </w:rPr>
        <w:t>0.30</w:t>
      </w:r>
      <w:r w:rsidR="003E2A7A">
        <w:rPr>
          <w:rFonts w:asciiTheme="minorHAnsi" w:hAnsiTheme="minorHAnsi"/>
        </w:rPr>
        <w:t>-0.50</w:t>
      </w:r>
      <w:r w:rsidR="00065272">
        <w:rPr>
          <w:rFonts w:asciiTheme="minorHAnsi" w:hAnsiTheme="minorHAnsi"/>
        </w:rPr>
        <w:t>.  Magnitude of all significant corre</w:t>
      </w:r>
      <w:r w:rsidR="003E2A7A">
        <w:rPr>
          <w:rFonts w:asciiTheme="minorHAnsi" w:hAnsiTheme="minorHAnsi"/>
        </w:rPr>
        <w:t xml:space="preserve">lations were similar indicating </w:t>
      </w:r>
      <w:r w:rsidR="000665F7">
        <w:rPr>
          <w:rFonts w:asciiTheme="minorHAnsi" w:hAnsiTheme="minorHAnsi"/>
        </w:rPr>
        <w:t>moderate negative</w:t>
      </w:r>
      <w:r w:rsidR="003E2A7A">
        <w:rPr>
          <w:rFonts w:asciiTheme="minorHAnsi" w:hAnsiTheme="minorHAnsi"/>
        </w:rPr>
        <w:t xml:space="preserve"> relationships between all three behavior scales and exam performance.</w:t>
      </w:r>
      <w:r w:rsidR="000665F7">
        <w:rPr>
          <w:rFonts w:asciiTheme="minorHAnsi" w:hAnsiTheme="minorHAnsi"/>
        </w:rPr>
        <w:t xml:space="preserve">  </w:t>
      </w:r>
    </w:p>
    <w:p w14:paraId="226C47E7" w14:textId="6065845E" w:rsidR="00A623C5" w:rsidRDefault="00A623C5">
      <w:pPr>
        <w:rPr>
          <w:rFonts w:asciiTheme="minorHAnsi" w:hAnsiTheme="minorHAnsi"/>
        </w:rPr>
      </w:pPr>
    </w:p>
    <w:p w14:paraId="53214E27" w14:textId="77777777" w:rsidR="006F660B" w:rsidRPr="00B417BF" w:rsidRDefault="006F660B" w:rsidP="006F660B">
      <w:pPr>
        <w:spacing w:line="480" w:lineRule="auto"/>
        <w:rPr>
          <w:rFonts w:asciiTheme="minorHAnsi" w:hAnsiTheme="minorHAnsi"/>
        </w:rPr>
      </w:pPr>
    </w:p>
    <w:p w14:paraId="2F0F3ECA" w14:textId="2C76D417" w:rsidR="006F660B" w:rsidRPr="00B417BF" w:rsidRDefault="00070AA7" w:rsidP="006F660B">
      <w:pPr>
        <w:spacing w:line="480" w:lineRule="auto"/>
        <w:rPr>
          <w:rFonts w:asciiTheme="minorHAnsi" w:hAnsiTheme="minorHAnsi"/>
        </w:rPr>
      </w:pPr>
      <w:r>
        <w:rPr>
          <w:rFonts w:asciiTheme="minorHAnsi" w:hAnsiTheme="minorHAnsi"/>
        </w:rPr>
        <w:t xml:space="preserve">Experimental Group </w:t>
      </w:r>
      <w:r w:rsidR="006F660B" w:rsidRPr="00B417BF">
        <w:rPr>
          <w:rFonts w:asciiTheme="minorHAnsi" w:hAnsiTheme="minorHAnsi"/>
        </w:rPr>
        <w:t>2017:</w:t>
      </w:r>
    </w:p>
    <w:p w14:paraId="76E88500" w14:textId="01FC5B90" w:rsidR="006F660B" w:rsidRPr="00B417BF" w:rsidRDefault="00D22D9B" w:rsidP="006F660B">
      <w:pPr>
        <w:spacing w:line="480" w:lineRule="auto"/>
        <w:rPr>
          <w:rFonts w:asciiTheme="minorHAnsi" w:hAnsiTheme="minorHAnsi"/>
        </w:rPr>
      </w:pPr>
      <w:r>
        <w:rPr>
          <w:rFonts w:asciiTheme="minorHAnsi" w:hAnsiTheme="minorHAnsi"/>
        </w:rPr>
        <w:t xml:space="preserve">Experimental group </w:t>
      </w:r>
      <w:r w:rsidR="006F660B" w:rsidRPr="00B417BF">
        <w:rPr>
          <w:rFonts w:asciiTheme="minorHAnsi" w:hAnsiTheme="minorHAnsi"/>
        </w:rPr>
        <w:t>exam scores correlated only with Brief COPE items of self-blame at Exam 1.</w:t>
      </w:r>
      <w:r w:rsidR="000665F7">
        <w:rPr>
          <w:rFonts w:asciiTheme="minorHAnsi" w:hAnsiTheme="minorHAnsi"/>
        </w:rPr>
        <w:t xml:space="preserve">  This correlated with the same magnitude range as the correlations in the control group (</w:t>
      </w:r>
      <w:r w:rsidR="000665F7">
        <w:rPr>
          <w:rFonts w:asciiTheme="minorHAnsi" w:hAnsiTheme="minorHAnsi"/>
          <w:i/>
        </w:rPr>
        <w:t>r</w:t>
      </w:r>
      <w:r w:rsidR="000665F7">
        <w:rPr>
          <w:rFonts w:asciiTheme="minorHAnsi" w:hAnsiTheme="minorHAnsi"/>
        </w:rPr>
        <w:t>=-0.30).</w:t>
      </w:r>
      <w:r w:rsidR="006F660B" w:rsidRPr="00B417BF">
        <w:rPr>
          <w:rFonts w:asciiTheme="minorHAnsi" w:hAnsiTheme="minorHAnsi"/>
        </w:rPr>
        <w:t xml:space="preserve">  Exam 1 and Exam 2 scores correlated at the </w:t>
      </w:r>
      <w:r w:rsidR="006F660B" w:rsidRPr="00B417BF">
        <w:rPr>
          <w:rFonts w:asciiTheme="minorHAnsi" w:hAnsiTheme="minorHAnsi"/>
          <w:i/>
        </w:rPr>
        <w:t>p=</w:t>
      </w:r>
      <w:r w:rsidR="006F660B" w:rsidRPr="00B417BF">
        <w:rPr>
          <w:rFonts w:asciiTheme="minorHAnsi" w:hAnsiTheme="minorHAnsi"/>
        </w:rPr>
        <w:t xml:space="preserve">0.01 level with support service use.  Exam 3 correlated with support service use at the </w:t>
      </w:r>
      <w:r w:rsidR="006F660B" w:rsidRPr="00B417BF">
        <w:rPr>
          <w:rFonts w:asciiTheme="minorHAnsi" w:hAnsiTheme="minorHAnsi"/>
          <w:i/>
        </w:rPr>
        <w:t>p=</w:t>
      </w:r>
      <w:r w:rsidR="006F660B" w:rsidRPr="00B417BF">
        <w:rPr>
          <w:rFonts w:asciiTheme="minorHAnsi" w:hAnsiTheme="minorHAnsi"/>
        </w:rPr>
        <w:t xml:space="preserve">0.05.  </w:t>
      </w:r>
    </w:p>
    <w:p w14:paraId="514344FD" w14:textId="7CE794A2" w:rsidR="006F660B" w:rsidRDefault="006F660B" w:rsidP="006F660B">
      <w:pPr>
        <w:spacing w:line="480" w:lineRule="auto"/>
        <w:rPr>
          <w:rFonts w:asciiTheme="minorHAnsi" w:hAnsiTheme="minorHAnsi"/>
        </w:rPr>
      </w:pPr>
      <w:r w:rsidRPr="00B417BF">
        <w:rPr>
          <w:rFonts w:asciiTheme="minorHAnsi" w:hAnsiTheme="minorHAnsi"/>
        </w:rPr>
        <w:t>Significance of support service use is equal for both groups.  The decrease in significance at Exam 3 was equal.</w:t>
      </w:r>
    </w:p>
    <w:p w14:paraId="0EBD4DE7" w14:textId="0F624EBE" w:rsidR="00BE2DA0" w:rsidRDefault="00BE2DA0" w:rsidP="006F660B">
      <w:pPr>
        <w:spacing w:line="480" w:lineRule="auto"/>
        <w:rPr>
          <w:rFonts w:asciiTheme="minorHAnsi" w:hAnsiTheme="minorHAnsi"/>
        </w:rPr>
      </w:pPr>
    </w:p>
    <w:p w14:paraId="49738EDD" w14:textId="2D5C9BA5" w:rsidR="00BE2DA0" w:rsidRPr="00B417BF" w:rsidRDefault="007B028C" w:rsidP="006F660B">
      <w:pPr>
        <w:spacing w:line="480" w:lineRule="auto"/>
        <w:rPr>
          <w:rFonts w:asciiTheme="minorHAnsi" w:hAnsiTheme="minorHAnsi"/>
        </w:rPr>
      </w:pPr>
      <w:r>
        <w:rPr>
          <w:rFonts w:asciiTheme="minorHAnsi" w:hAnsiTheme="minorHAnsi"/>
        </w:rPr>
        <w:t>These results indicate</w:t>
      </w:r>
      <w:r w:rsidR="00EA7ED2">
        <w:rPr>
          <w:rFonts w:asciiTheme="minorHAnsi" w:hAnsiTheme="minorHAnsi"/>
        </w:rPr>
        <w:t xml:space="preserve"> correlation between poor coping skills and</w:t>
      </w:r>
      <w:r w:rsidR="00A51954">
        <w:rPr>
          <w:rFonts w:asciiTheme="minorHAnsi" w:hAnsiTheme="minorHAnsi"/>
        </w:rPr>
        <w:t xml:space="preserve"> negative </w:t>
      </w:r>
      <w:r w:rsidR="00BE2DA0">
        <w:rPr>
          <w:rFonts w:asciiTheme="minorHAnsi" w:hAnsiTheme="minorHAnsi"/>
        </w:rPr>
        <w:t xml:space="preserve">behaviors with decreased academic performance for MCBPs.  Due to the nature of correlational data, it is not possible to determine if coping behaviors are contributing to the decreased exam scores or if the exam grades are a cause for student behaviors.  However, as the literature review stated, there is </w:t>
      </w:r>
      <w:r w:rsidR="001779CF">
        <w:rPr>
          <w:rFonts w:asciiTheme="minorHAnsi" w:hAnsiTheme="minorHAnsi"/>
        </w:rPr>
        <w:t>evidence for negative</w:t>
      </w:r>
      <w:r w:rsidR="00BE2DA0">
        <w:rPr>
          <w:rFonts w:asciiTheme="minorHAnsi" w:hAnsiTheme="minorHAnsi"/>
        </w:rPr>
        <w:t xml:space="preserve"> behavioral patterns and coping behaviors to have an impact on academic </w:t>
      </w:r>
      <w:r w:rsidR="001779CF">
        <w:rPr>
          <w:rFonts w:asciiTheme="minorHAnsi" w:hAnsiTheme="minorHAnsi"/>
        </w:rPr>
        <w:t>success</w:t>
      </w:r>
      <w:r w:rsidR="00BE2DA0">
        <w:rPr>
          <w:rFonts w:asciiTheme="minorHAnsi" w:hAnsiTheme="minorHAnsi"/>
        </w:rPr>
        <w:t xml:space="preserve">.  </w:t>
      </w:r>
    </w:p>
    <w:p w14:paraId="1CBA7EA5" w14:textId="3FC01592" w:rsidR="00A623C5" w:rsidRDefault="00A623C5">
      <w:pPr>
        <w:rPr>
          <w:rFonts w:asciiTheme="minorHAnsi" w:hAnsiTheme="minorHAnsi"/>
        </w:rPr>
      </w:pPr>
      <w:r>
        <w:rPr>
          <w:rFonts w:asciiTheme="minorHAnsi" w:hAnsiTheme="minorHAnsi"/>
        </w:rPr>
        <w:br w:type="page"/>
      </w:r>
    </w:p>
    <w:p w14:paraId="47084EFE" w14:textId="77777777" w:rsidR="006F660B" w:rsidRDefault="006F660B" w:rsidP="006F660B">
      <w:pPr>
        <w:rPr>
          <w:rFonts w:asciiTheme="minorHAnsi" w:hAnsiTheme="minorHAnsi"/>
        </w:rPr>
      </w:pPr>
    </w:p>
    <w:p w14:paraId="601AF35C" w14:textId="77777777" w:rsidR="001C1A67" w:rsidRPr="00B417BF" w:rsidRDefault="001C1A67" w:rsidP="006F660B">
      <w:pPr>
        <w:rPr>
          <w:rFonts w:asciiTheme="minorHAnsi" w:hAnsiTheme="minorHAnsi"/>
        </w:rPr>
      </w:pPr>
    </w:p>
    <w:p w14:paraId="6CB928AB" w14:textId="4DB832EF" w:rsidR="00F10874" w:rsidRDefault="00C56311" w:rsidP="00C56311">
      <w:pPr>
        <w:spacing w:line="480" w:lineRule="auto"/>
        <w:rPr>
          <w:rFonts w:asciiTheme="minorHAnsi" w:hAnsiTheme="minorHAnsi"/>
          <w:b/>
        </w:rPr>
      </w:pPr>
      <w:r w:rsidRPr="006F660B">
        <w:rPr>
          <w:rFonts w:asciiTheme="minorHAnsi" w:hAnsiTheme="minorHAnsi"/>
          <w:b/>
        </w:rPr>
        <w:t xml:space="preserve">3. What is the relationship between utilization of support services and academic performance among first year PA and Dental students? </w:t>
      </w:r>
    </w:p>
    <w:p w14:paraId="7C82DAA6" w14:textId="77777777" w:rsidR="00F10874" w:rsidRDefault="00F10874" w:rsidP="00F10874">
      <w:pPr>
        <w:spacing w:line="480" w:lineRule="auto"/>
        <w:outlineLvl w:val="0"/>
        <w:rPr>
          <w:rFonts w:asciiTheme="minorHAnsi" w:hAnsiTheme="minorHAnsi"/>
        </w:rPr>
      </w:pPr>
    </w:p>
    <w:tbl>
      <w:tblPr>
        <w:tblW w:w="6500" w:type="dxa"/>
        <w:tblInd w:w="-5" w:type="dxa"/>
        <w:tblLook w:val="04A0" w:firstRow="1" w:lastRow="0" w:firstColumn="1" w:lastColumn="0" w:noHBand="0" w:noVBand="1"/>
      </w:tblPr>
      <w:tblGrid>
        <w:gridCol w:w="1300"/>
        <w:gridCol w:w="1300"/>
        <w:gridCol w:w="1300"/>
        <w:gridCol w:w="1300"/>
        <w:gridCol w:w="1300"/>
      </w:tblGrid>
      <w:tr w:rsidR="00F10874" w:rsidRPr="00A94794" w14:paraId="0F9B83E9" w14:textId="77777777" w:rsidTr="00B05DE5">
        <w:trPr>
          <w:trHeight w:val="44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B0FF6"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A701B5F"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Support Service Use</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59D6DE88"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Exam 1</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2323EB23"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Exam 2</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34006E7D"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Exam 3</w:t>
            </w:r>
          </w:p>
        </w:tc>
      </w:tr>
      <w:tr w:rsidR="00F10874" w:rsidRPr="00A94794" w14:paraId="4D76125C" w14:textId="77777777" w:rsidTr="00B05DE5">
        <w:trPr>
          <w:trHeight w:val="320"/>
        </w:trPr>
        <w:tc>
          <w:tcPr>
            <w:tcW w:w="1300" w:type="dxa"/>
            <w:tcBorders>
              <w:top w:val="nil"/>
              <w:left w:val="single" w:sz="4" w:space="0" w:color="auto"/>
              <w:bottom w:val="single" w:sz="4" w:space="0" w:color="auto"/>
              <w:right w:val="single" w:sz="4" w:space="0" w:color="auto"/>
            </w:tcBorders>
            <w:shd w:val="clear" w:color="000000" w:fill="D9D9D9"/>
            <w:noWrap/>
            <w:vAlign w:val="center"/>
            <w:hideMark/>
          </w:tcPr>
          <w:p w14:paraId="5C203498" w14:textId="77777777" w:rsidR="00F10874" w:rsidRPr="00A94794" w:rsidRDefault="00F10874" w:rsidP="000A60CE">
            <w:pPr>
              <w:rPr>
                <w:rFonts w:ascii="Cambria" w:hAnsi="Cambria" w:cs="Calibri"/>
                <w:color w:val="000000"/>
                <w:sz w:val="16"/>
                <w:szCs w:val="16"/>
              </w:rPr>
            </w:pPr>
            <w:r w:rsidRPr="00A94794">
              <w:rPr>
                <w:rFonts w:ascii="Cambria" w:hAnsi="Cambria" w:cs="Calibri"/>
                <w:color w:val="000000"/>
                <w:sz w:val="16"/>
                <w:szCs w:val="16"/>
              </w:rPr>
              <w:t>Control Group</w:t>
            </w:r>
          </w:p>
        </w:tc>
        <w:tc>
          <w:tcPr>
            <w:tcW w:w="1300" w:type="dxa"/>
            <w:tcBorders>
              <w:top w:val="nil"/>
              <w:left w:val="nil"/>
              <w:bottom w:val="single" w:sz="4" w:space="0" w:color="auto"/>
              <w:right w:val="single" w:sz="4" w:space="0" w:color="auto"/>
            </w:tcBorders>
            <w:shd w:val="clear" w:color="000000" w:fill="D9D9D9"/>
            <w:noWrap/>
            <w:vAlign w:val="center"/>
            <w:hideMark/>
          </w:tcPr>
          <w:p w14:paraId="5A8E98D6" w14:textId="77777777" w:rsidR="00F10874" w:rsidRPr="00A94794" w:rsidRDefault="00F10874" w:rsidP="000A60CE">
            <w:pPr>
              <w:rPr>
                <w:rFonts w:ascii="Cambria" w:hAnsi="Cambria" w:cs="Calibri"/>
                <w:color w:val="000000"/>
                <w:sz w:val="16"/>
                <w:szCs w:val="16"/>
              </w:rPr>
            </w:pPr>
            <w:r w:rsidRPr="00A94794">
              <w:rPr>
                <w:rFonts w:ascii="Cambria" w:hAnsi="Cambria" w:cs="Calibri"/>
                <w:color w:val="000000"/>
                <w:sz w:val="16"/>
                <w:szCs w:val="16"/>
              </w:rPr>
              <w:t> </w:t>
            </w:r>
          </w:p>
        </w:tc>
        <w:tc>
          <w:tcPr>
            <w:tcW w:w="1300" w:type="dxa"/>
            <w:tcBorders>
              <w:top w:val="nil"/>
              <w:left w:val="nil"/>
              <w:bottom w:val="single" w:sz="4" w:space="0" w:color="auto"/>
              <w:right w:val="single" w:sz="4" w:space="0" w:color="auto"/>
            </w:tcBorders>
            <w:shd w:val="clear" w:color="000000" w:fill="D9D9D9"/>
            <w:noWrap/>
            <w:vAlign w:val="center"/>
            <w:hideMark/>
          </w:tcPr>
          <w:p w14:paraId="2B8A3FFB" w14:textId="77777777" w:rsidR="00F10874" w:rsidRPr="00A94794" w:rsidRDefault="00F10874" w:rsidP="000A60CE">
            <w:pPr>
              <w:rPr>
                <w:rFonts w:ascii="Cambria" w:hAnsi="Cambria" w:cs="Calibri"/>
                <w:color w:val="000000"/>
                <w:sz w:val="16"/>
                <w:szCs w:val="16"/>
              </w:rPr>
            </w:pPr>
            <w:r w:rsidRPr="00A94794">
              <w:rPr>
                <w:rFonts w:ascii="Cambria" w:hAnsi="Cambria" w:cs="Calibri"/>
                <w:color w:val="000000"/>
                <w:sz w:val="16"/>
                <w:szCs w:val="16"/>
              </w:rPr>
              <w:t> </w:t>
            </w:r>
          </w:p>
        </w:tc>
        <w:tc>
          <w:tcPr>
            <w:tcW w:w="1300" w:type="dxa"/>
            <w:tcBorders>
              <w:top w:val="nil"/>
              <w:left w:val="nil"/>
              <w:bottom w:val="single" w:sz="4" w:space="0" w:color="auto"/>
              <w:right w:val="single" w:sz="4" w:space="0" w:color="auto"/>
            </w:tcBorders>
            <w:shd w:val="clear" w:color="000000" w:fill="D9D9D9"/>
            <w:noWrap/>
            <w:vAlign w:val="center"/>
            <w:hideMark/>
          </w:tcPr>
          <w:p w14:paraId="71C54BC9" w14:textId="77777777" w:rsidR="00F10874" w:rsidRPr="00A94794" w:rsidRDefault="00F10874" w:rsidP="000A60CE">
            <w:pPr>
              <w:rPr>
                <w:rFonts w:ascii="Cambria" w:hAnsi="Cambria" w:cs="Calibri"/>
                <w:color w:val="000000"/>
                <w:sz w:val="16"/>
                <w:szCs w:val="16"/>
              </w:rPr>
            </w:pPr>
            <w:r w:rsidRPr="00A94794">
              <w:rPr>
                <w:rFonts w:ascii="Cambria" w:hAnsi="Cambria" w:cs="Calibri"/>
                <w:color w:val="000000"/>
                <w:sz w:val="16"/>
                <w:szCs w:val="16"/>
              </w:rPr>
              <w:t> </w:t>
            </w:r>
          </w:p>
        </w:tc>
        <w:tc>
          <w:tcPr>
            <w:tcW w:w="1300" w:type="dxa"/>
            <w:tcBorders>
              <w:top w:val="nil"/>
              <w:left w:val="nil"/>
              <w:bottom w:val="single" w:sz="4" w:space="0" w:color="auto"/>
              <w:right w:val="single" w:sz="4" w:space="0" w:color="auto"/>
            </w:tcBorders>
            <w:shd w:val="clear" w:color="000000" w:fill="D9D9D9"/>
            <w:noWrap/>
            <w:vAlign w:val="center"/>
            <w:hideMark/>
          </w:tcPr>
          <w:p w14:paraId="38F9426D" w14:textId="77777777" w:rsidR="00F10874" w:rsidRPr="00A94794" w:rsidRDefault="00F10874" w:rsidP="000A60CE">
            <w:pPr>
              <w:rPr>
                <w:rFonts w:ascii="Cambria" w:hAnsi="Cambria" w:cs="Calibri"/>
                <w:color w:val="000000"/>
                <w:sz w:val="16"/>
                <w:szCs w:val="16"/>
              </w:rPr>
            </w:pPr>
            <w:r w:rsidRPr="00A94794">
              <w:rPr>
                <w:rFonts w:ascii="Cambria" w:hAnsi="Cambria" w:cs="Calibri"/>
                <w:color w:val="000000"/>
                <w:sz w:val="16"/>
                <w:szCs w:val="16"/>
              </w:rPr>
              <w:t> </w:t>
            </w:r>
          </w:p>
        </w:tc>
      </w:tr>
      <w:tr w:rsidR="00F10874" w:rsidRPr="00A94794" w14:paraId="7040E49C" w14:textId="77777777" w:rsidTr="00B05DE5">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5AB2731" w14:textId="77777777" w:rsidR="00F10874" w:rsidRPr="00A94794" w:rsidRDefault="00F10874" w:rsidP="000A60CE">
            <w:pPr>
              <w:rPr>
                <w:rFonts w:ascii="Cambria" w:hAnsi="Cambria" w:cs="Calibri"/>
                <w:color w:val="000000"/>
                <w:sz w:val="16"/>
                <w:szCs w:val="16"/>
              </w:rPr>
            </w:pPr>
            <w:r w:rsidRPr="00A94794">
              <w:rPr>
                <w:rFonts w:ascii="Cambria" w:hAnsi="Cambria" w:cs="Calibri"/>
                <w:color w:val="000000"/>
                <w:sz w:val="16"/>
                <w:szCs w:val="16"/>
              </w:rPr>
              <w:t>Exam 1</w:t>
            </w:r>
          </w:p>
        </w:tc>
        <w:tc>
          <w:tcPr>
            <w:tcW w:w="1300" w:type="dxa"/>
            <w:tcBorders>
              <w:top w:val="nil"/>
              <w:left w:val="nil"/>
              <w:bottom w:val="single" w:sz="4" w:space="0" w:color="auto"/>
              <w:right w:val="single" w:sz="4" w:space="0" w:color="auto"/>
            </w:tcBorders>
            <w:shd w:val="clear" w:color="auto" w:fill="auto"/>
            <w:noWrap/>
            <w:vAlign w:val="center"/>
            <w:hideMark/>
          </w:tcPr>
          <w:p w14:paraId="520B5F7C" w14:textId="4B2F2E5D" w:rsidR="0034449A" w:rsidRPr="00A94794" w:rsidRDefault="0034449A" w:rsidP="0034449A">
            <w:pPr>
              <w:jc w:val="center"/>
              <w:rPr>
                <w:rFonts w:ascii="Cambria" w:hAnsi="Cambria" w:cs="Calibri"/>
                <w:color w:val="000000"/>
                <w:sz w:val="16"/>
                <w:szCs w:val="16"/>
              </w:rPr>
            </w:pPr>
            <w:r>
              <w:rPr>
                <w:rFonts w:ascii="Cambria" w:hAnsi="Cambria" w:cs="Calibri"/>
                <w:color w:val="000000"/>
                <w:sz w:val="16"/>
                <w:szCs w:val="16"/>
              </w:rPr>
              <w:t>p=</w:t>
            </w:r>
            <w:r w:rsidR="00F10874" w:rsidRPr="00A94794">
              <w:rPr>
                <w:rFonts w:ascii="Cambria" w:hAnsi="Cambria" w:cs="Calibri"/>
                <w:color w:val="000000"/>
                <w:sz w:val="16"/>
                <w:szCs w:val="16"/>
              </w:rPr>
              <w:t>0.01</w:t>
            </w:r>
          </w:p>
        </w:tc>
        <w:tc>
          <w:tcPr>
            <w:tcW w:w="1300" w:type="dxa"/>
            <w:tcBorders>
              <w:top w:val="nil"/>
              <w:left w:val="nil"/>
              <w:bottom w:val="single" w:sz="4" w:space="0" w:color="auto"/>
              <w:right w:val="single" w:sz="4" w:space="0" w:color="auto"/>
            </w:tcBorders>
            <w:shd w:val="clear" w:color="auto" w:fill="auto"/>
            <w:noWrap/>
            <w:vAlign w:val="center"/>
            <w:hideMark/>
          </w:tcPr>
          <w:p w14:paraId="195B0C57"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w:t>
            </w:r>
          </w:p>
        </w:tc>
        <w:tc>
          <w:tcPr>
            <w:tcW w:w="1300" w:type="dxa"/>
            <w:tcBorders>
              <w:top w:val="nil"/>
              <w:left w:val="nil"/>
              <w:bottom w:val="single" w:sz="4" w:space="0" w:color="auto"/>
              <w:right w:val="single" w:sz="4" w:space="0" w:color="auto"/>
            </w:tcBorders>
            <w:shd w:val="clear" w:color="auto" w:fill="auto"/>
            <w:noWrap/>
            <w:vAlign w:val="center"/>
            <w:hideMark/>
          </w:tcPr>
          <w:p w14:paraId="54F5157C" w14:textId="7BA049BE" w:rsidR="0034449A" w:rsidRPr="00A94794" w:rsidRDefault="00F10874" w:rsidP="0034449A">
            <w:pPr>
              <w:jc w:val="center"/>
              <w:rPr>
                <w:rFonts w:ascii="Cambria" w:hAnsi="Cambria" w:cs="Calibri"/>
                <w:color w:val="000000"/>
                <w:sz w:val="16"/>
                <w:szCs w:val="16"/>
              </w:rPr>
            </w:pPr>
            <w:r w:rsidRPr="00A94794">
              <w:rPr>
                <w:rFonts w:ascii="Cambria" w:hAnsi="Cambria" w:cs="Calibri"/>
                <w:color w:val="000000"/>
                <w:sz w:val="16"/>
                <w:szCs w:val="16"/>
              </w:rPr>
              <w:t> </w:t>
            </w:r>
            <w:r w:rsidR="0034449A">
              <w:rPr>
                <w:rFonts w:ascii="Cambria" w:hAnsi="Cambria" w:cs="Calibri"/>
                <w:color w:val="000000"/>
                <w:sz w:val="16"/>
                <w:szCs w:val="16"/>
              </w:rPr>
              <w:t>p=</w:t>
            </w:r>
            <w:r w:rsidRPr="00A94794">
              <w:rPr>
                <w:rFonts w:ascii="Cambria" w:hAnsi="Cambria" w:cs="Calibri"/>
                <w:color w:val="000000"/>
                <w:sz w:val="16"/>
                <w:szCs w:val="16"/>
              </w:rPr>
              <w:t>0.01</w:t>
            </w:r>
          </w:p>
        </w:tc>
        <w:tc>
          <w:tcPr>
            <w:tcW w:w="1300" w:type="dxa"/>
            <w:tcBorders>
              <w:top w:val="nil"/>
              <w:left w:val="nil"/>
              <w:bottom w:val="single" w:sz="4" w:space="0" w:color="auto"/>
              <w:right w:val="single" w:sz="4" w:space="0" w:color="auto"/>
            </w:tcBorders>
            <w:shd w:val="clear" w:color="auto" w:fill="auto"/>
            <w:noWrap/>
            <w:vAlign w:val="center"/>
            <w:hideMark/>
          </w:tcPr>
          <w:p w14:paraId="59461282" w14:textId="2C4A4BB3" w:rsidR="0034449A" w:rsidRPr="00A94794" w:rsidRDefault="00F10874" w:rsidP="0034449A">
            <w:pPr>
              <w:jc w:val="center"/>
              <w:rPr>
                <w:rFonts w:ascii="Cambria" w:hAnsi="Cambria" w:cs="Calibri"/>
                <w:color w:val="000000"/>
                <w:sz w:val="16"/>
                <w:szCs w:val="16"/>
              </w:rPr>
            </w:pPr>
            <w:r w:rsidRPr="00A94794">
              <w:rPr>
                <w:rFonts w:ascii="Cambria" w:hAnsi="Cambria" w:cs="Calibri"/>
                <w:color w:val="000000"/>
                <w:sz w:val="16"/>
                <w:szCs w:val="16"/>
              </w:rPr>
              <w:t> </w:t>
            </w:r>
            <w:r w:rsidR="0034449A">
              <w:rPr>
                <w:rFonts w:ascii="Cambria" w:hAnsi="Cambria" w:cs="Calibri"/>
                <w:color w:val="000000"/>
                <w:sz w:val="16"/>
                <w:szCs w:val="16"/>
              </w:rPr>
              <w:t>p=</w:t>
            </w:r>
            <w:r w:rsidRPr="00A94794">
              <w:rPr>
                <w:rFonts w:ascii="Cambria" w:hAnsi="Cambria" w:cs="Calibri"/>
                <w:color w:val="000000"/>
                <w:sz w:val="16"/>
                <w:szCs w:val="16"/>
              </w:rPr>
              <w:t>0.01</w:t>
            </w:r>
          </w:p>
        </w:tc>
      </w:tr>
      <w:tr w:rsidR="00F10874" w:rsidRPr="00A94794" w14:paraId="5CF2F88C" w14:textId="77777777" w:rsidTr="00B05DE5">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48F1748" w14:textId="77777777" w:rsidR="00F10874" w:rsidRPr="00A94794" w:rsidRDefault="00F10874" w:rsidP="000A60CE">
            <w:pPr>
              <w:rPr>
                <w:rFonts w:ascii="Cambria" w:hAnsi="Cambria" w:cs="Calibri"/>
                <w:color w:val="000000"/>
                <w:sz w:val="16"/>
                <w:szCs w:val="16"/>
              </w:rPr>
            </w:pPr>
            <w:r w:rsidRPr="00A94794">
              <w:rPr>
                <w:rFonts w:ascii="Cambria" w:hAnsi="Cambria" w:cs="Calibri"/>
                <w:color w:val="000000"/>
                <w:sz w:val="16"/>
                <w:szCs w:val="16"/>
              </w:rPr>
              <w:t>Exam 2</w:t>
            </w:r>
          </w:p>
        </w:tc>
        <w:tc>
          <w:tcPr>
            <w:tcW w:w="1300" w:type="dxa"/>
            <w:tcBorders>
              <w:top w:val="nil"/>
              <w:left w:val="nil"/>
              <w:bottom w:val="single" w:sz="4" w:space="0" w:color="auto"/>
              <w:right w:val="single" w:sz="4" w:space="0" w:color="auto"/>
            </w:tcBorders>
            <w:shd w:val="clear" w:color="auto" w:fill="auto"/>
            <w:noWrap/>
            <w:vAlign w:val="center"/>
            <w:hideMark/>
          </w:tcPr>
          <w:p w14:paraId="007CDA22" w14:textId="623BE3A6" w:rsidR="0034449A" w:rsidRPr="00A94794" w:rsidRDefault="0034449A" w:rsidP="0034449A">
            <w:pPr>
              <w:jc w:val="center"/>
              <w:rPr>
                <w:rFonts w:ascii="Cambria" w:hAnsi="Cambria" w:cs="Calibri"/>
                <w:color w:val="000000"/>
                <w:sz w:val="16"/>
                <w:szCs w:val="16"/>
              </w:rPr>
            </w:pPr>
            <w:r>
              <w:rPr>
                <w:rFonts w:ascii="Cambria" w:hAnsi="Cambria" w:cs="Calibri"/>
                <w:color w:val="000000"/>
                <w:sz w:val="16"/>
                <w:szCs w:val="16"/>
              </w:rPr>
              <w:t>p=</w:t>
            </w:r>
            <w:r w:rsidR="00F10874" w:rsidRPr="00A94794">
              <w:rPr>
                <w:rFonts w:ascii="Cambria" w:hAnsi="Cambria" w:cs="Calibri"/>
                <w:color w:val="000000"/>
                <w:sz w:val="16"/>
                <w:szCs w:val="16"/>
              </w:rPr>
              <w:t>0.01</w:t>
            </w:r>
          </w:p>
        </w:tc>
        <w:tc>
          <w:tcPr>
            <w:tcW w:w="1300" w:type="dxa"/>
            <w:tcBorders>
              <w:top w:val="nil"/>
              <w:left w:val="nil"/>
              <w:bottom w:val="single" w:sz="4" w:space="0" w:color="auto"/>
              <w:right w:val="single" w:sz="4" w:space="0" w:color="auto"/>
            </w:tcBorders>
            <w:shd w:val="clear" w:color="auto" w:fill="auto"/>
            <w:noWrap/>
            <w:vAlign w:val="center"/>
            <w:hideMark/>
          </w:tcPr>
          <w:p w14:paraId="50C90DF0" w14:textId="6F141322" w:rsidR="0034449A" w:rsidRPr="00A94794" w:rsidRDefault="0034449A" w:rsidP="0034449A">
            <w:pPr>
              <w:jc w:val="center"/>
              <w:rPr>
                <w:rFonts w:ascii="Cambria" w:hAnsi="Cambria" w:cs="Calibri"/>
                <w:color w:val="000000"/>
                <w:sz w:val="16"/>
                <w:szCs w:val="16"/>
              </w:rPr>
            </w:pPr>
            <w:r>
              <w:rPr>
                <w:rFonts w:ascii="Cambria" w:hAnsi="Cambria" w:cs="Calibri"/>
                <w:color w:val="000000"/>
                <w:sz w:val="16"/>
                <w:szCs w:val="16"/>
              </w:rPr>
              <w:t>p=</w:t>
            </w:r>
            <w:r w:rsidR="00F10874" w:rsidRPr="00A94794">
              <w:rPr>
                <w:rFonts w:ascii="Cambria" w:hAnsi="Cambria" w:cs="Calibri"/>
                <w:color w:val="000000"/>
                <w:sz w:val="16"/>
                <w:szCs w:val="16"/>
              </w:rPr>
              <w:t>0.01</w:t>
            </w:r>
          </w:p>
        </w:tc>
        <w:tc>
          <w:tcPr>
            <w:tcW w:w="1300" w:type="dxa"/>
            <w:tcBorders>
              <w:top w:val="nil"/>
              <w:left w:val="nil"/>
              <w:bottom w:val="single" w:sz="4" w:space="0" w:color="auto"/>
              <w:right w:val="single" w:sz="4" w:space="0" w:color="auto"/>
            </w:tcBorders>
            <w:shd w:val="clear" w:color="auto" w:fill="auto"/>
            <w:noWrap/>
            <w:vAlign w:val="center"/>
            <w:hideMark/>
          </w:tcPr>
          <w:p w14:paraId="4C2883E2"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w:t>
            </w:r>
          </w:p>
        </w:tc>
        <w:tc>
          <w:tcPr>
            <w:tcW w:w="1300" w:type="dxa"/>
            <w:tcBorders>
              <w:top w:val="nil"/>
              <w:left w:val="nil"/>
              <w:bottom w:val="single" w:sz="4" w:space="0" w:color="auto"/>
              <w:right w:val="single" w:sz="4" w:space="0" w:color="auto"/>
            </w:tcBorders>
            <w:shd w:val="clear" w:color="auto" w:fill="auto"/>
            <w:noWrap/>
            <w:vAlign w:val="center"/>
            <w:hideMark/>
          </w:tcPr>
          <w:p w14:paraId="49585649" w14:textId="15395C15" w:rsidR="0034449A" w:rsidRPr="00A94794" w:rsidRDefault="00F10874" w:rsidP="0034449A">
            <w:pPr>
              <w:jc w:val="center"/>
              <w:rPr>
                <w:rFonts w:ascii="Cambria" w:hAnsi="Cambria" w:cs="Calibri"/>
                <w:color w:val="000000"/>
                <w:sz w:val="16"/>
                <w:szCs w:val="16"/>
              </w:rPr>
            </w:pPr>
            <w:r w:rsidRPr="00A94794">
              <w:rPr>
                <w:rFonts w:ascii="Cambria" w:hAnsi="Cambria" w:cs="Calibri"/>
                <w:color w:val="000000"/>
                <w:sz w:val="16"/>
                <w:szCs w:val="16"/>
              </w:rPr>
              <w:t> </w:t>
            </w:r>
            <w:r w:rsidR="0034449A">
              <w:rPr>
                <w:rFonts w:ascii="Cambria" w:hAnsi="Cambria" w:cs="Calibri"/>
                <w:color w:val="000000"/>
                <w:sz w:val="16"/>
                <w:szCs w:val="16"/>
              </w:rPr>
              <w:t>p=0.01</w:t>
            </w:r>
          </w:p>
        </w:tc>
      </w:tr>
      <w:tr w:rsidR="00F10874" w:rsidRPr="00A94794" w14:paraId="72A3E48B" w14:textId="77777777" w:rsidTr="00B05DE5">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035FE61" w14:textId="77777777" w:rsidR="00F10874" w:rsidRPr="00A94794" w:rsidRDefault="00F10874" w:rsidP="000A60CE">
            <w:pPr>
              <w:rPr>
                <w:rFonts w:ascii="Cambria" w:hAnsi="Cambria" w:cs="Calibri"/>
                <w:color w:val="000000"/>
                <w:sz w:val="16"/>
                <w:szCs w:val="16"/>
              </w:rPr>
            </w:pPr>
            <w:r w:rsidRPr="00A94794">
              <w:rPr>
                <w:rFonts w:ascii="Cambria" w:hAnsi="Cambria" w:cs="Calibri"/>
                <w:color w:val="000000"/>
                <w:sz w:val="16"/>
                <w:szCs w:val="16"/>
              </w:rPr>
              <w:t>Exam 3</w:t>
            </w:r>
          </w:p>
        </w:tc>
        <w:tc>
          <w:tcPr>
            <w:tcW w:w="1300" w:type="dxa"/>
            <w:tcBorders>
              <w:top w:val="nil"/>
              <w:left w:val="nil"/>
              <w:bottom w:val="single" w:sz="4" w:space="0" w:color="auto"/>
              <w:right w:val="single" w:sz="4" w:space="0" w:color="auto"/>
            </w:tcBorders>
            <w:shd w:val="clear" w:color="auto" w:fill="auto"/>
            <w:noWrap/>
            <w:vAlign w:val="center"/>
            <w:hideMark/>
          </w:tcPr>
          <w:p w14:paraId="626CC22D" w14:textId="738FFD87" w:rsidR="0034449A" w:rsidRPr="00A94794" w:rsidRDefault="0034449A" w:rsidP="0034449A">
            <w:pPr>
              <w:jc w:val="center"/>
              <w:rPr>
                <w:rFonts w:ascii="Cambria" w:hAnsi="Cambria" w:cs="Calibri"/>
                <w:color w:val="000000"/>
                <w:sz w:val="16"/>
                <w:szCs w:val="16"/>
              </w:rPr>
            </w:pPr>
            <w:r>
              <w:rPr>
                <w:rFonts w:ascii="Cambria" w:hAnsi="Cambria" w:cs="Calibri"/>
                <w:color w:val="000000"/>
                <w:sz w:val="16"/>
                <w:szCs w:val="16"/>
              </w:rPr>
              <w:t>p=</w:t>
            </w:r>
            <w:r w:rsidR="00F10874" w:rsidRPr="00A94794">
              <w:rPr>
                <w:rFonts w:ascii="Cambria" w:hAnsi="Cambria" w:cs="Calibri"/>
                <w:color w:val="000000"/>
                <w:sz w:val="16"/>
                <w:szCs w:val="16"/>
              </w:rPr>
              <w:t>0.05</w:t>
            </w:r>
          </w:p>
        </w:tc>
        <w:tc>
          <w:tcPr>
            <w:tcW w:w="1300" w:type="dxa"/>
            <w:tcBorders>
              <w:top w:val="nil"/>
              <w:left w:val="nil"/>
              <w:bottom w:val="single" w:sz="4" w:space="0" w:color="auto"/>
              <w:right w:val="single" w:sz="4" w:space="0" w:color="auto"/>
            </w:tcBorders>
            <w:shd w:val="clear" w:color="auto" w:fill="auto"/>
            <w:noWrap/>
            <w:vAlign w:val="center"/>
            <w:hideMark/>
          </w:tcPr>
          <w:p w14:paraId="01622AC4" w14:textId="497E71EA" w:rsidR="0034449A" w:rsidRPr="00A94794" w:rsidRDefault="0034449A" w:rsidP="0034449A">
            <w:pPr>
              <w:jc w:val="center"/>
              <w:rPr>
                <w:rFonts w:ascii="Cambria" w:hAnsi="Cambria" w:cs="Calibri"/>
                <w:color w:val="000000"/>
                <w:sz w:val="16"/>
                <w:szCs w:val="16"/>
              </w:rPr>
            </w:pPr>
            <w:r>
              <w:rPr>
                <w:rFonts w:ascii="Cambria" w:hAnsi="Cambria" w:cs="Calibri"/>
                <w:color w:val="000000"/>
                <w:sz w:val="16"/>
                <w:szCs w:val="16"/>
              </w:rPr>
              <w:t>p=</w:t>
            </w:r>
            <w:r w:rsidR="00F10874" w:rsidRPr="00A94794">
              <w:rPr>
                <w:rFonts w:ascii="Cambria" w:hAnsi="Cambria" w:cs="Calibri"/>
                <w:color w:val="000000"/>
                <w:sz w:val="16"/>
                <w:szCs w:val="16"/>
              </w:rPr>
              <w:t>0.01</w:t>
            </w:r>
          </w:p>
        </w:tc>
        <w:tc>
          <w:tcPr>
            <w:tcW w:w="1300" w:type="dxa"/>
            <w:tcBorders>
              <w:top w:val="nil"/>
              <w:left w:val="nil"/>
              <w:bottom w:val="single" w:sz="4" w:space="0" w:color="auto"/>
              <w:right w:val="single" w:sz="4" w:space="0" w:color="auto"/>
            </w:tcBorders>
            <w:shd w:val="clear" w:color="auto" w:fill="auto"/>
            <w:noWrap/>
            <w:vAlign w:val="center"/>
            <w:hideMark/>
          </w:tcPr>
          <w:p w14:paraId="2E0F62B1" w14:textId="7532EB74" w:rsidR="0034449A" w:rsidRPr="00A94794" w:rsidRDefault="00F10874" w:rsidP="0034449A">
            <w:pPr>
              <w:jc w:val="center"/>
              <w:rPr>
                <w:rFonts w:ascii="Cambria" w:hAnsi="Cambria" w:cs="Calibri"/>
                <w:color w:val="000000"/>
                <w:sz w:val="16"/>
                <w:szCs w:val="16"/>
              </w:rPr>
            </w:pPr>
            <w:r w:rsidRPr="00A94794">
              <w:rPr>
                <w:rFonts w:ascii="Cambria" w:hAnsi="Cambria" w:cs="Calibri"/>
                <w:color w:val="000000"/>
                <w:sz w:val="16"/>
                <w:szCs w:val="16"/>
              </w:rPr>
              <w:t> </w:t>
            </w:r>
            <w:r w:rsidR="0034449A">
              <w:rPr>
                <w:rFonts w:ascii="Cambria" w:hAnsi="Cambria" w:cs="Calibri"/>
                <w:color w:val="000000"/>
                <w:sz w:val="16"/>
                <w:szCs w:val="16"/>
              </w:rPr>
              <w:t>p=</w:t>
            </w:r>
            <w:r w:rsidRPr="00A94794">
              <w:rPr>
                <w:rFonts w:ascii="Cambria" w:hAnsi="Cambria" w:cs="Calibri"/>
                <w:color w:val="000000"/>
                <w:sz w:val="16"/>
                <w:szCs w:val="16"/>
              </w:rPr>
              <w:t>0.01</w:t>
            </w:r>
          </w:p>
        </w:tc>
        <w:tc>
          <w:tcPr>
            <w:tcW w:w="1300" w:type="dxa"/>
            <w:tcBorders>
              <w:top w:val="nil"/>
              <w:left w:val="nil"/>
              <w:bottom w:val="single" w:sz="4" w:space="0" w:color="auto"/>
              <w:right w:val="single" w:sz="4" w:space="0" w:color="auto"/>
            </w:tcBorders>
            <w:shd w:val="clear" w:color="auto" w:fill="auto"/>
            <w:noWrap/>
            <w:vAlign w:val="center"/>
            <w:hideMark/>
          </w:tcPr>
          <w:p w14:paraId="1F49F0B4"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w:t>
            </w:r>
          </w:p>
        </w:tc>
      </w:tr>
      <w:tr w:rsidR="00F10874" w:rsidRPr="00A94794" w14:paraId="7A5E2CCF" w14:textId="77777777" w:rsidTr="00B05DE5">
        <w:trPr>
          <w:trHeight w:val="320"/>
        </w:trPr>
        <w:tc>
          <w:tcPr>
            <w:tcW w:w="1300" w:type="dxa"/>
            <w:tcBorders>
              <w:top w:val="nil"/>
              <w:left w:val="single" w:sz="4" w:space="0" w:color="auto"/>
              <w:bottom w:val="single" w:sz="4" w:space="0" w:color="auto"/>
              <w:right w:val="single" w:sz="4" w:space="0" w:color="auto"/>
            </w:tcBorders>
            <w:shd w:val="clear" w:color="000000" w:fill="D9D9D9"/>
            <w:noWrap/>
            <w:vAlign w:val="center"/>
            <w:hideMark/>
          </w:tcPr>
          <w:p w14:paraId="1483A511" w14:textId="77777777" w:rsidR="00F10874" w:rsidRPr="00A94794" w:rsidRDefault="00F10874" w:rsidP="000A60CE">
            <w:pPr>
              <w:rPr>
                <w:rFonts w:ascii="Cambria" w:hAnsi="Cambria" w:cs="Calibri"/>
                <w:color w:val="000000"/>
                <w:sz w:val="16"/>
                <w:szCs w:val="16"/>
              </w:rPr>
            </w:pPr>
            <w:r w:rsidRPr="00A94794">
              <w:rPr>
                <w:rFonts w:ascii="Cambria" w:hAnsi="Cambria" w:cs="Calibri"/>
                <w:color w:val="000000"/>
                <w:sz w:val="16"/>
                <w:szCs w:val="16"/>
              </w:rPr>
              <w:t>Group 2</w:t>
            </w:r>
          </w:p>
        </w:tc>
        <w:tc>
          <w:tcPr>
            <w:tcW w:w="1300" w:type="dxa"/>
            <w:tcBorders>
              <w:top w:val="nil"/>
              <w:left w:val="nil"/>
              <w:bottom w:val="single" w:sz="4" w:space="0" w:color="auto"/>
              <w:right w:val="single" w:sz="4" w:space="0" w:color="auto"/>
            </w:tcBorders>
            <w:shd w:val="clear" w:color="000000" w:fill="D9D9D9"/>
            <w:noWrap/>
            <w:vAlign w:val="center"/>
            <w:hideMark/>
          </w:tcPr>
          <w:p w14:paraId="19604316"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 </w:t>
            </w:r>
          </w:p>
        </w:tc>
        <w:tc>
          <w:tcPr>
            <w:tcW w:w="1300" w:type="dxa"/>
            <w:tcBorders>
              <w:top w:val="nil"/>
              <w:left w:val="nil"/>
              <w:bottom w:val="single" w:sz="4" w:space="0" w:color="auto"/>
              <w:right w:val="single" w:sz="4" w:space="0" w:color="auto"/>
            </w:tcBorders>
            <w:shd w:val="clear" w:color="000000" w:fill="D9D9D9"/>
            <w:noWrap/>
            <w:vAlign w:val="center"/>
            <w:hideMark/>
          </w:tcPr>
          <w:p w14:paraId="1CFA6887"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 </w:t>
            </w:r>
          </w:p>
        </w:tc>
        <w:tc>
          <w:tcPr>
            <w:tcW w:w="1300" w:type="dxa"/>
            <w:tcBorders>
              <w:top w:val="nil"/>
              <w:left w:val="nil"/>
              <w:bottom w:val="single" w:sz="4" w:space="0" w:color="auto"/>
              <w:right w:val="single" w:sz="4" w:space="0" w:color="auto"/>
            </w:tcBorders>
            <w:shd w:val="clear" w:color="000000" w:fill="D9D9D9"/>
            <w:noWrap/>
            <w:vAlign w:val="center"/>
            <w:hideMark/>
          </w:tcPr>
          <w:p w14:paraId="4D88CC19"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 </w:t>
            </w:r>
          </w:p>
        </w:tc>
        <w:tc>
          <w:tcPr>
            <w:tcW w:w="1300" w:type="dxa"/>
            <w:tcBorders>
              <w:top w:val="nil"/>
              <w:left w:val="nil"/>
              <w:bottom w:val="single" w:sz="4" w:space="0" w:color="auto"/>
              <w:right w:val="single" w:sz="4" w:space="0" w:color="auto"/>
            </w:tcBorders>
            <w:shd w:val="clear" w:color="000000" w:fill="D9D9D9"/>
            <w:noWrap/>
            <w:vAlign w:val="center"/>
            <w:hideMark/>
          </w:tcPr>
          <w:p w14:paraId="140AB8BF"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 </w:t>
            </w:r>
          </w:p>
        </w:tc>
      </w:tr>
      <w:tr w:rsidR="00F10874" w:rsidRPr="00A94794" w14:paraId="5F521FA0" w14:textId="77777777" w:rsidTr="00B05DE5">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9E9EE99" w14:textId="77777777" w:rsidR="00F10874" w:rsidRPr="00A94794" w:rsidRDefault="00F10874" w:rsidP="000A60CE">
            <w:pPr>
              <w:rPr>
                <w:rFonts w:ascii="Cambria" w:hAnsi="Cambria" w:cs="Calibri"/>
                <w:color w:val="000000"/>
                <w:sz w:val="16"/>
                <w:szCs w:val="16"/>
              </w:rPr>
            </w:pPr>
            <w:r w:rsidRPr="00A94794">
              <w:rPr>
                <w:rFonts w:ascii="Cambria" w:hAnsi="Cambria" w:cs="Calibri"/>
                <w:color w:val="000000"/>
                <w:sz w:val="16"/>
                <w:szCs w:val="16"/>
              </w:rPr>
              <w:t>Exam 1</w:t>
            </w:r>
          </w:p>
        </w:tc>
        <w:tc>
          <w:tcPr>
            <w:tcW w:w="1300" w:type="dxa"/>
            <w:tcBorders>
              <w:top w:val="nil"/>
              <w:left w:val="nil"/>
              <w:bottom w:val="single" w:sz="4" w:space="0" w:color="auto"/>
              <w:right w:val="single" w:sz="4" w:space="0" w:color="auto"/>
            </w:tcBorders>
            <w:shd w:val="clear" w:color="auto" w:fill="auto"/>
            <w:noWrap/>
            <w:vAlign w:val="center"/>
            <w:hideMark/>
          </w:tcPr>
          <w:p w14:paraId="6E731E8C" w14:textId="04F00880" w:rsidR="00F10874" w:rsidRPr="00A94794" w:rsidRDefault="0034449A" w:rsidP="000A60CE">
            <w:pPr>
              <w:jc w:val="center"/>
              <w:rPr>
                <w:rFonts w:ascii="Cambria" w:hAnsi="Cambria" w:cs="Calibri"/>
                <w:color w:val="000000"/>
                <w:sz w:val="16"/>
                <w:szCs w:val="16"/>
              </w:rPr>
            </w:pPr>
            <w:r>
              <w:rPr>
                <w:rFonts w:ascii="Cambria" w:hAnsi="Cambria" w:cs="Calibri"/>
                <w:color w:val="000000"/>
                <w:sz w:val="16"/>
                <w:szCs w:val="16"/>
              </w:rPr>
              <w:t>p=</w:t>
            </w:r>
            <w:r w:rsidR="00F10874" w:rsidRPr="00A94794">
              <w:rPr>
                <w:rFonts w:ascii="Cambria" w:hAnsi="Cambria" w:cs="Calibri"/>
                <w:color w:val="000000"/>
                <w:sz w:val="16"/>
                <w:szCs w:val="16"/>
              </w:rPr>
              <w:t>0.01</w:t>
            </w:r>
          </w:p>
        </w:tc>
        <w:tc>
          <w:tcPr>
            <w:tcW w:w="1300" w:type="dxa"/>
            <w:tcBorders>
              <w:top w:val="nil"/>
              <w:left w:val="nil"/>
              <w:bottom w:val="single" w:sz="4" w:space="0" w:color="auto"/>
              <w:right w:val="single" w:sz="4" w:space="0" w:color="auto"/>
            </w:tcBorders>
            <w:shd w:val="clear" w:color="auto" w:fill="auto"/>
            <w:noWrap/>
            <w:vAlign w:val="center"/>
            <w:hideMark/>
          </w:tcPr>
          <w:p w14:paraId="5167DF30"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w:t>
            </w:r>
          </w:p>
        </w:tc>
        <w:tc>
          <w:tcPr>
            <w:tcW w:w="1300" w:type="dxa"/>
            <w:tcBorders>
              <w:top w:val="nil"/>
              <w:left w:val="nil"/>
              <w:bottom w:val="single" w:sz="4" w:space="0" w:color="auto"/>
              <w:right w:val="single" w:sz="4" w:space="0" w:color="auto"/>
            </w:tcBorders>
            <w:shd w:val="clear" w:color="auto" w:fill="auto"/>
            <w:noWrap/>
            <w:vAlign w:val="center"/>
            <w:hideMark/>
          </w:tcPr>
          <w:p w14:paraId="18EA17DF" w14:textId="28BCB2F5"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 </w:t>
            </w:r>
            <w:r w:rsidR="0034449A">
              <w:rPr>
                <w:rFonts w:ascii="Cambria" w:hAnsi="Cambria" w:cs="Calibri"/>
                <w:color w:val="000000"/>
                <w:sz w:val="16"/>
                <w:szCs w:val="16"/>
              </w:rPr>
              <w:t>p=</w:t>
            </w:r>
            <w:r w:rsidRPr="00A94794">
              <w:rPr>
                <w:rFonts w:ascii="Cambria" w:hAnsi="Cambria" w:cs="Calibri"/>
                <w:color w:val="000000"/>
                <w:sz w:val="16"/>
                <w:szCs w:val="16"/>
              </w:rPr>
              <w:t>0.05</w:t>
            </w:r>
          </w:p>
        </w:tc>
        <w:tc>
          <w:tcPr>
            <w:tcW w:w="1300" w:type="dxa"/>
            <w:tcBorders>
              <w:top w:val="nil"/>
              <w:left w:val="nil"/>
              <w:bottom w:val="single" w:sz="4" w:space="0" w:color="auto"/>
              <w:right w:val="single" w:sz="4" w:space="0" w:color="auto"/>
            </w:tcBorders>
            <w:shd w:val="clear" w:color="auto" w:fill="auto"/>
            <w:noWrap/>
            <w:vAlign w:val="center"/>
            <w:hideMark/>
          </w:tcPr>
          <w:p w14:paraId="67A27AE9" w14:textId="4BE4E1D7" w:rsidR="00F10874" w:rsidRPr="00A94794" w:rsidRDefault="0034449A" w:rsidP="000A60CE">
            <w:pPr>
              <w:jc w:val="center"/>
              <w:rPr>
                <w:rFonts w:ascii="Cambria" w:hAnsi="Cambria" w:cs="Calibri"/>
                <w:color w:val="000000"/>
                <w:sz w:val="16"/>
                <w:szCs w:val="16"/>
              </w:rPr>
            </w:pPr>
            <w:r>
              <w:rPr>
                <w:rFonts w:ascii="Cambria" w:hAnsi="Cambria" w:cs="Calibri"/>
                <w:color w:val="000000"/>
                <w:sz w:val="16"/>
                <w:szCs w:val="16"/>
              </w:rPr>
              <w:t>p=</w:t>
            </w:r>
            <w:r w:rsidR="00F10874" w:rsidRPr="00A94794">
              <w:rPr>
                <w:rFonts w:ascii="Cambria" w:hAnsi="Cambria" w:cs="Calibri"/>
                <w:color w:val="000000"/>
                <w:sz w:val="16"/>
                <w:szCs w:val="16"/>
              </w:rPr>
              <w:t>0.01</w:t>
            </w:r>
          </w:p>
        </w:tc>
      </w:tr>
      <w:tr w:rsidR="00F10874" w:rsidRPr="00A94794" w14:paraId="56B7DD67" w14:textId="77777777" w:rsidTr="00B05DE5">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C9414F0" w14:textId="77777777" w:rsidR="00F10874" w:rsidRPr="00A94794" w:rsidRDefault="00F10874" w:rsidP="000A60CE">
            <w:pPr>
              <w:rPr>
                <w:rFonts w:ascii="Cambria" w:hAnsi="Cambria" w:cs="Calibri"/>
                <w:color w:val="000000"/>
                <w:sz w:val="16"/>
                <w:szCs w:val="16"/>
              </w:rPr>
            </w:pPr>
            <w:r w:rsidRPr="00A94794">
              <w:rPr>
                <w:rFonts w:ascii="Cambria" w:hAnsi="Cambria" w:cs="Calibri"/>
                <w:color w:val="000000"/>
                <w:sz w:val="16"/>
                <w:szCs w:val="16"/>
              </w:rPr>
              <w:t>Exam 2</w:t>
            </w:r>
          </w:p>
        </w:tc>
        <w:tc>
          <w:tcPr>
            <w:tcW w:w="1300" w:type="dxa"/>
            <w:tcBorders>
              <w:top w:val="nil"/>
              <w:left w:val="nil"/>
              <w:bottom w:val="single" w:sz="4" w:space="0" w:color="auto"/>
              <w:right w:val="single" w:sz="4" w:space="0" w:color="auto"/>
            </w:tcBorders>
            <w:shd w:val="clear" w:color="auto" w:fill="auto"/>
            <w:noWrap/>
            <w:vAlign w:val="center"/>
            <w:hideMark/>
          </w:tcPr>
          <w:p w14:paraId="07F436E6" w14:textId="3EE774DD" w:rsidR="00F10874" w:rsidRPr="00A94794" w:rsidRDefault="0034449A" w:rsidP="000A60CE">
            <w:pPr>
              <w:jc w:val="center"/>
              <w:rPr>
                <w:rFonts w:ascii="Cambria" w:hAnsi="Cambria" w:cs="Calibri"/>
                <w:color w:val="000000"/>
                <w:sz w:val="16"/>
                <w:szCs w:val="16"/>
              </w:rPr>
            </w:pPr>
            <w:r>
              <w:rPr>
                <w:rFonts w:ascii="Cambria" w:hAnsi="Cambria" w:cs="Calibri"/>
                <w:color w:val="000000"/>
                <w:sz w:val="16"/>
                <w:szCs w:val="16"/>
              </w:rPr>
              <w:t>p=</w:t>
            </w:r>
            <w:r w:rsidR="00F10874" w:rsidRPr="00A94794">
              <w:rPr>
                <w:rFonts w:ascii="Cambria" w:hAnsi="Cambria" w:cs="Calibri"/>
                <w:color w:val="000000"/>
                <w:sz w:val="16"/>
                <w:szCs w:val="16"/>
              </w:rPr>
              <w:t>0.01</w:t>
            </w:r>
          </w:p>
        </w:tc>
        <w:tc>
          <w:tcPr>
            <w:tcW w:w="1300" w:type="dxa"/>
            <w:tcBorders>
              <w:top w:val="nil"/>
              <w:left w:val="nil"/>
              <w:bottom w:val="single" w:sz="4" w:space="0" w:color="auto"/>
              <w:right w:val="single" w:sz="4" w:space="0" w:color="auto"/>
            </w:tcBorders>
            <w:shd w:val="clear" w:color="auto" w:fill="auto"/>
            <w:noWrap/>
            <w:vAlign w:val="center"/>
            <w:hideMark/>
          </w:tcPr>
          <w:p w14:paraId="3EEAC4D6" w14:textId="2481644D" w:rsidR="00F10874" w:rsidRPr="00A94794" w:rsidRDefault="0034449A" w:rsidP="000A60CE">
            <w:pPr>
              <w:jc w:val="center"/>
              <w:rPr>
                <w:rFonts w:ascii="Cambria" w:hAnsi="Cambria" w:cs="Calibri"/>
                <w:color w:val="000000"/>
                <w:sz w:val="16"/>
                <w:szCs w:val="16"/>
              </w:rPr>
            </w:pPr>
            <w:r>
              <w:rPr>
                <w:rFonts w:ascii="Cambria" w:hAnsi="Cambria" w:cs="Calibri"/>
                <w:color w:val="000000"/>
                <w:sz w:val="16"/>
                <w:szCs w:val="16"/>
              </w:rPr>
              <w:t>p=</w:t>
            </w:r>
            <w:r w:rsidR="00F10874" w:rsidRPr="00A94794">
              <w:rPr>
                <w:rFonts w:ascii="Cambria" w:hAnsi="Cambria" w:cs="Calibri"/>
                <w:color w:val="000000"/>
                <w:sz w:val="16"/>
                <w:szCs w:val="16"/>
              </w:rPr>
              <w:t>0.05</w:t>
            </w:r>
          </w:p>
        </w:tc>
        <w:tc>
          <w:tcPr>
            <w:tcW w:w="1300" w:type="dxa"/>
            <w:tcBorders>
              <w:top w:val="nil"/>
              <w:left w:val="nil"/>
              <w:bottom w:val="single" w:sz="4" w:space="0" w:color="auto"/>
              <w:right w:val="single" w:sz="4" w:space="0" w:color="auto"/>
            </w:tcBorders>
            <w:shd w:val="clear" w:color="auto" w:fill="auto"/>
            <w:noWrap/>
            <w:vAlign w:val="center"/>
            <w:hideMark/>
          </w:tcPr>
          <w:p w14:paraId="4F8E10D2"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w:t>
            </w:r>
          </w:p>
        </w:tc>
        <w:tc>
          <w:tcPr>
            <w:tcW w:w="1300" w:type="dxa"/>
            <w:tcBorders>
              <w:top w:val="nil"/>
              <w:left w:val="nil"/>
              <w:bottom w:val="single" w:sz="4" w:space="0" w:color="auto"/>
              <w:right w:val="single" w:sz="4" w:space="0" w:color="auto"/>
            </w:tcBorders>
            <w:shd w:val="clear" w:color="auto" w:fill="auto"/>
            <w:noWrap/>
            <w:vAlign w:val="center"/>
            <w:hideMark/>
          </w:tcPr>
          <w:p w14:paraId="18282248"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0</w:t>
            </w:r>
          </w:p>
        </w:tc>
      </w:tr>
      <w:tr w:rsidR="00F10874" w:rsidRPr="00A94794" w14:paraId="276282F6" w14:textId="77777777" w:rsidTr="00B05DE5">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6B58990" w14:textId="77777777" w:rsidR="00F10874" w:rsidRPr="00A94794" w:rsidRDefault="00F10874" w:rsidP="000A60CE">
            <w:pPr>
              <w:rPr>
                <w:rFonts w:ascii="Cambria" w:hAnsi="Cambria" w:cs="Calibri"/>
                <w:color w:val="000000"/>
                <w:sz w:val="16"/>
                <w:szCs w:val="16"/>
              </w:rPr>
            </w:pPr>
            <w:r w:rsidRPr="00A94794">
              <w:rPr>
                <w:rFonts w:ascii="Cambria" w:hAnsi="Cambria" w:cs="Calibri"/>
                <w:color w:val="000000"/>
                <w:sz w:val="16"/>
                <w:szCs w:val="16"/>
              </w:rPr>
              <w:t>Exam 3</w:t>
            </w:r>
          </w:p>
        </w:tc>
        <w:tc>
          <w:tcPr>
            <w:tcW w:w="1300" w:type="dxa"/>
            <w:tcBorders>
              <w:top w:val="nil"/>
              <w:left w:val="nil"/>
              <w:bottom w:val="single" w:sz="4" w:space="0" w:color="auto"/>
              <w:right w:val="single" w:sz="4" w:space="0" w:color="auto"/>
            </w:tcBorders>
            <w:shd w:val="clear" w:color="auto" w:fill="auto"/>
            <w:noWrap/>
            <w:vAlign w:val="center"/>
            <w:hideMark/>
          </w:tcPr>
          <w:p w14:paraId="5D6B4EA6" w14:textId="1E96A1ED" w:rsidR="00F10874" w:rsidRPr="00A94794" w:rsidRDefault="0034449A" w:rsidP="000A60CE">
            <w:pPr>
              <w:jc w:val="center"/>
              <w:rPr>
                <w:rFonts w:ascii="Cambria" w:hAnsi="Cambria" w:cs="Calibri"/>
                <w:color w:val="000000"/>
                <w:sz w:val="16"/>
                <w:szCs w:val="16"/>
              </w:rPr>
            </w:pPr>
            <w:r>
              <w:rPr>
                <w:rFonts w:ascii="Cambria" w:hAnsi="Cambria" w:cs="Calibri"/>
                <w:color w:val="000000"/>
                <w:sz w:val="16"/>
                <w:szCs w:val="16"/>
              </w:rPr>
              <w:t>p=</w:t>
            </w:r>
            <w:r w:rsidR="00F10874" w:rsidRPr="00A94794">
              <w:rPr>
                <w:rFonts w:ascii="Cambria" w:hAnsi="Cambria" w:cs="Calibri"/>
                <w:color w:val="000000"/>
                <w:sz w:val="16"/>
                <w:szCs w:val="16"/>
              </w:rPr>
              <w:t>0.05</w:t>
            </w:r>
          </w:p>
        </w:tc>
        <w:tc>
          <w:tcPr>
            <w:tcW w:w="1300" w:type="dxa"/>
            <w:tcBorders>
              <w:top w:val="nil"/>
              <w:left w:val="nil"/>
              <w:bottom w:val="single" w:sz="4" w:space="0" w:color="auto"/>
              <w:right w:val="single" w:sz="4" w:space="0" w:color="auto"/>
            </w:tcBorders>
            <w:shd w:val="clear" w:color="auto" w:fill="auto"/>
            <w:noWrap/>
            <w:vAlign w:val="center"/>
            <w:hideMark/>
          </w:tcPr>
          <w:p w14:paraId="78B52160" w14:textId="00EBA3C9" w:rsidR="00F10874" w:rsidRPr="00A94794" w:rsidRDefault="0034449A" w:rsidP="000A60CE">
            <w:pPr>
              <w:jc w:val="center"/>
              <w:rPr>
                <w:rFonts w:ascii="Cambria" w:hAnsi="Cambria" w:cs="Calibri"/>
                <w:color w:val="000000"/>
                <w:sz w:val="16"/>
                <w:szCs w:val="16"/>
              </w:rPr>
            </w:pPr>
            <w:r>
              <w:rPr>
                <w:rFonts w:ascii="Cambria" w:hAnsi="Cambria" w:cs="Calibri"/>
                <w:color w:val="000000"/>
                <w:sz w:val="16"/>
                <w:szCs w:val="16"/>
              </w:rPr>
              <w:t>p=</w:t>
            </w:r>
            <w:r w:rsidR="00F10874" w:rsidRPr="00A94794">
              <w:rPr>
                <w:rFonts w:ascii="Cambria" w:hAnsi="Cambria" w:cs="Calibri"/>
                <w:color w:val="000000"/>
                <w:sz w:val="16"/>
                <w:szCs w:val="16"/>
              </w:rPr>
              <w:t>0.01</w:t>
            </w:r>
          </w:p>
        </w:tc>
        <w:tc>
          <w:tcPr>
            <w:tcW w:w="1300" w:type="dxa"/>
            <w:tcBorders>
              <w:top w:val="nil"/>
              <w:left w:val="nil"/>
              <w:bottom w:val="single" w:sz="4" w:space="0" w:color="auto"/>
              <w:right w:val="single" w:sz="4" w:space="0" w:color="auto"/>
            </w:tcBorders>
            <w:shd w:val="clear" w:color="auto" w:fill="auto"/>
            <w:noWrap/>
            <w:vAlign w:val="center"/>
            <w:hideMark/>
          </w:tcPr>
          <w:p w14:paraId="57CE4F5E" w14:textId="4D30271F" w:rsidR="00F10874" w:rsidRPr="00A94794" w:rsidRDefault="0034449A" w:rsidP="000A60CE">
            <w:pPr>
              <w:jc w:val="center"/>
              <w:rPr>
                <w:rFonts w:ascii="Cambria" w:hAnsi="Cambria" w:cs="Calibri"/>
                <w:color w:val="000000"/>
                <w:sz w:val="16"/>
                <w:szCs w:val="16"/>
              </w:rPr>
            </w:pPr>
            <w:r>
              <w:rPr>
                <w:rFonts w:ascii="Cambria" w:hAnsi="Cambria" w:cs="Calibri"/>
                <w:color w:val="000000"/>
                <w:sz w:val="16"/>
                <w:szCs w:val="16"/>
              </w:rPr>
              <w:t>0</w:t>
            </w:r>
          </w:p>
        </w:tc>
        <w:tc>
          <w:tcPr>
            <w:tcW w:w="1300" w:type="dxa"/>
            <w:tcBorders>
              <w:top w:val="nil"/>
              <w:left w:val="nil"/>
              <w:bottom w:val="single" w:sz="4" w:space="0" w:color="auto"/>
              <w:right w:val="single" w:sz="4" w:space="0" w:color="auto"/>
            </w:tcBorders>
            <w:shd w:val="clear" w:color="auto" w:fill="auto"/>
            <w:noWrap/>
            <w:vAlign w:val="center"/>
            <w:hideMark/>
          </w:tcPr>
          <w:p w14:paraId="20C7ADC8" w14:textId="77777777" w:rsidR="00F10874" w:rsidRPr="00A94794" w:rsidRDefault="00F10874" w:rsidP="000A60CE">
            <w:pPr>
              <w:jc w:val="center"/>
              <w:rPr>
                <w:rFonts w:ascii="Cambria" w:hAnsi="Cambria" w:cs="Calibri"/>
                <w:color w:val="000000"/>
                <w:sz w:val="16"/>
                <w:szCs w:val="16"/>
              </w:rPr>
            </w:pPr>
            <w:r w:rsidRPr="00A94794">
              <w:rPr>
                <w:rFonts w:ascii="Cambria" w:hAnsi="Cambria" w:cs="Calibri"/>
                <w:color w:val="000000"/>
                <w:sz w:val="16"/>
                <w:szCs w:val="16"/>
              </w:rPr>
              <w:t>**</w:t>
            </w:r>
          </w:p>
        </w:tc>
      </w:tr>
    </w:tbl>
    <w:p w14:paraId="0946DEC7" w14:textId="77777777" w:rsidR="00F10874" w:rsidRDefault="00F10874" w:rsidP="00F10874">
      <w:pPr>
        <w:spacing w:line="480" w:lineRule="auto"/>
        <w:outlineLvl w:val="0"/>
        <w:rPr>
          <w:rFonts w:asciiTheme="minorHAnsi" w:hAnsiTheme="minorHAnsi"/>
        </w:rPr>
      </w:pPr>
    </w:p>
    <w:p w14:paraId="7EDD2FBD" w14:textId="77777777" w:rsidR="00F10874" w:rsidRPr="00A658B0" w:rsidRDefault="00F10874" w:rsidP="00F10874">
      <w:pPr>
        <w:spacing w:line="480" w:lineRule="auto"/>
        <w:outlineLvl w:val="0"/>
        <w:rPr>
          <w:rFonts w:asciiTheme="minorHAnsi" w:hAnsiTheme="minorHAnsi"/>
          <w:b/>
        </w:rPr>
      </w:pPr>
      <w:r w:rsidRPr="00A658B0">
        <w:rPr>
          <w:rFonts w:asciiTheme="minorHAnsi" w:hAnsiTheme="minorHAnsi"/>
          <w:b/>
        </w:rPr>
        <w:t>Figure 5. Student support service usage and exam grade correlations</w:t>
      </w:r>
    </w:p>
    <w:p w14:paraId="44BB9F66" w14:textId="59CD33B8" w:rsidR="00F10874" w:rsidRDefault="00F10874" w:rsidP="00F10874">
      <w:pPr>
        <w:spacing w:line="480" w:lineRule="auto"/>
        <w:outlineLvl w:val="0"/>
        <w:rPr>
          <w:rFonts w:asciiTheme="minorHAnsi" w:hAnsiTheme="minorHAnsi"/>
        </w:rPr>
      </w:pPr>
      <w:r>
        <w:rPr>
          <w:rFonts w:asciiTheme="minorHAnsi" w:hAnsiTheme="minorHAnsi"/>
        </w:rPr>
        <w:t>Higher exam grades were correlated with increased student support service use (</w:t>
      </w:r>
      <w:r>
        <w:rPr>
          <w:rFonts w:asciiTheme="minorHAnsi" w:hAnsiTheme="minorHAnsi"/>
          <w:i/>
        </w:rPr>
        <w:t>p</w:t>
      </w:r>
      <w:r>
        <w:rPr>
          <w:rFonts w:asciiTheme="minorHAnsi" w:hAnsiTheme="minorHAnsi"/>
        </w:rPr>
        <w:t xml:space="preserve">=0.05).  </w:t>
      </w:r>
      <w:r>
        <w:rPr>
          <w:rFonts w:asciiTheme="minorHAnsi" w:hAnsiTheme="minorHAnsi"/>
          <w:color w:val="000000" w:themeColor="text1"/>
        </w:rPr>
        <w:t xml:space="preserve">Positive correlation indicates higher rates of </w:t>
      </w:r>
      <w:r w:rsidR="002E6792">
        <w:rPr>
          <w:rFonts w:asciiTheme="minorHAnsi" w:hAnsiTheme="minorHAnsi"/>
          <w:color w:val="000000" w:themeColor="text1"/>
        </w:rPr>
        <w:t>help-seeking</w:t>
      </w:r>
      <w:r>
        <w:rPr>
          <w:rFonts w:asciiTheme="minorHAnsi" w:hAnsiTheme="minorHAnsi"/>
          <w:color w:val="000000" w:themeColor="text1"/>
        </w:rPr>
        <w:t xml:space="preserve"> and support service use.  Correlation </w:t>
      </w:r>
      <w:r w:rsidR="00A37639">
        <w:rPr>
          <w:rFonts w:asciiTheme="minorHAnsi" w:hAnsiTheme="minorHAnsi"/>
          <w:color w:val="000000" w:themeColor="text1"/>
        </w:rPr>
        <w:t xml:space="preserve">was </w:t>
      </w:r>
      <w:r>
        <w:rPr>
          <w:rFonts w:asciiTheme="minorHAnsi" w:hAnsiTheme="minorHAnsi"/>
          <w:color w:val="000000" w:themeColor="text1"/>
        </w:rPr>
        <w:t xml:space="preserve">performed with yes/no responses </w:t>
      </w:r>
      <w:r w:rsidR="00A37639">
        <w:rPr>
          <w:rFonts w:asciiTheme="minorHAnsi" w:hAnsiTheme="minorHAnsi"/>
          <w:color w:val="000000" w:themeColor="text1"/>
        </w:rPr>
        <w:t xml:space="preserve">regarding </w:t>
      </w:r>
      <w:r>
        <w:rPr>
          <w:rFonts w:asciiTheme="minorHAnsi" w:hAnsiTheme="minorHAnsi"/>
          <w:color w:val="000000" w:themeColor="text1"/>
        </w:rPr>
        <w:t>use of support services.</w:t>
      </w:r>
    </w:p>
    <w:p w14:paraId="765193B9" w14:textId="77777777" w:rsidR="00F10874" w:rsidRPr="00F10874" w:rsidRDefault="00F10874" w:rsidP="00F10874">
      <w:pPr>
        <w:spacing w:line="480" w:lineRule="auto"/>
        <w:outlineLvl w:val="0"/>
        <w:rPr>
          <w:rFonts w:asciiTheme="minorHAnsi" w:hAnsiTheme="minorHAnsi"/>
        </w:rPr>
      </w:pPr>
    </w:p>
    <w:p w14:paraId="182A4223" w14:textId="09D215D3" w:rsidR="00CC7994" w:rsidRDefault="001779CF" w:rsidP="00C56311">
      <w:pPr>
        <w:spacing w:line="480" w:lineRule="auto"/>
        <w:rPr>
          <w:rFonts w:asciiTheme="minorHAnsi" w:hAnsiTheme="minorHAnsi"/>
        </w:rPr>
      </w:pPr>
      <w:r>
        <w:rPr>
          <w:rFonts w:asciiTheme="minorHAnsi" w:hAnsiTheme="minorHAnsi"/>
        </w:rPr>
        <w:t xml:space="preserve">As previously stated, </w:t>
      </w:r>
      <w:r w:rsidR="00CC7994" w:rsidRPr="00B417BF">
        <w:rPr>
          <w:rFonts w:asciiTheme="minorHAnsi" w:hAnsiTheme="minorHAnsi"/>
        </w:rPr>
        <w:t>support from family, peers, and upperclassmen</w:t>
      </w:r>
      <w:r w:rsidR="00EA7ED2">
        <w:rPr>
          <w:rFonts w:asciiTheme="minorHAnsi" w:hAnsiTheme="minorHAnsi"/>
        </w:rPr>
        <w:t xml:space="preserve"> were reported at higher rates by all students</w:t>
      </w:r>
      <w:r w:rsidR="00CC7994" w:rsidRPr="00B417BF">
        <w:rPr>
          <w:rFonts w:asciiTheme="minorHAnsi" w:hAnsiTheme="minorHAnsi"/>
        </w:rPr>
        <w:t xml:space="preserve">. </w:t>
      </w:r>
      <w:r>
        <w:rPr>
          <w:rFonts w:asciiTheme="minorHAnsi" w:hAnsiTheme="minorHAnsi"/>
        </w:rPr>
        <w:t xml:space="preserve"> </w:t>
      </w:r>
      <w:r w:rsidR="003828F4">
        <w:rPr>
          <w:rFonts w:asciiTheme="minorHAnsi" w:hAnsiTheme="minorHAnsi"/>
        </w:rPr>
        <w:t>MCBPs</w:t>
      </w:r>
      <w:r w:rsidR="00EA7ED2">
        <w:rPr>
          <w:rFonts w:asciiTheme="minorHAnsi" w:hAnsiTheme="minorHAnsi"/>
        </w:rPr>
        <w:t xml:space="preserve"> t</w:t>
      </w:r>
      <w:r w:rsidR="00CC7994" w:rsidRPr="00B417BF">
        <w:rPr>
          <w:rFonts w:asciiTheme="minorHAnsi" w:hAnsiTheme="minorHAnsi"/>
        </w:rPr>
        <w:t>ended to use less tutoring and formal academic support than their higher performing peers</w:t>
      </w:r>
      <w:r>
        <w:rPr>
          <w:rFonts w:asciiTheme="minorHAnsi" w:hAnsiTheme="minorHAnsi"/>
        </w:rPr>
        <w:t xml:space="preserve"> (</w:t>
      </w:r>
      <w:r w:rsidR="003F1045">
        <w:rPr>
          <w:rFonts w:asciiTheme="minorHAnsi" w:hAnsiTheme="minorHAnsi"/>
        </w:rPr>
        <w:t>App A. Fig. 6</w:t>
      </w:r>
      <w:r w:rsidR="001B4828">
        <w:rPr>
          <w:rFonts w:asciiTheme="minorHAnsi" w:hAnsiTheme="minorHAnsi"/>
        </w:rPr>
        <w:t xml:space="preserve">-13, </w:t>
      </w:r>
      <w:r w:rsidR="005A156E">
        <w:rPr>
          <w:rFonts w:asciiTheme="minorHAnsi" w:hAnsiTheme="minorHAnsi"/>
        </w:rPr>
        <w:t>pp 85-92</w:t>
      </w:r>
      <w:r>
        <w:rPr>
          <w:rFonts w:asciiTheme="minorHAnsi" w:hAnsiTheme="minorHAnsi"/>
        </w:rPr>
        <w:t>)</w:t>
      </w:r>
      <w:r w:rsidR="00CC7994" w:rsidRPr="00B417BF">
        <w:rPr>
          <w:rFonts w:asciiTheme="minorHAnsi" w:hAnsiTheme="minorHAnsi"/>
        </w:rPr>
        <w:t>.  Both groups had low percentages of students utilizing formal on-campus services</w:t>
      </w:r>
      <w:r>
        <w:rPr>
          <w:rFonts w:asciiTheme="minorHAnsi" w:hAnsiTheme="minorHAnsi"/>
        </w:rPr>
        <w:t xml:space="preserve">. </w:t>
      </w:r>
    </w:p>
    <w:p w14:paraId="335E8D72" w14:textId="4D651AFE" w:rsidR="00934210" w:rsidRDefault="00934210" w:rsidP="00C56311">
      <w:pPr>
        <w:spacing w:line="480" w:lineRule="auto"/>
        <w:rPr>
          <w:rFonts w:asciiTheme="minorHAnsi" w:hAnsiTheme="minorHAnsi"/>
        </w:rPr>
      </w:pPr>
    </w:p>
    <w:p w14:paraId="57C8EE43" w14:textId="77777777" w:rsidR="00934210" w:rsidRPr="00B417BF" w:rsidRDefault="00934210" w:rsidP="00934210">
      <w:pPr>
        <w:spacing w:line="480" w:lineRule="auto"/>
        <w:rPr>
          <w:rFonts w:asciiTheme="minorHAnsi" w:hAnsiTheme="minorHAnsi"/>
        </w:rPr>
      </w:pPr>
      <w:r>
        <w:rPr>
          <w:rFonts w:asciiTheme="minorHAnsi" w:hAnsiTheme="minorHAnsi"/>
        </w:rPr>
        <w:lastRenderedPageBreak/>
        <w:t>The control group</w:t>
      </w:r>
      <w:r w:rsidRPr="00B417BF">
        <w:rPr>
          <w:rFonts w:asciiTheme="minorHAnsi" w:hAnsiTheme="minorHAnsi"/>
        </w:rPr>
        <w:t xml:space="preserve"> </w:t>
      </w:r>
      <w:r>
        <w:rPr>
          <w:rFonts w:asciiTheme="minorHAnsi" w:hAnsiTheme="minorHAnsi"/>
        </w:rPr>
        <w:t xml:space="preserve">scoring above 80% on exams </w:t>
      </w:r>
      <w:r w:rsidRPr="00B417BF">
        <w:rPr>
          <w:rFonts w:asciiTheme="minorHAnsi" w:hAnsiTheme="minorHAnsi"/>
        </w:rPr>
        <w:t>used peer support (</w:t>
      </w:r>
      <w:r>
        <w:rPr>
          <w:rFonts w:asciiTheme="minorHAnsi" w:hAnsiTheme="minorHAnsi"/>
        </w:rPr>
        <w:t>68%), advic</w:t>
      </w:r>
      <w:r w:rsidRPr="00B417BF">
        <w:rPr>
          <w:rFonts w:asciiTheme="minorHAnsi" w:hAnsiTheme="minorHAnsi"/>
        </w:rPr>
        <w:t>e from upperclassmen (</w:t>
      </w:r>
      <w:r>
        <w:rPr>
          <w:rFonts w:asciiTheme="minorHAnsi" w:hAnsiTheme="minorHAnsi"/>
        </w:rPr>
        <w:t>52</w:t>
      </w:r>
      <w:r w:rsidRPr="00B417BF">
        <w:rPr>
          <w:rFonts w:asciiTheme="minorHAnsi" w:hAnsiTheme="minorHAnsi"/>
        </w:rPr>
        <w:t>%), and family support (</w:t>
      </w:r>
      <w:r>
        <w:rPr>
          <w:rFonts w:asciiTheme="minorHAnsi" w:hAnsiTheme="minorHAnsi"/>
        </w:rPr>
        <w:t>59</w:t>
      </w:r>
      <w:r w:rsidRPr="00B417BF">
        <w:rPr>
          <w:rFonts w:asciiTheme="minorHAnsi" w:hAnsiTheme="minorHAnsi"/>
        </w:rPr>
        <w:t>%).  Students with exam scores &lt;80% (MC</w:t>
      </w:r>
      <w:r>
        <w:rPr>
          <w:rFonts w:asciiTheme="minorHAnsi" w:hAnsiTheme="minorHAnsi"/>
        </w:rPr>
        <w:t>BP) used less peer support (38%).  Seventeen percent</w:t>
      </w:r>
      <w:r w:rsidRPr="00B417BF">
        <w:rPr>
          <w:rFonts w:asciiTheme="minorHAnsi" w:hAnsiTheme="minorHAnsi"/>
        </w:rPr>
        <w:t xml:space="preserve"> </w:t>
      </w:r>
      <w:r>
        <w:rPr>
          <w:rFonts w:asciiTheme="minorHAnsi" w:hAnsiTheme="minorHAnsi"/>
        </w:rPr>
        <w:t xml:space="preserve">of </w:t>
      </w:r>
      <w:r w:rsidRPr="00B417BF">
        <w:rPr>
          <w:rFonts w:asciiTheme="minorHAnsi" w:hAnsiTheme="minorHAnsi"/>
        </w:rPr>
        <w:t>MCBP</w:t>
      </w:r>
      <w:r>
        <w:rPr>
          <w:rFonts w:asciiTheme="minorHAnsi" w:hAnsiTheme="minorHAnsi"/>
        </w:rPr>
        <w:t>s</w:t>
      </w:r>
      <w:r w:rsidRPr="00B417BF">
        <w:rPr>
          <w:rFonts w:asciiTheme="minorHAnsi" w:hAnsiTheme="minorHAnsi"/>
        </w:rPr>
        <w:t xml:space="preserve"> used tutoring</w:t>
      </w:r>
      <w:r>
        <w:rPr>
          <w:rFonts w:asciiTheme="minorHAnsi" w:hAnsiTheme="minorHAnsi"/>
        </w:rPr>
        <w:t xml:space="preserve"> versus 31</w:t>
      </w:r>
      <w:r w:rsidRPr="00B417BF">
        <w:rPr>
          <w:rFonts w:asciiTheme="minorHAnsi" w:hAnsiTheme="minorHAnsi"/>
        </w:rPr>
        <w:t xml:space="preserve">% </w:t>
      </w:r>
      <w:r>
        <w:rPr>
          <w:rFonts w:asciiTheme="minorHAnsi" w:hAnsiTheme="minorHAnsi"/>
        </w:rPr>
        <w:t>of higher performing students</w:t>
      </w:r>
      <w:r w:rsidRPr="00B417BF">
        <w:rPr>
          <w:rFonts w:asciiTheme="minorHAnsi" w:hAnsiTheme="minorHAnsi"/>
        </w:rPr>
        <w:t xml:space="preserve">.  At Exam 3, </w:t>
      </w:r>
      <w:r>
        <w:rPr>
          <w:rFonts w:asciiTheme="minorHAnsi" w:hAnsiTheme="minorHAnsi"/>
        </w:rPr>
        <w:t>total percentage of tutoring was 30</w:t>
      </w:r>
      <w:r w:rsidRPr="00B417BF">
        <w:rPr>
          <w:rFonts w:asciiTheme="minorHAnsi" w:hAnsiTheme="minorHAnsi"/>
        </w:rPr>
        <w:t xml:space="preserve">%. </w:t>
      </w:r>
      <w:r>
        <w:rPr>
          <w:rFonts w:asciiTheme="minorHAnsi" w:hAnsiTheme="minorHAnsi"/>
        </w:rPr>
        <w:t xml:space="preserve"> Higher performing students used tutoring at 45%.  The</w:t>
      </w:r>
      <w:r w:rsidRPr="00B417BF">
        <w:rPr>
          <w:rFonts w:asciiTheme="minorHAnsi" w:hAnsiTheme="minorHAnsi"/>
        </w:rPr>
        <w:t xml:space="preserve"> MCBP</w:t>
      </w:r>
      <w:r>
        <w:rPr>
          <w:rFonts w:asciiTheme="minorHAnsi" w:hAnsiTheme="minorHAnsi"/>
        </w:rPr>
        <w:t>s</w:t>
      </w:r>
      <w:r w:rsidRPr="00B417BF">
        <w:rPr>
          <w:rFonts w:asciiTheme="minorHAnsi" w:hAnsiTheme="minorHAnsi"/>
        </w:rPr>
        <w:t xml:space="preserve"> percentage of tutoring</w:t>
      </w:r>
      <w:r>
        <w:rPr>
          <w:rFonts w:asciiTheme="minorHAnsi" w:hAnsiTheme="minorHAnsi"/>
        </w:rPr>
        <w:t xml:space="preserve"> for Exam 3</w:t>
      </w:r>
      <w:r w:rsidRPr="00B417BF">
        <w:rPr>
          <w:rFonts w:asciiTheme="minorHAnsi" w:hAnsiTheme="minorHAnsi"/>
        </w:rPr>
        <w:t xml:space="preserve"> was 0%. </w:t>
      </w:r>
    </w:p>
    <w:p w14:paraId="238E8365" w14:textId="2E86CDB2" w:rsidR="001779CF" w:rsidRPr="001779CF" w:rsidRDefault="001779CF" w:rsidP="00C56311">
      <w:pPr>
        <w:spacing w:line="480" w:lineRule="auto"/>
        <w:rPr>
          <w:rFonts w:asciiTheme="minorHAnsi" w:hAnsiTheme="minorHAnsi"/>
        </w:rPr>
      </w:pPr>
    </w:p>
    <w:p w14:paraId="517C2D82" w14:textId="77777777" w:rsidR="00DB03F1" w:rsidRPr="00CC7994" w:rsidRDefault="00DB03F1" w:rsidP="00DB03F1">
      <w:pPr>
        <w:spacing w:line="480" w:lineRule="auto"/>
        <w:rPr>
          <w:rFonts w:asciiTheme="minorHAnsi" w:hAnsiTheme="minorHAnsi"/>
        </w:rPr>
      </w:pPr>
      <w:r w:rsidRPr="00CC7994">
        <w:rPr>
          <w:rFonts w:asciiTheme="minorHAnsi" w:hAnsiTheme="minorHAnsi"/>
        </w:rPr>
        <w:t>Frequency Data of Support Service Usage:</w:t>
      </w:r>
    </w:p>
    <w:p w14:paraId="23EAAEE4" w14:textId="0B1B3006" w:rsidR="00DB03F1" w:rsidRPr="00B417BF" w:rsidRDefault="00DB03F1" w:rsidP="00DB03F1">
      <w:pPr>
        <w:spacing w:line="480" w:lineRule="auto"/>
        <w:rPr>
          <w:rFonts w:asciiTheme="minorHAnsi" w:hAnsiTheme="minorHAnsi"/>
        </w:rPr>
      </w:pPr>
      <w:r w:rsidRPr="00B417BF">
        <w:rPr>
          <w:rFonts w:asciiTheme="minorHAnsi" w:hAnsiTheme="minorHAnsi"/>
        </w:rPr>
        <w:t xml:space="preserve">The raw numbers and percentages are listed in </w:t>
      </w:r>
      <w:r w:rsidR="00853C62">
        <w:rPr>
          <w:rFonts w:asciiTheme="minorHAnsi" w:hAnsiTheme="minorHAnsi"/>
        </w:rPr>
        <w:t>(</w:t>
      </w:r>
      <w:r w:rsidR="003F1045">
        <w:rPr>
          <w:rFonts w:asciiTheme="minorHAnsi" w:hAnsiTheme="minorHAnsi"/>
        </w:rPr>
        <w:t>App A. Fig. 6</w:t>
      </w:r>
      <w:r w:rsidR="001B4828">
        <w:rPr>
          <w:rFonts w:asciiTheme="minorHAnsi" w:hAnsiTheme="minorHAnsi"/>
        </w:rPr>
        <w:t xml:space="preserve">-13, </w:t>
      </w:r>
      <w:r w:rsidR="005A156E">
        <w:rPr>
          <w:rFonts w:asciiTheme="minorHAnsi" w:hAnsiTheme="minorHAnsi"/>
        </w:rPr>
        <w:t>pp 85-92</w:t>
      </w:r>
      <w:r w:rsidR="00853C62">
        <w:rPr>
          <w:rFonts w:asciiTheme="minorHAnsi" w:hAnsiTheme="minorHAnsi"/>
        </w:rPr>
        <w:t>)</w:t>
      </w:r>
      <w:r w:rsidRPr="002E7124">
        <w:rPr>
          <w:rFonts w:asciiTheme="minorHAnsi" w:hAnsiTheme="minorHAnsi"/>
        </w:rPr>
        <w:t>.</w:t>
      </w:r>
      <w:r w:rsidRPr="00B417BF">
        <w:rPr>
          <w:rFonts w:asciiTheme="minorHAnsi" w:hAnsiTheme="minorHAnsi"/>
        </w:rPr>
        <w:t xml:space="preserve">  </w:t>
      </w:r>
      <w:r w:rsidR="002E7124">
        <w:rPr>
          <w:rFonts w:asciiTheme="minorHAnsi" w:hAnsiTheme="minorHAnsi"/>
        </w:rPr>
        <w:t xml:space="preserve"> As noted previously, p</w:t>
      </w:r>
      <w:r w:rsidRPr="00B417BF">
        <w:rPr>
          <w:rFonts w:asciiTheme="minorHAnsi" w:hAnsiTheme="minorHAnsi"/>
        </w:rPr>
        <w:t xml:space="preserve">articipants were allowed to select multiple items </w:t>
      </w:r>
      <w:r w:rsidR="002E7124">
        <w:rPr>
          <w:rFonts w:asciiTheme="minorHAnsi" w:hAnsiTheme="minorHAnsi"/>
        </w:rPr>
        <w:t xml:space="preserve">on each survey </w:t>
      </w:r>
      <w:r w:rsidRPr="00B417BF">
        <w:rPr>
          <w:rFonts w:asciiTheme="minorHAnsi" w:hAnsiTheme="minorHAnsi"/>
        </w:rPr>
        <w:t>to accurately reflect their behaviors.</w:t>
      </w:r>
    </w:p>
    <w:p w14:paraId="4A0A5C2A" w14:textId="526958FB" w:rsidR="00DB03F1" w:rsidRPr="00B417BF" w:rsidRDefault="00DB03F1" w:rsidP="00DB03F1">
      <w:pPr>
        <w:spacing w:line="480" w:lineRule="auto"/>
        <w:rPr>
          <w:rFonts w:asciiTheme="minorHAnsi" w:hAnsiTheme="minorHAnsi"/>
        </w:rPr>
      </w:pPr>
    </w:p>
    <w:p w14:paraId="0A7E82A4" w14:textId="4128BB18" w:rsidR="00DB03F1" w:rsidRPr="00B417BF" w:rsidRDefault="00DB03F1" w:rsidP="00DB03F1">
      <w:pPr>
        <w:spacing w:line="480" w:lineRule="auto"/>
        <w:rPr>
          <w:rFonts w:asciiTheme="minorHAnsi" w:hAnsiTheme="minorHAnsi"/>
        </w:rPr>
      </w:pPr>
      <w:r w:rsidRPr="00B417BF">
        <w:rPr>
          <w:rFonts w:asciiTheme="minorHAnsi" w:hAnsiTheme="minorHAnsi"/>
        </w:rPr>
        <w:t xml:space="preserve">Students in </w:t>
      </w:r>
      <w:r>
        <w:rPr>
          <w:rFonts w:asciiTheme="minorHAnsi" w:hAnsiTheme="minorHAnsi"/>
        </w:rPr>
        <w:t>the experimental group</w:t>
      </w:r>
      <w:r w:rsidR="009A1177">
        <w:rPr>
          <w:rFonts w:asciiTheme="minorHAnsi" w:hAnsiTheme="minorHAnsi"/>
        </w:rPr>
        <w:t xml:space="preserve"> </w:t>
      </w:r>
      <w:r w:rsidR="00F72319">
        <w:rPr>
          <w:rFonts w:asciiTheme="minorHAnsi" w:hAnsiTheme="minorHAnsi"/>
        </w:rPr>
        <w:t>scoring above 80% on exam grades</w:t>
      </w:r>
      <w:r>
        <w:rPr>
          <w:rFonts w:asciiTheme="minorHAnsi" w:hAnsiTheme="minorHAnsi"/>
        </w:rPr>
        <w:t xml:space="preserve"> </w:t>
      </w:r>
      <w:r w:rsidRPr="00B417BF">
        <w:rPr>
          <w:rFonts w:asciiTheme="minorHAnsi" w:hAnsiTheme="minorHAnsi"/>
        </w:rPr>
        <w:t>used p</w:t>
      </w:r>
      <w:r w:rsidR="006A4560">
        <w:rPr>
          <w:rFonts w:asciiTheme="minorHAnsi" w:hAnsiTheme="minorHAnsi"/>
        </w:rPr>
        <w:t>rimarily peer support (55</w:t>
      </w:r>
      <w:r w:rsidR="002E7124">
        <w:rPr>
          <w:rFonts w:asciiTheme="minorHAnsi" w:hAnsiTheme="minorHAnsi"/>
        </w:rPr>
        <w:t>%), a</w:t>
      </w:r>
      <w:r w:rsidR="00DE6276">
        <w:rPr>
          <w:rFonts w:asciiTheme="minorHAnsi" w:hAnsiTheme="minorHAnsi"/>
        </w:rPr>
        <w:t>dvic</w:t>
      </w:r>
      <w:r w:rsidR="006A4560">
        <w:rPr>
          <w:rFonts w:asciiTheme="minorHAnsi" w:hAnsiTheme="minorHAnsi"/>
        </w:rPr>
        <w:t>e from upperclassmen (48</w:t>
      </w:r>
      <w:r w:rsidRPr="00B417BF">
        <w:rPr>
          <w:rFonts w:asciiTheme="minorHAnsi" w:hAnsiTheme="minorHAnsi"/>
        </w:rPr>
        <w:t>%), and family support (</w:t>
      </w:r>
      <w:r w:rsidR="006A4560">
        <w:rPr>
          <w:rFonts w:asciiTheme="minorHAnsi" w:hAnsiTheme="minorHAnsi"/>
        </w:rPr>
        <w:t xml:space="preserve">57%).  Students with exam scores below </w:t>
      </w:r>
      <w:r w:rsidRPr="00B417BF">
        <w:rPr>
          <w:rFonts w:asciiTheme="minorHAnsi" w:hAnsiTheme="minorHAnsi"/>
        </w:rPr>
        <w:t>80% (MC</w:t>
      </w:r>
      <w:r w:rsidR="006A4560">
        <w:rPr>
          <w:rFonts w:asciiTheme="minorHAnsi" w:hAnsiTheme="minorHAnsi"/>
        </w:rPr>
        <w:t xml:space="preserve">BP) used more peer support (68%).  </w:t>
      </w:r>
      <w:r w:rsidR="00A51954">
        <w:rPr>
          <w:rFonts w:asciiTheme="minorHAnsi" w:hAnsiTheme="minorHAnsi"/>
        </w:rPr>
        <w:t>Eighteen percent</w:t>
      </w:r>
      <w:r w:rsidRPr="00B417BF">
        <w:rPr>
          <w:rFonts w:asciiTheme="minorHAnsi" w:hAnsiTheme="minorHAnsi"/>
        </w:rPr>
        <w:t xml:space="preserve"> </w:t>
      </w:r>
      <w:r w:rsidR="006A4560">
        <w:rPr>
          <w:rFonts w:asciiTheme="minorHAnsi" w:hAnsiTheme="minorHAnsi"/>
        </w:rPr>
        <w:t xml:space="preserve">of </w:t>
      </w:r>
      <w:r w:rsidRPr="00B417BF">
        <w:rPr>
          <w:rFonts w:asciiTheme="minorHAnsi" w:hAnsiTheme="minorHAnsi"/>
        </w:rPr>
        <w:t>MCBP</w:t>
      </w:r>
      <w:r w:rsidR="006A4560">
        <w:rPr>
          <w:rFonts w:asciiTheme="minorHAnsi" w:hAnsiTheme="minorHAnsi"/>
        </w:rPr>
        <w:t xml:space="preserve">s used tutoring </w:t>
      </w:r>
      <w:r w:rsidR="00A51954">
        <w:rPr>
          <w:rFonts w:asciiTheme="minorHAnsi" w:hAnsiTheme="minorHAnsi"/>
        </w:rPr>
        <w:t>versus</w:t>
      </w:r>
      <w:r w:rsidR="006A4560">
        <w:rPr>
          <w:rFonts w:asciiTheme="minorHAnsi" w:hAnsiTheme="minorHAnsi"/>
        </w:rPr>
        <w:t xml:space="preserve"> 29</w:t>
      </w:r>
      <w:r w:rsidRPr="00B417BF">
        <w:rPr>
          <w:rFonts w:asciiTheme="minorHAnsi" w:hAnsiTheme="minorHAnsi"/>
        </w:rPr>
        <w:t xml:space="preserve">% </w:t>
      </w:r>
      <w:r w:rsidR="006A4560">
        <w:rPr>
          <w:rFonts w:asciiTheme="minorHAnsi" w:hAnsiTheme="minorHAnsi"/>
        </w:rPr>
        <w:t>of higher performing students</w:t>
      </w:r>
      <w:r w:rsidRPr="00B417BF">
        <w:rPr>
          <w:rFonts w:asciiTheme="minorHAnsi" w:hAnsiTheme="minorHAnsi"/>
        </w:rPr>
        <w:t xml:space="preserve">.  </w:t>
      </w:r>
      <w:r w:rsidR="006A4560">
        <w:rPr>
          <w:rFonts w:asciiTheme="minorHAnsi" w:hAnsiTheme="minorHAnsi"/>
        </w:rPr>
        <w:t>Higher performing</w:t>
      </w:r>
      <w:r w:rsidRPr="00B417BF">
        <w:rPr>
          <w:rFonts w:asciiTheme="minorHAnsi" w:hAnsiTheme="minorHAnsi"/>
        </w:rPr>
        <w:t xml:space="preserve"> students reporting no support services use was </w:t>
      </w:r>
      <w:r w:rsidR="006A4560">
        <w:rPr>
          <w:rFonts w:asciiTheme="minorHAnsi" w:hAnsiTheme="minorHAnsi"/>
        </w:rPr>
        <w:t xml:space="preserve">10% </w:t>
      </w:r>
      <w:r w:rsidR="00A51954">
        <w:rPr>
          <w:rFonts w:asciiTheme="minorHAnsi" w:hAnsiTheme="minorHAnsi"/>
        </w:rPr>
        <w:t>versus</w:t>
      </w:r>
      <w:r w:rsidR="006A4560">
        <w:rPr>
          <w:rFonts w:asciiTheme="minorHAnsi" w:hAnsiTheme="minorHAnsi"/>
        </w:rPr>
        <w:t xml:space="preserve"> MCBP use of 21</w:t>
      </w:r>
      <w:r w:rsidRPr="00B417BF">
        <w:rPr>
          <w:rFonts w:asciiTheme="minorHAnsi" w:hAnsiTheme="minorHAnsi"/>
        </w:rPr>
        <w:t xml:space="preserve">%. At Exam 3, </w:t>
      </w:r>
      <w:r w:rsidR="006A4560">
        <w:rPr>
          <w:rFonts w:asciiTheme="minorHAnsi" w:hAnsiTheme="minorHAnsi"/>
        </w:rPr>
        <w:t>percentage of tutoring for high performing students was 43.3</w:t>
      </w:r>
      <w:r w:rsidRPr="00B417BF">
        <w:rPr>
          <w:rFonts w:asciiTheme="minorHAnsi" w:hAnsiTheme="minorHAnsi"/>
        </w:rPr>
        <w:t>%.  MCBP</w:t>
      </w:r>
      <w:r w:rsidR="006A4560">
        <w:rPr>
          <w:rFonts w:asciiTheme="minorHAnsi" w:hAnsiTheme="minorHAnsi"/>
        </w:rPr>
        <w:t xml:space="preserve"> percentage of tutoring was 50</w:t>
      </w:r>
      <w:r w:rsidRPr="00B417BF">
        <w:rPr>
          <w:rFonts w:asciiTheme="minorHAnsi" w:hAnsiTheme="minorHAnsi"/>
        </w:rPr>
        <w:t xml:space="preserve">%. </w:t>
      </w:r>
      <w:r w:rsidR="006A4560">
        <w:rPr>
          <w:rFonts w:asciiTheme="minorHAnsi" w:hAnsiTheme="minorHAnsi"/>
        </w:rPr>
        <w:t xml:space="preserve"> However, </w:t>
      </w:r>
      <w:r w:rsidR="00934210">
        <w:rPr>
          <w:rFonts w:asciiTheme="minorHAnsi" w:hAnsiTheme="minorHAnsi"/>
        </w:rPr>
        <w:t xml:space="preserve">by </w:t>
      </w:r>
      <w:r w:rsidR="006A4560">
        <w:rPr>
          <w:rFonts w:asciiTheme="minorHAnsi" w:hAnsiTheme="minorHAnsi"/>
        </w:rPr>
        <w:t xml:space="preserve">Exam 3 </w:t>
      </w:r>
      <w:r w:rsidRPr="00B417BF">
        <w:rPr>
          <w:rFonts w:asciiTheme="minorHAnsi" w:hAnsiTheme="minorHAnsi"/>
        </w:rPr>
        <w:t>MC</w:t>
      </w:r>
      <w:r w:rsidR="00DE6276">
        <w:rPr>
          <w:rFonts w:asciiTheme="minorHAnsi" w:hAnsiTheme="minorHAnsi"/>
        </w:rPr>
        <w:t>BP</w:t>
      </w:r>
      <w:r w:rsidR="00D22D9B">
        <w:rPr>
          <w:rFonts w:asciiTheme="minorHAnsi" w:hAnsiTheme="minorHAnsi"/>
        </w:rPr>
        <w:t>s</w:t>
      </w:r>
      <w:r w:rsidR="00DE6276">
        <w:rPr>
          <w:rFonts w:asciiTheme="minorHAnsi" w:hAnsiTheme="minorHAnsi"/>
        </w:rPr>
        <w:t xml:space="preserve"> use of peer support and advic</w:t>
      </w:r>
      <w:r w:rsidRPr="00B417BF">
        <w:rPr>
          <w:rFonts w:asciiTheme="minorHAnsi" w:hAnsiTheme="minorHAnsi"/>
        </w:rPr>
        <w:t xml:space="preserve">e from upper classmen remained higher than </w:t>
      </w:r>
      <w:r w:rsidR="009A1177">
        <w:rPr>
          <w:rFonts w:asciiTheme="minorHAnsi" w:hAnsiTheme="minorHAnsi"/>
        </w:rPr>
        <w:t>total</w:t>
      </w:r>
      <w:r w:rsidRPr="00B417BF">
        <w:rPr>
          <w:rFonts w:asciiTheme="minorHAnsi" w:hAnsiTheme="minorHAnsi"/>
        </w:rPr>
        <w:t xml:space="preserve"> group for each exam period.  </w:t>
      </w:r>
      <w:r w:rsidR="00934210">
        <w:rPr>
          <w:rFonts w:asciiTheme="minorHAnsi" w:hAnsiTheme="minorHAnsi"/>
        </w:rPr>
        <w:t>It is of note that only 2 students could be classified as MCBPs at Exam 3.</w:t>
      </w:r>
    </w:p>
    <w:p w14:paraId="326676B7" w14:textId="77777777" w:rsidR="00DB03F1" w:rsidRPr="00B417BF" w:rsidRDefault="00DB03F1" w:rsidP="00DB03F1">
      <w:pPr>
        <w:spacing w:line="480" w:lineRule="auto"/>
        <w:rPr>
          <w:rFonts w:asciiTheme="minorHAnsi" w:hAnsiTheme="minorHAnsi"/>
        </w:rPr>
      </w:pPr>
    </w:p>
    <w:p w14:paraId="331421F5" w14:textId="7E0CDDA0" w:rsidR="00DB03F1" w:rsidRDefault="00070AA7" w:rsidP="001779CF">
      <w:pPr>
        <w:spacing w:line="480" w:lineRule="auto"/>
        <w:rPr>
          <w:rFonts w:asciiTheme="minorHAnsi" w:hAnsiTheme="minorHAnsi"/>
        </w:rPr>
      </w:pPr>
      <w:r>
        <w:rPr>
          <w:rFonts w:asciiTheme="minorHAnsi" w:hAnsiTheme="minorHAnsi"/>
        </w:rPr>
        <w:lastRenderedPageBreak/>
        <w:t>As previously noted</w:t>
      </w:r>
      <w:r w:rsidR="0029704D">
        <w:rPr>
          <w:rFonts w:asciiTheme="minorHAnsi" w:hAnsiTheme="minorHAnsi"/>
        </w:rPr>
        <w:t>,</w:t>
      </w:r>
      <w:r>
        <w:rPr>
          <w:rFonts w:asciiTheme="minorHAnsi" w:hAnsiTheme="minorHAnsi"/>
        </w:rPr>
        <w:t xml:space="preserve"> b</w:t>
      </w:r>
      <w:r w:rsidR="00DB03F1">
        <w:rPr>
          <w:rFonts w:asciiTheme="minorHAnsi" w:hAnsiTheme="minorHAnsi"/>
        </w:rPr>
        <w:t>oth</w:t>
      </w:r>
      <w:r w:rsidR="00024CBC">
        <w:rPr>
          <w:rFonts w:asciiTheme="minorHAnsi" w:hAnsiTheme="minorHAnsi"/>
        </w:rPr>
        <w:t xml:space="preserve"> total</w:t>
      </w:r>
      <w:r w:rsidR="00DB03F1">
        <w:rPr>
          <w:rFonts w:asciiTheme="minorHAnsi" w:hAnsiTheme="minorHAnsi"/>
        </w:rPr>
        <w:t xml:space="preserve"> groups</w:t>
      </w:r>
      <w:r w:rsidR="00DB03F1" w:rsidRPr="00B417BF">
        <w:rPr>
          <w:rFonts w:asciiTheme="minorHAnsi" w:hAnsiTheme="minorHAnsi"/>
        </w:rPr>
        <w:t xml:space="preserve"> reported similar percentages of use for pastoral services, student health clinic us</w:t>
      </w:r>
      <w:r>
        <w:rPr>
          <w:rFonts w:asciiTheme="minorHAnsi" w:hAnsiTheme="minorHAnsi"/>
        </w:rPr>
        <w:t>e, and professional counseling.</w:t>
      </w:r>
      <w:r w:rsidR="00DB03F1" w:rsidRPr="00B417BF">
        <w:rPr>
          <w:rFonts w:asciiTheme="minorHAnsi" w:hAnsiTheme="minorHAnsi"/>
        </w:rPr>
        <w:t xml:space="preserve"> </w:t>
      </w:r>
    </w:p>
    <w:p w14:paraId="266774E5" w14:textId="77777777" w:rsidR="00DB03F1" w:rsidRPr="00B417BF" w:rsidRDefault="00DB03F1" w:rsidP="00DB03F1">
      <w:pPr>
        <w:spacing w:line="480" w:lineRule="auto"/>
        <w:rPr>
          <w:rFonts w:asciiTheme="minorHAnsi" w:hAnsiTheme="minorHAnsi"/>
        </w:rPr>
      </w:pPr>
    </w:p>
    <w:p w14:paraId="0BDBE494" w14:textId="529E51BF" w:rsidR="00CC7994" w:rsidRDefault="00A51954" w:rsidP="00CC7994">
      <w:pPr>
        <w:spacing w:line="480" w:lineRule="auto"/>
        <w:rPr>
          <w:rFonts w:asciiTheme="minorHAnsi" w:hAnsiTheme="minorHAnsi"/>
        </w:rPr>
      </w:pPr>
      <w:r>
        <w:rPr>
          <w:rFonts w:asciiTheme="minorHAnsi" w:hAnsiTheme="minorHAnsi"/>
        </w:rPr>
        <w:t>Both</w:t>
      </w:r>
      <w:r w:rsidR="00CC7994" w:rsidRPr="00B417BF">
        <w:rPr>
          <w:rFonts w:asciiTheme="minorHAnsi" w:hAnsiTheme="minorHAnsi"/>
        </w:rPr>
        <w:t xml:space="preserve"> groups utilized non-academic support services at higher percentages than </w:t>
      </w:r>
      <w:r w:rsidR="00D22D9B">
        <w:rPr>
          <w:rFonts w:asciiTheme="minorHAnsi" w:hAnsiTheme="minorHAnsi"/>
        </w:rPr>
        <w:t>formal academic supports.  MCBP</w:t>
      </w:r>
      <w:r w:rsidR="00CC7994" w:rsidRPr="00B417BF">
        <w:rPr>
          <w:rFonts w:asciiTheme="minorHAnsi" w:hAnsiTheme="minorHAnsi"/>
        </w:rPr>
        <w:t xml:space="preserve">s in </w:t>
      </w:r>
      <w:r>
        <w:rPr>
          <w:rFonts w:asciiTheme="minorHAnsi" w:hAnsiTheme="minorHAnsi"/>
        </w:rPr>
        <w:t xml:space="preserve">the </w:t>
      </w:r>
      <w:r w:rsidR="001779CF">
        <w:rPr>
          <w:rFonts w:asciiTheme="minorHAnsi" w:hAnsiTheme="minorHAnsi"/>
        </w:rPr>
        <w:t xml:space="preserve">experimental group </w:t>
      </w:r>
      <w:r w:rsidR="00CC7994" w:rsidRPr="00B417BF">
        <w:rPr>
          <w:rFonts w:asciiTheme="minorHAnsi" w:hAnsiTheme="minorHAnsi"/>
        </w:rPr>
        <w:t xml:space="preserve">were observed utilizing formal academic supports at much lower percentages than higher performing peers.  </w:t>
      </w:r>
      <w:r>
        <w:rPr>
          <w:rFonts w:asciiTheme="minorHAnsi" w:hAnsiTheme="minorHAnsi"/>
        </w:rPr>
        <w:t>The c</w:t>
      </w:r>
      <w:r w:rsidR="001779CF">
        <w:rPr>
          <w:rFonts w:asciiTheme="minorHAnsi" w:hAnsiTheme="minorHAnsi"/>
        </w:rPr>
        <w:t xml:space="preserve">ontrol group </w:t>
      </w:r>
      <w:r w:rsidR="00CC7994" w:rsidRPr="00B417BF">
        <w:rPr>
          <w:rFonts w:asciiTheme="minorHAnsi" w:hAnsiTheme="minorHAnsi"/>
        </w:rPr>
        <w:t xml:space="preserve">data did not indicate this.  </w:t>
      </w:r>
      <w:r w:rsidR="003828F4">
        <w:rPr>
          <w:rFonts w:asciiTheme="minorHAnsi" w:hAnsiTheme="minorHAnsi"/>
        </w:rPr>
        <w:t>MCBPs</w:t>
      </w:r>
      <w:r w:rsidR="00CC7994" w:rsidRPr="00B417BF">
        <w:rPr>
          <w:rFonts w:asciiTheme="minorHAnsi" w:hAnsiTheme="minorHAnsi"/>
        </w:rPr>
        <w:t xml:space="preserve"> in the 2017 experimental group did not increase their use of service that may have assisted in improving their pe</w:t>
      </w:r>
      <w:r w:rsidR="00CC7994">
        <w:rPr>
          <w:rFonts w:asciiTheme="minorHAnsi" w:hAnsiTheme="minorHAnsi"/>
        </w:rPr>
        <w:t xml:space="preserve">rformance.  </w:t>
      </w:r>
    </w:p>
    <w:p w14:paraId="23475EB2" w14:textId="0408A8D6" w:rsidR="001779CF" w:rsidRDefault="001779CF" w:rsidP="00CC7994">
      <w:pPr>
        <w:spacing w:line="480" w:lineRule="auto"/>
        <w:rPr>
          <w:rFonts w:asciiTheme="minorHAnsi" w:hAnsiTheme="minorHAnsi"/>
        </w:rPr>
      </w:pPr>
    </w:p>
    <w:p w14:paraId="5B41C8DF" w14:textId="0F401DD9" w:rsidR="001779CF" w:rsidRDefault="001779CF" w:rsidP="00CC7994">
      <w:pPr>
        <w:spacing w:line="480" w:lineRule="auto"/>
        <w:rPr>
          <w:rFonts w:asciiTheme="minorHAnsi" w:hAnsiTheme="minorHAnsi"/>
        </w:rPr>
      </w:pPr>
      <w:r>
        <w:rPr>
          <w:rFonts w:asciiTheme="minorHAnsi" w:hAnsiTheme="minorHAnsi"/>
        </w:rPr>
        <w:t>The MCBP</w:t>
      </w:r>
      <w:r w:rsidR="00A623C5">
        <w:rPr>
          <w:rFonts w:asciiTheme="minorHAnsi" w:hAnsiTheme="minorHAnsi"/>
        </w:rPr>
        <w:t>s</w:t>
      </w:r>
      <w:r>
        <w:rPr>
          <w:rFonts w:asciiTheme="minorHAnsi" w:hAnsiTheme="minorHAnsi"/>
        </w:rPr>
        <w:t xml:space="preserve"> in</w:t>
      </w:r>
      <w:r w:rsidR="00DE6276">
        <w:rPr>
          <w:rFonts w:asciiTheme="minorHAnsi" w:hAnsiTheme="minorHAnsi"/>
        </w:rPr>
        <w:t xml:space="preserve"> both groups tended to use advic</w:t>
      </w:r>
      <w:r>
        <w:rPr>
          <w:rFonts w:asciiTheme="minorHAnsi" w:hAnsiTheme="minorHAnsi"/>
        </w:rPr>
        <w:t xml:space="preserve">e from upperclassmen more than higher performing peers.  </w:t>
      </w:r>
      <w:r w:rsidR="00B72608">
        <w:rPr>
          <w:rFonts w:asciiTheme="minorHAnsi" w:hAnsiTheme="minorHAnsi"/>
        </w:rPr>
        <w:t xml:space="preserve">At this time, it is not known if upper class students in the studied PA and Dental programs receive training regarding how to guide or give feedback to students entering into the program.  The literature review noted that peer support and mentoring can have positive academic and emotional impacts if students </w:t>
      </w:r>
      <w:r w:rsidR="003170F5">
        <w:rPr>
          <w:rFonts w:asciiTheme="minorHAnsi" w:hAnsiTheme="minorHAnsi"/>
        </w:rPr>
        <w:t>have</w:t>
      </w:r>
      <w:r w:rsidR="00B72608">
        <w:rPr>
          <w:rFonts w:asciiTheme="minorHAnsi" w:hAnsiTheme="minorHAnsi"/>
        </w:rPr>
        <w:t xml:space="preserve"> appropriate training.  </w:t>
      </w:r>
      <w:r w:rsidR="003170F5">
        <w:rPr>
          <w:rFonts w:asciiTheme="minorHAnsi" w:hAnsiTheme="minorHAnsi"/>
        </w:rPr>
        <w:t>Since</w:t>
      </w:r>
      <w:r w:rsidR="00B72608">
        <w:rPr>
          <w:rFonts w:asciiTheme="minorHAnsi" w:hAnsiTheme="minorHAnsi"/>
        </w:rPr>
        <w:t xml:space="preserve"> </w:t>
      </w:r>
      <w:r w:rsidR="00A623C5">
        <w:rPr>
          <w:rFonts w:asciiTheme="minorHAnsi" w:hAnsiTheme="minorHAnsi"/>
        </w:rPr>
        <w:t>a higher percentage of</w:t>
      </w:r>
      <w:r w:rsidR="00B72608">
        <w:rPr>
          <w:rFonts w:asciiTheme="minorHAnsi" w:hAnsiTheme="minorHAnsi"/>
        </w:rPr>
        <w:t xml:space="preserve"> MCBP</w:t>
      </w:r>
      <w:r w:rsidR="00A623C5">
        <w:rPr>
          <w:rFonts w:asciiTheme="minorHAnsi" w:hAnsiTheme="minorHAnsi"/>
        </w:rPr>
        <w:t>s</w:t>
      </w:r>
      <w:r w:rsidR="00B72608">
        <w:rPr>
          <w:rFonts w:asciiTheme="minorHAnsi" w:hAnsiTheme="minorHAnsi"/>
        </w:rPr>
        <w:t xml:space="preserve"> utilized support from upperclassmen, it may be assumed that their feedback and support was not monitored for quality.</w:t>
      </w:r>
    </w:p>
    <w:p w14:paraId="4844A0DC" w14:textId="77777777" w:rsidR="00CC7994" w:rsidRDefault="00CC7994" w:rsidP="00DB03F1">
      <w:pPr>
        <w:spacing w:line="480" w:lineRule="auto"/>
        <w:rPr>
          <w:rFonts w:asciiTheme="minorHAnsi" w:hAnsiTheme="minorHAnsi"/>
        </w:rPr>
      </w:pPr>
    </w:p>
    <w:p w14:paraId="47CEA81F" w14:textId="340E2BFC" w:rsidR="008801F3" w:rsidRDefault="00CC7994" w:rsidP="00C56311">
      <w:pPr>
        <w:spacing w:line="480" w:lineRule="auto"/>
        <w:rPr>
          <w:rFonts w:asciiTheme="minorHAnsi" w:hAnsiTheme="minorHAnsi"/>
        </w:rPr>
      </w:pPr>
      <w:r>
        <w:rPr>
          <w:rFonts w:asciiTheme="minorHAnsi" w:hAnsiTheme="minorHAnsi"/>
        </w:rPr>
        <w:t>Qualitative Data:</w:t>
      </w:r>
    </w:p>
    <w:p w14:paraId="0C1A180D" w14:textId="79BA8258" w:rsidR="008801F3" w:rsidRPr="00B417BF" w:rsidRDefault="008801F3" w:rsidP="008801F3">
      <w:pPr>
        <w:spacing w:line="480" w:lineRule="auto"/>
        <w:rPr>
          <w:rFonts w:asciiTheme="minorHAnsi" w:hAnsiTheme="minorHAnsi"/>
        </w:rPr>
      </w:pPr>
      <w:r w:rsidRPr="00B417BF">
        <w:rPr>
          <w:rFonts w:asciiTheme="minorHAnsi" w:hAnsiTheme="minorHAnsi"/>
        </w:rPr>
        <w:t>Students identified academic supports outside of class as a major contributor to their success in the course</w:t>
      </w:r>
      <w:r w:rsidR="00EF6DD2">
        <w:rPr>
          <w:rFonts w:asciiTheme="minorHAnsi" w:hAnsiTheme="minorHAnsi"/>
        </w:rPr>
        <w:t xml:space="preserve"> (</w:t>
      </w:r>
      <w:r w:rsidR="003F1045">
        <w:rPr>
          <w:rFonts w:asciiTheme="minorHAnsi" w:hAnsiTheme="minorHAnsi"/>
        </w:rPr>
        <w:t>App A. Fig. 14</w:t>
      </w:r>
      <w:r w:rsidR="001B4828">
        <w:rPr>
          <w:rFonts w:asciiTheme="minorHAnsi" w:hAnsiTheme="minorHAnsi"/>
        </w:rPr>
        <w:t xml:space="preserve">, </w:t>
      </w:r>
      <w:r w:rsidR="005A156E">
        <w:rPr>
          <w:rFonts w:asciiTheme="minorHAnsi" w:hAnsiTheme="minorHAnsi"/>
        </w:rPr>
        <w:t>pp 93</w:t>
      </w:r>
      <w:r w:rsidR="00853C62">
        <w:rPr>
          <w:rFonts w:asciiTheme="minorHAnsi" w:hAnsiTheme="minorHAnsi"/>
        </w:rPr>
        <w:t>)</w:t>
      </w:r>
      <w:r w:rsidRPr="00B417BF">
        <w:rPr>
          <w:rFonts w:asciiTheme="minorHAnsi" w:hAnsiTheme="minorHAnsi"/>
        </w:rPr>
        <w:t xml:space="preserve">.  </w:t>
      </w:r>
      <w:r>
        <w:rPr>
          <w:rFonts w:asciiTheme="minorHAnsi" w:hAnsiTheme="minorHAnsi"/>
        </w:rPr>
        <w:t>Teaching</w:t>
      </w:r>
      <w:r w:rsidRPr="00B417BF">
        <w:rPr>
          <w:rFonts w:asciiTheme="minorHAnsi" w:hAnsiTheme="minorHAnsi"/>
        </w:rPr>
        <w:t xml:space="preserve"> assistants provide a portion of the supplemental material and review sessions.  As a result, the </w:t>
      </w:r>
      <w:r w:rsidRPr="00B417BF">
        <w:rPr>
          <w:rFonts w:asciiTheme="minorHAnsi" w:hAnsiTheme="minorHAnsi"/>
        </w:rPr>
        <w:lastRenderedPageBreak/>
        <w:t xml:space="preserve">quality and consistency of the presentations may vary year to year.  The 2016 control group </w:t>
      </w:r>
      <w:r>
        <w:rPr>
          <w:rFonts w:asciiTheme="minorHAnsi" w:hAnsiTheme="minorHAnsi"/>
        </w:rPr>
        <w:t xml:space="preserve">repeatedly </w:t>
      </w:r>
      <w:r w:rsidRPr="00B417BF">
        <w:rPr>
          <w:rFonts w:asciiTheme="minorHAnsi" w:hAnsiTheme="minorHAnsi"/>
        </w:rPr>
        <w:t xml:space="preserve">mentioned the knowledge and teaching of the teaching assistants.  The 2017 </w:t>
      </w:r>
      <w:r w:rsidR="001F0476">
        <w:rPr>
          <w:rFonts w:asciiTheme="minorHAnsi" w:hAnsiTheme="minorHAnsi"/>
        </w:rPr>
        <w:t xml:space="preserve">experimental group </w:t>
      </w:r>
      <w:r w:rsidRPr="00B417BF">
        <w:rPr>
          <w:rFonts w:asciiTheme="minorHAnsi" w:hAnsiTheme="minorHAnsi"/>
        </w:rPr>
        <w:t xml:space="preserve">had fewer positive comments about the teaching assistants.  This is part of the availability, accessibility, and positive interactions with faculty </w:t>
      </w:r>
      <w:r>
        <w:rPr>
          <w:rFonts w:asciiTheme="minorHAnsi" w:hAnsiTheme="minorHAnsi"/>
        </w:rPr>
        <w:t>that were</w:t>
      </w:r>
      <w:r w:rsidRPr="00B417BF">
        <w:rPr>
          <w:rFonts w:asciiTheme="minorHAnsi" w:hAnsiTheme="minorHAnsi"/>
        </w:rPr>
        <w:t xml:space="preserve"> major theme</w:t>
      </w:r>
      <w:r>
        <w:rPr>
          <w:rFonts w:asciiTheme="minorHAnsi" w:hAnsiTheme="minorHAnsi"/>
        </w:rPr>
        <w:t>s</w:t>
      </w:r>
      <w:r w:rsidRPr="00B417BF">
        <w:rPr>
          <w:rFonts w:asciiTheme="minorHAnsi" w:hAnsiTheme="minorHAnsi"/>
        </w:rPr>
        <w:t xml:space="preserve">. </w:t>
      </w:r>
    </w:p>
    <w:p w14:paraId="5741A314" w14:textId="77777777" w:rsidR="008801F3" w:rsidRPr="00B417BF" w:rsidRDefault="008801F3" w:rsidP="00C56311">
      <w:pPr>
        <w:spacing w:line="480" w:lineRule="auto"/>
        <w:rPr>
          <w:rFonts w:asciiTheme="minorHAnsi" w:hAnsiTheme="minorHAnsi"/>
        </w:rPr>
      </w:pPr>
    </w:p>
    <w:p w14:paraId="7BDD9311" w14:textId="77777777" w:rsidR="00C56311" w:rsidRPr="00B417BF" w:rsidRDefault="00C56311" w:rsidP="00C56311">
      <w:pPr>
        <w:spacing w:line="480" w:lineRule="auto"/>
        <w:rPr>
          <w:rFonts w:asciiTheme="minorHAnsi" w:hAnsiTheme="minorHAnsi"/>
        </w:rPr>
      </w:pPr>
    </w:p>
    <w:p w14:paraId="7E5FE37D" w14:textId="489DEE43" w:rsidR="00C56311" w:rsidRDefault="00C56311" w:rsidP="00C56311">
      <w:pPr>
        <w:spacing w:line="480" w:lineRule="auto"/>
        <w:rPr>
          <w:rFonts w:asciiTheme="minorHAnsi" w:hAnsiTheme="minorHAnsi"/>
          <w:b/>
        </w:rPr>
      </w:pPr>
      <w:r w:rsidRPr="006F660B">
        <w:rPr>
          <w:rFonts w:asciiTheme="minorHAnsi" w:hAnsiTheme="minorHAnsi"/>
          <w:b/>
        </w:rPr>
        <w:t>4. What are the coping mechanisms of minimal</w:t>
      </w:r>
      <w:r w:rsidR="003629AA">
        <w:rPr>
          <w:rFonts w:asciiTheme="minorHAnsi" w:hAnsiTheme="minorHAnsi"/>
          <w:b/>
        </w:rPr>
        <w:t>ly competent, barely passing (MCBP</w:t>
      </w:r>
      <w:r w:rsidR="00D22D9B">
        <w:rPr>
          <w:rFonts w:asciiTheme="minorHAnsi" w:hAnsiTheme="minorHAnsi"/>
          <w:b/>
        </w:rPr>
        <w:t>s</w:t>
      </w:r>
      <w:r w:rsidRPr="006F660B">
        <w:rPr>
          <w:rFonts w:asciiTheme="minorHAnsi" w:hAnsiTheme="minorHAnsi"/>
          <w:b/>
        </w:rPr>
        <w:t>) first year PA and Dental students?</w:t>
      </w:r>
    </w:p>
    <w:p w14:paraId="2AF1FA48" w14:textId="77777777" w:rsidR="006A4560" w:rsidRDefault="006A4560" w:rsidP="00DB03F1">
      <w:pPr>
        <w:spacing w:line="480" w:lineRule="auto"/>
        <w:rPr>
          <w:rFonts w:asciiTheme="minorHAnsi" w:hAnsiTheme="minorHAnsi"/>
          <w:b/>
        </w:rPr>
      </w:pPr>
    </w:p>
    <w:p w14:paraId="50BF6A25" w14:textId="2EB85AEF" w:rsidR="006A4560" w:rsidRPr="00EF6DD2" w:rsidRDefault="001529D7" w:rsidP="006A4560">
      <w:pPr>
        <w:spacing w:line="480" w:lineRule="auto"/>
        <w:rPr>
          <w:rFonts w:asciiTheme="minorHAnsi" w:hAnsiTheme="minorHAnsi"/>
          <w:color w:val="FF0000"/>
        </w:rPr>
      </w:pPr>
      <w:r>
        <w:rPr>
          <w:rFonts w:asciiTheme="minorHAnsi" w:hAnsiTheme="minorHAnsi"/>
        </w:rPr>
        <w:t>Control g</w:t>
      </w:r>
      <w:r w:rsidR="007A4B28">
        <w:rPr>
          <w:rFonts w:asciiTheme="minorHAnsi" w:hAnsiTheme="minorHAnsi"/>
        </w:rPr>
        <w:t>roup (2016)</w:t>
      </w:r>
      <w:r w:rsidR="007A4B28" w:rsidRPr="00B417BF">
        <w:rPr>
          <w:rFonts w:asciiTheme="minorHAnsi" w:hAnsiTheme="minorHAnsi"/>
        </w:rPr>
        <w:t xml:space="preserve"> M</w:t>
      </w:r>
      <w:r w:rsidR="00D22D9B">
        <w:rPr>
          <w:rFonts w:asciiTheme="minorHAnsi" w:hAnsiTheme="minorHAnsi"/>
        </w:rPr>
        <w:t>CBP</w:t>
      </w:r>
      <w:r w:rsidR="007A4B28" w:rsidRPr="00B417BF">
        <w:rPr>
          <w:rFonts w:asciiTheme="minorHAnsi" w:hAnsiTheme="minorHAnsi"/>
        </w:rPr>
        <w:t>s reported significant negative coping strategies of denial, self-</w:t>
      </w:r>
      <w:r w:rsidR="00D22D9B">
        <w:rPr>
          <w:rFonts w:asciiTheme="minorHAnsi" w:hAnsiTheme="minorHAnsi"/>
        </w:rPr>
        <w:t>blame, and disengagement.  MCBP</w:t>
      </w:r>
      <w:r w:rsidR="007A4B28" w:rsidRPr="00B417BF">
        <w:rPr>
          <w:rFonts w:asciiTheme="minorHAnsi" w:hAnsiTheme="minorHAnsi"/>
        </w:rPr>
        <w:t>s in</w:t>
      </w:r>
      <w:r w:rsidR="00E36806">
        <w:rPr>
          <w:rFonts w:asciiTheme="minorHAnsi" w:hAnsiTheme="minorHAnsi"/>
        </w:rPr>
        <w:t xml:space="preserve"> the experimental g</w:t>
      </w:r>
      <w:r w:rsidR="007A4B28">
        <w:rPr>
          <w:rFonts w:asciiTheme="minorHAnsi" w:hAnsiTheme="minorHAnsi"/>
        </w:rPr>
        <w:t>roup</w:t>
      </w:r>
      <w:r w:rsidR="007A4B28" w:rsidRPr="00B417BF">
        <w:rPr>
          <w:rFonts w:asciiTheme="minorHAnsi" w:hAnsiTheme="minorHAnsi"/>
        </w:rPr>
        <w:t xml:space="preserve"> </w:t>
      </w:r>
      <w:r w:rsidR="007A4B28">
        <w:rPr>
          <w:rFonts w:asciiTheme="minorHAnsi" w:hAnsiTheme="minorHAnsi"/>
        </w:rPr>
        <w:t>(</w:t>
      </w:r>
      <w:r w:rsidR="007A4B28" w:rsidRPr="00B417BF">
        <w:rPr>
          <w:rFonts w:asciiTheme="minorHAnsi" w:hAnsiTheme="minorHAnsi"/>
        </w:rPr>
        <w:t>2017</w:t>
      </w:r>
      <w:r w:rsidR="007A4B28">
        <w:rPr>
          <w:rFonts w:asciiTheme="minorHAnsi" w:hAnsiTheme="minorHAnsi"/>
        </w:rPr>
        <w:t>)</w:t>
      </w:r>
      <w:r w:rsidR="007A4B28" w:rsidRPr="00B417BF">
        <w:rPr>
          <w:rFonts w:asciiTheme="minorHAnsi" w:hAnsiTheme="minorHAnsi"/>
        </w:rPr>
        <w:t xml:space="preserve"> did not demonstrate any significant trends in coping mechanisms. However, qualitative data did have small numbers of responses reporting self-blame</w:t>
      </w:r>
      <w:r w:rsidR="007A4B28">
        <w:rPr>
          <w:rFonts w:asciiTheme="minorHAnsi" w:hAnsiTheme="minorHAnsi"/>
        </w:rPr>
        <w:t xml:space="preserve"> and anxiety</w:t>
      </w:r>
      <w:r w:rsidR="007A4B28" w:rsidRPr="00B417BF">
        <w:rPr>
          <w:rFonts w:asciiTheme="minorHAnsi" w:hAnsiTheme="minorHAnsi"/>
        </w:rPr>
        <w:t xml:space="preserve"> in regard to</w:t>
      </w:r>
      <w:r w:rsidR="007A4B28">
        <w:rPr>
          <w:rFonts w:asciiTheme="minorHAnsi" w:hAnsiTheme="minorHAnsi"/>
        </w:rPr>
        <w:t xml:space="preserve"> ineffective study skills. “I began to question whether I had the knowledge to be successful and whether I would face an embarrassing failure.” “My detailed learning style impeded my learning… I personally struggled to effectively learn the material.”</w:t>
      </w:r>
    </w:p>
    <w:p w14:paraId="657B4F60" w14:textId="77777777" w:rsidR="001224F7" w:rsidRPr="00FF6CC9" w:rsidRDefault="001224F7" w:rsidP="006A4560">
      <w:pPr>
        <w:spacing w:line="480" w:lineRule="auto"/>
        <w:rPr>
          <w:rFonts w:asciiTheme="minorHAnsi" w:hAnsiTheme="minorHAnsi"/>
        </w:rPr>
      </w:pPr>
    </w:p>
    <w:p w14:paraId="6ECE8FA7" w14:textId="7947E737" w:rsidR="007A4B28" w:rsidRPr="00FF6CC9" w:rsidRDefault="006A4560" w:rsidP="00DB03F1">
      <w:pPr>
        <w:spacing w:line="480" w:lineRule="auto"/>
        <w:rPr>
          <w:rFonts w:asciiTheme="minorHAnsi" w:hAnsiTheme="minorHAnsi"/>
        </w:rPr>
      </w:pPr>
      <w:r w:rsidRPr="00FF6CC9">
        <w:rPr>
          <w:rFonts w:asciiTheme="minorHAnsi" w:hAnsiTheme="minorHAnsi"/>
        </w:rPr>
        <w:t>Quantitative Data:</w:t>
      </w:r>
    </w:p>
    <w:p w14:paraId="4E4569A7" w14:textId="32C03EA4" w:rsidR="00BC7487" w:rsidRPr="00F11F4C" w:rsidRDefault="00DD263E" w:rsidP="00BC7487">
      <w:pPr>
        <w:spacing w:line="480" w:lineRule="auto"/>
        <w:rPr>
          <w:rFonts w:asciiTheme="minorHAnsi" w:hAnsiTheme="minorHAnsi"/>
          <w:color w:val="000000" w:themeColor="text1"/>
        </w:rPr>
      </w:pPr>
      <w:r>
        <w:rPr>
          <w:rFonts w:asciiTheme="minorHAnsi" w:hAnsiTheme="minorHAnsi"/>
        </w:rPr>
        <w:t xml:space="preserve"> </w:t>
      </w:r>
      <w:r w:rsidR="00BC7487" w:rsidRPr="00B417BF">
        <w:rPr>
          <w:rFonts w:asciiTheme="minorHAnsi" w:hAnsiTheme="minorHAnsi"/>
        </w:rPr>
        <w:t>Based on significant correlations</w:t>
      </w:r>
      <w:r w:rsidR="00BC7487">
        <w:rPr>
          <w:rFonts w:asciiTheme="minorHAnsi" w:hAnsiTheme="minorHAnsi"/>
        </w:rPr>
        <w:t xml:space="preserve"> found with </w:t>
      </w:r>
      <w:r w:rsidR="00884F72">
        <w:rPr>
          <w:rFonts w:asciiTheme="minorHAnsi" w:hAnsiTheme="minorHAnsi"/>
        </w:rPr>
        <w:t xml:space="preserve">the </w:t>
      </w:r>
      <w:r w:rsidR="00BC7487">
        <w:rPr>
          <w:rFonts w:asciiTheme="minorHAnsi" w:hAnsiTheme="minorHAnsi"/>
        </w:rPr>
        <w:t>linear model</w:t>
      </w:r>
      <w:r w:rsidR="00BC7487" w:rsidRPr="00B417BF">
        <w:rPr>
          <w:rFonts w:asciiTheme="minorHAnsi" w:hAnsiTheme="minorHAnsi"/>
        </w:rPr>
        <w:t>, the Brief COPE items that demonstrated significant correlation to exam scores</w:t>
      </w:r>
      <w:r w:rsidR="00BC7487">
        <w:rPr>
          <w:rFonts w:asciiTheme="minorHAnsi" w:hAnsiTheme="minorHAnsi"/>
        </w:rPr>
        <w:t xml:space="preserve"> were selected for</w:t>
      </w:r>
      <w:r w:rsidR="00BC7487" w:rsidRPr="00B417BF">
        <w:rPr>
          <w:rFonts w:asciiTheme="minorHAnsi" w:hAnsiTheme="minorHAnsi"/>
        </w:rPr>
        <w:t xml:space="preserve"> analysis of variance.  </w:t>
      </w:r>
      <w:r w:rsidR="00BE7AC7">
        <w:rPr>
          <w:rFonts w:asciiTheme="minorHAnsi" w:hAnsiTheme="minorHAnsi"/>
        </w:rPr>
        <w:t xml:space="preserve">These </w:t>
      </w:r>
      <w:r w:rsidR="003055D7">
        <w:rPr>
          <w:rFonts w:asciiTheme="minorHAnsi" w:hAnsiTheme="minorHAnsi"/>
        </w:rPr>
        <w:t xml:space="preserve">questions all fell </w:t>
      </w:r>
      <w:r w:rsidR="00BE7AC7">
        <w:rPr>
          <w:rFonts w:asciiTheme="minorHAnsi" w:hAnsiTheme="minorHAnsi"/>
        </w:rPr>
        <w:t xml:space="preserve">within the negative coping </w:t>
      </w:r>
      <w:r w:rsidR="00BE7AC7">
        <w:rPr>
          <w:rFonts w:asciiTheme="minorHAnsi" w:hAnsiTheme="minorHAnsi"/>
        </w:rPr>
        <w:lastRenderedPageBreak/>
        <w:t xml:space="preserve">behavior scales of disengagement, </w:t>
      </w:r>
      <w:r w:rsidR="00EF6DD2">
        <w:rPr>
          <w:rFonts w:asciiTheme="minorHAnsi" w:hAnsiTheme="minorHAnsi"/>
        </w:rPr>
        <w:t>self-blame</w:t>
      </w:r>
      <w:r w:rsidR="00BE7AC7">
        <w:rPr>
          <w:rFonts w:asciiTheme="minorHAnsi" w:hAnsiTheme="minorHAnsi"/>
        </w:rPr>
        <w:t xml:space="preserve">, and denial.  </w:t>
      </w:r>
      <w:r w:rsidR="00BC7487">
        <w:rPr>
          <w:rFonts w:asciiTheme="minorHAnsi" w:hAnsiTheme="minorHAnsi"/>
        </w:rPr>
        <w:t>ANCOVA w</w:t>
      </w:r>
      <w:r w:rsidR="003055D7">
        <w:rPr>
          <w:rFonts w:asciiTheme="minorHAnsi" w:hAnsiTheme="minorHAnsi"/>
        </w:rPr>
        <w:t>as performed as a general linear</w:t>
      </w:r>
      <w:r w:rsidR="00BC7487">
        <w:rPr>
          <w:rFonts w:asciiTheme="minorHAnsi" w:hAnsiTheme="minorHAnsi"/>
        </w:rPr>
        <w:t xml:space="preserve"> model to examine </w:t>
      </w:r>
      <w:r w:rsidR="00884F72">
        <w:rPr>
          <w:rFonts w:asciiTheme="minorHAnsi" w:hAnsiTheme="minorHAnsi"/>
        </w:rPr>
        <w:t xml:space="preserve">the </w:t>
      </w:r>
      <w:r w:rsidR="00BC7487">
        <w:rPr>
          <w:rFonts w:asciiTheme="minorHAnsi" w:hAnsiTheme="minorHAnsi"/>
        </w:rPr>
        <w:t>influence of covariates.  Exam grades were assigned as dependent variable (DV) with covariates of Brief COPE scale items from self-blame, disengagement, and denial.  For</w:t>
      </w:r>
      <w:r w:rsidR="00E36806">
        <w:rPr>
          <w:rFonts w:asciiTheme="minorHAnsi" w:hAnsiTheme="minorHAnsi"/>
        </w:rPr>
        <w:t xml:space="preserve"> both g</w:t>
      </w:r>
      <w:r w:rsidR="00BC7487">
        <w:rPr>
          <w:rFonts w:asciiTheme="minorHAnsi" w:hAnsiTheme="minorHAnsi"/>
        </w:rPr>
        <w:t xml:space="preserve">roups Brief COPE </w:t>
      </w:r>
      <w:r w:rsidR="00BC7487" w:rsidRPr="00F11F4C">
        <w:rPr>
          <w:rFonts w:asciiTheme="minorHAnsi" w:hAnsiTheme="minorHAnsi"/>
          <w:color w:val="000000" w:themeColor="text1"/>
        </w:rPr>
        <w:t xml:space="preserve">question 3, </w:t>
      </w:r>
      <w:r w:rsidR="007968AC">
        <w:rPr>
          <w:rFonts w:asciiTheme="minorHAnsi" w:hAnsiTheme="minorHAnsi"/>
          <w:color w:val="000000" w:themeColor="text1"/>
        </w:rPr>
        <w:t>“</w:t>
      </w:r>
      <w:r w:rsidR="00BC7487" w:rsidRPr="00F11F4C">
        <w:rPr>
          <w:rFonts w:asciiTheme="minorHAnsi" w:hAnsiTheme="minorHAnsi"/>
          <w:color w:val="000000" w:themeColor="text1"/>
        </w:rPr>
        <w:t>I've been sayin</w:t>
      </w:r>
      <w:r w:rsidR="007968AC">
        <w:rPr>
          <w:rFonts w:asciiTheme="minorHAnsi" w:hAnsiTheme="minorHAnsi"/>
          <w:color w:val="000000" w:themeColor="text1"/>
        </w:rPr>
        <w:t>g to myself ‘</w:t>
      </w:r>
      <w:r w:rsidR="00BC7487">
        <w:rPr>
          <w:rFonts w:asciiTheme="minorHAnsi" w:hAnsiTheme="minorHAnsi"/>
          <w:color w:val="000000" w:themeColor="text1"/>
        </w:rPr>
        <w:t>this isn't real,</w:t>
      </w:r>
      <w:r w:rsidR="007968AC">
        <w:rPr>
          <w:rFonts w:asciiTheme="minorHAnsi" w:hAnsiTheme="minorHAnsi"/>
          <w:color w:val="000000" w:themeColor="text1"/>
        </w:rPr>
        <w:t>’</w:t>
      </w:r>
      <w:r w:rsidR="00BC7487">
        <w:rPr>
          <w:rFonts w:asciiTheme="minorHAnsi" w:hAnsiTheme="minorHAnsi"/>
          <w:color w:val="000000" w:themeColor="text1"/>
        </w:rPr>
        <w:t>" d</w:t>
      </w:r>
      <w:r w:rsidR="00BC7487" w:rsidRPr="00F11F4C">
        <w:rPr>
          <w:rFonts w:asciiTheme="minorHAnsi" w:hAnsiTheme="minorHAnsi"/>
          <w:color w:val="000000" w:themeColor="text1"/>
        </w:rPr>
        <w:t xml:space="preserve">id vary significantly over time (spherecity assumption violation using Greenhouse-Geiser correction) F(1.57,58) = 6.27, p= 0.007.  Item 13, </w:t>
      </w:r>
      <w:r w:rsidR="007968AC">
        <w:rPr>
          <w:rFonts w:asciiTheme="minorHAnsi" w:hAnsiTheme="minorHAnsi"/>
          <w:color w:val="000000" w:themeColor="text1"/>
        </w:rPr>
        <w:t>“</w:t>
      </w:r>
      <w:r w:rsidR="00BC7487" w:rsidRPr="00F11F4C">
        <w:rPr>
          <w:rFonts w:asciiTheme="minorHAnsi" w:hAnsiTheme="minorHAnsi"/>
          <w:color w:val="000000" w:themeColor="text1"/>
        </w:rPr>
        <w:t>I’ve been criticizing myself,</w:t>
      </w:r>
      <w:r w:rsidR="007968AC">
        <w:rPr>
          <w:rFonts w:asciiTheme="minorHAnsi" w:hAnsiTheme="minorHAnsi"/>
          <w:color w:val="000000" w:themeColor="text1"/>
        </w:rPr>
        <w:t>”</w:t>
      </w:r>
      <w:r w:rsidR="00BC7487" w:rsidRPr="00F11F4C">
        <w:rPr>
          <w:rFonts w:asciiTheme="minorHAnsi" w:hAnsiTheme="minorHAnsi"/>
          <w:color w:val="000000" w:themeColor="text1"/>
        </w:rPr>
        <w:t xml:space="preserve"> also varied significantly over time F =7.503, p=0</w:t>
      </w:r>
      <w:r w:rsidR="003055D7">
        <w:rPr>
          <w:rFonts w:asciiTheme="minorHAnsi" w:hAnsiTheme="minorHAnsi"/>
          <w:color w:val="000000" w:themeColor="text1"/>
        </w:rPr>
        <w:t>.</w:t>
      </w:r>
      <w:r w:rsidR="00BC7487" w:rsidRPr="00F11F4C">
        <w:rPr>
          <w:rFonts w:asciiTheme="minorHAnsi" w:hAnsiTheme="minorHAnsi"/>
          <w:color w:val="000000" w:themeColor="text1"/>
        </w:rPr>
        <w:t xml:space="preserve">01.  While not at the cut point of p=0.05 level of significance, item 26, </w:t>
      </w:r>
      <w:r w:rsidR="003055D7">
        <w:rPr>
          <w:rFonts w:asciiTheme="minorHAnsi" w:hAnsiTheme="minorHAnsi"/>
          <w:color w:val="000000" w:themeColor="text1"/>
        </w:rPr>
        <w:t>“</w:t>
      </w:r>
      <w:r w:rsidR="00BC7487" w:rsidRPr="00F11F4C">
        <w:rPr>
          <w:rFonts w:asciiTheme="minorHAnsi" w:hAnsiTheme="minorHAnsi"/>
          <w:color w:val="000000" w:themeColor="text1"/>
        </w:rPr>
        <w:t>I’ve been blaming myself for things that happened,</w:t>
      </w:r>
      <w:r w:rsidR="003055D7">
        <w:rPr>
          <w:rFonts w:asciiTheme="minorHAnsi" w:hAnsiTheme="minorHAnsi"/>
          <w:color w:val="000000" w:themeColor="text1"/>
        </w:rPr>
        <w:t>”</w:t>
      </w:r>
      <w:r w:rsidR="00BC7487" w:rsidRPr="00F11F4C">
        <w:rPr>
          <w:rFonts w:asciiTheme="minorHAnsi" w:hAnsiTheme="minorHAnsi"/>
          <w:color w:val="000000" w:themeColor="text1"/>
        </w:rPr>
        <w:t xml:space="preserve"> p=0.64 is of note when considering the limited sample size. </w:t>
      </w:r>
      <w:r w:rsidR="003055D7">
        <w:rPr>
          <w:rFonts w:asciiTheme="minorHAnsi" w:hAnsiTheme="minorHAnsi"/>
          <w:color w:val="000000" w:themeColor="text1"/>
        </w:rPr>
        <w:t>While it does follow the pattern of</w:t>
      </w:r>
      <w:r w:rsidR="0026407F">
        <w:rPr>
          <w:rFonts w:asciiTheme="minorHAnsi" w:hAnsiTheme="minorHAnsi"/>
          <w:color w:val="000000" w:themeColor="text1"/>
        </w:rPr>
        <w:t xml:space="preserve"> correlation, it may also be a T</w:t>
      </w:r>
      <w:r w:rsidR="003055D7">
        <w:rPr>
          <w:rFonts w:asciiTheme="minorHAnsi" w:hAnsiTheme="minorHAnsi"/>
          <w:color w:val="000000" w:themeColor="text1"/>
        </w:rPr>
        <w:t>ype I error.  Further investigation with larger sample size may be indicated in the future.</w:t>
      </w:r>
    </w:p>
    <w:p w14:paraId="57F311A5" w14:textId="77777777" w:rsidR="00BC7487" w:rsidRDefault="00BC7487" w:rsidP="00BC7487">
      <w:pPr>
        <w:spacing w:line="480" w:lineRule="auto"/>
        <w:rPr>
          <w:rFonts w:asciiTheme="minorHAnsi" w:hAnsiTheme="minorHAnsi"/>
        </w:rPr>
      </w:pPr>
    </w:p>
    <w:p w14:paraId="22F8C8F3" w14:textId="5F05D77B" w:rsidR="00BC7487" w:rsidRPr="00B417BF" w:rsidRDefault="00E524C0" w:rsidP="00BC7487">
      <w:pPr>
        <w:spacing w:line="480" w:lineRule="auto"/>
        <w:rPr>
          <w:rFonts w:asciiTheme="minorHAnsi" w:hAnsiTheme="minorHAnsi"/>
        </w:rPr>
      </w:pPr>
      <w:r>
        <w:rPr>
          <w:rFonts w:asciiTheme="minorHAnsi" w:hAnsiTheme="minorHAnsi"/>
        </w:rPr>
        <w:t xml:space="preserve">Additional </w:t>
      </w:r>
      <w:r w:rsidR="003055D7">
        <w:rPr>
          <w:rFonts w:asciiTheme="minorHAnsi" w:hAnsiTheme="minorHAnsi"/>
        </w:rPr>
        <w:t>analysis of v</w:t>
      </w:r>
      <w:r w:rsidR="00BC7487" w:rsidRPr="00B417BF">
        <w:rPr>
          <w:rFonts w:asciiTheme="minorHAnsi" w:hAnsiTheme="minorHAnsi"/>
        </w:rPr>
        <w:t>ariance determined significant differences between</w:t>
      </w:r>
      <w:r w:rsidR="009D7FFB">
        <w:rPr>
          <w:rFonts w:asciiTheme="minorHAnsi" w:hAnsiTheme="minorHAnsi"/>
        </w:rPr>
        <w:t xml:space="preserve"> control and </w:t>
      </w:r>
      <w:r w:rsidR="003055D7">
        <w:rPr>
          <w:rFonts w:asciiTheme="minorHAnsi" w:hAnsiTheme="minorHAnsi"/>
        </w:rPr>
        <w:t>experimental</w:t>
      </w:r>
      <w:r w:rsidR="00BC7487" w:rsidRPr="00B417BF">
        <w:rPr>
          <w:rFonts w:asciiTheme="minorHAnsi" w:hAnsiTheme="minorHAnsi"/>
        </w:rPr>
        <w:t xml:space="preserve"> Brief COPE items and exam grades. </w:t>
      </w:r>
      <w:r w:rsidR="00BC7487">
        <w:rPr>
          <w:rFonts w:asciiTheme="minorHAnsi" w:hAnsiTheme="minorHAnsi"/>
        </w:rPr>
        <w:t xml:space="preserve"> This test h</w:t>
      </w:r>
      <w:r w:rsidR="00BC7487" w:rsidRPr="00B417BF">
        <w:rPr>
          <w:rFonts w:asciiTheme="minorHAnsi" w:hAnsiTheme="minorHAnsi"/>
        </w:rPr>
        <w:t>elp</w:t>
      </w:r>
      <w:r w:rsidR="00BC7487">
        <w:rPr>
          <w:rFonts w:asciiTheme="minorHAnsi" w:hAnsiTheme="minorHAnsi"/>
        </w:rPr>
        <w:t>s</w:t>
      </w:r>
      <w:r w:rsidR="00BC7487" w:rsidRPr="00B417BF">
        <w:rPr>
          <w:rFonts w:asciiTheme="minorHAnsi" w:hAnsiTheme="minorHAnsi"/>
        </w:rPr>
        <w:t xml:space="preserve"> determine difference</w:t>
      </w:r>
      <w:r w:rsidR="007968AC">
        <w:rPr>
          <w:rFonts w:asciiTheme="minorHAnsi" w:hAnsiTheme="minorHAnsi"/>
        </w:rPr>
        <w:t>s</w:t>
      </w:r>
      <w:r w:rsidR="00BC7487" w:rsidRPr="00B417BF">
        <w:rPr>
          <w:rFonts w:asciiTheme="minorHAnsi" w:hAnsiTheme="minorHAnsi"/>
        </w:rPr>
        <w:t xml:space="preserve"> between </w:t>
      </w:r>
      <w:r w:rsidR="007968AC">
        <w:rPr>
          <w:rFonts w:asciiTheme="minorHAnsi" w:hAnsiTheme="minorHAnsi"/>
        </w:rPr>
        <w:t>control</w:t>
      </w:r>
      <w:r w:rsidR="00BC7487" w:rsidRPr="00B417BF">
        <w:rPr>
          <w:rFonts w:asciiTheme="minorHAnsi" w:hAnsiTheme="minorHAnsi"/>
        </w:rPr>
        <w:t xml:space="preserve"> and </w:t>
      </w:r>
      <w:r w:rsidR="007968AC">
        <w:rPr>
          <w:rFonts w:asciiTheme="minorHAnsi" w:hAnsiTheme="minorHAnsi"/>
        </w:rPr>
        <w:t>experimental</w:t>
      </w:r>
      <w:r w:rsidR="003055D7">
        <w:rPr>
          <w:rFonts w:asciiTheme="minorHAnsi" w:hAnsiTheme="minorHAnsi"/>
        </w:rPr>
        <w:t xml:space="preserve"> groups and, thus, an indication of the intervention’s effectiveness. </w:t>
      </w:r>
      <w:r w:rsidR="00BC7487" w:rsidRPr="00B417BF">
        <w:rPr>
          <w:rFonts w:asciiTheme="minorHAnsi" w:hAnsiTheme="minorHAnsi"/>
        </w:rPr>
        <w:t xml:space="preserve"> </w:t>
      </w:r>
      <w:r>
        <w:rPr>
          <w:rFonts w:asciiTheme="minorHAnsi" w:hAnsiTheme="minorHAnsi"/>
        </w:rPr>
        <w:t xml:space="preserve">A </w:t>
      </w:r>
      <w:r w:rsidR="00BC7487" w:rsidRPr="00B417BF">
        <w:rPr>
          <w:rFonts w:asciiTheme="minorHAnsi" w:hAnsiTheme="minorHAnsi"/>
        </w:rPr>
        <w:t xml:space="preserve">Mixed ANOVA/Repeated Measures </w:t>
      </w:r>
      <w:r w:rsidR="00B34E96">
        <w:rPr>
          <w:rFonts w:asciiTheme="minorHAnsi" w:hAnsiTheme="minorHAnsi"/>
        </w:rPr>
        <w:t>procedure</w:t>
      </w:r>
      <w:r w:rsidR="009B7517">
        <w:rPr>
          <w:rFonts w:asciiTheme="minorHAnsi" w:hAnsiTheme="minorHAnsi"/>
        </w:rPr>
        <w:t xml:space="preserve"> </w:t>
      </w:r>
      <w:r w:rsidR="00BC7487" w:rsidRPr="00B417BF">
        <w:rPr>
          <w:rFonts w:asciiTheme="minorHAnsi" w:hAnsiTheme="minorHAnsi"/>
        </w:rPr>
        <w:t xml:space="preserve">was performed </w:t>
      </w:r>
      <w:r>
        <w:rPr>
          <w:rFonts w:asciiTheme="minorHAnsi" w:hAnsiTheme="minorHAnsi"/>
        </w:rPr>
        <w:t>to determine significance of increased notification of support services on usage and exam grades</w:t>
      </w:r>
      <w:r w:rsidR="00BC7487" w:rsidRPr="00B417BF">
        <w:rPr>
          <w:rFonts w:asciiTheme="minorHAnsi" w:hAnsiTheme="minorHAnsi"/>
        </w:rPr>
        <w:t>.</w:t>
      </w:r>
      <w:r w:rsidR="00BC7487">
        <w:rPr>
          <w:rFonts w:asciiTheme="minorHAnsi" w:hAnsiTheme="minorHAnsi"/>
        </w:rPr>
        <w:t xml:space="preserve">  </w:t>
      </w:r>
      <w:r w:rsidR="003055D7">
        <w:rPr>
          <w:rFonts w:asciiTheme="minorHAnsi" w:hAnsiTheme="minorHAnsi"/>
        </w:rPr>
        <w:t>B</w:t>
      </w:r>
      <w:r w:rsidR="00BC7487">
        <w:rPr>
          <w:rFonts w:asciiTheme="minorHAnsi" w:hAnsiTheme="minorHAnsi"/>
        </w:rPr>
        <w:t xml:space="preserve">oth groups </w:t>
      </w:r>
      <w:r w:rsidR="003055D7">
        <w:rPr>
          <w:rFonts w:asciiTheme="minorHAnsi" w:hAnsiTheme="minorHAnsi"/>
        </w:rPr>
        <w:t xml:space="preserve">showed significantly </w:t>
      </w:r>
      <w:r w:rsidR="00BC7487">
        <w:rPr>
          <w:rFonts w:asciiTheme="minorHAnsi" w:hAnsiTheme="minorHAnsi"/>
        </w:rPr>
        <w:t xml:space="preserve">improved exam scores over the semester </w:t>
      </w:r>
      <w:r w:rsidR="003055D7">
        <w:rPr>
          <w:rFonts w:asciiTheme="minorHAnsi" w:hAnsiTheme="minorHAnsi"/>
        </w:rPr>
        <w:t>(</w:t>
      </w:r>
      <w:r>
        <w:rPr>
          <w:rFonts w:asciiTheme="minorHAnsi" w:hAnsiTheme="minorHAnsi"/>
        </w:rPr>
        <w:t>p=.001</w:t>
      </w:r>
      <w:r w:rsidR="003055D7">
        <w:rPr>
          <w:rFonts w:asciiTheme="minorHAnsi" w:hAnsiTheme="minorHAnsi"/>
        </w:rPr>
        <w:t>)</w:t>
      </w:r>
      <w:r>
        <w:rPr>
          <w:rFonts w:asciiTheme="minorHAnsi" w:hAnsiTheme="minorHAnsi"/>
        </w:rPr>
        <w:t>.  Thus, regardless of support service availability or education about</w:t>
      </w:r>
      <w:r w:rsidR="007968AC">
        <w:rPr>
          <w:rFonts w:asciiTheme="minorHAnsi" w:hAnsiTheme="minorHAnsi"/>
        </w:rPr>
        <w:t xml:space="preserve"> </w:t>
      </w:r>
      <w:r w:rsidR="00934210">
        <w:rPr>
          <w:rFonts w:asciiTheme="minorHAnsi" w:hAnsiTheme="minorHAnsi"/>
        </w:rPr>
        <w:t>support services</w:t>
      </w:r>
      <w:r>
        <w:rPr>
          <w:rFonts w:asciiTheme="minorHAnsi" w:hAnsiTheme="minorHAnsi"/>
        </w:rPr>
        <w:t>, students’ academic performance and coping behaviors did not differ significantly</w:t>
      </w:r>
      <w:r w:rsidR="003055D7">
        <w:rPr>
          <w:rFonts w:asciiTheme="minorHAnsi" w:hAnsiTheme="minorHAnsi"/>
        </w:rPr>
        <w:t xml:space="preserve">. </w:t>
      </w:r>
      <w:r w:rsidR="003055D7" w:rsidRPr="003055D7">
        <w:rPr>
          <w:rFonts w:asciiTheme="minorHAnsi" w:hAnsiTheme="minorHAnsi"/>
        </w:rPr>
        <w:t xml:space="preserve"> </w:t>
      </w:r>
      <w:r w:rsidR="003055D7">
        <w:rPr>
          <w:rFonts w:asciiTheme="minorHAnsi" w:hAnsiTheme="minorHAnsi"/>
        </w:rPr>
        <w:t xml:space="preserve">While the </w:t>
      </w:r>
      <w:r w:rsidR="0092332E">
        <w:rPr>
          <w:rFonts w:asciiTheme="minorHAnsi" w:hAnsiTheme="minorHAnsi"/>
        </w:rPr>
        <w:t>intervention</w:t>
      </w:r>
      <w:r w:rsidR="009D7FFB">
        <w:rPr>
          <w:rFonts w:asciiTheme="minorHAnsi" w:hAnsiTheme="minorHAnsi"/>
        </w:rPr>
        <w:t xml:space="preserve"> effect of email notifications</w:t>
      </w:r>
      <w:r w:rsidR="003055D7">
        <w:rPr>
          <w:rFonts w:asciiTheme="minorHAnsi" w:hAnsiTheme="minorHAnsi"/>
        </w:rPr>
        <w:t xml:space="preserve"> was not </w:t>
      </w:r>
      <w:r w:rsidR="003055D7">
        <w:rPr>
          <w:rFonts w:asciiTheme="minorHAnsi" w:hAnsiTheme="minorHAnsi"/>
        </w:rPr>
        <w:lastRenderedPageBreak/>
        <w:t>significant</w:t>
      </w:r>
      <w:r w:rsidR="009D7FFB">
        <w:rPr>
          <w:rFonts w:asciiTheme="minorHAnsi" w:hAnsiTheme="minorHAnsi"/>
        </w:rPr>
        <w:t xml:space="preserve"> in improving students’ exam scores</w:t>
      </w:r>
      <w:r w:rsidR="003055D7">
        <w:rPr>
          <w:rFonts w:asciiTheme="minorHAnsi" w:hAnsiTheme="minorHAnsi"/>
        </w:rPr>
        <w:t>,</w:t>
      </w:r>
      <w:r w:rsidR="009D7FFB">
        <w:rPr>
          <w:rFonts w:asciiTheme="minorHAnsi" w:hAnsiTheme="minorHAnsi"/>
        </w:rPr>
        <w:t xml:space="preserve"> it did not appear to have a negative effect on academic performance</w:t>
      </w:r>
      <w:r w:rsidR="00B34E96">
        <w:rPr>
          <w:rFonts w:asciiTheme="minorHAnsi" w:hAnsiTheme="minorHAnsi"/>
        </w:rPr>
        <w:t xml:space="preserve"> either</w:t>
      </w:r>
      <w:r w:rsidR="009D7FFB">
        <w:rPr>
          <w:rFonts w:asciiTheme="minorHAnsi" w:hAnsiTheme="minorHAnsi"/>
        </w:rPr>
        <w:t>.</w:t>
      </w:r>
    </w:p>
    <w:p w14:paraId="3D41DC3B" w14:textId="77777777" w:rsidR="00BC7487" w:rsidRDefault="00BC7487" w:rsidP="00BC7487">
      <w:pPr>
        <w:spacing w:line="480" w:lineRule="auto"/>
        <w:rPr>
          <w:rFonts w:asciiTheme="minorHAnsi" w:hAnsiTheme="minorHAnsi"/>
        </w:rPr>
      </w:pPr>
    </w:p>
    <w:p w14:paraId="22AAA7FD" w14:textId="5A5FA033" w:rsidR="00BC7487" w:rsidRDefault="00BC7487" w:rsidP="00BC7487">
      <w:pPr>
        <w:spacing w:line="480" w:lineRule="auto"/>
        <w:rPr>
          <w:rFonts w:asciiTheme="minorHAnsi" w:hAnsiTheme="minorHAnsi"/>
        </w:rPr>
      </w:pPr>
      <w:r w:rsidRPr="00B417BF">
        <w:rPr>
          <w:rFonts w:asciiTheme="minorHAnsi" w:hAnsiTheme="minorHAnsi"/>
        </w:rPr>
        <w:t xml:space="preserve">Analysis of </w:t>
      </w:r>
      <w:r w:rsidR="007968AC">
        <w:rPr>
          <w:rFonts w:asciiTheme="minorHAnsi" w:hAnsiTheme="minorHAnsi"/>
        </w:rPr>
        <w:t xml:space="preserve">control group </w:t>
      </w:r>
      <w:r w:rsidRPr="00B417BF">
        <w:rPr>
          <w:rFonts w:asciiTheme="minorHAnsi" w:hAnsiTheme="minorHAnsi"/>
        </w:rPr>
        <w:t xml:space="preserve">Brief COPE revealed correlations between academic performance and poor coping behaviors. </w:t>
      </w:r>
      <w:r w:rsidR="00EF7C01">
        <w:rPr>
          <w:rFonts w:asciiTheme="minorHAnsi" w:hAnsiTheme="minorHAnsi"/>
        </w:rPr>
        <w:t>Self-criticism</w:t>
      </w:r>
      <w:r>
        <w:rPr>
          <w:rFonts w:asciiTheme="minorHAnsi" w:hAnsiTheme="minorHAnsi"/>
        </w:rPr>
        <w:t xml:space="preserve"> and blaming </w:t>
      </w:r>
      <w:r w:rsidR="00B34E96">
        <w:rPr>
          <w:rFonts w:asciiTheme="minorHAnsi" w:hAnsiTheme="minorHAnsi"/>
        </w:rPr>
        <w:t>(</w:t>
      </w:r>
      <w:r>
        <w:rPr>
          <w:rFonts w:asciiTheme="minorHAnsi" w:hAnsiTheme="minorHAnsi"/>
        </w:rPr>
        <w:t>Brief COPE items</w:t>
      </w:r>
      <w:r w:rsidR="00B34E96">
        <w:rPr>
          <w:rFonts w:asciiTheme="minorHAnsi" w:hAnsiTheme="minorHAnsi"/>
        </w:rPr>
        <w:t>)</w:t>
      </w:r>
      <w:r>
        <w:rPr>
          <w:rFonts w:asciiTheme="minorHAnsi" w:hAnsiTheme="minorHAnsi"/>
        </w:rPr>
        <w:t xml:space="preserve"> were seen in correlation with</w:t>
      </w:r>
      <w:r w:rsidR="00934210">
        <w:rPr>
          <w:rFonts w:asciiTheme="minorHAnsi" w:hAnsiTheme="minorHAnsi"/>
        </w:rPr>
        <w:t xml:space="preserve"> low</w:t>
      </w:r>
      <w:r>
        <w:rPr>
          <w:rFonts w:asciiTheme="minorHAnsi" w:hAnsiTheme="minorHAnsi"/>
        </w:rPr>
        <w:t xml:space="preserve"> exam grade performance. </w:t>
      </w:r>
      <w:r w:rsidR="001F0476">
        <w:rPr>
          <w:rFonts w:asciiTheme="minorHAnsi" w:hAnsiTheme="minorHAnsi"/>
        </w:rPr>
        <w:t xml:space="preserve"> Analysis of experimental group</w:t>
      </w:r>
      <w:r w:rsidRPr="00B417BF">
        <w:rPr>
          <w:rFonts w:asciiTheme="minorHAnsi" w:hAnsiTheme="minorHAnsi"/>
        </w:rPr>
        <w:t xml:space="preserve"> students did not show strong relationships between Brief COPE items and academic performance.  The small </w:t>
      </w:r>
      <w:r w:rsidR="001F0476">
        <w:rPr>
          <w:rFonts w:asciiTheme="minorHAnsi" w:hAnsiTheme="minorHAnsi"/>
        </w:rPr>
        <w:t xml:space="preserve">experimental group </w:t>
      </w:r>
      <w:r w:rsidRPr="00B417BF">
        <w:rPr>
          <w:rFonts w:asciiTheme="minorHAnsi" w:hAnsiTheme="minorHAnsi"/>
        </w:rPr>
        <w:t xml:space="preserve">sample size may have contributed to the results.  </w:t>
      </w:r>
      <w:r w:rsidR="009D7FFB">
        <w:rPr>
          <w:rFonts w:asciiTheme="minorHAnsi" w:hAnsiTheme="minorHAnsi"/>
        </w:rPr>
        <w:t>Significant d</w:t>
      </w:r>
      <w:r w:rsidRPr="00B417BF">
        <w:rPr>
          <w:rFonts w:asciiTheme="minorHAnsi" w:hAnsiTheme="minorHAnsi"/>
        </w:rPr>
        <w:t>ifferences in exam grades were not observed between the two groups.</w:t>
      </w:r>
      <w:r>
        <w:rPr>
          <w:rFonts w:asciiTheme="minorHAnsi" w:hAnsiTheme="minorHAnsi"/>
        </w:rPr>
        <w:t xml:space="preserve"> </w:t>
      </w:r>
    </w:p>
    <w:p w14:paraId="52C091B3" w14:textId="0C4C0DA3" w:rsidR="00DB03F1" w:rsidRPr="00B417BF" w:rsidRDefault="00DB03F1" w:rsidP="00DB03F1">
      <w:pPr>
        <w:spacing w:line="480" w:lineRule="auto"/>
        <w:rPr>
          <w:rFonts w:asciiTheme="minorHAnsi" w:hAnsiTheme="minorHAnsi"/>
        </w:rPr>
      </w:pPr>
    </w:p>
    <w:p w14:paraId="55D3689A" w14:textId="68C41E84" w:rsidR="00DB03F1" w:rsidRPr="007A4B28" w:rsidRDefault="00DB03F1" w:rsidP="00C56311">
      <w:pPr>
        <w:spacing w:line="480" w:lineRule="auto"/>
        <w:rPr>
          <w:rFonts w:asciiTheme="minorHAnsi" w:hAnsiTheme="minorHAnsi"/>
        </w:rPr>
      </w:pPr>
      <w:r w:rsidRPr="00B417BF">
        <w:rPr>
          <w:rFonts w:asciiTheme="minorHAnsi" w:hAnsiTheme="minorHAnsi"/>
        </w:rPr>
        <w:t>The majority of students indicated they believed their current support system and strategies were effective</w:t>
      </w:r>
      <w:r w:rsidR="009A1177">
        <w:rPr>
          <w:rFonts w:asciiTheme="minorHAnsi" w:hAnsiTheme="minorHAnsi"/>
        </w:rPr>
        <w:t xml:space="preserve"> (</w:t>
      </w:r>
      <w:r w:rsidR="007D6DAD">
        <w:rPr>
          <w:rFonts w:asciiTheme="minorHAnsi" w:hAnsiTheme="minorHAnsi"/>
        </w:rPr>
        <w:t>App A. Fig. 14, pp 93</w:t>
      </w:r>
      <w:r w:rsidR="009A1177">
        <w:rPr>
          <w:rFonts w:asciiTheme="minorHAnsi" w:hAnsiTheme="minorHAnsi"/>
        </w:rPr>
        <w:t>)</w:t>
      </w:r>
      <w:r w:rsidRPr="00B417BF">
        <w:rPr>
          <w:rFonts w:asciiTheme="minorHAnsi" w:hAnsiTheme="minorHAnsi"/>
        </w:rPr>
        <w:t xml:space="preserve">.  Of the remainder, two stated they would seek professional medical help earlier.  One student was unsure of the effectiveness of their support strategies.  </w:t>
      </w:r>
    </w:p>
    <w:p w14:paraId="0A9DE986" w14:textId="77589214" w:rsidR="00A623C5" w:rsidRDefault="00A623C5">
      <w:pPr>
        <w:rPr>
          <w:rFonts w:asciiTheme="minorHAnsi" w:hAnsiTheme="minorHAnsi"/>
        </w:rPr>
      </w:pPr>
      <w:r>
        <w:rPr>
          <w:rFonts w:asciiTheme="minorHAnsi" w:hAnsiTheme="minorHAnsi"/>
        </w:rPr>
        <w:br w:type="page"/>
      </w:r>
    </w:p>
    <w:p w14:paraId="1BE906B3" w14:textId="77777777" w:rsidR="00653862" w:rsidRDefault="00653862" w:rsidP="00855627">
      <w:pPr>
        <w:spacing w:line="480" w:lineRule="auto"/>
        <w:outlineLvl w:val="0"/>
        <w:rPr>
          <w:rFonts w:asciiTheme="minorHAnsi" w:hAnsiTheme="minorHAnsi"/>
        </w:rPr>
      </w:pPr>
    </w:p>
    <w:p w14:paraId="79713B74" w14:textId="1ECE9C8D" w:rsidR="00FA004E" w:rsidRDefault="00002943" w:rsidP="00002943">
      <w:pPr>
        <w:spacing w:line="480" w:lineRule="auto"/>
        <w:jc w:val="center"/>
        <w:rPr>
          <w:rFonts w:asciiTheme="minorHAnsi" w:hAnsiTheme="minorHAnsi"/>
          <w:b/>
        </w:rPr>
      </w:pPr>
      <w:r>
        <w:rPr>
          <w:rFonts w:asciiTheme="minorHAnsi" w:hAnsiTheme="minorHAnsi"/>
          <w:b/>
        </w:rPr>
        <w:t>Chapter 5</w:t>
      </w:r>
    </w:p>
    <w:p w14:paraId="0081C125" w14:textId="77777777" w:rsidR="00002943" w:rsidRPr="00002943" w:rsidRDefault="00002943" w:rsidP="00002943">
      <w:pPr>
        <w:spacing w:line="480" w:lineRule="auto"/>
        <w:jc w:val="center"/>
        <w:rPr>
          <w:rFonts w:asciiTheme="minorHAnsi" w:hAnsiTheme="minorHAnsi"/>
          <w:b/>
        </w:rPr>
      </w:pPr>
    </w:p>
    <w:p w14:paraId="5B4F7F7A" w14:textId="4A39C78A" w:rsidR="00FA004E" w:rsidRDefault="00FA004E" w:rsidP="00FA004E">
      <w:pPr>
        <w:spacing w:line="480" w:lineRule="auto"/>
        <w:rPr>
          <w:rFonts w:asciiTheme="minorHAnsi" w:hAnsiTheme="minorHAnsi"/>
        </w:rPr>
      </w:pPr>
      <w:r w:rsidRPr="00B417BF">
        <w:rPr>
          <w:rFonts w:asciiTheme="minorHAnsi" w:hAnsiTheme="minorHAnsi"/>
        </w:rPr>
        <w:t>The major themes of the qualitative questionnaire relate to each other in ways that form a loose hierarchy</w:t>
      </w:r>
      <w:r w:rsidR="002D6826">
        <w:rPr>
          <w:rFonts w:asciiTheme="minorHAnsi" w:hAnsiTheme="minorHAnsi"/>
        </w:rPr>
        <w:t xml:space="preserve"> (Fig 15)</w:t>
      </w:r>
      <w:r w:rsidRPr="00B417BF">
        <w:rPr>
          <w:rFonts w:asciiTheme="minorHAnsi" w:hAnsiTheme="minorHAnsi"/>
        </w:rPr>
        <w:t xml:space="preserve">.  The physical environment played a part in students’ comfort and ability to remain engaged in the classroom.  While these are often dismissed as something students should deal with, attending to these needs </w:t>
      </w:r>
      <w:r w:rsidR="000438AC">
        <w:rPr>
          <w:rFonts w:asciiTheme="minorHAnsi" w:hAnsiTheme="minorHAnsi"/>
        </w:rPr>
        <w:t>may</w:t>
      </w:r>
      <w:r w:rsidRPr="00B417BF">
        <w:rPr>
          <w:rFonts w:asciiTheme="minorHAnsi" w:hAnsiTheme="minorHAnsi"/>
        </w:rPr>
        <w:t xml:space="preserve"> immediately improve the course experience.  This also includes intervention between students.  While it is assumed that graduate students are able to manage dynamics within their group, the high-stakes nature of medical programs may produce situation</w:t>
      </w:r>
      <w:r w:rsidR="000438AC">
        <w:rPr>
          <w:rFonts w:asciiTheme="minorHAnsi" w:hAnsiTheme="minorHAnsi"/>
        </w:rPr>
        <w:t>s</w:t>
      </w:r>
      <w:r w:rsidRPr="00B417BF">
        <w:rPr>
          <w:rFonts w:asciiTheme="minorHAnsi" w:hAnsiTheme="minorHAnsi"/>
        </w:rPr>
        <w:t xml:space="preserve"> that </w:t>
      </w:r>
      <w:r w:rsidR="000438AC">
        <w:rPr>
          <w:rFonts w:asciiTheme="minorHAnsi" w:hAnsiTheme="minorHAnsi"/>
        </w:rPr>
        <w:t>hinder</w:t>
      </w:r>
      <w:r w:rsidRPr="00B417BF">
        <w:rPr>
          <w:rFonts w:asciiTheme="minorHAnsi" w:hAnsiTheme="minorHAnsi"/>
        </w:rPr>
        <w:t xml:space="preserve"> students.  Be</w:t>
      </w:r>
      <w:r w:rsidR="00884F72">
        <w:rPr>
          <w:rFonts w:asciiTheme="minorHAnsi" w:hAnsiTheme="minorHAnsi"/>
        </w:rPr>
        <w:t>ing aware of the laboratory lay</w:t>
      </w:r>
      <w:r w:rsidRPr="00B417BF">
        <w:rPr>
          <w:rFonts w:asciiTheme="minorHAnsi" w:hAnsiTheme="minorHAnsi"/>
        </w:rPr>
        <w:t xml:space="preserve">out, students being excluded, and general distractions in the classroom could ensure all students have </w:t>
      </w:r>
      <w:r w:rsidR="000438AC">
        <w:rPr>
          <w:rFonts w:asciiTheme="minorHAnsi" w:hAnsiTheme="minorHAnsi"/>
        </w:rPr>
        <w:t>the ability to participate</w:t>
      </w:r>
      <w:r w:rsidRPr="00B417BF">
        <w:rPr>
          <w:rFonts w:asciiTheme="minorHAnsi" w:hAnsiTheme="minorHAnsi"/>
        </w:rPr>
        <w:t xml:space="preserve"> in </w:t>
      </w:r>
      <w:r w:rsidR="0067255E">
        <w:rPr>
          <w:rFonts w:asciiTheme="minorHAnsi" w:hAnsiTheme="minorHAnsi"/>
        </w:rPr>
        <w:t xml:space="preserve">lecture and </w:t>
      </w:r>
      <w:r w:rsidRPr="00B417BF">
        <w:rPr>
          <w:rFonts w:asciiTheme="minorHAnsi" w:hAnsiTheme="minorHAnsi"/>
        </w:rPr>
        <w:t>laboratory situations.  This type of intervention</w:t>
      </w:r>
      <w:r w:rsidR="003B5338">
        <w:rPr>
          <w:rFonts w:asciiTheme="minorHAnsi" w:hAnsiTheme="minorHAnsi"/>
        </w:rPr>
        <w:t xml:space="preserve"> is up to the discretion of</w:t>
      </w:r>
      <w:r w:rsidRPr="00B417BF">
        <w:rPr>
          <w:rFonts w:asciiTheme="minorHAnsi" w:hAnsiTheme="minorHAnsi"/>
        </w:rPr>
        <w:t xml:space="preserve"> faculty</w:t>
      </w:r>
      <w:r w:rsidR="00C4515B">
        <w:rPr>
          <w:rFonts w:asciiTheme="minorHAnsi" w:hAnsiTheme="minorHAnsi"/>
        </w:rPr>
        <w:t>,</w:t>
      </w:r>
      <w:r w:rsidRPr="00B417BF">
        <w:rPr>
          <w:rFonts w:asciiTheme="minorHAnsi" w:hAnsiTheme="minorHAnsi"/>
        </w:rPr>
        <w:t xml:space="preserve"> but awareness may alert them to potential problems in the future.  </w:t>
      </w:r>
    </w:p>
    <w:p w14:paraId="779E859B" w14:textId="55B2B733" w:rsidR="00A623C5" w:rsidRDefault="00A623C5">
      <w:pPr>
        <w:rPr>
          <w:rFonts w:asciiTheme="minorHAnsi" w:hAnsiTheme="minorHAnsi"/>
        </w:rPr>
      </w:pPr>
      <w:r>
        <w:rPr>
          <w:rFonts w:asciiTheme="minorHAnsi" w:hAnsiTheme="minorHAnsi"/>
        </w:rPr>
        <w:br w:type="page"/>
      </w:r>
    </w:p>
    <w:p w14:paraId="442B05E1" w14:textId="77777777" w:rsidR="002D6826" w:rsidRDefault="002D6826" w:rsidP="002D6826">
      <w:pPr>
        <w:rPr>
          <w:rFonts w:asciiTheme="minorHAnsi" w:hAnsiTheme="minorHAnsi"/>
        </w:rPr>
      </w:pPr>
    </w:p>
    <w:p w14:paraId="028500B2" w14:textId="77777777" w:rsidR="002D6826" w:rsidRPr="00B417BF" w:rsidRDefault="002D6826" w:rsidP="002D6826">
      <w:pPr>
        <w:spacing w:line="480" w:lineRule="auto"/>
        <w:rPr>
          <w:rFonts w:asciiTheme="minorHAnsi" w:hAnsiTheme="minorHAnsi"/>
        </w:rPr>
      </w:pPr>
      <w:r w:rsidRPr="00EF6DD2">
        <w:rPr>
          <w:rFonts w:asciiTheme="minorHAnsi" w:hAnsiTheme="minorHAnsi"/>
          <w:noProof/>
          <w:sz w:val="20"/>
          <w:szCs w:val="20"/>
        </w:rPr>
        <w:drawing>
          <wp:inline distT="0" distB="0" distL="0" distR="0" wp14:anchorId="7E4AC8E9" wp14:editId="160AA090">
            <wp:extent cx="4725619" cy="2479853"/>
            <wp:effectExtent l="63500" t="50800" r="37465" b="7302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43784EFB" w14:textId="77777777" w:rsidR="002D6826" w:rsidRPr="00B417BF" w:rsidRDefault="002D6826" w:rsidP="002D6826">
      <w:pPr>
        <w:rPr>
          <w:rFonts w:asciiTheme="minorHAnsi" w:hAnsiTheme="minorHAnsi"/>
        </w:rPr>
      </w:pPr>
    </w:p>
    <w:p w14:paraId="797AD45D" w14:textId="70AB2FAC" w:rsidR="002D6826" w:rsidRDefault="002D6826" w:rsidP="002D6826">
      <w:pPr>
        <w:rPr>
          <w:rFonts w:asciiTheme="minorHAnsi" w:hAnsiTheme="minorHAnsi"/>
        </w:rPr>
      </w:pPr>
      <w:r w:rsidRPr="00A658B0">
        <w:rPr>
          <w:rFonts w:asciiTheme="minorHAnsi" w:hAnsiTheme="minorHAnsi"/>
          <w:b/>
        </w:rPr>
        <w:t xml:space="preserve">Figure 15.  </w:t>
      </w:r>
      <w:r w:rsidR="00536DA3" w:rsidRPr="00A658B0">
        <w:rPr>
          <w:rFonts w:asciiTheme="minorHAnsi" w:hAnsiTheme="minorHAnsi"/>
          <w:b/>
        </w:rPr>
        <w:t>Schematic Relationships of End of Course Survey Responses</w:t>
      </w:r>
      <w:r w:rsidR="00536DA3">
        <w:rPr>
          <w:rFonts w:asciiTheme="minorHAnsi" w:hAnsiTheme="minorHAnsi"/>
        </w:rPr>
        <w:t>.</w:t>
      </w:r>
    </w:p>
    <w:p w14:paraId="7831FB2D" w14:textId="77777777" w:rsidR="002D6826" w:rsidRDefault="002D6826" w:rsidP="002D6826">
      <w:pPr>
        <w:rPr>
          <w:rFonts w:asciiTheme="minorHAnsi" w:hAnsiTheme="minorHAnsi"/>
        </w:rPr>
      </w:pPr>
    </w:p>
    <w:p w14:paraId="307DF63E" w14:textId="77777777" w:rsidR="002D6826" w:rsidRPr="00B417BF" w:rsidRDefault="002D6826" w:rsidP="002D6826">
      <w:pPr>
        <w:spacing w:line="480" w:lineRule="auto"/>
        <w:outlineLvl w:val="0"/>
        <w:rPr>
          <w:rFonts w:asciiTheme="minorHAnsi" w:hAnsiTheme="minorHAnsi"/>
        </w:rPr>
      </w:pPr>
      <w:r>
        <w:rPr>
          <w:rFonts w:asciiTheme="minorHAnsi" w:hAnsiTheme="minorHAnsi"/>
        </w:rPr>
        <w:t>The</w:t>
      </w:r>
      <w:r w:rsidRPr="00B417BF">
        <w:rPr>
          <w:rFonts w:asciiTheme="minorHAnsi" w:hAnsiTheme="minorHAnsi"/>
        </w:rPr>
        <w:t xml:space="preserve"> diagram illustrating the interplay and hierarchy of qualitative feedback was created from the data collected. The diagram </w:t>
      </w:r>
      <w:r>
        <w:rPr>
          <w:rFonts w:asciiTheme="minorHAnsi" w:hAnsiTheme="minorHAnsi"/>
        </w:rPr>
        <w:t>illustrates</w:t>
      </w:r>
      <w:r w:rsidRPr="00B417BF">
        <w:rPr>
          <w:rFonts w:asciiTheme="minorHAnsi" w:hAnsiTheme="minorHAnsi"/>
        </w:rPr>
        <w:t xml:space="preserve"> learning experience of the </w:t>
      </w:r>
      <w:r>
        <w:rPr>
          <w:rFonts w:asciiTheme="minorHAnsi" w:hAnsiTheme="minorHAnsi"/>
        </w:rPr>
        <w:t>Clinical Anatomy</w:t>
      </w:r>
      <w:r w:rsidRPr="00B417BF">
        <w:rPr>
          <w:rFonts w:asciiTheme="minorHAnsi" w:hAnsiTheme="minorHAnsi"/>
        </w:rPr>
        <w:t xml:space="preserve"> course.  Faculty and university understanding how the elements of these themes interrelate can address elements where students lack the resources or skills to manage themselves.</w:t>
      </w:r>
    </w:p>
    <w:p w14:paraId="6B5C7CF7" w14:textId="418D6739" w:rsidR="002D6826" w:rsidRDefault="002D6826" w:rsidP="002D6826">
      <w:pPr>
        <w:rPr>
          <w:rFonts w:asciiTheme="minorHAnsi" w:hAnsiTheme="minorHAnsi"/>
        </w:rPr>
      </w:pPr>
    </w:p>
    <w:p w14:paraId="68BDD16B" w14:textId="77777777" w:rsidR="00A623C5" w:rsidRPr="00B417BF" w:rsidRDefault="00A623C5" w:rsidP="002D6826">
      <w:pPr>
        <w:rPr>
          <w:rFonts w:asciiTheme="minorHAnsi" w:hAnsiTheme="minorHAnsi"/>
        </w:rPr>
      </w:pPr>
    </w:p>
    <w:p w14:paraId="6ED7F957" w14:textId="2B853427" w:rsidR="0092332E" w:rsidRPr="0092332E" w:rsidRDefault="0092332E" w:rsidP="00FA004E">
      <w:pPr>
        <w:spacing w:line="480" w:lineRule="auto"/>
        <w:rPr>
          <w:rFonts w:asciiTheme="minorHAnsi" w:hAnsiTheme="minorHAnsi"/>
          <w:b/>
        </w:rPr>
      </w:pPr>
      <w:r>
        <w:rPr>
          <w:rFonts w:asciiTheme="minorHAnsi" w:hAnsiTheme="minorHAnsi"/>
          <w:b/>
        </w:rPr>
        <w:t>Summation of Qualitative Analysis:</w:t>
      </w:r>
    </w:p>
    <w:p w14:paraId="369D8D41" w14:textId="7E2865D8" w:rsidR="00FA004E" w:rsidRPr="00B417BF" w:rsidRDefault="00FA004E" w:rsidP="00FA004E">
      <w:pPr>
        <w:spacing w:line="480" w:lineRule="auto"/>
        <w:rPr>
          <w:rFonts w:asciiTheme="minorHAnsi" w:hAnsiTheme="minorHAnsi"/>
        </w:rPr>
      </w:pPr>
      <w:r w:rsidRPr="00B417BF">
        <w:rPr>
          <w:rFonts w:asciiTheme="minorHAnsi" w:hAnsiTheme="minorHAnsi"/>
        </w:rPr>
        <w:t xml:space="preserve">The heart of this study was the investigation of coping and </w:t>
      </w:r>
      <w:r w:rsidR="002E6792">
        <w:rPr>
          <w:rFonts w:asciiTheme="minorHAnsi" w:hAnsiTheme="minorHAnsi"/>
        </w:rPr>
        <w:t>help-seeking</w:t>
      </w:r>
      <w:r w:rsidRPr="00B417BF">
        <w:rPr>
          <w:rFonts w:asciiTheme="minorHAnsi" w:hAnsiTheme="minorHAnsi"/>
        </w:rPr>
        <w:t xml:space="preserve"> behaviors.  The qualitative survey was consistent with the quantitative frequency of use data.  Students </w:t>
      </w:r>
      <w:r w:rsidR="000438AC">
        <w:rPr>
          <w:rFonts w:asciiTheme="minorHAnsi" w:hAnsiTheme="minorHAnsi"/>
        </w:rPr>
        <w:t>tended to</w:t>
      </w:r>
      <w:r w:rsidRPr="00B417BF">
        <w:rPr>
          <w:rFonts w:asciiTheme="minorHAnsi" w:hAnsiTheme="minorHAnsi"/>
        </w:rPr>
        <w:t xml:space="preserve"> </w:t>
      </w:r>
      <w:r w:rsidR="000438AC">
        <w:rPr>
          <w:rFonts w:asciiTheme="minorHAnsi" w:hAnsiTheme="minorHAnsi"/>
        </w:rPr>
        <w:t xml:space="preserve">prefer to </w:t>
      </w:r>
      <w:r w:rsidRPr="00B417BF">
        <w:rPr>
          <w:rFonts w:asciiTheme="minorHAnsi" w:hAnsiTheme="minorHAnsi"/>
        </w:rPr>
        <w:t>use</w:t>
      </w:r>
      <w:r w:rsidR="000438AC">
        <w:rPr>
          <w:rFonts w:asciiTheme="minorHAnsi" w:hAnsiTheme="minorHAnsi"/>
        </w:rPr>
        <w:t xml:space="preserve"> the support</w:t>
      </w:r>
      <w:r w:rsidRPr="00B417BF">
        <w:rPr>
          <w:rFonts w:asciiTheme="minorHAnsi" w:hAnsiTheme="minorHAnsi"/>
        </w:rPr>
        <w:t xml:space="preserve"> of friends and family</w:t>
      </w:r>
      <w:r w:rsidR="000438AC">
        <w:rPr>
          <w:rFonts w:asciiTheme="minorHAnsi" w:hAnsiTheme="minorHAnsi"/>
        </w:rPr>
        <w:t xml:space="preserve"> over more formalized academic supports</w:t>
      </w:r>
      <w:r w:rsidRPr="00B417BF">
        <w:rPr>
          <w:rFonts w:asciiTheme="minorHAnsi" w:hAnsiTheme="minorHAnsi"/>
        </w:rPr>
        <w:t xml:space="preserve">.  Follow up questions revealed students relied on friends and family for emotional support and physical help in the home.  </w:t>
      </w:r>
      <w:r w:rsidR="000438AC">
        <w:rPr>
          <w:rFonts w:asciiTheme="minorHAnsi" w:hAnsiTheme="minorHAnsi"/>
        </w:rPr>
        <w:t>Only a</w:t>
      </w:r>
      <w:r w:rsidRPr="00B417BF">
        <w:rPr>
          <w:rFonts w:asciiTheme="minorHAnsi" w:hAnsiTheme="minorHAnsi"/>
        </w:rPr>
        <w:t xml:space="preserve"> small number of students reported that they </w:t>
      </w:r>
      <w:r w:rsidRPr="00B417BF">
        <w:rPr>
          <w:rFonts w:asciiTheme="minorHAnsi" w:hAnsiTheme="minorHAnsi"/>
        </w:rPr>
        <w:lastRenderedPageBreak/>
        <w:t>were using student health services or professional counseling.  This</w:t>
      </w:r>
      <w:r w:rsidR="000438AC">
        <w:rPr>
          <w:rFonts w:asciiTheme="minorHAnsi" w:hAnsiTheme="minorHAnsi"/>
        </w:rPr>
        <w:t xml:space="preserve"> was consistent for both groups in 2016 and 2017.</w:t>
      </w:r>
    </w:p>
    <w:p w14:paraId="5540CF41" w14:textId="77777777" w:rsidR="00FA004E" w:rsidRPr="00B417BF" w:rsidRDefault="00FA004E" w:rsidP="00FA004E">
      <w:pPr>
        <w:spacing w:line="480" w:lineRule="auto"/>
        <w:rPr>
          <w:rFonts w:asciiTheme="minorHAnsi" w:hAnsiTheme="minorHAnsi"/>
        </w:rPr>
      </w:pPr>
    </w:p>
    <w:p w14:paraId="325BC5E2" w14:textId="4968879F" w:rsidR="00FA004E" w:rsidRPr="00B417BF" w:rsidRDefault="00FA004E" w:rsidP="00FA004E">
      <w:pPr>
        <w:spacing w:line="480" w:lineRule="auto"/>
        <w:rPr>
          <w:rFonts w:asciiTheme="minorHAnsi" w:hAnsiTheme="minorHAnsi"/>
        </w:rPr>
      </w:pPr>
      <w:r w:rsidRPr="00B417BF">
        <w:rPr>
          <w:rFonts w:asciiTheme="minorHAnsi" w:hAnsiTheme="minorHAnsi"/>
        </w:rPr>
        <w:t xml:space="preserve">The majority of qualitative respondents discussed how they interacted with external factors during the course.  These included friends, family, the physical environment, and faculty.  A small number of respondents provided answers about internal factors </w:t>
      </w:r>
      <w:r w:rsidR="00605E20">
        <w:rPr>
          <w:rFonts w:asciiTheme="minorHAnsi" w:hAnsiTheme="minorHAnsi"/>
        </w:rPr>
        <w:t xml:space="preserve">negatively </w:t>
      </w:r>
      <w:r w:rsidRPr="00B417BF">
        <w:rPr>
          <w:rFonts w:asciiTheme="minorHAnsi" w:hAnsiTheme="minorHAnsi"/>
        </w:rPr>
        <w:t>impacting their performance.  These answers revealed significant struggle</w:t>
      </w:r>
      <w:r w:rsidR="000438AC">
        <w:rPr>
          <w:rFonts w:asciiTheme="minorHAnsi" w:hAnsiTheme="minorHAnsi"/>
        </w:rPr>
        <w:t>s</w:t>
      </w:r>
      <w:r w:rsidRPr="00B417BF">
        <w:rPr>
          <w:rFonts w:asciiTheme="minorHAnsi" w:hAnsiTheme="minorHAnsi"/>
        </w:rPr>
        <w:t xml:space="preserve"> to master study skills, manage emotional stress, and </w:t>
      </w:r>
      <w:r w:rsidR="000438AC">
        <w:rPr>
          <w:rFonts w:asciiTheme="minorHAnsi" w:hAnsiTheme="minorHAnsi"/>
        </w:rPr>
        <w:t>perform</w:t>
      </w:r>
      <w:r w:rsidRPr="00B417BF">
        <w:rPr>
          <w:rFonts w:asciiTheme="minorHAnsi" w:hAnsiTheme="minorHAnsi"/>
        </w:rPr>
        <w:t xml:space="preserve"> academically.  Interestingly, only one student identified </w:t>
      </w:r>
      <w:r w:rsidR="00605E20">
        <w:rPr>
          <w:rFonts w:asciiTheme="minorHAnsi" w:hAnsiTheme="minorHAnsi"/>
        </w:rPr>
        <w:t>new</w:t>
      </w:r>
      <w:r w:rsidR="000438AC">
        <w:rPr>
          <w:rFonts w:asciiTheme="minorHAnsi" w:hAnsiTheme="minorHAnsi"/>
        </w:rPr>
        <w:t>,</w:t>
      </w:r>
      <w:r w:rsidR="00605E20">
        <w:rPr>
          <w:rFonts w:asciiTheme="minorHAnsi" w:hAnsiTheme="minorHAnsi"/>
        </w:rPr>
        <w:t xml:space="preserve"> </w:t>
      </w:r>
      <w:r w:rsidRPr="00B417BF">
        <w:rPr>
          <w:rFonts w:asciiTheme="minorHAnsi" w:hAnsiTheme="minorHAnsi"/>
        </w:rPr>
        <w:t xml:space="preserve">specific strategies that were successful.  </w:t>
      </w:r>
      <w:r w:rsidR="004828E8">
        <w:rPr>
          <w:rFonts w:asciiTheme="minorHAnsi" w:hAnsiTheme="minorHAnsi"/>
        </w:rPr>
        <w:t xml:space="preserve">“I just needed to adjust and adapt my learning style.  This class has a huge psychological and educational transformation component to it.”  </w:t>
      </w:r>
      <w:r w:rsidR="007A4B28">
        <w:rPr>
          <w:rFonts w:asciiTheme="minorHAnsi" w:hAnsiTheme="minorHAnsi"/>
        </w:rPr>
        <w:t xml:space="preserve">That student </w:t>
      </w:r>
      <w:r w:rsidR="00536DA3">
        <w:rPr>
          <w:rFonts w:asciiTheme="minorHAnsi" w:hAnsiTheme="minorHAnsi"/>
        </w:rPr>
        <w:t>reported using</w:t>
      </w:r>
      <w:r w:rsidRPr="00B417BF">
        <w:rPr>
          <w:rFonts w:asciiTheme="minorHAnsi" w:hAnsiTheme="minorHAnsi"/>
        </w:rPr>
        <w:t xml:space="preserve"> academic support from faculty </w:t>
      </w:r>
      <w:r w:rsidR="000438AC">
        <w:rPr>
          <w:rFonts w:asciiTheme="minorHAnsi" w:hAnsiTheme="minorHAnsi"/>
        </w:rPr>
        <w:t>to</w:t>
      </w:r>
      <w:r w:rsidRPr="00B417BF">
        <w:rPr>
          <w:rFonts w:asciiTheme="minorHAnsi" w:hAnsiTheme="minorHAnsi"/>
        </w:rPr>
        <w:t xml:space="preserve"> learn new study techniques to succeed.</w:t>
      </w:r>
      <w:r w:rsidR="00536DA3">
        <w:rPr>
          <w:rFonts w:asciiTheme="minorHAnsi" w:hAnsiTheme="minorHAnsi"/>
        </w:rPr>
        <w:t xml:space="preserve"> </w:t>
      </w:r>
    </w:p>
    <w:p w14:paraId="679BFAD4" w14:textId="77777777" w:rsidR="00C4515B" w:rsidRDefault="00C4515B" w:rsidP="00C4515B">
      <w:pPr>
        <w:spacing w:line="480" w:lineRule="auto"/>
        <w:rPr>
          <w:rFonts w:asciiTheme="minorHAnsi" w:hAnsiTheme="minorHAnsi"/>
        </w:rPr>
      </w:pPr>
    </w:p>
    <w:p w14:paraId="280166C1" w14:textId="0986B751" w:rsidR="00C4515B" w:rsidRPr="00B417BF" w:rsidRDefault="00C4515B" w:rsidP="00C4515B">
      <w:pPr>
        <w:spacing w:line="480" w:lineRule="auto"/>
        <w:rPr>
          <w:rFonts w:asciiTheme="minorHAnsi" w:hAnsiTheme="minorHAnsi"/>
        </w:rPr>
      </w:pPr>
      <w:r w:rsidRPr="00B417BF">
        <w:rPr>
          <w:rFonts w:asciiTheme="minorHAnsi" w:hAnsiTheme="minorHAnsi"/>
        </w:rPr>
        <w:t xml:space="preserve">Questions related to positive aspects of the class revealed themes of instructor competence, accessibility of teaching faculty and the positive role of teaching assistants.  These major themes emphasized the value </w:t>
      </w:r>
      <w:r w:rsidR="004828E8">
        <w:rPr>
          <w:rFonts w:asciiTheme="minorHAnsi" w:hAnsiTheme="minorHAnsi"/>
        </w:rPr>
        <w:t xml:space="preserve">of </w:t>
      </w:r>
      <w:r w:rsidR="00884F72">
        <w:rPr>
          <w:rFonts w:asciiTheme="minorHAnsi" w:hAnsiTheme="minorHAnsi"/>
        </w:rPr>
        <w:t>out-of-</w:t>
      </w:r>
      <w:r w:rsidRPr="00B417BF">
        <w:rPr>
          <w:rFonts w:asciiTheme="minorHAnsi" w:hAnsiTheme="minorHAnsi"/>
        </w:rPr>
        <w:t>class time with faculty and teaching assistants</w:t>
      </w:r>
      <w:r w:rsidR="00786BD7">
        <w:rPr>
          <w:rFonts w:asciiTheme="minorHAnsi" w:hAnsiTheme="minorHAnsi"/>
        </w:rPr>
        <w:t xml:space="preserve"> as effective helps</w:t>
      </w:r>
      <w:r w:rsidRPr="00B417BF">
        <w:rPr>
          <w:rFonts w:asciiTheme="minorHAnsi" w:hAnsiTheme="minorHAnsi"/>
        </w:rPr>
        <w:t>.  Instructors were described as “approachable,” “caring,” and “accessi</w:t>
      </w:r>
      <w:r w:rsidR="0092332E">
        <w:rPr>
          <w:rFonts w:asciiTheme="minorHAnsi" w:hAnsiTheme="minorHAnsi"/>
        </w:rPr>
        <w:t>ble.”  These themes indicate that</w:t>
      </w:r>
      <w:r w:rsidRPr="00B417BF">
        <w:rPr>
          <w:rFonts w:asciiTheme="minorHAnsi" w:hAnsiTheme="minorHAnsi"/>
        </w:rPr>
        <w:t xml:space="preserve"> teacher-student relationship played a major role in how students </w:t>
      </w:r>
      <w:r w:rsidR="004828E8">
        <w:rPr>
          <w:rFonts w:asciiTheme="minorHAnsi" w:hAnsiTheme="minorHAnsi"/>
        </w:rPr>
        <w:t>perceived</w:t>
      </w:r>
      <w:r w:rsidRPr="00B417BF">
        <w:rPr>
          <w:rFonts w:asciiTheme="minorHAnsi" w:hAnsiTheme="minorHAnsi"/>
        </w:rPr>
        <w:t xml:space="preserve"> the course.</w:t>
      </w:r>
    </w:p>
    <w:p w14:paraId="58CFBB60" w14:textId="77777777" w:rsidR="00C4515B" w:rsidRPr="00B417BF" w:rsidRDefault="00C4515B" w:rsidP="00C4515B">
      <w:pPr>
        <w:spacing w:line="480" w:lineRule="auto"/>
        <w:rPr>
          <w:rFonts w:asciiTheme="minorHAnsi" w:hAnsiTheme="minorHAnsi"/>
        </w:rPr>
      </w:pPr>
    </w:p>
    <w:p w14:paraId="345433BB" w14:textId="7184DD1F" w:rsidR="00C4515B" w:rsidRPr="00B417BF" w:rsidRDefault="00C4515B" w:rsidP="00C4515B">
      <w:pPr>
        <w:spacing w:line="480" w:lineRule="auto"/>
        <w:rPr>
          <w:rFonts w:asciiTheme="minorHAnsi" w:hAnsiTheme="minorHAnsi"/>
        </w:rPr>
      </w:pPr>
      <w:r w:rsidRPr="00B417BF">
        <w:rPr>
          <w:rFonts w:asciiTheme="minorHAnsi" w:hAnsiTheme="minorHAnsi"/>
        </w:rPr>
        <w:t xml:space="preserve">Human Anatomy was organized so that students were able to have multiple touch points for questions or additional learning opportunities and reviews.  </w:t>
      </w:r>
      <w:r w:rsidRPr="00B417BF">
        <w:rPr>
          <w:rFonts w:asciiTheme="minorHAnsi" w:hAnsiTheme="minorHAnsi"/>
        </w:rPr>
        <w:lastRenderedPageBreak/>
        <w:t>Students reported using face-to-face opportunities</w:t>
      </w:r>
      <w:r w:rsidR="0084199F">
        <w:rPr>
          <w:rFonts w:asciiTheme="minorHAnsi" w:hAnsiTheme="minorHAnsi"/>
        </w:rPr>
        <w:t>,</w:t>
      </w:r>
      <w:r w:rsidRPr="00B417BF">
        <w:rPr>
          <w:rFonts w:asciiTheme="minorHAnsi" w:hAnsiTheme="minorHAnsi"/>
        </w:rPr>
        <w:t xml:space="preserve"> such as review sessions or asking questions during lab more frequently, but students also reported value in supplement</w:t>
      </w:r>
      <w:r w:rsidR="009D5D58">
        <w:rPr>
          <w:rFonts w:asciiTheme="minorHAnsi" w:hAnsiTheme="minorHAnsi"/>
        </w:rPr>
        <w:t>al course materials such as PDF</w:t>
      </w:r>
      <w:r w:rsidRPr="00B417BF">
        <w:rPr>
          <w:rFonts w:asciiTheme="minorHAnsi" w:hAnsiTheme="minorHAnsi"/>
        </w:rPr>
        <w:t>s and slide presentations.  However, c</w:t>
      </w:r>
      <w:r w:rsidR="009D5D58">
        <w:rPr>
          <w:rFonts w:asciiTheme="minorHAnsi" w:hAnsiTheme="minorHAnsi"/>
        </w:rPr>
        <w:t>ontent discrepancies between in-</w:t>
      </w:r>
      <w:r w:rsidRPr="00B417BF">
        <w:rPr>
          <w:rFonts w:asciiTheme="minorHAnsi" w:hAnsiTheme="minorHAnsi"/>
        </w:rPr>
        <w:t>class and supplemental materials were a reported source of stress and difficulty both</w:t>
      </w:r>
      <w:r w:rsidR="0084199F">
        <w:rPr>
          <w:rFonts w:asciiTheme="minorHAnsi" w:hAnsiTheme="minorHAnsi"/>
        </w:rPr>
        <w:t xml:space="preserve"> in lectures and laboratory.  “C</w:t>
      </w:r>
      <w:r w:rsidRPr="00B417BF">
        <w:rPr>
          <w:rFonts w:asciiTheme="minorHAnsi" w:hAnsiTheme="minorHAnsi"/>
        </w:rPr>
        <w:t xml:space="preserve">onflicting views,” </w:t>
      </w:r>
      <w:r w:rsidR="0084199F">
        <w:rPr>
          <w:rFonts w:asciiTheme="minorHAnsi" w:hAnsiTheme="minorHAnsi"/>
        </w:rPr>
        <w:t xml:space="preserve">about specimen identification </w:t>
      </w:r>
      <w:r w:rsidRPr="00B417BF">
        <w:rPr>
          <w:rFonts w:asciiTheme="minorHAnsi" w:hAnsiTheme="minorHAnsi"/>
        </w:rPr>
        <w:t>and “inc</w:t>
      </w:r>
      <w:r w:rsidR="0084199F">
        <w:rPr>
          <w:rFonts w:asciiTheme="minorHAnsi" w:hAnsiTheme="minorHAnsi"/>
        </w:rPr>
        <w:t>onsistencies between professors,</w:t>
      </w:r>
      <w:r w:rsidRPr="00B417BF">
        <w:rPr>
          <w:rFonts w:asciiTheme="minorHAnsi" w:hAnsiTheme="minorHAnsi"/>
        </w:rPr>
        <w:t xml:space="preserve">” </w:t>
      </w:r>
      <w:r w:rsidR="0084199F">
        <w:rPr>
          <w:rFonts w:asciiTheme="minorHAnsi" w:hAnsiTheme="minorHAnsi"/>
        </w:rPr>
        <w:t>were examples of these frustrations.</w:t>
      </w:r>
    </w:p>
    <w:p w14:paraId="1AB393DF" w14:textId="4E361F93" w:rsidR="00C4515B" w:rsidRPr="00B417BF" w:rsidRDefault="00C4515B" w:rsidP="00C4515B">
      <w:pPr>
        <w:spacing w:line="480" w:lineRule="auto"/>
        <w:rPr>
          <w:rFonts w:asciiTheme="minorHAnsi" w:hAnsiTheme="minorHAnsi"/>
        </w:rPr>
      </w:pPr>
    </w:p>
    <w:p w14:paraId="0F82C86A" w14:textId="65F27EF0" w:rsidR="00C4515B" w:rsidRPr="00B417BF" w:rsidRDefault="00C4515B" w:rsidP="00C4515B">
      <w:pPr>
        <w:spacing w:line="480" w:lineRule="auto"/>
        <w:rPr>
          <w:rFonts w:asciiTheme="minorHAnsi" w:hAnsiTheme="minorHAnsi"/>
        </w:rPr>
      </w:pPr>
      <w:r w:rsidRPr="00B417BF">
        <w:rPr>
          <w:rFonts w:asciiTheme="minorHAnsi" w:hAnsiTheme="minorHAnsi"/>
        </w:rPr>
        <w:t xml:space="preserve">The qualitative questionnaire investigated what specifics made learning more difficult during the course.  The majority of qualitative responses regarding learning impediments indicated the cognitive load and shortened time frame of the course most frequently.  “The time limit,” was listed and expressed as a problem.  Two respondents identified their study habits and skills as factors that impeded their learning.  </w:t>
      </w:r>
    </w:p>
    <w:p w14:paraId="274F4DB8" w14:textId="77777777" w:rsidR="00C4515B" w:rsidRPr="00B417BF" w:rsidRDefault="00C4515B" w:rsidP="00C4515B">
      <w:pPr>
        <w:spacing w:line="480" w:lineRule="auto"/>
        <w:rPr>
          <w:rFonts w:asciiTheme="minorHAnsi" w:hAnsiTheme="minorHAnsi"/>
        </w:rPr>
      </w:pPr>
    </w:p>
    <w:p w14:paraId="2E22EA9F" w14:textId="70468499" w:rsidR="00FA004E" w:rsidRPr="00B417BF" w:rsidRDefault="00FA004E" w:rsidP="00FA004E">
      <w:pPr>
        <w:spacing w:line="480" w:lineRule="auto"/>
        <w:rPr>
          <w:rFonts w:asciiTheme="minorHAnsi" w:hAnsiTheme="minorHAnsi"/>
        </w:rPr>
      </w:pPr>
      <w:r w:rsidRPr="00B417BF">
        <w:rPr>
          <w:rFonts w:asciiTheme="minorHAnsi" w:hAnsiTheme="minorHAnsi"/>
        </w:rPr>
        <w:t xml:space="preserve">The survey question asking about prior academic experience attempted to gather data about students’ incoming academic readiness.  Over fifty percent of students reported they had some previous exposure to anatomy.  However, exposure to anatomy did not equate to a perception that the course was easier for them.  Many stated the volume of information and increased rigor of </w:t>
      </w:r>
      <w:r w:rsidR="007968AC">
        <w:rPr>
          <w:rFonts w:asciiTheme="minorHAnsi" w:hAnsiTheme="minorHAnsi"/>
        </w:rPr>
        <w:t>professional</w:t>
      </w:r>
      <w:r w:rsidR="009D5D58">
        <w:rPr>
          <w:rFonts w:asciiTheme="minorHAnsi" w:hAnsiTheme="minorHAnsi"/>
        </w:rPr>
        <w:t xml:space="preserve"> level education </w:t>
      </w:r>
      <w:r w:rsidRPr="00B417BF">
        <w:rPr>
          <w:rFonts w:asciiTheme="minorHAnsi" w:hAnsiTheme="minorHAnsi"/>
        </w:rPr>
        <w:t>made the course difficult regardless of any previous anatomy classes.  These responses stated</w:t>
      </w:r>
      <w:r w:rsidR="007A4B28">
        <w:rPr>
          <w:rFonts w:asciiTheme="minorHAnsi" w:hAnsiTheme="minorHAnsi"/>
        </w:rPr>
        <w:t xml:space="preserve"> that</w:t>
      </w:r>
      <w:r w:rsidRPr="00B417BF">
        <w:rPr>
          <w:rFonts w:asciiTheme="minorHAnsi" w:hAnsiTheme="minorHAnsi"/>
        </w:rPr>
        <w:t xml:space="preserve"> “nothing prepared me for this,” and “</w:t>
      </w:r>
      <w:r w:rsidR="009D5D58">
        <w:rPr>
          <w:rFonts w:asciiTheme="minorHAnsi" w:hAnsiTheme="minorHAnsi"/>
        </w:rPr>
        <w:t>I was also over-</w:t>
      </w:r>
      <w:r w:rsidR="00605E20">
        <w:rPr>
          <w:rFonts w:asciiTheme="minorHAnsi" w:hAnsiTheme="minorHAnsi"/>
        </w:rPr>
        <w:t>confident in my innate intellect.</w:t>
      </w:r>
      <w:r w:rsidRPr="00B417BF">
        <w:rPr>
          <w:rFonts w:asciiTheme="minorHAnsi" w:hAnsiTheme="minorHAnsi"/>
        </w:rPr>
        <w:t xml:space="preserve">”  Students that </w:t>
      </w:r>
      <w:r w:rsidR="007A4B28">
        <w:rPr>
          <w:rFonts w:asciiTheme="minorHAnsi" w:hAnsiTheme="minorHAnsi"/>
        </w:rPr>
        <w:lastRenderedPageBreak/>
        <w:t>reported</w:t>
      </w:r>
      <w:r w:rsidRPr="00B417BF">
        <w:rPr>
          <w:rFonts w:asciiTheme="minorHAnsi" w:hAnsiTheme="minorHAnsi"/>
        </w:rPr>
        <w:t xml:space="preserve"> </w:t>
      </w:r>
      <w:r w:rsidR="0084199F">
        <w:rPr>
          <w:rFonts w:asciiTheme="minorHAnsi" w:hAnsiTheme="minorHAnsi"/>
        </w:rPr>
        <w:t>they were prepared</w:t>
      </w:r>
      <w:r w:rsidR="009D5D58">
        <w:rPr>
          <w:rFonts w:asciiTheme="minorHAnsi" w:hAnsiTheme="minorHAnsi"/>
        </w:rPr>
        <w:t>,</w:t>
      </w:r>
      <w:r w:rsidR="0084199F">
        <w:rPr>
          <w:rFonts w:asciiTheme="minorHAnsi" w:hAnsiTheme="minorHAnsi"/>
        </w:rPr>
        <w:t xml:space="preserve"> commented on the</w:t>
      </w:r>
      <w:r w:rsidRPr="00B417BF">
        <w:rPr>
          <w:rFonts w:asciiTheme="minorHAnsi" w:hAnsiTheme="minorHAnsi"/>
        </w:rPr>
        <w:t xml:space="preserve"> overall </w:t>
      </w:r>
      <w:r w:rsidR="0084199F">
        <w:rPr>
          <w:rFonts w:asciiTheme="minorHAnsi" w:hAnsiTheme="minorHAnsi"/>
        </w:rPr>
        <w:t xml:space="preserve">high </w:t>
      </w:r>
      <w:r w:rsidRPr="00B417BF">
        <w:rPr>
          <w:rFonts w:asciiTheme="minorHAnsi" w:hAnsiTheme="minorHAnsi"/>
        </w:rPr>
        <w:t xml:space="preserve">academic rigor of their undergraduate programs.  </w:t>
      </w:r>
      <w:r w:rsidR="0084199F">
        <w:rPr>
          <w:rFonts w:asciiTheme="minorHAnsi" w:hAnsiTheme="minorHAnsi"/>
        </w:rPr>
        <w:t>From this data, l</w:t>
      </w:r>
      <w:r w:rsidRPr="00B417BF">
        <w:rPr>
          <w:rFonts w:asciiTheme="minorHAnsi" w:hAnsiTheme="minorHAnsi"/>
        </w:rPr>
        <w:t xml:space="preserve">earning study skills and coping in a high stakes academic program appears to be more beneficial than taking an actual anatomy course.  This may be a factor for consideration in the admissions process.  Many </w:t>
      </w:r>
      <w:r w:rsidR="007968AC">
        <w:rPr>
          <w:rFonts w:asciiTheme="minorHAnsi" w:hAnsiTheme="minorHAnsi"/>
        </w:rPr>
        <w:t>professional</w:t>
      </w:r>
      <w:r w:rsidRPr="00B417BF">
        <w:rPr>
          <w:rFonts w:asciiTheme="minorHAnsi" w:hAnsiTheme="minorHAnsi"/>
        </w:rPr>
        <w:t xml:space="preserve"> level health programs use undergraduate GPA as </w:t>
      </w:r>
      <w:r w:rsidR="00B43995" w:rsidRPr="00B417BF">
        <w:rPr>
          <w:rFonts w:asciiTheme="minorHAnsi" w:hAnsiTheme="minorHAnsi"/>
        </w:rPr>
        <w:t>a major selection criterion</w:t>
      </w:r>
      <w:r w:rsidRPr="00B417BF">
        <w:rPr>
          <w:rFonts w:asciiTheme="minorHAnsi" w:hAnsiTheme="minorHAnsi"/>
        </w:rPr>
        <w:t>.  At this time, there is not a matrix in use to determine the rigor of different colleges.  As shown by this survey data, the development of study skills is an important component of student success and stress management.</w:t>
      </w:r>
    </w:p>
    <w:p w14:paraId="0C8FB380" w14:textId="77777777" w:rsidR="00FA004E" w:rsidRPr="00B417BF" w:rsidRDefault="00FA004E" w:rsidP="00FA004E">
      <w:pPr>
        <w:spacing w:line="480" w:lineRule="auto"/>
        <w:rPr>
          <w:rFonts w:asciiTheme="minorHAnsi" w:hAnsiTheme="minorHAnsi"/>
        </w:rPr>
      </w:pPr>
    </w:p>
    <w:p w14:paraId="1F562B84" w14:textId="35F95270" w:rsidR="00953349" w:rsidRDefault="00FA004E" w:rsidP="00FA004E">
      <w:pPr>
        <w:spacing w:line="480" w:lineRule="auto"/>
        <w:rPr>
          <w:rFonts w:asciiTheme="minorHAnsi" w:hAnsiTheme="minorHAnsi"/>
        </w:rPr>
      </w:pPr>
      <w:r w:rsidRPr="00B417BF">
        <w:rPr>
          <w:rFonts w:asciiTheme="minorHAnsi" w:hAnsiTheme="minorHAnsi"/>
        </w:rPr>
        <w:t xml:space="preserve">Ultimately, the University and faculty determine the academic environment.  This environment includes program and course design, in this case laboratory access and experiences, and professional standards for faculty.  This </w:t>
      </w:r>
      <w:r w:rsidR="0027120E">
        <w:rPr>
          <w:rFonts w:asciiTheme="minorHAnsi" w:hAnsiTheme="minorHAnsi"/>
        </w:rPr>
        <w:t xml:space="preserve">Clinical </w:t>
      </w:r>
      <w:r w:rsidR="009651F9">
        <w:rPr>
          <w:rFonts w:asciiTheme="minorHAnsi" w:hAnsiTheme="minorHAnsi"/>
        </w:rPr>
        <w:t>Anatomy</w:t>
      </w:r>
      <w:r w:rsidR="007968AC">
        <w:rPr>
          <w:rFonts w:asciiTheme="minorHAnsi" w:hAnsiTheme="minorHAnsi"/>
        </w:rPr>
        <w:t xml:space="preserve"> course was designed</w:t>
      </w:r>
      <w:r w:rsidRPr="00B417BF">
        <w:rPr>
          <w:rFonts w:asciiTheme="minorHAnsi" w:hAnsiTheme="minorHAnsi"/>
        </w:rPr>
        <w:t xml:space="preserve"> around specific learning objectives with corresponding laboratory activities.  </w:t>
      </w:r>
      <w:r w:rsidR="00953349" w:rsidRPr="00B417BF">
        <w:rPr>
          <w:rFonts w:asciiTheme="minorHAnsi" w:hAnsiTheme="minorHAnsi"/>
        </w:rPr>
        <w:t xml:space="preserve">Student supports included both internal and external resources of </w:t>
      </w:r>
      <w:r w:rsidR="00953349">
        <w:rPr>
          <w:rFonts w:asciiTheme="minorHAnsi" w:hAnsiTheme="minorHAnsi"/>
        </w:rPr>
        <w:t xml:space="preserve">teaching assistants, </w:t>
      </w:r>
      <w:r w:rsidR="00953349" w:rsidRPr="00B417BF">
        <w:rPr>
          <w:rFonts w:asciiTheme="minorHAnsi" w:hAnsiTheme="minorHAnsi"/>
        </w:rPr>
        <w:t>academic supports</w:t>
      </w:r>
      <w:r w:rsidR="00953349">
        <w:rPr>
          <w:rFonts w:asciiTheme="minorHAnsi" w:hAnsiTheme="minorHAnsi"/>
        </w:rPr>
        <w:t xml:space="preserve"> such as review sessions</w:t>
      </w:r>
      <w:r w:rsidR="0084199F">
        <w:rPr>
          <w:rFonts w:asciiTheme="minorHAnsi" w:hAnsiTheme="minorHAnsi"/>
        </w:rPr>
        <w:t>,</w:t>
      </w:r>
      <w:r w:rsidR="00953349">
        <w:rPr>
          <w:rFonts w:asciiTheme="minorHAnsi" w:hAnsiTheme="minorHAnsi"/>
        </w:rPr>
        <w:t xml:space="preserve"> supplemental materials</w:t>
      </w:r>
      <w:r w:rsidR="00953349" w:rsidRPr="00B417BF">
        <w:rPr>
          <w:rFonts w:asciiTheme="minorHAnsi" w:hAnsiTheme="minorHAnsi"/>
        </w:rPr>
        <w:t xml:space="preserve">, </w:t>
      </w:r>
      <w:r w:rsidR="0084199F">
        <w:rPr>
          <w:rFonts w:asciiTheme="minorHAnsi" w:hAnsiTheme="minorHAnsi"/>
        </w:rPr>
        <w:t>family</w:t>
      </w:r>
      <w:r w:rsidR="00953349" w:rsidRPr="00B417BF">
        <w:rPr>
          <w:rFonts w:asciiTheme="minorHAnsi" w:hAnsiTheme="minorHAnsi"/>
        </w:rPr>
        <w:t xml:space="preserve"> supports, and study skills.</w:t>
      </w:r>
    </w:p>
    <w:p w14:paraId="1525848D" w14:textId="77777777" w:rsidR="00953349" w:rsidRDefault="00953349" w:rsidP="00FA004E">
      <w:pPr>
        <w:spacing w:line="480" w:lineRule="auto"/>
        <w:rPr>
          <w:rFonts w:asciiTheme="minorHAnsi" w:hAnsiTheme="minorHAnsi"/>
        </w:rPr>
      </w:pPr>
    </w:p>
    <w:p w14:paraId="5C3664C0" w14:textId="0A237429" w:rsidR="00067AA4" w:rsidRDefault="00FA004E" w:rsidP="00FA004E">
      <w:pPr>
        <w:spacing w:line="480" w:lineRule="auto"/>
        <w:rPr>
          <w:rFonts w:asciiTheme="minorHAnsi" w:hAnsiTheme="minorHAnsi"/>
        </w:rPr>
      </w:pPr>
      <w:r w:rsidRPr="00B417BF">
        <w:rPr>
          <w:rFonts w:asciiTheme="minorHAnsi" w:hAnsiTheme="minorHAnsi"/>
        </w:rPr>
        <w:t xml:space="preserve">Survey results found that a majority of students believed the organization of the course and laboratory helped and enhanced their learning.  The other overarching theme students reported as helpful was the availability of professors and teaching assistants outside of classroom hours.  The “approachability,” and “accessibility,” of instructors was listed as the most </w:t>
      </w:r>
      <w:r w:rsidRPr="00B417BF">
        <w:rPr>
          <w:rFonts w:asciiTheme="minorHAnsi" w:hAnsiTheme="minorHAnsi"/>
        </w:rPr>
        <w:lastRenderedPageBreak/>
        <w:t>helpful aspect of the course in both the control and experimental group</w:t>
      </w:r>
      <w:r w:rsidR="007E703D">
        <w:rPr>
          <w:rFonts w:asciiTheme="minorHAnsi" w:hAnsiTheme="minorHAnsi"/>
        </w:rPr>
        <w:t>s</w:t>
      </w:r>
      <w:r w:rsidRPr="00B417BF">
        <w:rPr>
          <w:rFonts w:asciiTheme="minorHAnsi" w:hAnsiTheme="minorHAnsi"/>
        </w:rPr>
        <w:t xml:space="preserve">.  Even students that reported difficulty with the course wrote that they were helped by additional time with instructors.  It is clear from these responses that an environment where students are welcome to interact with faculty both in and out of lecture is important.  </w:t>
      </w:r>
    </w:p>
    <w:p w14:paraId="3AEE9DA6" w14:textId="6F22B355" w:rsidR="00C50297" w:rsidRDefault="00C50297" w:rsidP="00FA004E">
      <w:pPr>
        <w:spacing w:line="480" w:lineRule="auto"/>
        <w:rPr>
          <w:rFonts w:asciiTheme="minorHAnsi" w:hAnsiTheme="minorHAnsi"/>
        </w:rPr>
      </w:pPr>
    </w:p>
    <w:p w14:paraId="2146AF67" w14:textId="4380FD84" w:rsidR="00C50297" w:rsidRDefault="00C50297" w:rsidP="00FA004E">
      <w:pPr>
        <w:spacing w:line="480" w:lineRule="auto"/>
        <w:rPr>
          <w:rFonts w:asciiTheme="minorHAnsi" w:hAnsiTheme="minorHAnsi"/>
          <w:b/>
        </w:rPr>
      </w:pPr>
      <w:r>
        <w:rPr>
          <w:rFonts w:asciiTheme="minorHAnsi" w:hAnsiTheme="minorHAnsi"/>
          <w:b/>
        </w:rPr>
        <w:t>Effectiveness of Intervention:</w:t>
      </w:r>
    </w:p>
    <w:p w14:paraId="3EB94162" w14:textId="2CAB34F1" w:rsidR="004311C8" w:rsidRDefault="00C50297" w:rsidP="00FA004E">
      <w:pPr>
        <w:spacing w:line="480" w:lineRule="auto"/>
        <w:rPr>
          <w:rFonts w:asciiTheme="minorHAnsi" w:hAnsiTheme="minorHAnsi"/>
        </w:rPr>
      </w:pPr>
      <w:r>
        <w:rPr>
          <w:rFonts w:asciiTheme="minorHAnsi" w:hAnsiTheme="minorHAnsi"/>
        </w:rPr>
        <w:t xml:space="preserve">The analysis of results from the Brief COPE, support service usage, and </w:t>
      </w:r>
      <w:r w:rsidR="00837922">
        <w:rPr>
          <w:rFonts w:asciiTheme="minorHAnsi" w:hAnsiTheme="minorHAnsi"/>
        </w:rPr>
        <w:t>End of Course Survey</w:t>
      </w:r>
      <w:r>
        <w:rPr>
          <w:rFonts w:asciiTheme="minorHAnsi" w:hAnsiTheme="minorHAnsi"/>
        </w:rPr>
        <w:t xml:space="preserve"> reveal</w:t>
      </w:r>
      <w:r w:rsidR="009D7FFB">
        <w:rPr>
          <w:rFonts w:asciiTheme="minorHAnsi" w:hAnsiTheme="minorHAnsi"/>
        </w:rPr>
        <w:t>ed</w:t>
      </w:r>
      <w:r>
        <w:rPr>
          <w:rFonts w:asciiTheme="minorHAnsi" w:hAnsiTheme="minorHAnsi"/>
        </w:rPr>
        <w:t xml:space="preserve"> </w:t>
      </w:r>
      <w:r w:rsidR="004641FC">
        <w:rPr>
          <w:rFonts w:asciiTheme="minorHAnsi" w:hAnsiTheme="minorHAnsi"/>
        </w:rPr>
        <w:t xml:space="preserve">no </w:t>
      </w:r>
      <w:r w:rsidR="007E703D">
        <w:rPr>
          <w:rFonts w:asciiTheme="minorHAnsi" w:hAnsiTheme="minorHAnsi"/>
        </w:rPr>
        <w:t>significant</w:t>
      </w:r>
      <w:r>
        <w:rPr>
          <w:rFonts w:asciiTheme="minorHAnsi" w:hAnsiTheme="minorHAnsi"/>
        </w:rPr>
        <w:t xml:space="preserve"> impact from the intervention of educational emails of available support services.  Consistent with the literature investigating other educational interventions, the additional education about support services did not increase their use in the experimental group.  </w:t>
      </w:r>
    </w:p>
    <w:p w14:paraId="0CCBDB66" w14:textId="77777777" w:rsidR="004311C8" w:rsidRDefault="004311C8" w:rsidP="00FA004E">
      <w:pPr>
        <w:spacing w:line="480" w:lineRule="auto"/>
        <w:rPr>
          <w:rFonts w:asciiTheme="minorHAnsi" w:hAnsiTheme="minorHAnsi"/>
        </w:rPr>
      </w:pPr>
    </w:p>
    <w:p w14:paraId="4C5346A5" w14:textId="5A0111B4" w:rsidR="004311C8" w:rsidRDefault="00C50297" w:rsidP="00FA004E">
      <w:pPr>
        <w:spacing w:line="480" w:lineRule="auto"/>
        <w:rPr>
          <w:rFonts w:asciiTheme="minorHAnsi" w:hAnsiTheme="minorHAnsi"/>
        </w:rPr>
      </w:pPr>
      <w:r>
        <w:rPr>
          <w:rFonts w:asciiTheme="minorHAnsi" w:hAnsiTheme="minorHAnsi"/>
        </w:rPr>
        <w:t>Throughout both groups, the MCBPs reported utilizing fewer overall supports and, in addition, used fewer academic support services than peers scoring over 80% on exams.</w:t>
      </w:r>
      <w:r w:rsidR="004311C8">
        <w:rPr>
          <w:rFonts w:asciiTheme="minorHAnsi" w:hAnsiTheme="minorHAnsi"/>
        </w:rPr>
        <w:t xml:space="preserve">  Comparison of Brief COPE responses and behaviors also </w:t>
      </w:r>
      <w:r w:rsidR="007968AC">
        <w:rPr>
          <w:rFonts w:asciiTheme="minorHAnsi" w:hAnsiTheme="minorHAnsi"/>
        </w:rPr>
        <w:t>demonstrated a lack of</w:t>
      </w:r>
      <w:r w:rsidR="004311C8">
        <w:rPr>
          <w:rFonts w:asciiTheme="minorHAnsi" w:hAnsiTheme="minorHAnsi"/>
        </w:rPr>
        <w:t xml:space="preserve"> significant effect of the intervention.  Students appeared to have no increase in support service use or an improvement in coping with the additional information given to them.   Causational data was not available to determine if accessing additional support services </w:t>
      </w:r>
      <w:r w:rsidR="00536DA3">
        <w:rPr>
          <w:rFonts w:asciiTheme="minorHAnsi" w:hAnsiTheme="minorHAnsi"/>
        </w:rPr>
        <w:t xml:space="preserve">or further intervention </w:t>
      </w:r>
      <w:r w:rsidR="004311C8">
        <w:rPr>
          <w:rFonts w:asciiTheme="minorHAnsi" w:hAnsiTheme="minorHAnsi"/>
        </w:rPr>
        <w:t>would hav</w:t>
      </w:r>
      <w:r w:rsidR="007968AC">
        <w:rPr>
          <w:rFonts w:asciiTheme="minorHAnsi" w:hAnsiTheme="minorHAnsi"/>
        </w:rPr>
        <w:t>e changed students’ academic outcomes.</w:t>
      </w:r>
    </w:p>
    <w:p w14:paraId="20E56BF4" w14:textId="77777777" w:rsidR="00C50297" w:rsidRPr="00C50297" w:rsidRDefault="00C50297" w:rsidP="00FA004E">
      <w:pPr>
        <w:spacing w:line="480" w:lineRule="auto"/>
        <w:rPr>
          <w:rFonts w:asciiTheme="minorHAnsi" w:hAnsiTheme="minorHAnsi"/>
        </w:rPr>
      </w:pPr>
    </w:p>
    <w:p w14:paraId="759A4439" w14:textId="4539C80B" w:rsidR="00FA004E" w:rsidRPr="00B417BF" w:rsidRDefault="00FA004E" w:rsidP="00FA004E">
      <w:pPr>
        <w:spacing w:line="480" w:lineRule="auto"/>
        <w:rPr>
          <w:rFonts w:asciiTheme="minorHAnsi" w:hAnsiTheme="minorHAnsi"/>
        </w:rPr>
      </w:pPr>
    </w:p>
    <w:p w14:paraId="1B0DA686" w14:textId="26B6388E" w:rsidR="00FA004E" w:rsidRPr="007E703D" w:rsidRDefault="00FA004E" w:rsidP="00FA004E">
      <w:pPr>
        <w:spacing w:line="480" w:lineRule="auto"/>
        <w:rPr>
          <w:rFonts w:asciiTheme="minorHAnsi" w:hAnsiTheme="minorHAnsi"/>
          <w:b/>
        </w:rPr>
      </w:pPr>
      <w:r w:rsidRPr="00953349">
        <w:rPr>
          <w:rFonts w:asciiTheme="minorHAnsi" w:hAnsiTheme="minorHAnsi"/>
          <w:b/>
        </w:rPr>
        <w:lastRenderedPageBreak/>
        <w:t>Confounding Factors:</w:t>
      </w:r>
    </w:p>
    <w:p w14:paraId="75BA1268" w14:textId="061A39A6" w:rsidR="00FA004E" w:rsidRPr="00B417BF" w:rsidRDefault="00FA004E" w:rsidP="00FA004E">
      <w:pPr>
        <w:spacing w:line="480" w:lineRule="auto"/>
        <w:rPr>
          <w:rFonts w:asciiTheme="minorHAnsi" w:hAnsiTheme="minorHAnsi"/>
        </w:rPr>
      </w:pPr>
      <w:r w:rsidRPr="00B417BF">
        <w:rPr>
          <w:rFonts w:asciiTheme="minorHAnsi" w:hAnsiTheme="minorHAnsi"/>
        </w:rPr>
        <w:t xml:space="preserve">Studying individuals over time creates possible interference from the design itself.  Over time </w:t>
      </w:r>
      <w:r w:rsidR="00E524C0">
        <w:rPr>
          <w:rFonts w:asciiTheme="minorHAnsi" w:hAnsiTheme="minorHAnsi"/>
        </w:rPr>
        <w:t xml:space="preserve">participants </w:t>
      </w:r>
      <w:r w:rsidRPr="00B417BF">
        <w:rPr>
          <w:rFonts w:asciiTheme="minorHAnsi" w:hAnsiTheme="minorHAnsi"/>
        </w:rPr>
        <w:t>can change due to natural maturation.  This has the potential to influence survey responses.  Despite utilizing the same survey to minimize variation, natural maturation is a possible confounding factor.  The inherent differences between groups may impact any project designed to com</w:t>
      </w:r>
      <w:r w:rsidR="004E7236">
        <w:rPr>
          <w:rFonts w:asciiTheme="minorHAnsi" w:hAnsiTheme="minorHAnsi"/>
        </w:rPr>
        <w:t xml:space="preserve">pare two groups of students.  </w:t>
      </w:r>
      <w:r w:rsidRPr="00B417BF">
        <w:rPr>
          <w:rFonts w:asciiTheme="minorHAnsi" w:hAnsiTheme="minorHAnsi"/>
        </w:rPr>
        <w:t xml:space="preserve">Both groups in this study were assumed to be similar because they were selected using program admissions standards and procedures.  These standards account for grade point average, test scores and personal interview performance.  However, it is unrealistic to assume individuals within the groups are exactly </w:t>
      </w:r>
      <w:r w:rsidR="007E703D">
        <w:rPr>
          <w:rFonts w:asciiTheme="minorHAnsi" w:hAnsiTheme="minorHAnsi"/>
        </w:rPr>
        <w:t>the same</w:t>
      </w:r>
      <w:r w:rsidRPr="00B417BF">
        <w:rPr>
          <w:rFonts w:asciiTheme="minorHAnsi" w:hAnsiTheme="minorHAnsi"/>
        </w:rPr>
        <w:t>.  For the purposes of this study, the participant groups were assumed to be similar</w:t>
      </w:r>
      <w:r w:rsidR="003C0371">
        <w:rPr>
          <w:rFonts w:asciiTheme="minorHAnsi" w:hAnsiTheme="minorHAnsi"/>
        </w:rPr>
        <w:t xml:space="preserve"> </w:t>
      </w:r>
      <w:r w:rsidRPr="00B417BF">
        <w:rPr>
          <w:rFonts w:asciiTheme="minorHAnsi" w:hAnsiTheme="minorHAnsi"/>
        </w:rPr>
        <w:t>and were not matched</w:t>
      </w:r>
      <w:r w:rsidR="007E703D">
        <w:rPr>
          <w:rFonts w:asciiTheme="minorHAnsi" w:hAnsiTheme="minorHAnsi"/>
        </w:rPr>
        <w:t xml:space="preserve"> by</w:t>
      </w:r>
      <w:r w:rsidRPr="00B417BF">
        <w:rPr>
          <w:rFonts w:asciiTheme="minorHAnsi" w:hAnsiTheme="minorHAnsi"/>
        </w:rPr>
        <w:t xml:space="preserve"> age or gender.  </w:t>
      </w:r>
    </w:p>
    <w:p w14:paraId="7E6114AA" w14:textId="77777777" w:rsidR="00FA004E" w:rsidRPr="00B417BF" w:rsidRDefault="00FA004E" w:rsidP="00FA004E">
      <w:pPr>
        <w:spacing w:line="480" w:lineRule="auto"/>
        <w:rPr>
          <w:rFonts w:asciiTheme="minorHAnsi" w:hAnsiTheme="minorHAnsi"/>
        </w:rPr>
      </w:pPr>
    </w:p>
    <w:p w14:paraId="6D62CBBF" w14:textId="0CB621A2" w:rsidR="00FA004E" w:rsidRPr="00B417BF" w:rsidRDefault="00FA004E" w:rsidP="00FA004E">
      <w:pPr>
        <w:spacing w:line="480" w:lineRule="auto"/>
        <w:rPr>
          <w:rFonts w:asciiTheme="minorHAnsi" w:hAnsiTheme="minorHAnsi"/>
        </w:rPr>
      </w:pPr>
      <w:r w:rsidRPr="00B417BF">
        <w:rPr>
          <w:rFonts w:asciiTheme="minorHAnsi" w:hAnsiTheme="minorHAnsi"/>
        </w:rPr>
        <w:t xml:space="preserve">In relation to this project, the time of the overall project over two years and multiple classes could have allowed the control group to interact with the experimental group regarding the project.  It is not clear if this interaction would </w:t>
      </w:r>
      <w:r w:rsidR="007E703D">
        <w:rPr>
          <w:rFonts w:asciiTheme="minorHAnsi" w:hAnsiTheme="minorHAnsi"/>
        </w:rPr>
        <w:t xml:space="preserve">have been </w:t>
      </w:r>
      <w:r w:rsidRPr="00B417BF">
        <w:rPr>
          <w:rFonts w:asciiTheme="minorHAnsi" w:hAnsiTheme="minorHAnsi"/>
        </w:rPr>
        <w:t xml:space="preserve">positive or negative.  One of the survey items measured support from peers and upper classmen.  Participants were not prohibited </w:t>
      </w:r>
      <w:r w:rsidR="007E703D">
        <w:rPr>
          <w:rFonts w:asciiTheme="minorHAnsi" w:hAnsiTheme="minorHAnsi"/>
        </w:rPr>
        <w:t>from discussing the study with</w:t>
      </w:r>
      <w:r w:rsidRPr="00B417BF">
        <w:rPr>
          <w:rFonts w:asciiTheme="minorHAnsi" w:hAnsiTheme="minorHAnsi"/>
        </w:rPr>
        <w:t xml:space="preserve"> peers or upperclassmen.  Because they are encouraged to seek support from each other, participant discussion about the surveys is a reasonable expectation. The questions regarding peer support utilization may reflect </w:t>
      </w:r>
      <w:r w:rsidR="007968AC">
        <w:rPr>
          <w:rFonts w:asciiTheme="minorHAnsi" w:hAnsiTheme="minorHAnsi"/>
        </w:rPr>
        <w:t>student</w:t>
      </w:r>
      <w:r w:rsidRPr="00B417BF">
        <w:rPr>
          <w:rFonts w:asciiTheme="minorHAnsi" w:hAnsiTheme="minorHAnsi"/>
        </w:rPr>
        <w:t xml:space="preserve"> discussion of the study itself.</w:t>
      </w:r>
    </w:p>
    <w:p w14:paraId="022F4052" w14:textId="77777777" w:rsidR="00FA004E" w:rsidRPr="00B417BF" w:rsidRDefault="00FA004E" w:rsidP="00FA004E">
      <w:pPr>
        <w:spacing w:line="480" w:lineRule="auto"/>
        <w:rPr>
          <w:rFonts w:asciiTheme="minorHAnsi" w:hAnsiTheme="minorHAnsi"/>
        </w:rPr>
      </w:pPr>
    </w:p>
    <w:p w14:paraId="69C34CD9" w14:textId="423507D0" w:rsidR="00FA004E" w:rsidRPr="00B417BF" w:rsidRDefault="00FA004E" w:rsidP="00FA004E">
      <w:pPr>
        <w:spacing w:line="480" w:lineRule="auto"/>
        <w:rPr>
          <w:rFonts w:asciiTheme="minorHAnsi" w:hAnsiTheme="minorHAnsi"/>
        </w:rPr>
      </w:pPr>
      <w:r w:rsidRPr="00B417BF">
        <w:rPr>
          <w:rFonts w:asciiTheme="minorHAnsi" w:hAnsiTheme="minorHAnsi"/>
        </w:rPr>
        <w:t xml:space="preserve">This project attempted to measure coping skills of students in a controlled environment of a single course.  Unfortunately, the physician assistant program added an additional </w:t>
      </w:r>
      <w:r w:rsidR="00C26EC6">
        <w:rPr>
          <w:rFonts w:asciiTheme="minorHAnsi" w:hAnsiTheme="minorHAnsi"/>
        </w:rPr>
        <w:t>biochemistry</w:t>
      </w:r>
      <w:r w:rsidRPr="00B417BF">
        <w:rPr>
          <w:rFonts w:asciiTheme="minorHAnsi" w:hAnsiTheme="minorHAnsi"/>
        </w:rPr>
        <w:t xml:space="preserve"> course during the second year of the project.   At the time of inception and design, the </w:t>
      </w:r>
      <w:r w:rsidR="00953349">
        <w:rPr>
          <w:rFonts w:asciiTheme="minorHAnsi" w:hAnsiTheme="minorHAnsi"/>
        </w:rPr>
        <w:t>biochemistry</w:t>
      </w:r>
      <w:r w:rsidRPr="00B417BF">
        <w:rPr>
          <w:rFonts w:asciiTheme="minorHAnsi" w:hAnsiTheme="minorHAnsi"/>
        </w:rPr>
        <w:t xml:space="preserve"> course was not part of the </w:t>
      </w:r>
      <w:r w:rsidR="00605E20">
        <w:rPr>
          <w:rFonts w:asciiTheme="minorHAnsi" w:hAnsiTheme="minorHAnsi"/>
        </w:rPr>
        <w:t xml:space="preserve">summer </w:t>
      </w:r>
      <w:r w:rsidRPr="00B417BF">
        <w:rPr>
          <w:rFonts w:asciiTheme="minorHAnsi" w:hAnsiTheme="minorHAnsi"/>
        </w:rPr>
        <w:t xml:space="preserve">curriculum.  This increased the academic load for the experimental group of </w:t>
      </w:r>
      <w:r w:rsidR="005E2BD6">
        <w:rPr>
          <w:rFonts w:asciiTheme="minorHAnsi" w:hAnsiTheme="minorHAnsi"/>
        </w:rPr>
        <w:t>participants</w:t>
      </w:r>
      <w:r w:rsidRPr="00B417BF">
        <w:rPr>
          <w:rFonts w:asciiTheme="minorHAnsi" w:hAnsiTheme="minorHAnsi"/>
        </w:rPr>
        <w:t>.  Presumably, the PA students of 2017 had additional stress and coping difficulties as compared to their 2016 peers.  The Brief COPE measures behavioral reactions to overall environmental stress</w:t>
      </w:r>
      <w:r w:rsidR="00953349">
        <w:rPr>
          <w:rFonts w:asciiTheme="minorHAnsi" w:hAnsiTheme="minorHAnsi"/>
        </w:rPr>
        <w:t>, thus the stress</w:t>
      </w:r>
      <w:r w:rsidRPr="00B417BF">
        <w:rPr>
          <w:rFonts w:asciiTheme="minorHAnsi" w:hAnsiTheme="minorHAnsi"/>
        </w:rPr>
        <w:t xml:space="preserve"> and behavior</w:t>
      </w:r>
      <w:r w:rsidR="00953349">
        <w:rPr>
          <w:rFonts w:asciiTheme="minorHAnsi" w:hAnsiTheme="minorHAnsi"/>
        </w:rPr>
        <w:t xml:space="preserve">s </w:t>
      </w:r>
      <w:r w:rsidRPr="00B417BF">
        <w:rPr>
          <w:rFonts w:asciiTheme="minorHAnsi" w:hAnsiTheme="minorHAnsi"/>
        </w:rPr>
        <w:t xml:space="preserve">related only to the </w:t>
      </w:r>
      <w:r w:rsidR="0027120E">
        <w:rPr>
          <w:rFonts w:asciiTheme="minorHAnsi" w:hAnsiTheme="minorHAnsi"/>
        </w:rPr>
        <w:t xml:space="preserve">Clinical </w:t>
      </w:r>
      <w:r w:rsidR="009651F9">
        <w:rPr>
          <w:rFonts w:asciiTheme="minorHAnsi" w:hAnsiTheme="minorHAnsi"/>
        </w:rPr>
        <w:t>Anatomy</w:t>
      </w:r>
      <w:r w:rsidRPr="00B417BF">
        <w:rPr>
          <w:rFonts w:asciiTheme="minorHAnsi" w:hAnsiTheme="minorHAnsi"/>
        </w:rPr>
        <w:t xml:space="preserve"> course could not be measured or parsed from the survey questions.</w:t>
      </w:r>
    </w:p>
    <w:p w14:paraId="0468107B" w14:textId="77777777" w:rsidR="00FA004E" w:rsidRPr="00B417BF" w:rsidRDefault="00FA004E" w:rsidP="00FA004E">
      <w:pPr>
        <w:spacing w:line="480" w:lineRule="auto"/>
        <w:rPr>
          <w:rFonts w:asciiTheme="minorHAnsi" w:hAnsiTheme="minorHAnsi"/>
        </w:rPr>
      </w:pPr>
      <w:r w:rsidRPr="00B417BF">
        <w:rPr>
          <w:rFonts w:asciiTheme="minorHAnsi" w:hAnsiTheme="minorHAnsi"/>
        </w:rPr>
        <w:t xml:space="preserve"> </w:t>
      </w:r>
    </w:p>
    <w:p w14:paraId="274CFB87" w14:textId="19783B2A" w:rsidR="00FA004E" w:rsidRPr="00B417BF" w:rsidRDefault="00FA004E" w:rsidP="00FA004E">
      <w:pPr>
        <w:spacing w:line="480" w:lineRule="auto"/>
        <w:rPr>
          <w:rFonts w:asciiTheme="minorHAnsi" w:hAnsiTheme="minorHAnsi"/>
        </w:rPr>
      </w:pPr>
      <w:r w:rsidRPr="00B417BF">
        <w:rPr>
          <w:rFonts w:asciiTheme="minorHAnsi" w:hAnsiTheme="minorHAnsi"/>
        </w:rPr>
        <w:t>Similarly, the study was not able to control for different lecturers during the two course administrations.  It is typical for several lecturers to share the presentation of the materials.  The study design did not require individual lectures to be presented by the same person</w:t>
      </w:r>
      <w:r w:rsidR="007968AC">
        <w:rPr>
          <w:rFonts w:asciiTheme="minorHAnsi" w:hAnsiTheme="minorHAnsi"/>
        </w:rPr>
        <w:t xml:space="preserve"> over the two years</w:t>
      </w:r>
      <w:r w:rsidRPr="00B417BF">
        <w:rPr>
          <w:rFonts w:asciiTheme="minorHAnsi" w:hAnsiTheme="minorHAnsi"/>
        </w:rPr>
        <w:t xml:space="preserve">.  Overall, both classes had the same course directors and same lecturers </w:t>
      </w:r>
      <w:r w:rsidR="003C0371">
        <w:rPr>
          <w:rFonts w:asciiTheme="minorHAnsi" w:hAnsiTheme="minorHAnsi"/>
        </w:rPr>
        <w:t>over the course of the semester</w:t>
      </w:r>
      <w:r w:rsidRPr="00B417BF">
        <w:rPr>
          <w:rFonts w:asciiTheme="minorHAnsi" w:hAnsiTheme="minorHAnsi"/>
        </w:rPr>
        <w:t>.  This helped minimize possible variation but did not eliminate it.</w:t>
      </w:r>
    </w:p>
    <w:p w14:paraId="4F5A3066" w14:textId="77777777" w:rsidR="00FA004E" w:rsidRPr="00B417BF" w:rsidRDefault="00FA004E" w:rsidP="00FA004E">
      <w:pPr>
        <w:spacing w:line="480" w:lineRule="auto"/>
        <w:rPr>
          <w:rFonts w:asciiTheme="minorHAnsi" w:hAnsiTheme="minorHAnsi"/>
        </w:rPr>
      </w:pPr>
    </w:p>
    <w:p w14:paraId="51FFA866" w14:textId="42DF41B9" w:rsidR="00FA004E" w:rsidRPr="00B417BF" w:rsidRDefault="00FA004E" w:rsidP="00FA004E">
      <w:pPr>
        <w:spacing w:line="480" w:lineRule="auto"/>
        <w:rPr>
          <w:rFonts w:asciiTheme="minorHAnsi" w:hAnsiTheme="minorHAnsi"/>
        </w:rPr>
      </w:pPr>
      <w:r w:rsidRPr="00B417BF">
        <w:rPr>
          <w:rFonts w:asciiTheme="minorHAnsi" w:hAnsiTheme="minorHAnsi"/>
        </w:rPr>
        <w:t xml:space="preserve">The online format for the exams was changed by administration just prior to the 2017 summer semester.  Both groups were administered exams in the D2L software, but the visual presentation for the 2017 group was markedly different.  </w:t>
      </w:r>
      <w:r w:rsidR="00C26EC6">
        <w:rPr>
          <w:rFonts w:asciiTheme="minorHAnsi" w:hAnsiTheme="minorHAnsi"/>
        </w:rPr>
        <w:t xml:space="preserve">An additional step was added to submit and exit the exam.  </w:t>
      </w:r>
      <w:r w:rsidRPr="00B417BF">
        <w:rPr>
          <w:rFonts w:asciiTheme="minorHAnsi" w:hAnsiTheme="minorHAnsi"/>
        </w:rPr>
        <w:t xml:space="preserve">This led to </w:t>
      </w:r>
      <w:r w:rsidRPr="00B417BF">
        <w:rPr>
          <w:rFonts w:asciiTheme="minorHAnsi" w:hAnsiTheme="minorHAnsi"/>
        </w:rPr>
        <w:lastRenderedPageBreak/>
        <w:t>difficulty finding the survey link on the screen.  It also was ambiguous that the exam was entered correctly if students did access the survey.  This confusion had the potential of decreasing the</w:t>
      </w:r>
      <w:r w:rsidR="00953349">
        <w:rPr>
          <w:rFonts w:asciiTheme="minorHAnsi" w:hAnsiTheme="minorHAnsi"/>
        </w:rPr>
        <w:t xml:space="preserve"> 2017</w:t>
      </w:r>
      <w:r w:rsidR="002604C1">
        <w:rPr>
          <w:rFonts w:asciiTheme="minorHAnsi" w:hAnsiTheme="minorHAnsi"/>
        </w:rPr>
        <w:t xml:space="preserve"> </w:t>
      </w:r>
      <w:r w:rsidR="00953349">
        <w:rPr>
          <w:rFonts w:asciiTheme="minorHAnsi" w:hAnsiTheme="minorHAnsi"/>
        </w:rPr>
        <w:t>experimental group</w:t>
      </w:r>
      <w:r w:rsidR="00C26EC6">
        <w:rPr>
          <w:rFonts w:asciiTheme="minorHAnsi" w:hAnsiTheme="minorHAnsi"/>
        </w:rPr>
        <w:t xml:space="preserve"> </w:t>
      </w:r>
      <w:r w:rsidRPr="00B417BF">
        <w:rPr>
          <w:rFonts w:asciiTheme="minorHAnsi" w:hAnsiTheme="minorHAnsi"/>
        </w:rPr>
        <w:t>response rate.  To minimize this, verbal instructions were given to the students prior to the exam, the instructions to survey access within D2L were posted on an overhead slide during the</w:t>
      </w:r>
      <w:r w:rsidR="002604C1">
        <w:rPr>
          <w:rFonts w:asciiTheme="minorHAnsi" w:hAnsiTheme="minorHAnsi"/>
        </w:rPr>
        <w:t xml:space="preserve"> exam, and an external link was</w:t>
      </w:r>
      <w:r w:rsidRPr="00B417BF">
        <w:rPr>
          <w:rFonts w:asciiTheme="minorHAnsi" w:hAnsiTheme="minorHAnsi"/>
        </w:rPr>
        <w:t xml:space="preserve"> given. Students could access the external link once their exam was submitted.  The number of students using the external link </w:t>
      </w:r>
      <w:r w:rsidR="007E703D">
        <w:rPr>
          <w:rFonts w:asciiTheme="minorHAnsi" w:hAnsiTheme="minorHAnsi"/>
        </w:rPr>
        <w:t>could not</w:t>
      </w:r>
      <w:r w:rsidRPr="00B417BF">
        <w:rPr>
          <w:rFonts w:asciiTheme="minorHAnsi" w:hAnsiTheme="minorHAnsi"/>
        </w:rPr>
        <w:t xml:space="preserve"> be extracted from Qualtrics.  </w:t>
      </w:r>
    </w:p>
    <w:p w14:paraId="57EC27BF" w14:textId="77777777" w:rsidR="00FA004E" w:rsidRPr="00B417BF" w:rsidRDefault="00FA004E" w:rsidP="00FA004E">
      <w:pPr>
        <w:spacing w:line="480" w:lineRule="auto"/>
        <w:rPr>
          <w:rFonts w:asciiTheme="minorHAnsi" w:hAnsiTheme="minorHAnsi"/>
        </w:rPr>
      </w:pPr>
    </w:p>
    <w:p w14:paraId="19BDAA4C" w14:textId="3AE37039" w:rsidR="00FA004E" w:rsidRDefault="00FA004E" w:rsidP="00FA004E">
      <w:pPr>
        <w:spacing w:line="480" w:lineRule="auto"/>
        <w:rPr>
          <w:rFonts w:asciiTheme="minorHAnsi" w:hAnsiTheme="minorHAnsi"/>
        </w:rPr>
      </w:pPr>
      <w:r w:rsidRPr="00B417BF">
        <w:rPr>
          <w:rFonts w:asciiTheme="minorHAnsi" w:hAnsiTheme="minorHAnsi"/>
        </w:rPr>
        <w:t>When designing any study using survey responses, a thirty percent response rate is expected.</w:t>
      </w:r>
      <w:r w:rsidR="00ED2B57">
        <w:rPr>
          <w:rFonts w:asciiTheme="minorHAnsi" w:hAnsiTheme="minorHAnsi"/>
        </w:rPr>
        <w:fldChar w:fldCharType="begin"/>
      </w:r>
      <w:r w:rsidR="00F521B2">
        <w:rPr>
          <w:rFonts w:asciiTheme="minorHAnsi" w:hAnsiTheme="minorHAnsi"/>
        </w:rPr>
        <w:instrText xml:space="preserve"> ADDIN ZOTERO_ITEM CSL_CITATION {"citationID":"iFjHsAN5","properties":{"formattedCitation":"\\super 94\\nosupersub{}","plainCitation":"94","noteIndex":0},"citationItems":[{"id":820,"uris":["http://zotero.org/users/1143701/items/96GCHI5J"],"uri":["http://zotero.org/users/1143701/items/96GCHI5J"],"itemData":{"id":820,"type":"article-journal","title":"Factors affecting response rates of web survey: A systematic review","container-title":"Computers in Human Behavior","page":"132-139","volume":"26","issue":"2010","abstract":"The lower response rate in web surveys has been a major concern for survey researchers. The literature\nhas sought to identify a wide variety of factors that affect response rates in web surveys. In this article, we\ndeveloped a conceptual model of the web survey process and use the model to systematically review a\nwide variety of factors influencing the response rate in the stage of survey development, survey delivery,\nsurvey completion, and survey return. Practical suggestion and future research directions on how to\nincrease the response rate are discussed.","URL":"www.elsevier.com/locate/comphumbeh","ISSN":"https://www.worldcat.org/issn/0747-5632","journalAbbreviation":"Comput. Hum. Behav","language":"English","author":[{"family":"Weimiao","given":"Fan"},{"family":"Zheng","given":"Yan"}],"issued":{"date-parts":[["2010"]]}}}],"schema":"https://github.com/citation-style-language/schema/raw/master/csl-citation.json"} </w:instrText>
      </w:r>
      <w:r w:rsidR="00ED2B57">
        <w:rPr>
          <w:rFonts w:asciiTheme="minorHAnsi" w:hAnsiTheme="minorHAnsi"/>
        </w:rPr>
        <w:fldChar w:fldCharType="separate"/>
      </w:r>
      <w:r w:rsidR="00F521B2" w:rsidRPr="00F521B2">
        <w:rPr>
          <w:rFonts w:ascii="Cambria" w:hAnsiTheme="minorHAnsi"/>
          <w:vertAlign w:val="superscript"/>
        </w:rPr>
        <w:t>94</w:t>
      </w:r>
      <w:r w:rsidR="00ED2B57">
        <w:rPr>
          <w:rFonts w:asciiTheme="minorHAnsi" w:hAnsiTheme="minorHAnsi"/>
        </w:rPr>
        <w:fldChar w:fldCharType="end"/>
      </w:r>
      <w:r w:rsidRPr="00B417BF">
        <w:rPr>
          <w:rFonts w:asciiTheme="minorHAnsi" w:hAnsiTheme="minorHAnsi"/>
        </w:rPr>
        <w:t xml:space="preserve"> </w:t>
      </w:r>
      <w:r w:rsidR="00ED2B57">
        <w:rPr>
          <w:rFonts w:asciiTheme="minorHAnsi" w:hAnsiTheme="minorHAnsi"/>
        </w:rPr>
        <w:t xml:space="preserve"> Online surveys are prone to have even lower response rates than print and in-person surveys.</w:t>
      </w:r>
      <w:r w:rsidR="00ED2B57">
        <w:rPr>
          <w:rFonts w:asciiTheme="minorHAnsi" w:hAnsiTheme="minorHAnsi"/>
        </w:rPr>
        <w:fldChar w:fldCharType="begin"/>
      </w:r>
      <w:r w:rsidR="00E04913">
        <w:rPr>
          <w:rFonts w:asciiTheme="minorHAnsi" w:hAnsiTheme="minorHAnsi"/>
        </w:rPr>
        <w:instrText xml:space="preserve"> ADDIN ZOTERO_ITEM CSL_CITATION {"citationID":"766Tt7Ym","properties":{"formattedCitation":"\\super 96\\nosupersub{}","plainCitation":"96","noteIndex":0},"citationItems":[{"id":799,"uris":["http://zotero.org/users/1143701/items/8IEN65H9"],"uri":["http://zotero.org/users/1143701/items/8IEN65H9"],"itemData":{"id":799,"type":"article-journal","title":"The adequacy of response rates to online and paper surveys: what can be done?","container-title":"Assessment &amp; Evaluation in Higher Education","page":"301-314","volume":"33","issue":"3","source":"srhe.tandfonline.com (Atypon)","abstract":"This article is about differences between, and the adequacy of, response rates to online and paper‐based course and teaching evaluation surveys. Its aim is to provide practical guidance on these matters. The first part of the article gives an overview of online surveying in general, a review of data relating to survey response rates and practical advice to help boost response rates. The second part of the article discusses when a response rate may be considered large enough for the survey data to provide adequate evidence for accountability and improvement purposes. The article ends with suggestions for improving the effectiveness of evaluation strategy. These suggestions are: to seek to obtain the highest response rates possible to all surveys; to take account of probable effects of survey design and methods on the feedback obtained when interpreting that feedback; and to enhance this action by making use of data derived from multiple methods of gathering feedback.","URL":"http://srhe.tandfonline.com/doi/full/10.1080/02602930701293231","DOI":"10.1080/02602930701293231","ISSN":"0260-2938","shortTitle":"The adequacy of response rates to online and paper surveys","journalAbbreviation":"Assessment &amp; Evaluation in Higher Education","author":[{"family":"Nulty","given":"Duncan D."}],"issued":{"date-parts":[["2008",6,1]]},"accessed":{"date-parts":[["2017",12,27]]}}}],"schema":"https://github.com/citation-style-language/schema/raw/master/csl-citation.json"} </w:instrText>
      </w:r>
      <w:r w:rsidR="00ED2B57">
        <w:rPr>
          <w:rFonts w:asciiTheme="minorHAnsi" w:hAnsiTheme="minorHAnsi"/>
        </w:rPr>
        <w:fldChar w:fldCharType="separate"/>
      </w:r>
      <w:r w:rsidR="00E04913" w:rsidRPr="00E04913">
        <w:rPr>
          <w:rFonts w:ascii="Cambria" w:hAnsiTheme="minorHAnsi"/>
          <w:vertAlign w:val="superscript"/>
        </w:rPr>
        <w:t>96</w:t>
      </w:r>
      <w:r w:rsidR="00ED2B57">
        <w:rPr>
          <w:rFonts w:asciiTheme="minorHAnsi" w:hAnsiTheme="minorHAnsi"/>
        </w:rPr>
        <w:fldChar w:fldCharType="end"/>
      </w:r>
      <w:r w:rsidRPr="00B417BF">
        <w:rPr>
          <w:rFonts w:asciiTheme="minorHAnsi" w:hAnsiTheme="minorHAnsi"/>
        </w:rPr>
        <w:t xml:space="preserve"> </w:t>
      </w:r>
      <w:r w:rsidR="00ED2B57">
        <w:rPr>
          <w:rFonts w:asciiTheme="minorHAnsi" w:hAnsiTheme="minorHAnsi"/>
        </w:rPr>
        <w:t xml:space="preserve"> </w:t>
      </w:r>
      <w:r w:rsidRPr="00B417BF">
        <w:rPr>
          <w:rFonts w:asciiTheme="minorHAnsi" w:hAnsiTheme="minorHAnsi"/>
        </w:rPr>
        <w:t xml:space="preserve">In public health and market research, obtaining more responses is possible by surveying great numbers of a population. In this project, the sample size was limited and fixed by class size.  Even with a higher than expected response rate, it was not possible to increase the overall participant numbers.  </w:t>
      </w:r>
      <w:r w:rsidR="0047215A">
        <w:rPr>
          <w:rFonts w:asciiTheme="minorHAnsi" w:hAnsiTheme="minorHAnsi"/>
        </w:rPr>
        <w:t xml:space="preserve"> </w:t>
      </w:r>
    </w:p>
    <w:p w14:paraId="42551898" w14:textId="559D498C" w:rsidR="0047215A" w:rsidRDefault="0047215A" w:rsidP="00FA004E">
      <w:pPr>
        <w:spacing w:line="480" w:lineRule="auto"/>
        <w:rPr>
          <w:rFonts w:asciiTheme="minorHAnsi" w:hAnsiTheme="minorHAnsi"/>
        </w:rPr>
      </w:pPr>
    </w:p>
    <w:p w14:paraId="0E1B60E5" w14:textId="5278CD0A" w:rsidR="0047215A" w:rsidRDefault="0047215A" w:rsidP="00FA004E">
      <w:pPr>
        <w:spacing w:line="480" w:lineRule="auto"/>
        <w:rPr>
          <w:rFonts w:asciiTheme="minorHAnsi" w:hAnsiTheme="minorHAnsi"/>
        </w:rPr>
      </w:pPr>
      <w:r>
        <w:rPr>
          <w:rFonts w:asciiTheme="minorHAnsi" w:hAnsiTheme="minorHAnsi"/>
        </w:rPr>
        <w:t>According to national program data, the gender mix for the students responding to the surveys should have been near 25% male and 75% female.  The responses for 2016 were 42% male and 58% female.  In the 2017 group, 46% reported</w:t>
      </w:r>
      <w:r w:rsidR="003964FD">
        <w:rPr>
          <w:rFonts w:asciiTheme="minorHAnsi" w:hAnsiTheme="minorHAnsi"/>
        </w:rPr>
        <w:t xml:space="preserve"> as male and 54% as female.  All students identified as male or female although an alternative third choice was given.  For the purposes of this study, gender was not examined as a co-variate.  However, future study into how </w:t>
      </w:r>
      <w:r w:rsidR="003964FD">
        <w:rPr>
          <w:rFonts w:asciiTheme="minorHAnsi" w:hAnsiTheme="minorHAnsi"/>
        </w:rPr>
        <w:lastRenderedPageBreak/>
        <w:t xml:space="preserve">gender interacts with help-seeking, coping behaviors, and academic performance may be warranted.  </w:t>
      </w:r>
    </w:p>
    <w:p w14:paraId="44C22C2E" w14:textId="6825C291" w:rsidR="00786BD7" w:rsidRDefault="00786BD7" w:rsidP="00FA004E">
      <w:pPr>
        <w:spacing w:line="480" w:lineRule="auto"/>
        <w:rPr>
          <w:rFonts w:asciiTheme="minorHAnsi" w:hAnsiTheme="minorHAnsi"/>
        </w:rPr>
      </w:pPr>
    </w:p>
    <w:p w14:paraId="0BA6170F" w14:textId="2D6AC82A" w:rsidR="00786BD7" w:rsidRDefault="00786BD7" w:rsidP="00FA004E">
      <w:pPr>
        <w:spacing w:line="480" w:lineRule="auto"/>
        <w:rPr>
          <w:rFonts w:asciiTheme="minorHAnsi" w:hAnsiTheme="minorHAnsi"/>
        </w:rPr>
      </w:pPr>
      <w:r>
        <w:rPr>
          <w:rFonts w:asciiTheme="minorHAnsi" w:hAnsiTheme="minorHAnsi"/>
        </w:rPr>
        <w:t>Because of Institutional Review Board guidelines, completion of the Brief COPE and After Course surveys was voluntary.  Students were able to complete as many of t</w:t>
      </w:r>
      <w:r w:rsidR="00273C34">
        <w:rPr>
          <w:rFonts w:asciiTheme="minorHAnsi" w:hAnsiTheme="minorHAnsi"/>
        </w:rPr>
        <w:t>he survey administrations</w:t>
      </w:r>
      <w:r>
        <w:rPr>
          <w:rFonts w:asciiTheme="minorHAnsi" w:hAnsiTheme="minorHAnsi"/>
        </w:rPr>
        <w:t xml:space="preserve"> and questions within each survey as they chose.  As a result, the number of participants for each administration varied </w:t>
      </w:r>
      <w:r w:rsidR="00273C34">
        <w:rPr>
          <w:rFonts w:asciiTheme="minorHAnsi" w:hAnsiTheme="minorHAnsi"/>
        </w:rPr>
        <w:t>widely</w:t>
      </w:r>
      <w:r>
        <w:rPr>
          <w:rFonts w:asciiTheme="minorHAnsi" w:hAnsiTheme="minorHAnsi"/>
        </w:rPr>
        <w:t xml:space="preserve">.  </w:t>
      </w:r>
      <w:r w:rsidR="00273C34" w:rsidRPr="00B417BF">
        <w:rPr>
          <w:rFonts w:asciiTheme="minorHAnsi" w:hAnsiTheme="minorHAnsi"/>
        </w:rPr>
        <w:t>As a result, the sample size of students completing surveys longitudinally across the entire course was further reduced to approximately 15%.  This limited the statistical power and possible tests that cou</w:t>
      </w:r>
      <w:r w:rsidR="00273C34">
        <w:rPr>
          <w:rFonts w:asciiTheme="minorHAnsi" w:hAnsiTheme="minorHAnsi"/>
        </w:rPr>
        <w:t xml:space="preserve">ld be used for this sub group and </w:t>
      </w:r>
      <w:r>
        <w:rPr>
          <w:rFonts w:asciiTheme="minorHAnsi" w:hAnsiTheme="minorHAnsi"/>
        </w:rPr>
        <w:t xml:space="preserve">made comparisons across groups difficult.  Detailed analysis of longitudinal data over the course was not able to be completed using the SPSS software and design models of this study.  </w:t>
      </w:r>
      <w:r w:rsidR="00273C34">
        <w:rPr>
          <w:rFonts w:asciiTheme="minorHAnsi" w:hAnsiTheme="minorHAnsi"/>
        </w:rPr>
        <w:t xml:space="preserve">Future work should include mechanisms to increase participation across all administrations.  </w:t>
      </w:r>
    </w:p>
    <w:p w14:paraId="1B86D18F" w14:textId="748DB172" w:rsidR="00FA004E" w:rsidRPr="00B417BF" w:rsidRDefault="00FA004E" w:rsidP="00FA004E">
      <w:pPr>
        <w:spacing w:line="480" w:lineRule="auto"/>
        <w:rPr>
          <w:rFonts w:asciiTheme="minorHAnsi" w:hAnsiTheme="minorHAnsi"/>
        </w:rPr>
      </w:pPr>
    </w:p>
    <w:p w14:paraId="1E222129" w14:textId="2F3EBD5F" w:rsidR="00FA004E" w:rsidRPr="00B417BF" w:rsidRDefault="00FA004E" w:rsidP="00FA004E">
      <w:pPr>
        <w:spacing w:line="480" w:lineRule="auto"/>
        <w:rPr>
          <w:rFonts w:asciiTheme="minorHAnsi" w:hAnsiTheme="minorHAnsi"/>
        </w:rPr>
      </w:pPr>
      <w:r w:rsidRPr="00B417BF">
        <w:rPr>
          <w:rFonts w:asciiTheme="minorHAnsi" w:hAnsiTheme="minorHAnsi"/>
        </w:rPr>
        <w:t xml:space="preserve">The limited number of </w:t>
      </w:r>
      <w:r w:rsidR="005E2BD6">
        <w:rPr>
          <w:rFonts w:asciiTheme="minorHAnsi" w:hAnsiTheme="minorHAnsi"/>
        </w:rPr>
        <w:t>participants</w:t>
      </w:r>
      <w:r w:rsidRPr="00B417BF">
        <w:rPr>
          <w:rFonts w:asciiTheme="minorHAnsi" w:hAnsiTheme="minorHAnsi"/>
        </w:rPr>
        <w:t xml:space="preserve"> should be considered when evaluating the statistical power of the results.  Correlation data </w:t>
      </w:r>
      <w:r w:rsidR="00953349">
        <w:rPr>
          <w:rFonts w:asciiTheme="minorHAnsi" w:hAnsiTheme="minorHAnsi"/>
        </w:rPr>
        <w:t>increases the likelihood for</w:t>
      </w:r>
      <w:r w:rsidRPr="00B417BF">
        <w:rPr>
          <w:rFonts w:asciiTheme="minorHAnsi" w:hAnsiTheme="minorHAnsi"/>
        </w:rPr>
        <w:t xml:space="preserve"> false positives and Type I errors as sample sizes decrease</w:t>
      </w:r>
      <w:r w:rsidR="003B5338">
        <w:rPr>
          <w:rFonts w:asciiTheme="minorHAnsi" w:hAnsiTheme="minorHAnsi"/>
        </w:rPr>
        <w:t>.</w:t>
      </w:r>
      <w:r w:rsidRPr="00B417BF">
        <w:rPr>
          <w:rFonts w:asciiTheme="minorHAnsi" w:hAnsiTheme="minorHAnsi"/>
        </w:rPr>
        <w:fldChar w:fldCharType="begin"/>
      </w:r>
      <w:r w:rsidR="00F521B2">
        <w:rPr>
          <w:rFonts w:asciiTheme="minorHAnsi" w:hAnsiTheme="minorHAnsi"/>
        </w:rPr>
        <w:instrText xml:space="preserve"> ADDIN ZOTERO_ITEM CSL_CITATION {"citationID":"a291q0ugee5","properties":{"formattedCitation":"\\super 112\\nosupersub{}","plainCitation":"112","noteIndex":0},"citationItems":[{"id":744,"uris":["http://zotero.org/users/1143701/items/28FS6BBQ"],"uri":["http://zotero.org/users/1143701/items/28FS6BBQ"],"itemData":{"id":744,"type":"article-journal","title":"Trends in P Value, Confidence Interval, and Power Analysis Reporting in Health Professions Education Research Reports: A Systematic Appraisal","container-title":"Academic Medicine","page":"1","source":"CrossRef","URL":"http://Insights.ovid.com/crossref?an=00001888-900000000-98193","DOI":"10.1097/ACM.0000000000001773","ISSN":"1040-2446","shortTitle":"Trends in P Value, Confidence Interval, and Power Analysis Reporting in Health Professions Education Research Reports","language":"en","author":[{"family":"Abbott","given":"Eduardo F."},{"family":"Serrano","given":"Valentina P."},{"family":"Rethlefsen","given":"Melissa L."},{"family":"Pandian","given":"T.K."},{"family":"Naik","given":"Nimesh D."},{"family":"West","given":"Colin P."},{"family":"Pankratz","given":"V. Shane"},{"family":"Cook","given":"David A."}],"issued":{"date-parts":[["2017",6]]},"accessed":{"date-parts":[["2017",10,26]]}}}],"schema":"https://github.com/citation-style-language/schema/raw/master/csl-citation.json"} </w:instrText>
      </w:r>
      <w:r w:rsidRPr="00B417BF">
        <w:rPr>
          <w:rFonts w:asciiTheme="minorHAnsi" w:hAnsiTheme="minorHAnsi"/>
        </w:rPr>
        <w:fldChar w:fldCharType="separate"/>
      </w:r>
      <w:r w:rsidR="00F521B2" w:rsidRPr="00F521B2">
        <w:rPr>
          <w:rFonts w:ascii="Cambria" w:hAnsiTheme="minorHAnsi"/>
          <w:vertAlign w:val="superscript"/>
        </w:rPr>
        <w:t>112</w:t>
      </w:r>
      <w:r w:rsidRPr="00B417BF">
        <w:rPr>
          <w:rFonts w:asciiTheme="minorHAnsi" w:hAnsiTheme="minorHAnsi"/>
        </w:rPr>
        <w:fldChar w:fldCharType="end"/>
      </w:r>
      <w:r w:rsidRPr="00B417BF">
        <w:rPr>
          <w:rFonts w:asciiTheme="minorHAnsi" w:hAnsiTheme="minorHAnsi"/>
        </w:rPr>
        <w:t xml:space="preserve"> </w:t>
      </w:r>
      <w:r w:rsidR="00953349">
        <w:rPr>
          <w:rFonts w:asciiTheme="minorHAnsi" w:hAnsiTheme="minorHAnsi"/>
        </w:rPr>
        <w:t xml:space="preserve"> </w:t>
      </w:r>
      <w:r w:rsidRPr="00B417BF">
        <w:rPr>
          <w:rFonts w:asciiTheme="minorHAnsi" w:hAnsiTheme="minorHAnsi"/>
        </w:rPr>
        <w:t xml:space="preserve">Future study of larger classes or longitudinal study over an entire program may provide additional data that can increase the power of the results and allow for multivariable analysis.  This type of statistical limitation is problematic in educational research when the number of students is often limited.  </w:t>
      </w:r>
    </w:p>
    <w:p w14:paraId="1E5EDCF1" w14:textId="77777777" w:rsidR="00FA004E" w:rsidRPr="00B417BF" w:rsidRDefault="00FA004E" w:rsidP="00FA004E">
      <w:pPr>
        <w:spacing w:line="480" w:lineRule="auto"/>
        <w:rPr>
          <w:rFonts w:asciiTheme="minorHAnsi" w:hAnsiTheme="minorHAnsi"/>
        </w:rPr>
      </w:pPr>
    </w:p>
    <w:p w14:paraId="384EC21F" w14:textId="6ED9704A" w:rsidR="00FA004E" w:rsidRPr="00B417BF" w:rsidRDefault="00FA004E" w:rsidP="00FA004E">
      <w:pPr>
        <w:spacing w:line="480" w:lineRule="auto"/>
        <w:rPr>
          <w:rFonts w:asciiTheme="minorHAnsi" w:hAnsiTheme="minorHAnsi"/>
        </w:rPr>
      </w:pPr>
      <w:r w:rsidRPr="00B417BF">
        <w:rPr>
          <w:rFonts w:asciiTheme="minorHAnsi" w:hAnsiTheme="minorHAnsi"/>
        </w:rPr>
        <w:lastRenderedPageBreak/>
        <w:t>To help add insight to the quantitative results, this project added qualitative data.  The response rate for this survey was lower than the expected rate of 30%.  This may</w:t>
      </w:r>
      <w:r w:rsidR="00953349">
        <w:rPr>
          <w:rFonts w:asciiTheme="minorHAnsi" w:hAnsiTheme="minorHAnsi"/>
        </w:rPr>
        <w:t xml:space="preserve"> have been</w:t>
      </w:r>
      <w:r w:rsidRPr="00B417BF">
        <w:rPr>
          <w:rFonts w:asciiTheme="minorHAnsi" w:hAnsiTheme="minorHAnsi"/>
        </w:rPr>
        <w:t xml:space="preserve"> a result of the timing of the survey presentation, the increased effort of qualitative responses, or survey fatigue.  </w:t>
      </w:r>
    </w:p>
    <w:p w14:paraId="479CC365" w14:textId="77777777" w:rsidR="00D12190" w:rsidRPr="00B417BF" w:rsidRDefault="00D12190" w:rsidP="00FA004E">
      <w:pPr>
        <w:spacing w:line="480" w:lineRule="auto"/>
        <w:rPr>
          <w:rFonts w:asciiTheme="minorHAnsi" w:hAnsiTheme="minorHAnsi"/>
        </w:rPr>
      </w:pPr>
    </w:p>
    <w:p w14:paraId="4079FE6C" w14:textId="5836C126" w:rsidR="00FA004E" w:rsidRPr="00B417BF" w:rsidRDefault="00FA004E" w:rsidP="00FA004E">
      <w:pPr>
        <w:spacing w:line="480" w:lineRule="auto"/>
        <w:rPr>
          <w:rFonts w:asciiTheme="minorHAnsi" w:hAnsiTheme="minorHAnsi"/>
        </w:rPr>
      </w:pPr>
      <w:r w:rsidRPr="00B417BF">
        <w:rPr>
          <w:rFonts w:asciiTheme="minorHAnsi" w:hAnsiTheme="minorHAnsi"/>
        </w:rPr>
        <w:t xml:space="preserve">The qualitative survey was presented after the last exam was given.  While this allowed students to reflect on the overall experience of the course, it required students to remain engaged after the conclusion of the coursework.  The quantitative survey was the fourth survey administered over a period of eight weeks.  This had the potential to create a confounding factor of survey fatigue. </w:t>
      </w:r>
    </w:p>
    <w:p w14:paraId="232242F0" w14:textId="5A661CCD" w:rsidR="00FA004E" w:rsidRPr="00B417BF" w:rsidRDefault="00FA004E" w:rsidP="00FA004E">
      <w:pPr>
        <w:spacing w:line="480" w:lineRule="auto"/>
        <w:rPr>
          <w:rFonts w:asciiTheme="minorHAnsi" w:hAnsiTheme="minorHAnsi"/>
        </w:rPr>
      </w:pPr>
      <w:r w:rsidRPr="00B417BF">
        <w:rPr>
          <w:rFonts w:asciiTheme="minorHAnsi" w:hAnsiTheme="minorHAnsi"/>
        </w:rPr>
        <w:t xml:space="preserve">Survey research confirms that response rates for qualitative surveys is less than for Likert-type response choices.  The response rates of this study reflect this. As with the limitations of sample size in this study, the reduced qualitative response rates created an inability to </w:t>
      </w:r>
      <w:r w:rsidR="00953349">
        <w:rPr>
          <w:rFonts w:asciiTheme="minorHAnsi" w:hAnsiTheme="minorHAnsi"/>
        </w:rPr>
        <w:t xml:space="preserve">accurately </w:t>
      </w:r>
      <w:r w:rsidRPr="00B417BF">
        <w:rPr>
          <w:rFonts w:asciiTheme="minorHAnsi" w:hAnsiTheme="minorHAnsi"/>
        </w:rPr>
        <w:t xml:space="preserve">compare </w:t>
      </w:r>
      <w:r w:rsidR="00953349">
        <w:rPr>
          <w:rFonts w:asciiTheme="minorHAnsi" w:hAnsiTheme="minorHAnsi"/>
        </w:rPr>
        <w:t>within</w:t>
      </w:r>
      <w:r w:rsidRPr="00B417BF">
        <w:rPr>
          <w:rFonts w:asciiTheme="minorHAnsi" w:hAnsiTheme="minorHAnsi"/>
        </w:rPr>
        <w:t xml:space="preserve"> groups. </w:t>
      </w:r>
      <w:r w:rsidR="0026407F">
        <w:rPr>
          <w:rFonts w:asciiTheme="minorHAnsi" w:hAnsiTheme="minorHAnsi"/>
        </w:rPr>
        <w:t xml:space="preserve"> </w:t>
      </w:r>
      <w:r w:rsidRPr="00B417BF">
        <w:rPr>
          <w:rFonts w:asciiTheme="minorHAnsi" w:hAnsiTheme="minorHAnsi"/>
        </w:rPr>
        <w:t xml:space="preserve">Future studies should work to expand the sample size and response rates of qualitative questionnaires.  This could be done with additional emails, contacting participants by phone, or administering </w:t>
      </w:r>
      <w:r w:rsidR="0026407F">
        <w:rPr>
          <w:rFonts w:asciiTheme="minorHAnsi" w:hAnsiTheme="minorHAnsi"/>
        </w:rPr>
        <w:t xml:space="preserve">it </w:t>
      </w:r>
      <w:r w:rsidRPr="00B417BF">
        <w:rPr>
          <w:rFonts w:asciiTheme="minorHAnsi" w:hAnsiTheme="minorHAnsi"/>
        </w:rPr>
        <w:t xml:space="preserve">during classroom time.  The additional time and potential costs need to be evaluated when expanding this research. </w:t>
      </w:r>
    </w:p>
    <w:p w14:paraId="746EB286" w14:textId="192F0F87" w:rsidR="00FA004E" w:rsidRDefault="00FA004E" w:rsidP="00FA004E">
      <w:pPr>
        <w:spacing w:line="480" w:lineRule="auto"/>
        <w:rPr>
          <w:rFonts w:asciiTheme="minorHAnsi" w:hAnsiTheme="minorHAnsi"/>
        </w:rPr>
      </w:pPr>
    </w:p>
    <w:p w14:paraId="3D7365B7" w14:textId="0F11F5C0" w:rsidR="00FF6CC9" w:rsidRDefault="00FF6CC9" w:rsidP="00FA004E">
      <w:pPr>
        <w:spacing w:line="480" w:lineRule="auto"/>
        <w:rPr>
          <w:rFonts w:asciiTheme="minorHAnsi" w:hAnsiTheme="minorHAnsi"/>
        </w:rPr>
      </w:pPr>
    </w:p>
    <w:p w14:paraId="3F0D792D" w14:textId="77777777" w:rsidR="00FF6CC9" w:rsidRPr="00B417BF" w:rsidRDefault="00FF6CC9" w:rsidP="00FA004E">
      <w:pPr>
        <w:spacing w:line="480" w:lineRule="auto"/>
        <w:rPr>
          <w:rFonts w:asciiTheme="minorHAnsi" w:hAnsiTheme="minorHAnsi"/>
        </w:rPr>
      </w:pPr>
    </w:p>
    <w:p w14:paraId="65D1F725" w14:textId="72C1FECB" w:rsidR="00D12190" w:rsidRPr="00B417BF" w:rsidRDefault="00D12190" w:rsidP="00FA004E">
      <w:pPr>
        <w:spacing w:line="480" w:lineRule="auto"/>
        <w:rPr>
          <w:rFonts w:asciiTheme="minorHAnsi" w:hAnsiTheme="minorHAnsi"/>
          <w:color w:val="FF0000"/>
        </w:rPr>
      </w:pPr>
    </w:p>
    <w:p w14:paraId="1758A909" w14:textId="174F5212" w:rsidR="00EB5BF4" w:rsidRDefault="00EB5BF4" w:rsidP="00FA004E">
      <w:pPr>
        <w:spacing w:line="480" w:lineRule="auto"/>
        <w:rPr>
          <w:rFonts w:asciiTheme="minorHAnsi" w:hAnsiTheme="minorHAnsi"/>
          <w:b/>
          <w:color w:val="000000" w:themeColor="text1"/>
        </w:rPr>
      </w:pPr>
      <w:r w:rsidRPr="00B417BF">
        <w:rPr>
          <w:rFonts w:asciiTheme="minorHAnsi" w:hAnsiTheme="minorHAnsi"/>
          <w:b/>
          <w:color w:val="000000" w:themeColor="text1"/>
        </w:rPr>
        <w:lastRenderedPageBreak/>
        <w:t>Future Implications:</w:t>
      </w:r>
    </w:p>
    <w:p w14:paraId="590C3675" w14:textId="77777777" w:rsidR="001E6C28" w:rsidRPr="00B417BF" w:rsidRDefault="001E6C28" w:rsidP="00FA004E">
      <w:pPr>
        <w:spacing w:line="480" w:lineRule="auto"/>
        <w:rPr>
          <w:rFonts w:asciiTheme="minorHAnsi" w:hAnsiTheme="minorHAnsi"/>
          <w:b/>
          <w:color w:val="000000" w:themeColor="text1"/>
        </w:rPr>
      </w:pPr>
    </w:p>
    <w:p w14:paraId="36EC6088" w14:textId="2A65A2F3" w:rsidR="00EB5BF4" w:rsidRPr="00B417BF" w:rsidRDefault="00E05FE5" w:rsidP="00EB5BF4">
      <w:pPr>
        <w:spacing w:line="480" w:lineRule="auto"/>
        <w:rPr>
          <w:rFonts w:asciiTheme="minorHAnsi" w:hAnsiTheme="minorHAnsi"/>
          <w:color w:val="000000" w:themeColor="text1"/>
        </w:rPr>
      </w:pPr>
      <w:r w:rsidRPr="00B417BF">
        <w:rPr>
          <w:rFonts w:asciiTheme="minorHAnsi" w:hAnsiTheme="minorHAnsi"/>
          <w:color w:val="000000" w:themeColor="text1"/>
        </w:rPr>
        <w:t>1</w:t>
      </w:r>
      <w:r w:rsidR="00EB5BF4" w:rsidRPr="00B417BF">
        <w:rPr>
          <w:rFonts w:asciiTheme="minorHAnsi" w:hAnsiTheme="minorHAnsi"/>
          <w:color w:val="000000" w:themeColor="text1"/>
        </w:rPr>
        <w:t xml:space="preserve">. </w:t>
      </w:r>
      <w:r w:rsidR="007E703D">
        <w:rPr>
          <w:rFonts w:asciiTheme="minorHAnsi" w:hAnsiTheme="minorHAnsi"/>
          <w:color w:val="000000" w:themeColor="text1"/>
        </w:rPr>
        <w:t>The</w:t>
      </w:r>
      <w:r w:rsidR="00EB5BF4" w:rsidRPr="00B417BF">
        <w:rPr>
          <w:rFonts w:asciiTheme="minorHAnsi" w:hAnsiTheme="minorHAnsi"/>
          <w:color w:val="000000" w:themeColor="text1"/>
        </w:rPr>
        <w:t xml:space="preserve"> Brief COPE questionnaire </w:t>
      </w:r>
      <w:r w:rsidR="007E703D">
        <w:rPr>
          <w:rFonts w:asciiTheme="minorHAnsi" w:hAnsiTheme="minorHAnsi"/>
          <w:color w:val="000000" w:themeColor="text1"/>
        </w:rPr>
        <w:t xml:space="preserve">can be used </w:t>
      </w:r>
      <w:r w:rsidR="00EB5BF4" w:rsidRPr="00B417BF">
        <w:rPr>
          <w:rFonts w:asciiTheme="minorHAnsi" w:hAnsiTheme="minorHAnsi"/>
          <w:color w:val="000000" w:themeColor="text1"/>
        </w:rPr>
        <w:t>to identify potential needs for students at the onset of academic underperformance.</w:t>
      </w:r>
    </w:p>
    <w:p w14:paraId="7F728936" w14:textId="77777777" w:rsidR="007E703D" w:rsidRDefault="007E703D" w:rsidP="00FA004E">
      <w:pPr>
        <w:spacing w:line="480" w:lineRule="auto"/>
        <w:rPr>
          <w:rFonts w:asciiTheme="minorHAnsi" w:hAnsiTheme="minorHAnsi"/>
        </w:rPr>
      </w:pPr>
    </w:p>
    <w:p w14:paraId="23E5F9E8" w14:textId="18BC322E" w:rsidR="00FA004E" w:rsidRPr="00B417BF" w:rsidRDefault="00FA004E" w:rsidP="00FA004E">
      <w:pPr>
        <w:spacing w:line="480" w:lineRule="auto"/>
        <w:rPr>
          <w:rFonts w:asciiTheme="minorHAnsi" w:hAnsiTheme="minorHAnsi"/>
        </w:rPr>
      </w:pPr>
      <w:r w:rsidRPr="00B417BF">
        <w:rPr>
          <w:rFonts w:asciiTheme="minorHAnsi" w:hAnsiTheme="minorHAnsi"/>
        </w:rPr>
        <w:t>On one hand, a predictive measure of personality and stress management strategies would be helpful to know ahead of time.  Professors</w:t>
      </w:r>
      <w:r w:rsidR="004E629A">
        <w:rPr>
          <w:rFonts w:asciiTheme="minorHAnsi" w:hAnsiTheme="minorHAnsi"/>
        </w:rPr>
        <w:t xml:space="preserve"> could use identification of at-</w:t>
      </w:r>
      <w:r w:rsidRPr="00B417BF">
        <w:rPr>
          <w:rFonts w:asciiTheme="minorHAnsi" w:hAnsiTheme="minorHAnsi"/>
        </w:rPr>
        <w:t xml:space="preserve">risk students to proactively monitor them for academic progress and need to refer to support services.  </w:t>
      </w:r>
    </w:p>
    <w:p w14:paraId="48B0F646" w14:textId="77777777" w:rsidR="00FA004E" w:rsidRPr="00B417BF" w:rsidRDefault="00FA004E" w:rsidP="00FA004E">
      <w:pPr>
        <w:spacing w:line="480" w:lineRule="auto"/>
        <w:rPr>
          <w:rFonts w:asciiTheme="minorHAnsi" w:hAnsiTheme="minorHAnsi"/>
        </w:rPr>
      </w:pPr>
    </w:p>
    <w:p w14:paraId="47E4AFB9" w14:textId="7CEE4F2E" w:rsidR="00FA004E" w:rsidRPr="00B417BF" w:rsidRDefault="00FA004E" w:rsidP="00FA004E">
      <w:pPr>
        <w:spacing w:line="480" w:lineRule="auto"/>
        <w:rPr>
          <w:rFonts w:asciiTheme="minorHAnsi" w:hAnsiTheme="minorHAnsi"/>
        </w:rPr>
      </w:pPr>
      <w:r w:rsidRPr="00B417BF">
        <w:rPr>
          <w:rFonts w:asciiTheme="minorHAnsi" w:hAnsiTheme="minorHAnsi"/>
        </w:rPr>
        <w:t>On the opposite side of the debate is that identification prior to poor performance can influence instructors to label students as less capable than their peers.  This bias may cause them to overlook possible struggles of “low risk” individuals and discount academic achievements</w:t>
      </w:r>
      <w:r w:rsidR="00BB7386">
        <w:rPr>
          <w:rFonts w:asciiTheme="minorHAnsi" w:hAnsiTheme="minorHAnsi"/>
        </w:rPr>
        <w:t xml:space="preserve"> of “at-</w:t>
      </w:r>
      <w:r w:rsidRPr="00B417BF">
        <w:rPr>
          <w:rFonts w:asciiTheme="minorHAnsi" w:hAnsiTheme="minorHAnsi"/>
        </w:rPr>
        <w:t xml:space="preserve">risk” students.  The </w:t>
      </w:r>
      <w:r w:rsidR="007E703D">
        <w:rPr>
          <w:rFonts w:asciiTheme="minorHAnsi" w:hAnsiTheme="minorHAnsi"/>
        </w:rPr>
        <w:t>danger</w:t>
      </w:r>
      <w:r w:rsidR="00BB7386">
        <w:rPr>
          <w:rFonts w:asciiTheme="minorHAnsi" w:hAnsiTheme="minorHAnsi"/>
        </w:rPr>
        <w:t xml:space="preserve"> of influencing an “at-</w:t>
      </w:r>
      <w:r w:rsidRPr="00B417BF">
        <w:rPr>
          <w:rFonts w:asciiTheme="minorHAnsi" w:hAnsiTheme="minorHAnsi"/>
        </w:rPr>
        <w:t xml:space="preserve">risk” group to </w:t>
      </w:r>
      <w:r w:rsidR="00925540" w:rsidRPr="00B417BF">
        <w:rPr>
          <w:rFonts w:asciiTheme="minorHAnsi" w:hAnsiTheme="minorHAnsi"/>
        </w:rPr>
        <w:t>self-fulfill</w:t>
      </w:r>
      <w:r w:rsidR="003C0371">
        <w:rPr>
          <w:rFonts w:asciiTheme="minorHAnsi" w:hAnsiTheme="minorHAnsi"/>
        </w:rPr>
        <w:t xml:space="preserve"> their role as MCBPs </w:t>
      </w:r>
      <w:r w:rsidRPr="00B417BF">
        <w:rPr>
          <w:rFonts w:asciiTheme="minorHAnsi" w:hAnsiTheme="minorHAnsi"/>
        </w:rPr>
        <w:t>by expecting poor performan</w:t>
      </w:r>
      <w:r w:rsidR="007E703D">
        <w:rPr>
          <w:rFonts w:asciiTheme="minorHAnsi" w:hAnsiTheme="minorHAnsi"/>
        </w:rPr>
        <w:t xml:space="preserve">ce is a strong consideration for not </w:t>
      </w:r>
      <w:r w:rsidRPr="00B417BF">
        <w:rPr>
          <w:rFonts w:asciiTheme="minorHAnsi" w:hAnsiTheme="minorHAnsi"/>
        </w:rPr>
        <w:t xml:space="preserve">using the </w:t>
      </w:r>
      <w:r w:rsidR="003C0371">
        <w:rPr>
          <w:rFonts w:asciiTheme="minorHAnsi" w:hAnsiTheme="minorHAnsi"/>
        </w:rPr>
        <w:t xml:space="preserve">Brief </w:t>
      </w:r>
      <w:r w:rsidRPr="00B417BF">
        <w:rPr>
          <w:rFonts w:asciiTheme="minorHAnsi" w:hAnsiTheme="minorHAnsi"/>
        </w:rPr>
        <w:t xml:space="preserve">COPE survey as an identification or screening tool. </w:t>
      </w:r>
    </w:p>
    <w:p w14:paraId="2B36334F" w14:textId="77777777" w:rsidR="00FA004E" w:rsidRPr="00B417BF" w:rsidRDefault="00FA004E" w:rsidP="00FA004E">
      <w:pPr>
        <w:spacing w:line="480" w:lineRule="auto"/>
        <w:rPr>
          <w:rFonts w:asciiTheme="minorHAnsi" w:hAnsiTheme="minorHAnsi"/>
        </w:rPr>
      </w:pPr>
    </w:p>
    <w:p w14:paraId="364F22FF" w14:textId="26EEC8A4" w:rsidR="007A60C6" w:rsidRPr="00B417BF" w:rsidRDefault="00FA004E" w:rsidP="00FA004E">
      <w:pPr>
        <w:spacing w:line="480" w:lineRule="auto"/>
        <w:rPr>
          <w:rFonts w:asciiTheme="minorHAnsi" w:hAnsiTheme="minorHAnsi"/>
        </w:rPr>
      </w:pPr>
      <w:r w:rsidRPr="00B417BF">
        <w:rPr>
          <w:rFonts w:asciiTheme="minorHAnsi" w:hAnsiTheme="minorHAnsi"/>
        </w:rPr>
        <w:t xml:space="preserve">Another use of the </w:t>
      </w:r>
      <w:r w:rsidR="003C0371">
        <w:rPr>
          <w:rFonts w:asciiTheme="minorHAnsi" w:hAnsiTheme="minorHAnsi"/>
        </w:rPr>
        <w:t xml:space="preserve">Brief </w:t>
      </w:r>
      <w:r w:rsidRPr="00B417BF">
        <w:rPr>
          <w:rFonts w:asciiTheme="minorHAnsi" w:hAnsiTheme="minorHAnsi"/>
        </w:rPr>
        <w:t xml:space="preserve">COPE survey could be identification of specific poor strategies and behaviors of individual </w:t>
      </w:r>
      <w:r w:rsidR="003C0371">
        <w:rPr>
          <w:rFonts w:asciiTheme="minorHAnsi" w:hAnsiTheme="minorHAnsi"/>
        </w:rPr>
        <w:t>MCBPs</w:t>
      </w:r>
      <w:r w:rsidRPr="00B417BF">
        <w:rPr>
          <w:rFonts w:asciiTheme="minorHAnsi" w:hAnsiTheme="minorHAnsi"/>
        </w:rPr>
        <w:t xml:space="preserve">.  Administering the survey after poor exam progress could reveal what type of service referral could most benefit particular students.  Students with health or substance use issues may need different interventions than those utilizing blaming and denial strategies.  </w:t>
      </w:r>
      <w:r w:rsidRPr="00B417BF">
        <w:rPr>
          <w:rFonts w:asciiTheme="minorHAnsi" w:hAnsiTheme="minorHAnsi"/>
        </w:rPr>
        <w:lastRenderedPageBreak/>
        <w:t xml:space="preserve">It was clear that </w:t>
      </w:r>
      <w:r w:rsidR="003C0371">
        <w:rPr>
          <w:rFonts w:asciiTheme="minorHAnsi" w:hAnsiTheme="minorHAnsi"/>
        </w:rPr>
        <w:t>MCBPs</w:t>
      </w:r>
      <w:r w:rsidRPr="00B417BF">
        <w:rPr>
          <w:rFonts w:asciiTheme="minorHAnsi" w:hAnsiTheme="minorHAnsi"/>
        </w:rPr>
        <w:t xml:space="preserve"> had higher reports of blaming and a lack of ownership of their performance.  As the literature demonstrated, interventions addressing metacognitive and behavioral stress management strategies can have a positive result</w:t>
      </w:r>
      <w:r w:rsidR="00BB7386">
        <w:rPr>
          <w:rFonts w:asciiTheme="minorHAnsi" w:hAnsiTheme="minorHAnsi"/>
        </w:rPr>
        <w:t>,</w:t>
      </w:r>
      <w:r w:rsidRPr="00B417BF">
        <w:rPr>
          <w:rFonts w:asciiTheme="minorHAnsi" w:hAnsiTheme="minorHAnsi"/>
        </w:rPr>
        <w:t xml:space="preserve"> at least in the short term.  </w:t>
      </w:r>
      <w:r w:rsidR="007A60C6">
        <w:rPr>
          <w:rFonts w:asciiTheme="minorHAnsi" w:hAnsiTheme="minorHAnsi"/>
        </w:rPr>
        <w:t>This type of use would also lend itself to continued monitoring of student improvement after intervention.</w:t>
      </w:r>
    </w:p>
    <w:p w14:paraId="1B127EF2" w14:textId="77777777" w:rsidR="00FA004E" w:rsidRPr="00B417BF" w:rsidRDefault="00FA004E" w:rsidP="00FA004E">
      <w:pPr>
        <w:spacing w:line="480" w:lineRule="auto"/>
        <w:rPr>
          <w:rFonts w:asciiTheme="minorHAnsi" w:hAnsiTheme="minorHAnsi"/>
        </w:rPr>
      </w:pPr>
    </w:p>
    <w:p w14:paraId="2B8EF093" w14:textId="11780E54" w:rsidR="00EB5BF4" w:rsidRPr="00B417BF" w:rsidRDefault="00E05FE5" w:rsidP="00E05FE5">
      <w:pPr>
        <w:spacing w:line="480" w:lineRule="auto"/>
        <w:rPr>
          <w:rFonts w:asciiTheme="minorHAnsi" w:hAnsiTheme="minorHAnsi"/>
        </w:rPr>
      </w:pPr>
      <w:r w:rsidRPr="00B417BF">
        <w:rPr>
          <w:rFonts w:asciiTheme="minorHAnsi" w:hAnsiTheme="minorHAnsi"/>
        </w:rPr>
        <w:t xml:space="preserve">2. </w:t>
      </w:r>
      <w:r w:rsidR="00EB5BF4" w:rsidRPr="00B417BF">
        <w:rPr>
          <w:rFonts w:asciiTheme="minorHAnsi" w:hAnsiTheme="minorHAnsi"/>
        </w:rPr>
        <w:t>Provid</w:t>
      </w:r>
      <w:r w:rsidR="007E703D">
        <w:rPr>
          <w:rFonts w:asciiTheme="minorHAnsi" w:hAnsiTheme="minorHAnsi"/>
        </w:rPr>
        <w:t>e</w:t>
      </w:r>
      <w:r w:rsidR="00EB5BF4" w:rsidRPr="00B417BF">
        <w:rPr>
          <w:rFonts w:asciiTheme="minorHAnsi" w:hAnsiTheme="minorHAnsi"/>
        </w:rPr>
        <w:t xml:space="preserve"> baseline data for longitudinal study of student support utilization.</w:t>
      </w:r>
    </w:p>
    <w:p w14:paraId="18B9D0E0" w14:textId="77777777" w:rsidR="00EB5BF4" w:rsidRPr="00B417BF" w:rsidRDefault="00EB5BF4" w:rsidP="00FA004E">
      <w:pPr>
        <w:spacing w:line="480" w:lineRule="auto"/>
        <w:rPr>
          <w:rFonts w:asciiTheme="minorHAnsi" w:hAnsiTheme="minorHAnsi"/>
        </w:rPr>
      </w:pPr>
    </w:p>
    <w:p w14:paraId="509B5AC1" w14:textId="35305D64" w:rsidR="00FA004E" w:rsidRPr="00B417BF" w:rsidRDefault="00BB7386" w:rsidP="00FA004E">
      <w:pPr>
        <w:spacing w:line="480" w:lineRule="auto"/>
        <w:rPr>
          <w:rFonts w:asciiTheme="minorHAnsi" w:hAnsiTheme="minorHAnsi"/>
        </w:rPr>
      </w:pPr>
      <w:r>
        <w:rPr>
          <w:rFonts w:asciiTheme="minorHAnsi" w:hAnsiTheme="minorHAnsi"/>
        </w:rPr>
        <w:t>Overall, MCPBs</w:t>
      </w:r>
      <w:r w:rsidR="00FA004E" w:rsidRPr="00B417BF">
        <w:rPr>
          <w:rFonts w:asciiTheme="minorHAnsi" w:hAnsiTheme="minorHAnsi"/>
        </w:rPr>
        <w:t xml:space="preserve"> reported even lower rates of service utilization than their better performing peers.  While significance was limited by sample size, </w:t>
      </w:r>
      <w:r w:rsidR="007E703D">
        <w:rPr>
          <w:rFonts w:asciiTheme="minorHAnsi" w:hAnsiTheme="minorHAnsi"/>
        </w:rPr>
        <w:t xml:space="preserve">most </w:t>
      </w:r>
      <w:r w:rsidR="00FA004E" w:rsidRPr="00B417BF">
        <w:rPr>
          <w:rFonts w:asciiTheme="minorHAnsi" w:hAnsiTheme="minorHAnsi"/>
        </w:rPr>
        <w:t>MC</w:t>
      </w:r>
      <w:r w:rsidR="007E703D">
        <w:rPr>
          <w:rFonts w:asciiTheme="minorHAnsi" w:hAnsiTheme="minorHAnsi"/>
        </w:rPr>
        <w:t xml:space="preserve">BPs </w:t>
      </w:r>
      <w:r w:rsidR="00FA004E" w:rsidRPr="00B417BF">
        <w:rPr>
          <w:rFonts w:asciiTheme="minorHAnsi" w:hAnsiTheme="minorHAnsi"/>
        </w:rPr>
        <w:t>utilized only non-academic support systems such as family and friends.  While social support is an import</w:t>
      </w:r>
      <w:r w:rsidR="007E703D">
        <w:rPr>
          <w:rFonts w:asciiTheme="minorHAnsi" w:hAnsiTheme="minorHAnsi"/>
        </w:rPr>
        <w:t>ant</w:t>
      </w:r>
      <w:r w:rsidR="00FA004E" w:rsidRPr="00B417BF">
        <w:rPr>
          <w:rFonts w:asciiTheme="minorHAnsi" w:hAnsiTheme="minorHAnsi"/>
        </w:rPr>
        <w:t xml:space="preserve"> factor in ac</w:t>
      </w:r>
      <w:r w:rsidR="007E703D">
        <w:rPr>
          <w:rFonts w:asciiTheme="minorHAnsi" w:hAnsiTheme="minorHAnsi"/>
        </w:rPr>
        <w:t>ademic success, MCBPs</w:t>
      </w:r>
      <w:r w:rsidR="00FA004E" w:rsidRPr="00B417BF">
        <w:rPr>
          <w:rFonts w:asciiTheme="minorHAnsi" w:hAnsiTheme="minorHAnsi"/>
        </w:rPr>
        <w:t xml:space="preserve"> did not take advantage of academic assistance.  This may have a direct effect on the continuation of poor exam scores throughout the semester.  Better performing students utilized professor office hours and tutoring at higher rates th</w:t>
      </w:r>
      <w:r w:rsidR="007E703D">
        <w:rPr>
          <w:rFonts w:asciiTheme="minorHAnsi" w:hAnsiTheme="minorHAnsi"/>
        </w:rPr>
        <w:t xml:space="preserve">roughout the semester with a significant uptick </w:t>
      </w:r>
      <w:r w:rsidR="00FA004E" w:rsidRPr="00B417BF">
        <w:rPr>
          <w:rFonts w:asciiTheme="minorHAnsi" w:hAnsiTheme="minorHAnsi"/>
        </w:rPr>
        <w:t xml:space="preserve">before the final exam.  This behavior may reinforce continued academic success.  </w:t>
      </w:r>
    </w:p>
    <w:p w14:paraId="4324B854" w14:textId="77777777" w:rsidR="00E05FE5" w:rsidRPr="00B417BF" w:rsidRDefault="00E05FE5" w:rsidP="00FA004E">
      <w:pPr>
        <w:spacing w:line="480" w:lineRule="auto"/>
        <w:rPr>
          <w:rFonts w:asciiTheme="minorHAnsi" w:hAnsiTheme="minorHAnsi"/>
        </w:rPr>
      </w:pPr>
    </w:p>
    <w:p w14:paraId="79924E24" w14:textId="60D342E3" w:rsidR="00FA004E" w:rsidRPr="00B417BF" w:rsidRDefault="007E703D" w:rsidP="00FA004E">
      <w:pPr>
        <w:spacing w:line="480" w:lineRule="auto"/>
        <w:rPr>
          <w:rFonts w:asciiTheme="minorHAnsi" w:hAnsiTheme="minorHAnsi"/>
        </w:rPr>
      </w:pPr>
      <w:r>
        <w:rPr>
          <w:rFonts w:asciiTheme="minorHAnsi" w:hAnsiTheme="minorHAnsi"/>
        </w:rPr>
        <w:t>The inability of MCBPs</w:t>
      </w:r>
      <w:r w:rsidR="00FA004E" w:rsidRPr="00B417BF">
        <w:rPr>
          <w:rFonts w:asciiTheme="minorHAnsi" w:hAnsiTheme="minorHAnsi"/>
        </w:rPr>
        <w:t xml:space="preserve"> to self-identify the need for academic services may be related to metacognition.  Students may lack the </w:t>
      </w:r>
      <w:r w:rsidR="006A42C0">
        <w:rPr>
          <w:rFonts w:asciiTheme="minorHAnsi" w:hAnsiTheme="minorHAnsi"/>
        </w:rPr>
        <w:t>expertise</w:t>
      </w:r>
      <w:r w:rsidR="00FA004E" w:rsidRPr="00B417BF">
        <w:rPr>
          <w:rFonts w:asciiTheme="minorHAnsi" w:hAnsiTheme="minorHAnsi"/>
        </w:rPr>
        <w:t xml:space="preserve"> to seek out services and access them.  In spite of possibly knowing about the support services in the experimental group, </w:t>
      </w:r>
      <w:r w:rsidR="003828F4">
        <w:rPr>
          <w:rFonts w:asciiTheme="minorHAnsi" w:hAnsiTheme="minorHAnsi"/>
        </w:rPr>
        <w:t>MCBPs</w:t>
      </w:r>
      <w:r w:rsidR="00FA004E" w:rsidRPr="00B417BF">
        <w:rPr>
          <w:rFonts w:asciiTheme="minorHAnsi" w:hAnsiTheme="minorHAnsi"/>
        </w:rPr>
        <w:t xml:space="preserve"> may need direct contact from professors or peers </w:t>
      </w:r>
      <w:r w:rsidR="006A42C0">
        <w:rPr>
          <w:rFonts w:asciiTheme="minorHAnsi" w:hAnsiTheme="minorHAnsi"/>
        </w:rPr>
        <w:t>as guides to act initially.</w:t>
      </w:r>
      <w:r w:rsidR="00FA004E" w:rsidRPr="00B417BF">
        <w:rPr>
          <w:rFonts w:asciiTheme="minorHAnsi" w:hAnsiTheme="minorHAnsi"/>
        </w:rPr>
        <w:t xml:space="preserve"> </w:t>
      </w:r>
    </w:p>
    <w:p w14:paraId="7CCCB030" w14:textId="77777777" w:rsidR="00FA004E" w:rsidRPr="00B417BF" w:rsidRDefault="00FA004E" w:rsidP="00FA004E">
      <w:pPr>
        <w:spacing w:line="480" w:lineRule="auto"/>
        <w:rPr>
          <w:rFonts w:asciiTheme="minorHAnsi" w:hAnsiTheme="minorHAnsi"/>
        </w:rPr>
      </w:pPr>
    </w:p>
    <w:p w14:paraId="34E82599" w14:textId="54F7770C" w:rsidR="00E05FE5" w:rsidRPr="00B417BF" w:rsidRDefault="00E05FE5" w:rsidP="00E05FE5">
      <w:pPr>
        <w:spacing w:line="480" w:lineRule="auto"/>
        <w:rPr>
          <w:rFonts w:asciiTheme="minorHAnsi" w:hAnsiTheme="minorHAnsi"/>
        </w:rPr>
      </w:pPr>
      <w:r w:rsidRPr="00B417BF">
        <w:rPr>
          <w:rFonts w:asciiTheme="minorHAnsi" w:hAnsiTheme="minorHAnsi"/>
        </w:rPr>
        <w:t>The student support use frequency data reveals students d</w:t>
      </w:r>
      <w:r w:rsidR="00A736B1">
        <w:rPr>
          <w:rFonts w:asciiTheme="minorHAnsi" w:hAnsiTheme="minorHAnsi"/>
        </w:rPr>
        <w:t>id</w:t>
      </w:r>
      <w:r w:rsidRPr="00B417BF">
        <w:rPr>
          <w:rFonts w:asciiTheme="minorHAnsi" w:hAnsiTheme="minorHAnsi"/>
        </w:rPr>
        <w:t xml:space="preserve"> not increase their use of resources when additional information was given.  This is consistent with other studies in the general population.  </w:t>
      </w:r>
      <w:r w:rsidR="006A42C0">
        <w:rPr>
          <w:rFonts w:asciiTheme="minorHAnsi" w:hAnsiTheme="minorHAnsi"/>
        </w:rPr>
        <w:t>Behavioral changes did</w:t>
      </w:r>
      <w:r w:rsidRPr="00B417BF">
        <w:rPr>
          <w:rFonts w:asciiTheme="minorHAnsi" w:hAnsiTheme="minorHAnsi"/>
        </w:rPr>
        <w:t xml:space="preserve"> not occur when knowledge and education about service and resources were pr</w:t>
      </w:r>
      <w:r w:rsidR="00A736B1">
        <w:rPr>
          <w:rFonts w:asciiTheme="minorHAnsi" w:hAnsiTheme="minorHAnsi"/>
        </w:rPr>
        <w:t>ovided</w:t>
      </w:r>
      <w:r w:rsidRPr="00B417BF">
        <w:rPr>
          <w:rFonts w:asciiTheme="minorHAnsi" w:hAnsiTheme="minorHAnsi"/>
        </w:rPr>
        <w:t xml:space="preserve">.  </w:t>
      </w:r>
    </w:p>
    <w:p w14:paraId="2F359028" w14:textId="77777777" w:rsidR="00E05FE5" w:rsidRPr="00B417BF" w:rsidRDefault="00E05FE5" w:rsidP="00FA004E">
      <w:pPr>
        <w:spacing w:line="480" w:lineRule="auto"/>
        <w:rPr>
          <w:rFonts w:asciiTheme="minorHAnsi" w:hAnsiTheme="minorHAnsi"/>
        </w:rPr>
      </w:pPr>
    </w:p>
    <w:p w14:paraId="53901E0B" w14:textId="6E46DD1B" w:rsidR="00FA004E" w:rsidRPr="00B417BF" w:rsidRDefault="00FA004E" w:rsidP="00FA004E">
      <w:pPr>
        <w:spacing w:line="480" w:lineRule="auto"/>
        <w:rPr>
          <w:rFonts w:asciiTheme="minorHAnsi" w:hAnsiTheme="minorHAnsi"/>
        </w:rPr>
      </w:pPr>
      <w:r w:rsidRPr="00B417BF">
        <w:rPr>
          <w:rFonts w:asciiTheme="minorHAnsi" w:hAnsiTheme="minorHAnsi"/>
        </w:rPr>
        <w:t>As universities, especially public institutions, continue to have fiscal pressures imposed upon them, examination of this data indicates certain programs ma</w:t>
      </w:r>
      <w:r w:rsidR="00BB7386">
        <w:rPr>
          <w:rFonts w:asciiTheme="minorHAnsi" w:hAnsiTheme="minorHAnsi"/>
        </w:rPr>
        <w:t xml:space="preserve">y not be benefiting students.  </w:t>
      </w:r>
      <w:r w:rsidRPr="00B417BF">
        <w:rPr>
          <w:rFonts w:asciiTheme="minorHAnsi" w:hAnsiTheme="minorHAnsi"/>
        </w:rPr>
        <w:t>Both groups tended to gravitate to</w:t>
      </w:r>
      <w:r w:rsidR="00925540" w:rsidRPr="00B417BF">
        <w:rPr>
          <w:rFonts w:asciiTheme="minorHAnsi" w:hAnsiTheme="minorHAnsi"/>
        </w:rPr>
        <w:t>wards</w:t>
      </w:r>
      <w:r w:rsidRPr="00B417BF">
        <w:rPr>
          <w:rFonts w:asciiTheme="minorHAnsi" w:hAnsiTheme="minorHAnsi"/>
        </w:rPr>
        <w:t xml:space="preserve"> tutoring and professor office hours for assistance.  Larger campus-based programs such as those run through the Student Services office may have limited value.  A larger campus-wide survey and study is required to determine the overall value for a campus as a whole.  However, there may be value in expanding the service use portion of this study to further exam</w:t>
      </w:r>
      <w:r w:rsidR="00A736B1">
        <w:rPr>
          <w:rFonts w:asciiTheme="minorHAnsi" w:hAnsiTheme="minorHAnsi"/>
        </w:rPr>
        <w:t>ine</w:t>
      </w:r>
      <w:r w:rsidRPr="00B417BF">
        <w:rPr>
          <w:rFonts w:asciiTheme="minorHAnsi" w:hAnsiTheme="minorHAnsi"/>
        </w:rPr>
        <w:t xml:space="preserve"> these questions.  </w:t>
      </w:r>
    </w:p>
    <w:p w14:paraId="4F9E1482" w14:textId="77777777" w:rsidR="00E05FE5" w:rsidRPr="00B417BF" w:rsidRDefault="00E05FE5" w:rsidP="00FA004E">
      <w:pPr>
        <w:spacing w:line="480" w:lineRule="auto"/>
        <w:rPr>
          <w:rFonts w:asciiTheme="minorHAnsi" w:hAnsiTheme="minorHAnsi"/>
        </w:rPr>
      </w:pPr>
    </w:p>
    <w:p w14:paraId="5ADD6888" w14:textId="2A6D45F6" w:rsidR="00FA004E" w:rsidRDefault="00FA004E" w:rsidP="00FA004E">
      <w:pPr>
        <w:spacing w:line="480" w:lineRule="auto"/>
        <w:rPr>
          <w:rFonts w:asciiTheme="minorHAnsi" w:hAnsiTheme="minorHAnsi"/>
        </w:rPr>
      </w:pPr>
      <w:r w:rsidRPr="004B2E13">
        <w:rPr>
          <w:rFonts w:asciiTheme="minorHAnsi" w:hAnsiTheme="minorHAnsi"/>
        </w:rPr>
        <w:t>One service that was used by a small</w:t>
      </w:r>
      <w:r w:rsidR="00BB7386">
        <w:rPr>
          <w:rFonts w:asciiTheme="minorHAnsi" w:hAnsiTheme="minorHAnsi"/>
        </w:rPr>
        <w:t>,</w:t>
      </w:r>
      <w:r w:rsidRPr="004B2E13">
        <w:rPr>
          <w:rFonts w:asciiTheme="minorHAnsi" w:hAnsiTheme="minorHAnsi"/>
        </w:rPr>
        <w:t xml:space="preserve"> but consistent percentage of students in both groups was the student</w:t>
      </w:r>
      <w:r w:rsidRPr="00B417BF">
        <w:rPr>
          <w:rFonts w:asciiTheme="minorHAnsi" w:hAnsiTheme="minorHAnsi"/>
        </w:rPr>
        <w:t xml:space="preserve"> health clinic.  As demonstrated in the literature, students with medical or mental health issues benefit directly from these services.  Additionally, the student health clinic provides these services at affordable costs that are included in student health insurance.  This decreased cost has the potential to ensure all students have access to medical </w:t>
      </w:r>
      <w:r w:rsidR="00A736B1">
        <w:rPr>
          <w:rFonts w:asciiTheme="minorHAnsi" w:hAnsiTheme="minorHAnsi"/>
        </w:rPr>
        <w:t xml:space="preserve">care </w:t>
      </w:r>
      <w:r w:rsidRPr="00B417BF">
        <w:rPr>
          <w:rFonts w:asciiTheme="minorHAnsi" w:hAnsiTheme="minorHAnsi"/>
        </w:rPr>
        <w:t xml:space="preserve">when needed.  It can be assumed that students who are ill will not be able to perform at their full potential.  The sample size in this study was small, and comparisons </w:t>
      </w:r>
      <w:r w:rsidRPr="00B417BF">
        <w:rPr>
          <w:rFonts w:asciiTheme="minorHAnsi" w:hAnsiTheme="minorHAnsi"/>
        </w:rPr>
        <w:lastRenderedPageBreak/>
        <w:t>of academic performance and students using student health services w</w:t>
      </w:r>
      <w:r w:rsidR="0092332E">
        <w:rPr>
          <w:rFonts w:asciiTheme="minorHAnsi" w:hAnsiTheme="minorHAnsi"/>
        </w:rPr>
        <w:t>as</w:t>
      </w:r>
      <w:r w:rsidRPr="00B417BF">
        <w:rPr>
          <w:rFonts w:asciiTheme="minorHAnsi" w:hAnsiTheme="minorHAnsi"/>
        </w:rPr>
        <w:t xml:space="preserve"> not </w:t>
      </w:r>
      <w:r w:rsidR="0092332E">
        <w:rPr>
          <w:rFonts w:asciiTheme="minorHAnsi" w:hAnsiTheme="minorHAnsi"/>
        </w:rPr>
        <w:t>possible</w:t>
      </w:r>
      <w:r w:rsidRPr="00B417BF">
        <w:rPr>
          <w:rFonts w:asciiTheme="minorHAnsi" w:hAnsiTheme="minorHAnsi"/>
        </w:rPr>
        <w:t xml:space="preserve">.  Larger, more robust studies need to be implemented to determine the potential benefits of student health services on academic performance.  </w:t>
      </w:r>
    </w:p>
    <w:p w14:paraId="6C0432B2" w14:textId="77777777" w:rsidR="004B2E13" w:rsidRDefault="004B2E13" w:rsidP="00FA004E">
      <w:pPr>
        <w:spacing w:line="480" w:lineRule="auto"/>
        <w:rPr>
          <w:rFonts w:asciiTheme="minorHAnsi" w:hAnsiTheme="minorHAnsi"/>
        </w:rPr>
      </w:pPr>
    </w:p>
    <w:p w14:paraId="7B000FC1" w14:textId="3DB0A9B6" w:rsidR="00C77520" w:rsidRDefault="004B2E13" w:rsidP="00273C34">
      <w:pPr>
        <w:spacing w:line="480" w:lineRule="auto"/>
        <w:rPr>
          <w:rFonts w:asciiTheme="minorHAnsi" w:hAnsiTheme="minorHAnsi"/>
        </w:rPr>
      </w:pPr>
      <w:r>
        <w:rPr>
          <w:rFonts w:asciiTheme="minorHAnsi" w:hAnsiTheme="minorHAnsi"/>
        </w:rPr>
        <w:t xml:space="preserve">As stated in the literature review, there is a stigma and fear of professional </w:t>
      </w:r>
      <w:r w:rsidR="000744FF">
        <w:rPr>
          <w:rFonts w:asciiTheme="minorHAnsi" w:hAnsiTheme="minorHAnsi"/>
        </w:rPr>
        <w:t>repercussions for using student health services, especially for mental health needs.  PA and Dental programs need to address these issues when implementing support programs or student outreach.  Incorporating student health clinic pre</w:t>
      </w:r>
      <w:r w:rsidR="002C72C1">
        <w:rPr>
          <w:rFonts w:asciiTheme="minorHAnsi" w:hAnsiTheme="minorHAnsi"/>
        </w:rPr>
        <w:t>sence</w:t>
      </w:r>
      <w:r w:rsidR="000744FF">
        <w:rPr>
          <w:rFonts w:asciiTheme="minorHAnsi" w:hAnsiTheme="minorHAnsi"/>
        </w:rPr>
        <w:t xml:space="preserve"> or access points</w:t>
      </w:r>
      <w:r w:rsidR="002C72C1">
        <w:rPr>
          <w:rFonts w:asciiTheme="minorHAnsi" w:hAnsiTheme="minorHAnsi"/>
        </w:rPr>
        <w:t xml:space="preserve"> into program planning may increase its use and potential benefits.</w:t>
      </w:r>
    </w:p>
    <w:p w14:paraId="2CFAA469" w14:textId="77777777" w:rsidR="00FA004E" w:rsidRPr="00B417BF" w:rsidRDefault="00FA004E" w:rsidP="00FA004E">
      <w:pPr>
        <w:spacing w:line="480" w:lineRule="auto"/>
        <w:rPr>
          <w:rFonts w:asciiTheme="minorHAnsi" w:hAnsiTheme="minorHAnsi"/>
        </w:rPr>
      </w:pPr>
    </w:p>
    <w:p w14:paraId="798331F9" w14:textId="2E917F9C" w:rsidR="00E05FE5" w:rsidRPr="00B417BF" w:rsidRDefault="00E05FE5" w:rsidP="00E05FE5">
      <w:pPr>
        <w:spacing w:line="480" w:lineRule="auto"/>
        <w:rPr>
          <w:rFonts w:asciiTheme="minorHAnsi" w:hAnsiTheme="minorHAnsi"/>
        </w:rPr>
      </w:pPr>
      <w:r w:rsidRPr="00B417BF">
        <w:rPr>
          <w:rFonts w:asciiTheme="minorHAnsi" w:hAnsiTheme="minorHAnsi"/>
        </w:rPr>
        <w:t xml:space="preserve">3. </w:t>
      </w:r>
      <w:r w:rsidR="00AF00D6">
        <w:rPr>
          <w:rFonts w:asciiTheme="minorHAnsi" w:hAnsiTheme="minorHAnsi"/>
        </w:rPr>
        <w:t>Program modifications</w:t>
      </w:r>
      <w:r w:rsidRPr="00B417BF">
        <w:rPr>
          <w:rFonts w:asciiTheme="minorHAnsi" w:hAnsiTheme="minorHAnsi"/>
        </w:rPr>
        <w:t xml:space="preserve"> </w:t>
      </w:r>
      <w:r w:rsidR="00A736B1">
        <w:rPr>
          <w:rFonts w:asciiTheme="minorHAnsi" w:hAnsiTheme="minorHAnsi"/>
        </w:rPr>
        <w:t>for improved student support</w:t>
      </w:r>
      <w:r w:rsidR="00AF00D6">
        <w:rPr>
          <w:rFonts w:asciiTheme="minorHAnsi" w:hAnsiTheme="minorHAnsi"/>
        </w:rPr>
        <w:t xml:space="preserve"> to meet the needs of students</w:t>
      </w:r>
      <w:r w:rsidR="00A736B1">
        <w:rPr>
          <w:rFonts w:asciiTheme="minorHAnsi" w:hAnsiTheme="minorHAnsi"/>
        </w:rPr>
        <w:t>.</w:t>
      </w:r>
    </w:p>
    <w:p w14:paraId="67F9E997" w14:textId="77777777" w:rsidR="00E05FE5" w:rsidRPr="00B417BF" w:rsidRDefault="00E05FE5" w:rsidP="00FA004E">
      <w:pPr>
        <w:spacing w:line="480" w:lineRule="auto"/>
        <w:rPr>
          <w:rFonts w:asciiTheme="minorHAnsi" w:hAnsiTheme="minorHAnsi"/>
        </w:rPr>
      </w:pPr>
    </w:p>
    <w:p w14:paraId="4C6963F6" w14:textId="60AC58D8" w:rsidR="00FA004E" w:rsidRPr="00B417BF" w:rsidRDefault="00FA004E" w:rsidP="00FA004E">
      <w:pPr>
        <w:spacing w:line="480" w:lineRule="auto"/>
        <w:rPr>
          <w:rFonts w:asciiTheme="minorHAnsi" w:hAnsiTheme="minorHAnsi"/>
        </w:rPr>
      </w:pPr>
      <w:r w:rsidRPr="00B417BF">
        <w:rPr>
          <w:rFonts w:asciiTheme="minorHAnsi" w:hAnsiTheme="minorHAnsi"/>
        </w:rPr>
        <w:t>Results of the qualitative survey indicate several key items for consideration</w:t>
      </w:r>
      <w:r w:rsidR="00E05FE5" w:rsidRPr="00B417BF">
        <w:rPr>
          <w:rFonts w:asciiTheme="minorHAnsi" w:hAnsiTheme="minorHAnsi"/>
        </w:rPr>
        <w:t xml:space="preserve"> in the classroom</w:t>
      </w:r>
      <w:r w:rsidRPr="00B417BF">
        <w:rPr>
          <w:rFonts w:asciiTheme="minorHAnsi" w:hAnsiTheme="minorHAnsi"/>
        </w:rPr>
        <w:t xml:space="preserve">.  First off, students consistently described the classroom as an </w:t>
      </w:r>
      <w:r w:rsidR="00AF00D6">
        <w:rPr>
          <w:rFonts w:asciiTheme="minorHAnsi" w:hAnsiTheme="minorHAnsi"/>
        </w:rPr>
        <w:t>impediment of</w:t>
      </w:r>
      <w:r w:rsidRPr="00B417BF">
        <w:rPr>
          <w:rFonts w:asciiTheme="minorHAnsi" w:hAnsiTheme="minorHAnsi"/>
        </w:rPr>
        <w:t xml:space="preserve"> learning.  While the cadaver laboratory has </w:t>
      </w:r>
      <w:r w:rsidR="00E05FE5" w:rsidRPr="00B417BF">
        <w:rPr>
          <w:rFonts w:asciiTheme="minorHAnsi" w:hAnsiTheme="minorHAnsi"/>
        </w:rPr>
        <w:t>policy</w:t>
      </w:r>
      <w:r w:rsidRPr="00B417BF">
        <w:rPr>
          <w:rFonts w:asciiTheme="minorHAnsi" w:hAnsiTheme="minorHAnsi"/>
        </w:rPr>
        <w:t xml:space="preserve"> constraints for specimen preservation, the lecture hall environment can be improved.  Awareness of the physical environment</w:t>
      </w:r>
      <w:r w:rsidR="00E05FE5" w:rsidRPr="00B417BF">
        <w:rPr>
          <w:rFonts w:asciiTheme="minorHAnsi" w:hAnsiTheme="minorHAnsi"/>
        </w:rPr>
        <w:t>, enforcement of course policies, and unprofessional student behavior</w:t>
      </w:r>
      <w:r w:rsidRPr="00B417BF">
        <w:rPr>
          <w:rFonts w:asciiTheme="minorHAnsi" w:hAnsiTheme="minorHAnsi"/>
        </w:rPr>
        <w:t xml:space="preserve"> can be addressed</w:t>
      </w:r>
      <w:r w:rsidR="00E05FE5" w:rsidRPr="00B417BF">
        <w:rPr>
          <w:rFonts w:asciiTheme="minorHAnsi" w:hAnsiTheme="minorHAnsi"/>
        </w:rPr>
        <w:t xml:space="preserve"> directly</w:t>
      </w:r>
      <w:r w:rsidRPr="00B417BF">
        <w:rPr>
          <w:rFonts w:asciiTheme="minorHAnsi" w:hAnsiTheme="minorHAnsi"/>
        </w:rPr>
        <w:t xml:space="preserve"> by the course director.</w:t>
      </w:r>
    </w:p>
    <w:p w14:paraId="022CB029" w14:textId="77777777" w:rsidR="00FA004E" w:rsidRPr="00B417BF" w:rsidRDefault="00FA004E" w:rsidP="00FA004E">
      <w:pPr>
        <w:spacing w:line="480" w:lineRule="auto"/>
        <w:rPr>
          <w:rFonts w:asciiTheme="minorHAnsi" w:hAnsiTheme="minorHAnsi"/>
        </w:rPr>
      </w:pPr>
    </w:p>
    <w:p w14:paraId="076EB591" w14:textId="79C6575F" w:rsidR="00FA004E" w:rsidRPr="00B417BF" w:rsidRDefault="00FA004E" w:rsidP="00FA004E">
      <w:pPr>
        <w:spacing w:line="480" w:lineRule="auto"/>
        <w:rPr>
          <w:rFonts w:asciiTheme="minorHAnsi" w:hAnsiTheme="minorHAnsi"/>
        </w:rPr>
      </w:pPr>
      <w:r w:rsidRPr="00B417BF">
        <w:rPr>
          <w:rFonts w:asciiTheme="minorHAnsi" w:hAnsiTheme="minorHAnsi"/>
        </w:rPr>
        <w:lastRenderedPageBreak/>
        <w:t xml:space="preserve">Several students commented the compressed nature of anatomy and course requirements were too much.  While this course structure is not likely to change, there are several considerations.  Programs may need to require some </w:t>
      </w:r>
      <w:r w:rsidR="0092332E">
        <w:rPr>
          <w:rFonts w:asciiTheme="minorHAnsi" w:hAnsiTheme="minorHAnsi"/>
        </w:rPr>
        <w:t>an</w:t>
      </w:r>
      <w:r w:rsidRPr="00B417BF">
        <w:rPr>
          <w:rFonts w:asciiTheme="minorHAnsi" w:hAnsiTheme="minorHAnsi"/>
        </w:rPr>
        <w:t xml:space="preserve"> introductory anatomy course with cadaver lab prior to admission to PA or Dental programs.  While these courses may vary in academic rigor, they would ensure some entry-level understanding of the material.  Program admission is also heavily weighted on grade point average.  There may be a cohort of students that attended less rigorous undergraduate programs </w:t>
      </w:r>
      <w:r w:rsidR="00E05FE5" w:rsidRPr="00B417BF">
        <w:rPr>
          <w:rFonts w:asciiTheme="minorHAnsi" w:hAnsiTheme="minorHAnsi"/>
        </w:rPr>
        <w:t>in an effort to maintain a</w:t>
      </w:r>
      <w:r w:rsidR="00925540" w:rsidRPr="00B417BF">
        <w:rPr>
          <w:rFonts w:asciiTheme="minorHAnsi" w:hAnsiTheme="minorHAnsi"/>
        </w:rPr>
        <w:t xml:space="preserve"> high</w:t>
      </w:r>
      <w:r w:rsidR="001E6C28">
        <w:rPr>
          <w:rFonts w:asciiTheme="minorHAnsi" w:hAnsiTheme="minorHAnsi"/>
        </w:rPr>
        <w:t xml:space="preserve"> </w:t>
      </w:r>
      <w:r w:rsidRPr="00B417BF">
        <w:rPr>
          <w:rFonts w:asciiTheme="minorHAnsi" w:hAnsiTheme="minorHAnsi"/>
        </w:rPr>
        <w:t xml:space="preserve">grade point average.  Investigation into the rigor of undergraduate education may help programs select students that have the study and metacognitive skills to succeed in demanding medical programs.  </w:t>
      </w:r>
    </w:p>
    <w:p w14:paraId="3D3836A6" w14:textId="77777777" w:rsidR="00FA004E" w:rsidRPr="00B417BF" w:rsidRDefault="00FA004E" w:rsidP="00FA004E">
      <w:pPr>
        <w:spacing w:line="480" w:lineRule="auto"/>
        <w:rPr>
          <w:rFonts w:asciiTheme="minorHAnsi" w:hAnsiTheme="minorHAnsi"/>
        </w:rPr>
      </w:pPr>
    </w:p>
    <w:p w14:paraId="309546E7" w14:textId="62F6E8D2" w:rsidR="00FA004E" w:rsidRPr="00B417BF" w:rsidRDefault="00FA004E" w:rsidP="00FA004E">
      <w:pPr>
        <w:spacing w:line="480" w:lineRule="auto"/>
        <w:rPr>
          <w:rFonts w:asciiTheme="minorHAnsi" w:hAnsiTheme="minorHAnsi"/>
        </w:rPr>
      </w:pPr>
      <w:r w:rsidRPr="00B417BF">
        <w:rPr>
          <w:rFonts w:asciiTheme="minorHAnsi" w:hAnsiTheme="minorHAnsi"/>
        </w:rPr>
        <w:t>Currently</w:t>
      </w:r>
      <w:r w:rsidR="003828F4">
        <w:rPr>
          <w:rFonts w:asciiTheme="minorHAnsi" w:hAnsiTheme="minorHAnsi"/>
        </w:rPr>
        <w:t>,</w:t>
      </w:r>
      <w:r w:rsidRPr="00B417BF">
        <w:rPr>
          <w:rFonts w:asciiTheme="minorHAnsi" w:hAnsiTheme="minorHAnsi"/>
        </w:rPr>
        <w:t xml:space="preserve"> most course evaluations are conducted in class at the end of the semester, this study introduced possible survey structures that may be implemented into curriculums.  Survey responses </w:t>
      </w:r>
      <w:r w:rsidR="00954530">
        <w:rPr>
          <w:rFonts w:asciiTheme="minorHAnsi" w:hAnsiTheme="minorHAnsi"/>
        </w:rPr>
        <w:t>often trend towards</w:t>
      </w:r>
      <w:r w:rsidRPr="00B417BF">
        <w:rPr>
          <w:rFonts w:asciiTheme="minorHAnsi" w:hAnsiTheme="minorHAnsi"/>
        </w:rPr>
        <w:t xml:space="preserve"> both the </w:t>
      </w:r>
      <w:r w:rsidR="006E00C8">
        <w:rPr>
          <w:rFonts w:asciiTheme="minorHAnsi" w:hAnsiTheme="minorHAnsi"/>
        </w:rPr>
        <w:t xml:space="preserve">extreme positive and </w:t>
      </w:r>
      <w:r w:rsidRPr="006E00C8">
        <w:rPr>
          <w:rFonts w:asciiTheme="minorHAnsi" w:hAnsiTheme="minorHAnsi"/>
        </w:rPr>
        <w:t>negative.  Follow up qualitative studies can enable programs to prompt more in-depth responses</w:t>
      </w:r>
      <w:r w:rsidRPr="00B417BF">
        <w:rPr>
          <w:rFonts w:asciiTheme="minorHAnsi" w:hAnsiTheme="minorHAnsi"/>
        </w:rPr>
        <w:t xml:space="preserve">.  </w:t>
      </w:r>
      <w:r w:rsidR="006E00C8">
        <w:rPr>
          <w:rFonts w:asciiTheme="minorHAnsi" w:hAnsiTheme="minorHAnsi"/>
        </w:rPr>
        <w:t>Online course evaluations that take</w:t>
      </w:r>
      <w:r w:rsidRPr="00B417BF">
        <w:rPr>
          <w:rFonts w:asciiTheme="minorHAnsi" w:hAnsiTheme="minorHAnsi"/>
        </w:rPr>
        <w:t xml:space="preserve"> minimal time to administer </w:t>
      </w:r>
      <w:r w:rsidR="006E00C8">
        <w:rPr>
          <w:rFonts w:asciiTheme="minorHAnsi" w:hAnsiTheme="minorHAnsi"/>
        </w:rPr>
        <w:t>may increase response rates.</w:t>
      </w:r>
      <w:r w:rsidRPr="00B417BF">
        <w:rPr>
          <w:rFonts w:asciiTheme="minorHAnsi" w:hAnsiTheme="minorHAnsi"/>
        </w:rPr>
        <w:t xml:space="preserve">  Surveying students during the semester would also inform professors of issues in real time. </w:t>
      </w:r>
      <w:r w:rsidR="006E00C8">
        <w:rPr>
          <w:rFonts w:asciiTheme="minorHAnsi" w:hAnsiTheme="minorHAnsi"/>
        </w:rPr>
        <w:t xml:space="preserve"> In the case of this study, inconsistencies of course material</w:t>
      </w:r>
      <w:r w:rsidRPr="00B417BF">
        <w:rPr>
          <w:rFonts w:asciiTheme="minorHAnsi" w:hAnsiTheme="minorHAnsi"/>
        </w:rPr>
        <w:t xml:space="preserve"> could have been addressed </w:t>
      </w:r>
      <w:r w:rsidR="00EA2926">
        <w:rPr>
          <w:rFonts w:asciiTheme="minorHAnsi" w:hAnsiTheme="minorHAnsi"/>
        </w:rPr>
        <w:t>throughout</w:t>
      </w:r>
      <w:r w:rsidRPr="00B417BF">
        <w:rPr>
          <w:rFonts w:asciiTheme="minorHAnsi" w:hAnsiTheme="minorHAnsi"/>
        </w:rPr>
        <w:t xml:space="preserve"> the semester to improve the learning environment. </w:t>
      </w:r>
    </w:p>
    <w:p w14:paraId="69CDD6D8" w14:textId="77777777" w:rsidR="00FA004E" w:rsidRPr="00B417BF" w:rsidRDefault="00FA004E" w:rsidP="00FA004E">
      <w:pPr>
        <w:spacing w:line="480" w:lineRule="auto"/>
        <w:rPr>
          <w:rFonts w:asciiTheme="minorHAnsi" w:hAnsiTheme="minorHAnsi"/>
        </w:rPr>
      </w:pPr>
    </w:p>
    <w:p w14:paraId="18B80EE3" w14:textId="0CB856F7" w:rsidR="00FA004E" w:rsidRDefault="00FA004E" w:rsidP="00FA004E">
      <w:pPr>
        <w:spacing w:line="480" w:lineRule="auto"/>
        <w:rPr>
          <w:rFonts w:asciiTheme="minorHAnsi" w:hAnsiTheme="minorHAnsi"/>
        </w:rPr>
      </w:pPr>
      <w:r w:rsidRPr="00B417BF">
        <w:rPr>
          <w:rFonts w:asciiTheme="minorHAnsi" w:hAnsiTheme="minorHAnsi"/>
        </w:rPr>
        <w:lastRenderedPageBreak/>
        <w:t xml:space="preserve">While high performing students in both groups had high praise for the professors and overall semester experience, care needs to be taken in blanket acceptance of these comments. </w:t>
      </w:r>
      <w:r w:rsidR="003349E5">
        <w:rPr>
          <w:rFonts w:asciiTheme="minorHAnsi" w:hAnsiTheme="minorHAnsi"/>
        </w:rPr>
        <w:t xml:space="preserve"> Respondents were self-selected from the class of possible participants.  Response bias is likely a</w:t>
      </w:r>
      <w:r w:rsidR="009139BF">
        <w:rPr>
          <w:rFonts w:asciiTheme="minorHAnsi" w:hAnsiTheme="minorHAnsi"/>
        </w:rPr>
        <w:t>s</w:t>
      </w:r>
      <w:r w:rsidR="003349E5">
        <w:rPr>
          <w:rFonts w:asciiTheme="minorHAnsi" w:hAnsiTheme="minorHAnsi"/>
        </w:rPr>
        <w:t xml:space="preserve"> the response rate is low</w:t>
      </w:r>
      <w:r w:rsidR="009139BF">
        <w:rPr>
          <w:rFonts w:asciiTheme="minorHAnsi" w:hAnsiTheme="minorHAnsi"/>
        </w:rPr>
        <w:t xml:space="preserve">. </w:t>
      </w:r>
      <w:r w:rsidR="009139BF" w:rsidRPr="009139BF">
        <w:rPr>
          <w:rFonts w:asciiTheme="minorHAnsi" w:hAnsiTheme="minorHAnsi"/>
        </w:rPr>
        <w:t xml:space="preserve"> </w:t>
      </w:r>
      <w:r w:rsidR="009139BF">
        <w:rPr>
          <w:rFonts w:asciiTheme="minorHAnsi" w:hAnsiTheme="minorHAnsi"/>
        </w:rPr>
        <w:t>This may have been a result of survey fatigue</w:t>
      </w:r>
      <w:r w:rsidR="003349E5">
        <w:rPr>
          <w:rFonts w:asciiTheme="minorHAnsi" w:hAnsiTheme="minorHAnsi"/>
        </w:rPr>
        <w:t>. Ideally</w:t>
      </w:r>
      <w:r w:rsidR="009139BF">
        <w:rPr>
          <w:rFonts w:asciiTheme="minorHAnsi" w:hAnsiTheme="minorHAnsi"/>
        </w:rPr>
        <w:t>,</w:t>
      </w:r>
      <w:r w:rsidR="003349E5">
        <w:rPr>
          <w:rFonts w:asciiTheme="minorHAnsi" w:hAnsiTheme="minorHAnsi"/>
        </w:rPr>
        <w:t xml:space="preserve"> survey responses would be taken from participants matched to the characteristics o</w:t>
      </w:r>
      <w:r w:rsidR="009139BF">
        <w:rPr>
          <w:rFonts w:asciiTheme="minorHAnsi" w:hAnsiTheme="minorHAnsi"/>
        </w:rPr>
        <w:t>f the class as a whole.</w:t>
      </w:r>
      <w:r w:rsidR="003349E5">
        <w:rPr>
          <w:rFonts w:asciiTheme="minorHAnsi" w:hAnsiTheme="minorHAnsi"/>
        </w:rPr>
        <w:t xml:space="preserve"> Future research </w:t>
      </w:r>
      <w:r w:rsidR="00255F60">
        <w:rPr>
          <w:rFonts w:asciiTheme="minorHAnsi" w:hAnsiTheme="minorHAnsi"/>
        </w:rPr>
        <w:t>must</w:t>
      </w:r>
      <w:r w:rsidR="003349E5">
        <w:rPr>
          <w:rFonts w:asciiTheme="minorHAnsi" w:hAnsiTheme="minorHAnsi"/>
        </w:rPr>
        <w:t xml:space="preserve"> develop qualitative investigation that is able to </w:t>
      </w:r>
      <w:r w:rsidR="00906DB4">
        <w:rPr>
          <w:rFonts w:asciiTheme="minorHAnsi" w:hAnsiTheme="minorHAnsi"/>
        </w:rPr>
        <w:t>ensure representation of all students.</w:t>
      </w:r>
    </w:p>
    <w:p w14:paraId="175D3F22" w14:textId="0D4D3297" w:rsidR="009333B3" w:rsidRDefault="009333B3" w:rsidP="00FA004E">
      <w:pPr>
        <w:spacing w:line="480" w:lineRule="auto"/>
        <w:rPr>
          <w:rFonts w:asciiTheme="minorHAnsi" w:hAnsiTheme="minorHAnsi"/>
        </w:rPr>
      </w:pPr>
    </w:p>
    <w:p w14:paraId="659A7616" w14:textId="0316E5B3" w:rsidR="00675FB7" w:rsidRDefault="00675FB7" w:rsidP="00FA004E">
      <w:pPr>
        <w:spacing w:line="480" w:lineRule="auto"/>
        <w:rPr>
          <w:rFonts w:asciiTheme="minorHAnsi" w:hAnsiTheme="minorHAnsi"/>
        </w:rPr>
      </w:pPr>
      <w:r>
        <w:rPr>
          <w:rFonts w:asciiTheme="minorHAnsi" w:hAnsiTheme="minorHAnsi"/>
        </w:rPr>
        <w:t xml:space="preserve">4. This study revealed student response to challenge and failure may play an important role in academic success.  Programs may consider ways to evaluate students’ responses to failure during the admissions process.  While the Brief COPE is not designed as a screening tool, there may be other </w:t>
      </w:r>
      <w:r w:rsidR="00FE1344">
        <w:rPr>
          <w:rFonts w:asciiTheme="minorHAnsi" w:hAnsiTheme="minorHAnsi"/>
        </w:rPr>
        <w:t>survey instruments available to help distinguish individuals that can respond positively to challenge.  Program directors may also implement standardized interview or essay questions to probe applicants’ responses to stress and academic challenge.</w:t>
      </w:r>
    </w:p>
    <w:p w14:paraId="2076B81B" w14:textId="77777777" w:rsidR="00FE1344" w:rsidRDefault="00FE1344" w:rsidP="00FA004E">
      <w:pPr>
        <w:spacing w:line="480" w:lineRule="auto"/>
        <w:rPr>
          <w:rFonts w:asciiTheme="minorHAnsi" w:hAnsiTheme="minorHAnsi"/>
        </w:rPr>
      </w:pPr>
    </w:p>
    <w:p w14:paraId="466A8215" w14:textId="2DE6E0DC" w:rsidR="009333B3" w:rsidRDefault="00675FB7" w:rsidP="00FA004E">
      <w:pPr>
        <w:spacing w:line="480" w:lineRule="auto"/>
        <w:rPr>
          <w:rFonts w:asciiTheme="minorHAnsi" w:hAnsiTheme="minorHAnsi"/>
        </w:rPr>
      </w:pPr>
      <w:r>
        <w:rPr>
          <w:rFonts w:asciiTheme="minorHAnsi" w:hAnsiTheme="minorHAnsi"/>
        </w:rPr>
        <w:t>5</w:t>
      </w:r>
      <w:r w:rsidR="009333B3">
        <w:rPr>
          <w:rFonts w:asciiTheme="minorHAnsi" w:hAnsiTheme="minorHAnsi"/>
        </w:rPr>
        <w:t xml:space="preserve">.  Support Service Usage data indicates students utilize upperclassmen as one of their major supports.  The program being studied did not have a formalized system to monitor or enhance the communication between students.  As cited in the literature review, near-peer and peer-to-peer mentoring can be an effective teaching and support tool for struggling students.  Implementation of training </w:t>
      </w:r>
      <w:r w:rsidR="009333B3">
        <w:rPr>
          <w:rFonts w:asciiTheme="minorHAnsi" w:hAnsiTheme="minorHAnsi"/>
        </w:rPr>
        <w:lastRenderedPageBreak/>
        <w:t xml:space="preserve">for upperclassmen may be a way to enhance the </w:t>
      </w:r>
      <w:r>
        <w:rPr>
          <w:rFonts w:asciiTheme="minorHAnsi" w:hAnsiTheme="minorHAnsi"/>
        </w:rPr>
        <w:t xml:space="preserve">learning environment for incoming students.  In addition, completing training to become a peer mentor could have learning benefits for the upperclassmen as well.  </w:t>
      </w:r>
    </w:p>
    <w:p w14:paraId="349770C7" w14:textId="2A2F2FF1" w:rsidR="00675FB7" w:rsidRDefault="00675FB7" w:rsidP="00FA004E">
      <w:pPr>
        <w:spacing w:line="480" w:lineRule="auto"/>
        <w:rPr>
          <w:rFonts w:asciiTheme="minorHAnsi" w:hAnsiTheme="minorHAnsi"/>
        </w:rPr>
      </w:pPr>
    </w:p>
    <w:p w14:paraId="1BD02C16" w14:textId="0581A082" w:rsidR="00AF00D6" w:rsidRDefault="00AF00D6" w:rsidP="00AF00D6">
      <w:pPr>
        <w:rPr>
          <w:rFonts w:asciiTheme="minorHAnsi" w:hAnsiTheme="minorHAnsi"/>
        </w:rPr>
      </w:pPr>
    </w:p>
    <w:p w14:paraId="58F74449" w14:textId="77777777" w:rsidR="00FE1344" w:rsidRDefault="00FE1344" w:rsidP="00AF00D6">
      <w:pPr>
        <w:rPr>
          <w:rFonts w:asciiTheme="minorHAnsi" w:hAnsiTheme="minorHAnsi"/>
        </w:rPr>
      </w:pPr>
    </w:p>
    <w:p w14:paraId="6215C5C0" w14:textId="7BC6FC76" w:rsidR="00300CFA" w:rsidRDefault="00300CFA" w:rsidP="00954530">
      <w:pPr>
        <w:spacing w:line="480" w:lineRule="auto"/>
        <w:rPr>
          <w:rFonts w:asciiTheme="minorHAnsi" w:hAnsiTheme="minorHAnsi"/>
        </w:rPr>
      </w:pPr>
      <w:r>
        <w:rPr>
          <w:rFonts w:asciiTheme="minorHAnsi" w:hAnsiTheme="minorHAnsi"/>
        </w:rPr>
        <w:t xml:space="preserve">The purpose of this study was to examine the coping mechanisms and student support service usage as they relate to academic performance in first year PA and Dental students.  Students were surveyed </w:t>
      </w:r>
      <w:r w:rsidR="00527F72">
        <w:rPr>
          <w:rFonts w:asciiTheme="minorHAnsi" w:hAnsiTheme="minorHAnsi"/>
        </w:rPr>
        <w:t xml:space="preserve">using the Brief COPE and a qualitative after-course survey </w:t>
      </w:r>
      <w:r>
        <w:rPr>
          <w:rFonts w:asciiTheme="minorHAnsi" w:hAnsiTheme="minorHAnsi"/>
        </w:rPr>
        <w:t xml:space="preserve">during the </w:t>
      </w:r>
      <w:r w:rsidR="0027120E">
        <w:rPr>
          <w:rFonts w:asciiTheme="minorHAnsi" w:hAnsiTheme="minorHAnsi"/>
        </w:rPr>
        <w:t xml:space="preserve">Clinical </w:t>
      </w:r>
      <w:r w:rsidR="009651F9">
        <w:rPr>
          <w:rFonts w:asciiTheme="minorHAnsi" w:hAnsiTheme="minorHAnsi"/>
        </w:rPr>
        <w:t>Anatomy</w:t>
      </w:r>
      <w:r>
        <w:rPr>
          <w:rFonts w:asciiTheme="minorHAnsi" w:hAnsiTheme="minorHAnsi"/>
        </w:rPr>
        <w:t xml:space="preserve"> course in the years 2016 and 2017.   The 2017 </w:t>
      </w:r>
      <w:r w:rsidR="00A736B1">
        <w:rPr>
          <w:rFonts w:asciiTheme="minorHAnsi" w:hAnsiTheme="minorHAnsi"/>
        </w:rPr>
        <w:t xml:space="preserve">experimental </w:t>
      </w:r>
      <w:r>
        <w:rPr>
          <w:rFonts w:asciiTheme="minorHAnsi" w:hAnsiTheme="minorHAnsi"/>
        </w:rPr>
        <w:t xml:space="preserve">group was given additional notification of </w:t>
      </w:r>
      <w:r w:rsidR="00406573">
        <w:rPr>
          <w:rFonts w:asciiTheme="minorHAnsi" w:hAnsiTheme="minorHAnsi"/>
        </w:rPr>
        <w:t xml:space="preserve">available support services.  </w:t>
      </w:r>
      <w:r w:rsidR="00527F72">
        <w:rPr>
          <w:rFonts w:asciiTheme="minorHAnsi" w:hAnsiTheme="minorHAnsi"/>
        </w:rPr>
        <w:t xml:space="preserve">Analysis was then completed to compare the coping strategies and academic performance between groups.  </w:t>
      </w:r>
    </w:p>
    <w:p w14:paraId="5DF2CF81" w14:textId="77777777" w:rsidR="00653862" w:rsidRDefault="00653862" w:rsidP="00954530">
      <w:pPr>
        <w:spacing w:line="480" w:lineRule="auto"/>
        <w:rPr>
          <w:rFonts w:asciiTheme="minorHAnsi" w:hAnsiTheme="minorHAnsi"/>
        </w:rPr>
      </w:pPr>
    </w:p>
    <w:p w14:paraId="0617CD6D" w14:textId="18F3FE22" w:rsidR="00F37CAC" w:rsidRDefault="00406573" w:rsidP="00F37CAC">
      <w:pPr>
        <w:spacing w:line="480" w:lineRule="auto"/>
        <w:rPr>
          <w:rFonts w:asciiTheme="minorHAnsi" w:hAnsiTheme="minorHAnsi"/>
        </w:rPr>
      </w:pPr>
      <w:r>
        <w:rPr>
          <w:rFonts w:asciiTheme="minorHAnsi" w:hAnsiTheme="minorHAnsi"/>
        </w:rPr>
        <w:t xml:space="preserve">Both groups had similar academic performance, support service usage, and Brief COPE responses.  This is consistent with broader public health research </w:t>
      </w:r>
      <w:r w:rsidR="00255F60">
        <w:rPr>
          <w:rFonts w:asciiTheme="minorHAnsi" w:hAnsiTheme="minorHAnsi"/>
        </w:rPr>
        <w:t>which shows</w:t>
      </w:r>
      <w:r>
        <w:rPr>
          <w:rFonts w:asciiTheme="minorHAnsi" w:hAnsiTheme="minorHAnsi"/>
        </w:rPr>
        <w:t xml:space="preserve"> that an increase in </w:t>
      </w:r>
      <w:r w:rsidR="00AF00D6">
        <w:rPr>
          <w:rFonts w:asciiTheme="minorHAnsi" w:hAnsiTheme="minorHAnsi"/>
        </w:rPr>
        <w:t>the visibility of student support services</w:t>
      </w:r>
      <w:r>
        <w:rPr>
          <w:rFonts w:asciiTheme="minorHAnsi" w:hAnsiTheme="minorHAnsi"/>
        </w:rPr>
        <w:t xml:space="preserve"> does not translate into behavioral changes.</w:t>
      </w:r>
      <w:r w:rsidR="00E36F36">
        <w:rPr>
          <w:rFonts w:asciiTheme="minorHAnsi" w:hAnsiTheme="minorHAnsi"/>
        </w:rPr>
        <w:t xml:space="preserve"> </w:t>
      </w:r>
      <w:r w:rsidR="00F37CAC">
        <w:rPr>
          <w:rFonts w:asciiTheme="minorHAnsi" w:hAnsiTheme="minorHAnsi"/>
        </w:rPr>
        <w:t>In both groups, students with lower exam scores reported us</w:t>
      </w:r>
      <w:r w:rsidR="00255F60">
        <w:rPr>
          <w:rFonts w:asciiTheme="minorHAnsi" w:hAnsiTheme="minorHAnsi"/>
        </w:rPr>
        <w:t>ing fewer academic supports than</w:t>
      </w:r>
      <w:r w:rsidR="00F37CAC">
        <w:rPr>
          <w:rFonts w:asciiTheme="minorHAnsi" w:hAnsiTheme="minorHAnsi"/>
        </w:rPr>
        <w:t xml:space="preserve"> their better performing peers.  </w:t>
      </w:r>
    </w:p>
    <w:p w14:paraId="33972E67" w14:textId="77777777" w:rsidR="00653862" w:rsidRDefault="00653862" w:rsidP="00300CFA">
      <w:pPr>
        <w:spacing w:line="480" w:lineRule="auto"/>
        <w:rPr>
          <w:rFonts w:asciiTheme="minorHAnsi" w:hAnsiTheme="minorHAnsi"/>
        </w:rPr>
      </w:pPr>
    </w:p>
    <w:p w14:paraId="2808C2CC" w14:textId="471DBB80" w:rsidR="00954530" w:rsidRDefault="00954530" w:rsidP="00300CFA">
      <w:pPr>
        <w:spacing w:line="480" w:lineRule="auto"/>
        <w:rPr>
          <w:rFonts w:asciiTheme="minorHAnsi" w:hAnsiTheme="minorHAnsi"/>
        </w:rPr>
      </w:pPr>
      <w:r>
        <w:rPr>
          <w:rFonts w:asciiTheme="minorHAnsi" w:hAnsiTheme="minorHAnsi"/>
        </w:rPr>
        <w:t xml:space="preserve">The After Course Survey provided insights into students’ experiences during the course.  Both the control and experimental group had similar responses.  </w:t>
      </w:r>
      <w:r w:rsidR="00E36F36" w:rsidRPr="00954530">
        <w:rPr>
          <w:rFonts w:asciiTheme="minorHAnsi" w:hAnsiTheme="minorHAnsi"/>
        </w:rPr>
        <w:t>Qua</w:t>
      </w:r>
      <w:r w:rsidR="00F37CAC" w:rsidRPr="00954530">
        <w:rPr>
          <w:rFonts w:asciiTheme="minorHAnsi" w:hAnsiTheme="minorHAnsi"/>
        </w:rPr>
        <w:t xml:space="preserve">litative responses primarily revealed the </w:t>
      </w:r>
      <w:r w:rsidR="00A736B1" w:rsidRPr="00954530">
        <w:rPr>
          <w:rFonts w:asciiTheme="minorHAnsi" w:hAnsiTheme="minorHAnsi"/>
        </w:rPr>
        <w:t xml:space="preserve">advanced </w:t>
      </w:r>
      <w:r w:rsidR="00AF00D6" w:rsidRPr="00954530">
        <w:rPr>
          <w:rFonts w:asciiTheme="minorHAnsi" w:hAnsiTheme="minorHAnsi"/>
        </w:rPr>
        <w:t xml:space="preserve">difficulty </w:t>
      </w:r>
      <w:r w:rsidR="00F37CAC" w:rsidRPr="00954530">
        <w:rPr>
          <w:rFonts w:asciiTheme="minorHAnsi" w:hAnsiTheme="minorHAnsi"/>
        </w:rPr>
        <w:t xml:space="preserve">level of course </w:t>
      </w:r>
      <w:r w:rsidR="00F37CAC" w:rsidRPr="00954530">
        <w:rPr>
          <w:rFonts w:asciiTheme="minorHAnsi" w:hAnsiTheme="minorHAnsi"/>
        </w:rPr>
        <w:lastRenderedPageBreak/>
        <w:t>material was a major cause of</w:t>
      </w:r>
      <w:r w:rsidR="00F37CAC">
        <w:rPr>
          <w:rFonts w:asciiTheme="minorHAnsi" w:hAnsiTheme="minorHAnsi"/>
        </w:rPr>
        <w:t xml:space="preserve"> stress to students.  Analysis also indicated that previous exposure to anatomy may not be a precursor to academic success in the PA and Dental Clinical Anatomy course.</w:t>
      </w:r>
      <w:r w:rsidR="00406573">
        <w:rPr>
          <w:rFonts w:asciiTheme="minorHAnsi" w:hAnsiTheme="minorHAnsi"/>
        </w:rPr>
        <w:t xml:space="preserve">  These results should be considered when designing and implementing support services.   </w:t>
      </w:r>
      <w:r w:rsidR="007F775A">
        <w:rPr>
          <w:rFonts w:asciiTheme="minorHAnsi" w:hAnsiTheme="minorHAnsi"/>
        </w:rPr>
        <w:t xml:space="preserve">Designing active avenues between students and support service </w:t>
      </w:r>
      <w:r w:rsidR="00255F60">
        <w:rPr>
          <w:rFonts w:asciiTheme="minorHAnsi" w:hAnsiTheme="minorHAnsi"/>
        </w:rPr>
        <w:t>may</w:t>
      </w:r>
      <w:r w:rsidR="007F775A">
        <w:rPr>
          <w:rFonts w:asciiTheme="minorHAnsi" w:hAnsiTheme="minorHAnsi"/>
        </w:rPr>
        <w:t xml:space="preserve"> be </w:t>
      </w:r>
      <w:r w:rsidR="00406573">
        <w:rPr>
          <w:rFonts w:asciiTheme="minorHAnsi" w:hAnsiTheme="minorHAnsi"/>
        </w:rPr>
        <w:t xml:space="preserve">more beneficial than traditional </w:t>
      </w:r>
      <w:r w:rsidR="00F37CAC">
        <w:rPr>
          <w:rFonts w:asciiTheme="minorHAnsi" w:hAnsiTheme="minorHAnsi"/>
        </w:rPr>
        <w:t xml:space="preserve">educational </w:t>
      </w:r>
      <w:r w:rsidR="00406573">
        <w:rPr>
          <w:rFonts w:asciiTheme="minorHAnsi" w:hAnsiTheme="minorHAnsi"/>
        </w:rPr>
        <w:t xml:space="preserve">program efforts.  </w:t>
      </w:r>
      <w:r w:rsidR="00255F60">
        <w:rPr>
          <w:rFonts w:asciiTheme="minorHAnsi" w:hAnsiTheme="minorHAnsi"/>
        </w:rPr>
        <w:t xml:space="preserve">This, </w:t>
      </w:r>
      <w:r>
        <w:rPr>
          <w:rFonts w:asciiTheme="minorHAnsi" w:hAnsiTheme="minorHAnsi"/>
        </w:rPr>
        <w:t>with i</w:t>
      </w:r>
      <w:r w:rsidR="007F775A">
        <w:rPr>
          <w:rFonts w:asciiTheme="minorHAnsi" w:hAnsiTheme="minorHAnsi"/>
        </w:rPr>
        <w:t xml:space="preserve">ntegrating access and </w:t>
      </w:r>
      <w:r>
        <w:rPr>
          <w:rFonts w:asciiTheme="minorHAnsi" w:hAnsiTheme="minorHAnsi"/>
        </w:rPr>
        <w:t>identification of struggling students into the curriculum could possibly increase the use and success of support services.</w:t>
      </w:r>
    </w:p>
    <w:p w14:paraId="138F6A2F" w14:textId="77777777" w:rsidR="00653862" w:rsidRDefault="00653862" w:rsidP="00300CFA">
      <w:pPr>
        <w:spacing w:line="480" w:lineRule="auto"/>
        <w:rPr>
          <w:rFonts w:asciiTheme="minorHAnsi" w:hAnsiTheme="minorHAnsi"/>
        </w:rPr>
      </w:pPr>
    </w:p>
    <w:p w14:paraId="7E2C66C9" w14:textId="5EE8B162" w:rsidR="00406573" w:rsidRDefault="00406573" w:rsidP="00300CFA">
      <w:pPr>
        <w:spacing w:line="480" w:lineRule="auto"/>
        <w:rPr>
          <w:rFonts w:asciiTheme="minorHAnsi" w:hAnsiTheme="minorHAnsi"/>
        </w:rPr>
      </w:pPr>
      <w:r>
        <w:rPr>
          <w:rFonts w:asciiTheme="minorHAnsi" w:hAnsiTheme="minorHAnsi"/>
        </w:rPr>
        <w:t>PA and Dental students in both 2016 and 2017 reported similar levels of stress through the Brief COPE an</w:t>
      </w:r>
      <w:r w:rsidR="00B633F0">
        <w:rPr>
          <w:rFonts w:asciiTheme="minorHAnsi" w:hAnsiTheme="minorHAnsi"/>
        </w:rPr>
        <w:t xml:space="preserve">d qualitative questionnaires.  </w:t>
      </w:r>
      <w:r>
        <w:rPr>
          <w:rFonts w:asciiTheme="minorHAnsi" w:hAnsiTheme="minorHAnsi"/>
        </w:rPr>
        <w:t xml:space="preserve">While </w:t>
      </w:r>
      <w:r w:rsidR="00EB5B71">
        <w:rPr>
          <w:rFonts w:asciiTheme="minorHAnsi" w:hAnsiTheme="minorHAnsi"/>
        </w:rPr>
        <w:t xml:space="preserve">it may be tempting to use behavioral questionnaires as screening tools, the Brief COPE may be suited for faculty to </w:t>
      </w:r>
      <w:r w:rsidR="00AF00D6">
        <w:rPr>
          <w:rFonts w:asciiTheme="minorHAnsi" w:hAnsiTheme="minorHAnsi"/>
        </w:rPr>
        <w:t>help</w:t>
      </w:r>
      <w:r w:rsidR="00EB5B71">
        <w:rPr>
          <w:rFonts w:asciiTheme="minorHAnsi" w:hAnsiTheme="minorHAnsi"/>
        </w:rPr>
        <w:t xml:space="preserve"> ide</w:t>
      </w:r>
      <w:r w:rsidR="00255F60">
        <w:rPr>
          <w:rFonts w:asciiTheme="minorHAnsi" w:hAnsiTheme="minorHAnsi"/>
        </w:rPr>
        <w:t>ntify poor coping strategies.  Finally, this study demonstrates</w:t>
      </w:r>
      <w:r w:rsidR="00EB5B71">
        <w:rPr>
          <w:rFonts w:asciiTheme="minorHAnsi" w:hAnsiTheme="minorHAnsi"/>
        </w:rPr>
        <w:t xml:space="preserve"> negative coping strategies </w:t>
      </w:r>
      <w:r w:rsidR="00255F60">
        <w:rPr>
          <w:rFonts w:asciiTheme="minorHAnsi" w:hAnsiTheme="minorHAnsi"/>
        </w:rPr>
        <w:t>correlate with poor academic performance despite increased awareness of available support resources.</w:t>
      </w:r>
      <w:r w:rsidR="00EB5B71">
        <w:rPr>
          <w:rFonts w:asciiTheme="minorHAnsi" w:hAnsiTheme="minorHAnsi"/>
        </w:rPr>
        <w:t xml:space="preserve">   </w:t>
      </w:r>
    </w:p>
    <w:p w14:paraId="7B1685A6" w14:textId="77777777" w:rsidR="00FA004E" w:rsidRPr="00B417BF" w:rsidRDefault="00FA004E" w:rsidP="00FA004E">
      <w:pPr>
        <w:rPr>
          <w:rFonts w:asciiTheme="minorHAnsi" w:hAnsiTheme="minorHAnsi"/>
        </w:rPr>
      </w:pPr>
      <w:r w:rsidRPr="00B417BF">
        <w:rPr>
          <w:rFonts w:asciiTheme="minorHAnsi" w:hAnsiTheme="minorHAnsi"/>
        </w:rPr>
        <w:br w:type="page"/>
      </w:r>
    </w:p>
    <w:p w14:paraId="2A121F3A" w14:textId="46120C1B" w:rsidR="00FA004E" w:rsidRPr="00B417BF" w:rsidRDefault="00FA004E" w:rsidP="00650A3F">
      <w:pPr>
        <w:spacing w:line="480" w:lineRule="auto"/>
        <w:jc w:val="center"/>
        <w:outlineLvl w:val="0"/>
        <w:rPr>
          <w:rFonts w:asciiTheme="minorHAnsi" w:hAnsiTheme="minorHAnsi"/>
          <w:b/>
        </w:rPr>
      </w:pPr>
      <w:r w:rsidRPr="00B417BF">
        <w:rPr>
          <w:rFonts w:asciiTheme="minorHAnsi" w:hAnsiTheme="minorHAnsi"/>
          <w:b/>
        </w:rPr>
        <w:lastRenderedPageBreak/>
        <w:t>References</w:t>
      </w:r>
      <w:r w:rsidR="00031F87" w:rsidRPr="00B417BF">
        <w:rPr>
          <w:rFonts w:asciiTheme="minorHAnsi" w:hAnsiTheme="minorHAnsi"/>
          <w:b/>
        </w:rPr>
        <w:t>:</w:t>
      </w:r>
    </w:p>
    <w:p w14:paraId="73B9DDC6" w14:textId="77777777" w:rsidR="002C6551" w:rsidRPr="002C6551" w:rsidRDefault="00FA004E" w:rsidP="002C6551">
      <w:pPr>
        <w:pStyle w:val="Bibliography"/>
      </w:pPr>
      <w:r w:rsidRPr="00B417BF">
        <w:fldChar w:fldCharType="begin"/>
      </w:r>
      <w:r w:rsidR="00095898">
        <w:instrText xml:space="preserve"> ADDIN ZOTERO_BIBL {"uncited":[],"omitted":[],"custom":[]} CSL_BIBLIOGRAPHY </w:instrText>
      </w:r>
      <w:r w:rsidRPr="00B417BF">
        <w:fldChar w:fldCharType="separate"/>
      </w:r>
      <w:r w:rsidR="002C6551" w:rsidRPr="002C6551">
        <w:t xml:space="preserve">1. </w:t>
      </w:r>
      <w:r w:rsidR="002C6551" w:rsidRPr="002C6551">
        <w:tab/>
        <w:t xml:space="preserve">Balduf M. Underachievement Among College Students. </w:t>
      </w:r>
      <w:r w:rsidR="002C6551" w:rsidRPr="002C6551">
        <w:rPr>
          <w:i/>
          <w:iCs/>
        </w:rPr>
        <w:t>J Adv Acad</w:t>
      </w:r>
      <w:r w:rsidR="002C6551" w:rsidRPr="002C6551">
        <w:t>. 2009;20(2):274-294. doi:10.1177/1932202X0902000204</w:t>
      </w:r>
    </w:p>
    <w:p w14:paraId="3C7DDD88" w14:textId="77777777" w:rsidR="002C6551" w:rsidRPr="002C6551" w:rsidRDefault="002C6551" w:rsidP="002C6551">
      <w:pPr>
        <w:pStyle w:val="Bibliography"/>
      </w:pPr>
      <w:r w:rsidRPr="002C6551">
        <w:t xml:space="preserve">2. </w:t>
      </w:r>
      <w:r w:rsidRPr="002C6551">
        <w:tab/>
        <w:t xml:space="preserve">Dill MJ, Pankow S, Erikson C, Shipman S. Survey Shows Consumers Open To A Greater Role For Physician Assistants And Nurse Practitioners. </w:t>
      </w:r>
      <w:r w:rsidRPr="002C6551">
        <w:rPr>
          <w:i/>
          <w:iCs/>
        </w:rPr>
        <w:t>Health Aff (Millwood)</w:t>
      </w:r>
      <w:r w:rsidRPr="002C6551">
        <w:t>. 2013;32(6):1135-1142. doi:10.1377/hlthaff.2012.1150</w:t>
      </w:r>
    </w:p>
    <w:p w14:paraId="43A873C3" w14:textId="77777777" w:rsidR="002C6551" w:rsidRPr="002C6551" w:rsidRDefault="002C6551" w:rsidP="002C6551">
      <w:pPr>
        <w:pStyle w:val="Bibliography"/>
      </w:pPr>
      <w:r w:rsidRPr="002C6551">
        <w:t xml:space="preserve">3. </w:t>
      </w:r>
      <w:r w:rsidRPr="002C6551">
        <w:tab/>
        <w:t xml:space="preserve">Dill MJ, Salsberg ES. The Complexities of Physician Supply and Demand: Projections Through 2025: Center for Workforce Studies. </w:t>
      </w:r>
      <w:r w:rsidRPr="002C6551">
        <w:rPr>
          <w:i/>
          <w:iCs/>
        </w:rPr>
        <w:t>Assoc Am Med Coll</w:t>
      </w:r>
      <w:r w:rsidRPr="002C6551">
        <w:t>. November 2008:94.</w:t>
      </w:r>
    </w:p>
    <w:p w14:paraId="306DD303" w14:textId="77777777" w:rsidR="002C6551" w:rsidRPr="002C6551" w:rsidRDefault="002C6551" w:rsidP="002C6551">
      <w:pPr>
        <w:pStyle w:val="Bibliography"/>
      </w:pPr>
      <w:r w:rsidRPr="002C6551">
        <w:t xml:space="preserve">4. </w:t>
      </w:r>
      <w:r w:rsidRPr="002C6551">
        <w:tab/>
        <w:t xml:space="preserve">Physician Assistant Education Association. </w:t>
      </w:r>
      <w:r w:rsidRPr="002C6551">
        <w:rPr>
          <w:i/>
          <w:iCs/>
        </w:rPr>
        <w:t>By the Numbers: Program Report 32: Data from the 2016 Program Survey</w:t>
      </w:r>
      <w:r w:rsidRPr="002C6551">
        <w:t>. Washington DC: PAEA; 2017:41. doi:10.17538/PR32.2017</w:t>
      </w:r>
    </w:p>
    <w:p w14:paraId="0044E566" w14:textId="77777777" w:rsidR="002C6551" w:rsidRPr="002C6551" w:rsidRDefault="002C6551" w:rsidP="002C6551">
      <w:pPr>
        <w:pStyle w:val="Bibliography"/>
      </w:pPr>
      <w:r w:rsidRPr="002C6551">
        <w:t xml:space="preserve">5. </w:t>
      </w:r>
      <w:r w:rsidRPr="002C6551">
        <w:tab/>
        <w:t xml:space="preserve">Brown G, Imel B, Nelson A, Hale LS, Jansen N. Correlations between PANCE performance, physician assistant program grade point average, and selection criteria. </w:t>
      </w:r>
      <w:r w:rsidRPr="002C6551">
        <w:rPr>
          <w:i/>
          <w:iCs/>
        </w:rPr>
        <w:t>J Physician Assist Educ Off J Physician Assist Educ Assoc</w:t>
      </w:r>
      <w:r w:rsidRPr="002C6551">
        <w:t>. 2013;24(1):42-44.</w:t>
      </w:r>
    </w:p>
    <w:p w14:paraId="6E211C38" w14:textId="77777777" w:rsidR="002C6551" w:rsidRPr="002C6551" w:rsidRDefault="002C6551" w:rsidP="002C6551">
      <w:pPr>
        <w:pStyle w:val="Bibliography"/>
      </w:pPr>
      <w:r w:rsidRPr="002C6551">
        <w:t xml:space="preserve">6. </w:t>
      </w:r>
      <w:r w:rsidRPr="002C6551">
        <w:tab/>
        <w:t xml:space="preserve">Bushardt RL, Booze LE, Hewett ML, Hildebrandt C, Thomas SE. Physician assistant program characteristics and faculty credentials on physician assistant national certifying exam pass rates. </w:t>
      </w:r>
      <w:r w:rsidRPr="002C6551">
        <w:rPr>
          <w:i/>
          <w:iCs/>
        </w:rPr>
        <w:t>J Physician Assist Educ Off J Physician Assist Educ Assoc</w:t>
      </w:r>
      <w:r w:rsidRPr="002C6551">
        <w:t>. 2012;23(1):19-23.</w:t>
      </w:r>
    </w:p>
    <w:p w14:paraId="074489F5" w14:textId="77777777" w:rsidR="002C6551" w:rsidRPr="002C6551" w:rsidRDefault="002C6551" w:rsidP="002C6551">
      <w:pPr>
        <w:pStyle w:val="Bibliography"/>
      </w:pPr>
      <w:r w:rsidRPr="002C6551">
        <w:t xml:space="preserve">7. </w:t>
      </w:r>
      <w:r w:rsidRPr="002C6551">
        <w:tab/>
        <w:t>Higbee JL, Dwinell PL. Creating Profiles of High Risk Students. March 1988. http://eric.ed.gov/?id=ED298181. Accessed December 29, 2014.</w:t>
      </w:r>
    </w:p>
    <w:p w14:paraId="6B6D365F" w14:textId="77777777" w:rsidR="002C6551" w:rsidRPr="002C6551" w:rsidRDefault="002C6551" w:rsidP="002C6551">
      <w:pPr>
        <w:pStyle w:val="Bibliography"/>
      </w:pPr>
      <w:r w:rsidRPr="002C6551">
        <w:t xml:space="preserve">8. </w:t>
      </w:r>
      <w:r w:rsidRPr="002C6551">
        <w:tab/>
        <w:t xml:space="preserve">PAEA. </w:t>
      </w:r>
      <w:r w:rsidRPr="002C6551">
        <w:rPr>
          <w:i/>
          <w:iCs/>
        </w:rPr>
        <w:t>Physician Assistant Education Association, By the Numbers: Matriculating Students</w:t>
      </w:r>
      <w:r w:rsidRPr="002C6551">
        <w:t>. Washington, DC; 2015. doi:10.17538/MSS2015.003</w:t>
      </w:r>
    </w:p>
    <w:p w14:paraId="57CBC775" w14:textId="77777777" w:rsidR="002C6551" w:rsidRPr="002C6551" w:rsidRDefault="002C6551" w:rsidP="002C6551">
      <w:pPr>
        <w:pStyle w:val="Bibliography"/>
      </w:pPr>
      <w:r w:rsidRPr="002C6551">
        <w:t xml:space="preserve">9. </w:t>
      </w:r>
      <w:r w:rsidRPr="002C6551">
        <w:tab/>
        <w:t xml:space="preserve">Lyndon MP, Strom JM, Alyami HM, et al. The relationship between academic assessment and psychological distress among medical students: a systematic review. </w:t>
      </w:r>
      <w:r w:rsidRPr="002C6551">
        <w:rPr>
          <w:i/>
          <w:iCs/>
        </w:rPr>
        <w:t>Perspect Med Educ</w:t>
      </w:r>
      <w:r w:rsidRPr="002C6551">
        <w:t>. 2014;3(6):405-418. doi:10.1007/s40037-014-0148-6</w:t>
      </w:r>
    </w:p>
    <w:p w14:paraId="3FAFB18A" w14:textId="77777777" w:rsidR="002C6551" w:rsidRPr="002C6551" w:rsidRDefault="002C6551" w:rsidP="002C6551">
      <w:pPr>
        <w:pStyle w:val="Bibliography"/>
      </w:pPr>
      <w:r w:rsidRPr="002C6551">
        <w:t xml:space="preserve">10. </w:t>
      </w:r>
      <w:r w:rsidRPr="002C6551">
        <w:tab/>
        <w:t xml:space="preserve">Walkiewicz M, Tartas M, Majkowicz M, Budzinski W. Academic achievement, depression and anxiety during medical education predict the styles of success in a medical career: a 10-year longitudinal study. </w:t>
      </w:r>
      <w:r w:rsidRPr="002C6551">
        <w:rPr>
          <w:i/>
          <w:iCs/>
        </w:rPr>
        <w:t>Med Teach</w:t>
      </w:r>
      <w:r w:rsidRPr="002C6551">
        <w:t>. 2012;34(9):e611-619. doi:10.3109/0142159X.2012.687478</w:t>
      </w:r>
    </w:p>
    <w:p w14:paraId="523AD366" w14:textId="77777777" w:rsidR="002C6551" w:rsidRPr="002C6551" w:rsidRDefault="002C6551" w:rsidP="002C6551">
      <w:pPr>
        <w:pStyle w:val="Bibliography"/>
      </w:pPr>
      <w:r w:rsidRPr="002C6551">
        <w:t xml:space="preserve">11. </w:t>
      </w:r>
      <w:r w:rsidRPr="002C6551">
        <w:tab/>
        <w:t xml:space="preserve">Guerrasio J, Brooks E, Rumack CM, Christensen A, Aagaard EM. Association of Characteristics, Deficits, and Outcomes of Residents Placed on Probation at One Institution, 2002–2012: </w:t>
      </w:r>
      <w:r w:rsidRPr="002C6551">
        <w:rPr>
          <w:i/>
          <w:iCs/>
        </w:rPr>
        <w:t>Acad Med</w:t>
      </w:r>
      <w:r w:rsidRPr="002C6551">
        <w:t>. 2016;91(3):382-387. doi:10.1097/ACM.0000000000000879</w:t>
      </w:r>
    </w:p>
    <w:p w14:paraId="35CCC8D8" w14:textId="77777777" w:rsidR="002C6551" w:rsidRPr="002C6551" w:rsidRDefault="002C6551" w:rsidP="002C6551">
      <w:pPr>
        <w:pStyle w:val="Bibliography"/>
      </w:pPr>
      <w:r w:rsidRPr="002C6551">
        <w:lastRenderedPageBreak/>
        <w:t xml:space="preserve">12. </w:t>
      </w:r>
      <w:r w:rsidRPr="002C6551">
        <w:tab/>
        <w:t xml:space="preserve">Hudak NM, Enking PJ, Gorney C, Gonzalez-Colaso R. Tales from the trenches: physician assistants’ perspectives about precepting students. </w:t>
      </w:r>
      <w:r w:rsidRPr="002C6551">
        <w:rPr>
          <w:i/>
          <w:iCs/>
        </w:rPr>
        <w:t>J Physician Assist Educ Off J Physician Assist Educ Assoc</w:t>
      </w:r>
      <w:r w:rsidRPr="002C6551">
        <w:t>. 2014;25(1):12-19.</w:t>
      </w:r>
    </w:p>
    <w:p w14:paraId="0C41E9AD" w14:textId="77777777" w:rsidR="002C6551" w:rsidRPr="002C6551" w:rsidRDefault="002C6551" w:rsidP="002C6551">
      <w:pPr>
        <w:pStyle w:val="Bibliography"/>
      </w:pPr>
      <w:r w:rsidRPr="002C6551">
        <w:t xml:space="preserve">13. </w:t>
      </w:r>
      <w:r w:rsidRPr="002C6551">
        <w:tab/>
        <w:t xml:space="preserve">Hendricson WD, Kleffner JH. Assessing and helping challenging students: Part One, Why do some students have difficulty learning? </w:t>
      </w:r>
      <w:r w:rsidRPr="002C6551">
        <w:rPr>
          <w:i/>
          <w:iCs/>
        </w:rPr>
        <w:t>J Dent Educ</w:t>
      </w:r>
      <w:r w:rsidRPr="002C6551">
        <w:t>. 2002;66(1):43-61. http://www.jdentaled.org/content/66/1/43. Accessed August 15, 2015.</w:t>
      </w:r>
    </w:p>
    <w:p w14:paraId="57AE5834" w14:textId="77777777" w:rsidR="002C6551" w:rsidRPr="002C6551" w:rsidRDefault="002C6551" w:rsidP="002C6551">
      <w:pPr>
        <w:pStyle w:val="Bibliography"/>
      </w:pPr>
      <w:r w:rsidRPr="002C6551">
        <w:t xml:space="preserve">14. </w:t>
      </w:r>
      <w:r w:rsidRPr="002C6551">
        <w:tab/>
        <w:t xml:space="preserve">Stratton TD, Elam CL. A holistic review of the medical school admission process: examining correlates of academic underperformance. </w:t>
      </w:r>
      <w:r w:rsidRPr="002C6551">
        <w:rPr>
          <w:i/>
          <w:iCs/>
        </w:rPr>
        <w:t>Med Educ Online</w:t>
      </w:r>
      <w:r w:rsidRPr="002C6551">
        <w:t>. 2014;19. doi:10.3402/meo.v19.22919</w:t>
      </w:r>
    </w:p>
    <w:p w14:paraId="567AB23C" w14:textId="77777777" w:rsidR="002C6551" w:rsidRPr="002C6551" w:rsidRDefault="002C6551" w:rsidP="002C6551">
      <w:pPr>
        <w:pStyle w:val="Bibliography"/>
      </w:pPr>
      <w:r w:rsidRPr="002C6551">
        <w:t xml:space="preserve">15. </w:t>
      </w:r>
      <w:r w:rsidRPr="002C6551">
        <w:tab/>
        <w:t xml:space="preserve">Boot C, Donders N, Vonk P, Meijman F. Development of a student health questionnaire: the necessity of a symbiosis of science and practice. </w:t>
      </w:r>
      <w:r w:rsidRPr="002C6551">
        <w:rPr>
          <w:i/>
          <w:iCs/>
        </w:rPr>
        <w:t>Glob Health Promot</w:t>
      </w:r>
      <w:r w:rsidRPr="002C6551">
        <w:t>. 2009;16(3):35-44. doi:http://dx.doi.org/10.1177/1757975909339763</w:t>
      </w:r>
    </w:p>
    <w:p w14:paraId="3C147E7D" w14:textId="77777777" w:rsidR="002C6551" w:rsidRPr="002C6551" w:rsidRDefault="002C6551" w:rsidP="002C6551">
      <w:pPr>
        <w:pStyle w:val="Bibliography"/>
      </w:pPr>
      <w:r w:rsidRPr="002C6551">
        <w:t xml:space="preserve">16. </w:t>
      </w:r>
      <w:r w:rsidRPr="002C6551">
        <w:tab/>
        <w:t xml:space="preserve">Skinner BF. </w:t>
      </w:r>
      <w:r w:rsidRPr="002C6551">
        <w:rPr>
          <w:i/>
          <w:iCs/>
        </w:rPr>
        <w:t>The Technology of Teaching</w:t>
      </w:r>
      <w:r w:rsidRPr="002C6551">
        <w:t>. B. F. Skinner Foundation; 2016.</w:t>
      </w:r>
    </w:p>
    <w:p w14:paraId="79456151" w14:textId="77777777" w:rsidR="002C6551" w:rsidRPr="002C6551" w:rsidRDefault="002C6551" w:rsidP="002C6551">
      <w:pPr>
        <w:pStyle w:val="Bibliography"/>
      </w:pPr>
      <w:r w:rsidRPr="002C6551">
        <w:t xml:space="preserve">17. </w:t>
      </w:r>
      <w:r w:rsidRPr="002C6551">
        <w:tab/>
        <w:t xml:space="preserve">Wiener CM, Thomas PA, Goodspeed E, Valle D, Nichols DG. “Genes to society”—the logic and process of the new curriculum for the Johns Hopkins University School of Medicine. </w:t>
      </w:r>
      <w:r w:rsidRPr="002C6551">
        <w:rPr>
          <w:i/>
          <w:iCs/>
        </w:rPr>
        <w:t>Acad Med</w:t>
      </w:r>
      <w:r w:rsidRPr="002C6551">
        <w:t>. 2010;85(3):498–506. http://journals.lww.com/academicmedicine/Abstract/2010/03000/_Genes_to_Society__The_Logic_and_Process_of_the.28.aspx. Accessed October 14, 2017.</w:t>
      </w:r>
    </w:p>
    <w:p w14:paraId="75B34D72" w14:textId="77777777" w:rsidR="002C6551" w:rsidRPr="002C6551" w:rsidRDefault="002C6551" w:rsidP="002C6551">
      <w:pPr>
        <w:pStyle w:val="Bibliography"/>
      </w:pPr>
      <w:r w:rsidRPr="002C6551">
        <w:t xml:space="preserve">18. </w:t>
      </w:r>
      <w:r w:rsidRPr="002C6551">
        <w:tab/>
        <w:t xml:space="preserve">Dismuke SE, McClary AM. Putting It All Together: Building a Four-year Curriculum. </w:t>
      </w:r>
      <w:r w:rsidRPr="002C6551">
        <w:rPr>
          <w:i/>
          <w:iCs/>
        </w:rPr>
        <w:t>Acad Med</w:t>
      </w:r>
      <w:r w:rsidRPr="002C6551">
        <w:t>. 2000;75(7):S90–S92. http://journals.lww.com/academicmedicine/Abstract/2000/07001/Putting_It_All_Together__Building_a_Four_year.14.aspx. Accessed October 14, 2017.</w:t>
      </w:r>
    </w:p>
    <w:p w14:paraId="7AAEF357" w14:textId="77777777" w:rsidR="002C6551" w:rsidRPr="002C6551" w:rsidRDefault="002C6551" w:rsidP="002C6551">
      <w:pPr>
        <w:pStyle w:val="Bibliography"/>
      </w:pPr>
      <w:r w:rsidRPr="002C6551">
        <w:t xml:space="preserve">19. </w:t>
      </w:r>
      <w:r w:rsidRPr="002C6551">
        <w:tab/>
        <w:t xml:space="preserve">Drake RL, McBride JM, Lachman N, Pawlina W. Medical education in the anatomical sciences: The winds of change continue to blow. </w:t>
      </w:r>
      <w:r w:rsidRPr="002C6551">
        <w:rPr>
          <w:i/>
          <w:iCs/>
        </w:rPr>
        <w:t>Anat Sci Educ</w:t>
      </w:r>
      <w:r w:rsidRPr="002C6551">
        <w:t>. 2009;2(6):253-259. doi:10.1002/ase.117</w:t>
      </w:r>
    </w:p>
    <w:p w14:paraId="24BA4439" w14:textId="77777777" w:rsidR="002C6551" w:rsidRPr="002C6551" w:rsidRDefault="002C6551" w:rsidP="002C6551">
      <w:pPr>
        <w:pStyle w:val="Bibliography"/>
      </w:pPr>
      <w:r w:rsidRPr="002C6551">
        <w:t xml:space="preserve">20. </w:t>
      </w:r>
      <w:r w:rsidRPr="002C6551">
        <w:tab/>
        <w:t xml:space="preserve">McAndrew M, Kamboj RS, Pierre GC. Do dental students use optimal study strategies? </w:t>
      </w:r>
      <w:r w:rsidRPr="002C6551">
        <w:rPr>
          <w:i/>
          <w:iCs/>
        </w:rPr>
        <w:t>J Dent Educ</w:t>
      </w:r>
      <w:r w:rsidRPr="002C6551">
        <w:t>. 2015;79(1):33-37.</w:t>
      </w:r>
    </w:p>
    <w:p w14:paraId="18D7FCAD" w14:textId="77777777" w:rsidR="002C6551" w:rsidRPr="002C6551" w:rsidRDefault="002C6551" w:rsidP="002C6551">
      <w:pPr>
        <w:pStyle w:val="Bibliography"/>
      </w:pPr>
      <w:r w:rsidRPr="002C6551">
        <w:t xml:space="preserve">21. </w:t>
      </w:r>
      <w:r w:rsidRPr="002C6551">
        <w:tab/>
        <w:t xml:space="preserve">Harvey BJ, Rothman AI, Frecker RC. Effect of an undergraduate medical curriculum on students’ self-directed learning. </w:t>
      </w:r>
      <w:r w:rsidRPr="002C6551">
        <w:rPr>
          <w:i/>
          <w:iCs/>
        </w:rPr>
        <w:t>Acad Med</w:t>
      </w:r>
      <w:r w:rsidRPr="002C6551">
        <w:t>. 2003;78(12):1259–1265. http://journals.lww.com/academicmedicine/Abstract/2003/12000/Effect_of_an_Undergraduate_Medical_Curriculum_on.15.aspx. Accessed October 14, 2017.</w:t>
      </w:r>
    </w:p>
    <w:p w14:paraId="310534A4" w14:textId="77777777" w:rsidR="002C6551" w:rsidRPr="002C6551" w:rsidRDefault="002C6551" w:rsidP="002C6551">
      <w:pPr>
        <w:pStyle w:val="Bibliography"/>
      </w:pPr>
      <w:r w:rsidRPr="002C6551">
        <w:lastRenderedPageBreak/>
        <w:t xml:space="preserve">22. </w:t>
      </w:r>
      <w:r w:rsidRPr="002C6551">
        <w:tab/>
        <w:t xml:space="preserve">Gunzburger LK. U.S. medical schools’ valuing of curriculum time: self-directed learning versus lectures. </w:t>
      </w:r>
      <w:r w:rsidRPr="002C6551">
        <w:rPr>
          <w:i/>
          <w:iCs/>
        </w:rPr>
        <w:t>Acad Med</w:t>
      </w:r>
      <w:r w:rsidRPr="002C6551">
        <w:t>. 1993;68(9):700. http://journals.lww.com/academicmedicine/Abstract/1993/09000/U_S__medical_schools__valuing_of_curriculum_time_.18.aspx. Accessed December 24, 2017.</w:t>
      </w:r>
    </w:p>
    <w:p w14:paraId="2FC14F78" w14:textId="77777777" w:rsidR="002C6551" w:rsidRPr="002C6551" w:rsidRDefault="002C6551" w:rsidP="002C6551">
      <w:pPr>
        <w:pStyle w:val="Bibliography"/>
      </w:pPr>
      <w:r w:rsidRPr="002C6551">
        <w:t xml:space="preserve">23. </w:t>
      </w:r>
      <w:r w:rsidRPr="002C6551">
        <w:tab/>
        <w:t xml:space="preserve">Wittich CM, Agrawal A, Wang AT, et al. Flipped Classrooms in Graduate Medical Education: A National Survey of Residency Program Directors. </w:t>
      </w:r>
      <w:r w:rsidRPr="002C6551">
        <w:rPr>
          <w:i/>
          <w:iCs/>
        </w:rPr>
        <w:t>Acad Med</w:t>
      </w:r>
      <w:r w:rsidRPr="002C6551">
        <w:t>. June 2017:1. doi:10.1097/ACM.0000000000001776</w:t>
      </w:r>
    </w:p>
    <w:p w14:paraId="26128AE8" w14:textId="77777777" w:rsidR="002C6551" w:rsidRPr="002C6551" w:rsidRDefault="002C6551" w:rsidP="002C6551">
      <w:pPr>
        <w:pStyle w:val="Bibliography"/>
      </w:pPr>
      <w:r w:rsidRPr="002C6551">
        <w:t xml:space="preserve">24. </w:t>
      </w:r>
      <w:r w:rsidRPr="002C6551">
        <w:tab/>
        <w:t xml:space="preserve">Rhodes AE, Rozell TG. A constructivist approach to e-text design for use in undergraduate physiology courses. </w:t>
      </w:r>
      <w:r w:rsidRPr="002C6551">
        <w:rPr>
          <w:i/>
          <w:iCs/>
        </w:rPr>
        <w:t>Adv Physiol Educ</w:t>
      </w:r>
      <w:r w:rsidRPr="002C6551">
        <w:t>. 2015;39(3):172-180. doi:10.1152/advan.00011.2015</w:t>
      </w:r>
    </w:p>
    <w:p w14:paraId="3067B7BB" w14:textId="77777777" w:rsidR="002C6551" w:rsidRPr="002C6551" w:rsidRDefault="002C6551" w:rsidP="002C6551">
      <w:pPr>
        <w:pStyle w:val="Bibliography"/>
      </w:pPr>
      <w:r w:rsidRPr="002C6551">
        <w:t xml:space="preserve">25. </w:t>
      </w:r>
      <w:r w:rsidRPr="002C6551">
        <w:tab/>
        <w:t>LCME | Liaison Committee on Medical Education. http://lcme.org/. Accessed February 18, 2018.</w:t>
      </w:r>
    </w:p>
    <w:p w14:paraId="1600456C" w14:textId="77777777" w:rsidR="002C6551" w:rsidRPr="002C6551" w:rsidRDefault="002C6551" w:rsidP="002C6551">
      <w:pPr>
        <w:pStyle w:val="Bibliography"/>
      </w:pPr>
      <w:r w:rsidRPr="002C6551">
        <w:t xml:space="preserve">26. </w:t>
      </w:r>
      <w:r w:rsidRPr="002C6551">
        <w:tab/>
        <w:t xml:space="preserve">Dimitriadis G, Kamberelis G. </w:t>
      </w:r>
      <w:r w:rsidRPr="002C6551">
        <w:rPr>
          <w:i/>
          <w:iCs/>
        </w:rPr>
        <w:t>Theory for Education</w:t>
      </w:r>
      <w:r w:rsidRPr="002C6551">
        <w:t>. Taylor &amp; Francis; 2006.</w:t>
      </w:r>
    </w:p>
    <w:p w14:paraId="2373F476" w14:textId="77777777" w:rsidR="002C6551" w:rsidRPr="002C6551" w:rsidRDefault="002C6551" w:rsidP="002C6551">
      <w:pPr>
        <w:pStyle w:val="Bibliography"/>
      </w:pPr>
      <w:r w:rsidRPr="002C6551">
        <w:t xml:space="preserve">27. </w:t>
      </w:r>
      <w:r w:rsidRPr="002C6551">
        <w:tab/>
        <w:t xml:space="preserve">Ertmer PA, Newby TJ. Behaviorism, Cognitivism, Constructivism: Comparing Critical Features From an Instructional Design Perspective. </w:t>
      </w:r>
      <w:r w:rsidRPr="002C6551">
        <w:rPr>
          <w:i/>
          <w:iCs/>
        </w:rPr>
        <w:t>Perform Improv Q</w:t>
      </w:r>
      <w:r w:rsidRPr="002C6551">
        <w:t>. 2013;26(2):43-71. doi:10.1002/piq.21143</w:t>
      </w:r>
    </w:p>
    <w:p w14:paraId="32761D7F" w14:textId="77777777" w:rsidR="002C6551" w:rsidRPr="002C6551" w:rsidRDefault="002C6551" w:rsidP="002C6551">
      <w:pPr>
        <w:pStyle w:val="Bibliography"/>
      </w:pPr>
      <w:r w:rsidRPr="002C6551">
        <w:t xml:space="preserve">28. </w:t>
      </w:r>
      <w:r w:rsidRPr="002C6551">
        <w:tab/>
        <w:t xml:space="preserve">Gonzalo JD, Ahluwalia A, Hamilton M, Wolf H, Wolpaw DR, Thompson BM. Aligning Education With Health Care Transformation: Identifying a Shared Mental Model of “New” Faculty Competencies for Academic Faculty. </w:t>
      </w:r>
      <w:r w:rsidRPr="002C6551">
        <w:rPr>
          <w:i/>
          <w:iCs/>
        </w:rPr>
        <w:t>Acad Med</w:t>
      </w:r>
      <w:r w:rsidRPr="002C6551">
        <w:t>. 2017;Publish Ahead of Print. doi:10.1097/ACM.0000000000001895</w:t>
      </w:r>
    </w:p>
    <w:p w14:paraId="785667AD" w14:textId="77777777" w:rsidR="002C6551" w:rsidRPr="002C6551" w:rsidRDefault="002C6551" w:rsidP="002C6551">
      <w:pPr>
        <w:pStyle w:val="Bibliography"/>
      </w:pPr>
      <w:r w:rsidRPr="002C6551">
        <w:t xml:space="preserve">29. </w:t>
      </w:r>
      <w:r w:rsidRPr="002C6551">
        <w:tab/>
        <w:t xml:space="preserve">Aboalshamat K, Hou X-Y, Strodl E. Psychological well-being status among medical and dental students in Makkah, Saudi Arabia: A cross-sectional study. </w:t>
      </w:r>
      <w:r w:rsidRPr="002C6551">
        <w:rPr>
          <w:i/>
          <w:iCs/>
        </w:rPr>
        <w:t>Med Teach</w:t>
      </w:r>
      <w:r w:rsidRPr="002C6551">
        <w:t>. 2015;37(S1):S75-S81. doi:10.3109/0142159X.2015.1006612</w:t>
      </w:r>
    </w:p>
    <w:p w14:paraId="25D4502F" w14:textId="77777777" w:rsidR="002C6551" w:rsidRPr="002C6551" w:rsidRDefault="002C6551" w:rsidP="002C6551">
      <w:pPr>
        <w:pStyle w:val="Bibliography"/>
      </w:pPr>
      <w:r w:rsidRPr="002C6551">
        <w:t xml:space="preserve">30. </w:t>
      </w:r>
      <w:r w:rsidRPr="002C6551">
        <w:tab/>
        <w:t xml:space="preserve">Babar MG, Hasan SS, Ooi YJ, et al. Perceived sources of stress among Malaysian dental students. </w:t>
      </w:r>
      <w:r w:rsidRPr="002C6551">
        <w:rPr>
          <w:i/>
          <w:iCs/>
        </w:rPr>
        <w:t>Int J Med Educ</w:t>
      </w:r>
      <w:r w:rsidRPr="002C6551">
        <w:t>. 2015;6:56-61. doi:10.5116/ijme.5521.3b2d</w:t>
      </w:r>
    </w:p>
    <w:p w14:paraId="5D14EA1F" w14:textId="77777777" w:rsidR="002C6551" w:rsidRPr="002C6551" w:rsidRDefault="002C6551" w:rsidP="002C6551">
      <w:pPr>
        <w:pStyle w:val="Bibliography"/>
      </w:pPr>
      <w:r w:rsidRPr="002C6551">
        <w:t xml:space="preserve">31. </w:t>
      </w:r>
      <w:r w:rsidRPr="002C6551">
        <w:tab/>
        <w:t xml:space="preserve">Elani HW, Bedos C, Allison PJ. Sources of Stress in Canadian Dental Students: A Prospective Mixed Methods Study. </w:t>
      </w:r>
      <w:r w:rsidRPr="002C6551">
        <w:rPr>
          <w:i/>
          <w:iCs/>
        </w:rPr>
        <w:t>J Dent Educ</w:t>
      </w:r>
      <w:r w:rsidRPr="002C6551">
        <w:t>. 2013;77(11):1488-1497. http://www.jdentaled.org/content/77/11/1488. Accessed October 13, 2015.</w:t>
      </w:r>
    </w:p>
    <w:p w14:paraId="0666994E" w14:textId="77777777" w:rsidR="002C6551" w:rsidRPr="002C6551" w:rsidRDefault="002C6551" w:rsidP="002C6551">
      <w:pPr>
        <w:pStyle w:val="Bibliography"/>
      </w:pPr>
      <w:r w:rsidRPr="002C6551">
        <w:t xml:space="preserve">32. </w:t>
      </w:r>
      <w:r w:rsidRPr="002C6551">
        <w:tab/>
        <w:t xml:space="preserve">Doerr JM, Ditzen B, Strahler J, et al. Reciprocal relationship between acute stress and acute fatigue in everyday life in a sample of university students. </w:t>
      </w:r>
      <w:r w:rsidRPr="002C6551">
        <w:rPr>
          <w:i/>
          <w:iCs/>
        </w:rPr>
        <w:t>Biol Psychol</w:t>
      </w:r>
      <w:r w:rsidRPr="002C6551">
        <w:t>. 2015;110:42-49. doi:10.1016/j.biopsycho.2015.06.009</w:t>
      </w:r>
    </w:p>
    <w:p w14:paraId="29140A59" w14:textId="77777777" w:rsidR="002C6551" w:rsidRPr="002C6551" w:rsidRDefault="002C6551" w:rsidP="002C6551">
      <w:pPr>
        <w:pStyle w:val="Bibliography"/>
      </w:pPr>
      <w:r w:rsidRPr="002C6551">
        <w:lastRenderedPageBreak/>
        <w:t xml:space="preserve">33. </w:t>
      </w:r>
      <w:r w:rsidRPr="002C6551">
        <w:tab/>
        <w:t xml:space="preserve">van VLT, Barnhoorn PC, Giltay EJ, van NMS. Burnout, depression and anxiety in preclinical medical students: a cross-sectional survey. </w:t>
      </w:r>
      <w:r w:rsidRPr="002C6551">
        <w:rPr>
          <w:i/>
          <w:iCs/>
        </w:rPr>
        <w:t>Int J Adolesc Med Health</w:t>
      </w:r>
      <w:r w:rsidRPr="002C6551">
        <w:t>. 2015;0(0). doi:10.1515/ijamh-2015-0077</w:t>
      </w:r>
    </w:p>
    <w:p w14:paraId="00DDB6FA" w14:textId="77777777" w:rsidR="002C6551" w:rsidRPr="002C6551" w:rsidRDefault="002C6551" w:rsidP="002C6551">
      <w:pPr>
        <w:pStyle w:val="Bibliography"/>
      </w:pPr>
      <w:r w:rsidRPr="002C6551">
        <w:t xml:space="preserve">34. </w:t>
      </w:r>
      <w:r w:rsidRPr="002C6551">
        <w:tab/>
        <w:t xml:space="preserve">Knafo A, Guilé J-M, Breton J-J, et al. Coping Strategies Associated With Suicidal Behaviour in Adolescent Inpatients With Borderline Personality Disorder. </w:t>
      </w:r>
      <w:r w:rsidRPr="002C6551">
        <w:rPr>
          <w:i/>
          <w:iCs/>
        </w:rPr>
        <w:t>Can J Psychiatry Rev Can Psychiatr</w:t>
      </w:r>
      <w:r w:rsidRPr="002C6551">
        <w:t>. 2015;60(2 Suppl 1):S46-S54. http://www.ncbi.nlm.nih.gov/pmc/articles/PMC4345850/. Accessed January 4, 2016.</w:t>
      </w:r>
    </w:p>
    <w:p w14:paraId="54C1429A" w14:textId="77777777" w:rsidR="002C6551" w:rsidRPr="002C6551" w:rsidRDefault="002C6551" w:rsidP="002C6551">
      <w:pPr>
        <w:pStyle w:val="Bibliography"/>
      </w:pPr>
      <w:r w:rsidRPr="002C6551">
        <w:t xml:space="preserve">35. </w:t>
      </w:r>
      <w:r w:rsidRPr="002C6551">
        <w:tab/>
        <w:t xml:space="preserve">Mahmood JI, Grotmol KS, Tesli M, Vaglum P, Tyssen R. Risk Factors Measured During Medical School for Later Hazardous Drinking: A 10-year, Longitudinal, Nationwide Study (NORDOC). </w:t>
      </w:r>
      <w:r w:rsidRPr="002C6551">
        <w:rPr>
          <w:i/>
          <w:iCs/>
        </w:rPr>
        <w:t>Alcohol Alcohol</w:t>
      </w:r>
      <w:r w:rsidRPr="002C6551">
        <w:t>. 2016;51(1):71-76. doi:10.1093/alcalc/agv059</w:t>
      </w:r>
    </w:p>
    <w:p w14:paraId="1524E71D" w14:textId="77777777" w:rsidR="002C6551" w:rsidRPr="002C6551" w:rsidRDefault="002C6551" w:rsidP="002C6551">
      <w:pPr>
        <w:pStyle w:val="Bibliography"/>
      </w:pPr>
      <w:r w:rsidRPr="002C6551">
        <w:t xml:space="preserve">36. </w:t>
      </w:r>
      <w:r w:rsidRPr="002C6551">
        <w:tab/>
        <w:t xml:space="preserve">Brondani MA, Ramanula D, Pattanaporn K. Tackling stress management, addiction, and suicide prevention in a predoctoral dental curriculum. </w:t>
      </w:r>
      <w:r w:rsidRPr="002C6551">
        <w:rPr>
          <w:i/>
          <w:iCs/>
        </w:rPr>
        <w:t>J Dent Educ</w:t>
      </w:r>
      <w:r w:rsidRPr="002C6551">
        <w:t>. 2014;78(9):1286–1293. http://www.jdentaled.org/content/78/9/1286.short. Accessed January 11, 2016.</w:t>
      </w:r>
    </w:p>
    <w:p w14:paraId="43C30852" w14:textId="77777777" w:rsidR="002C6551" w:rsidRPr="002C6551" w:rsidRDefault="002C6551" w:rsidP="002C6551">
      <w:pPr>
        <w:pStyle w:val="Bibliography"/>
      </w:pPr>
      <w:r w:rsidRPr="002C6551">
        <w:t xml:space="preserve">37. </w:t>
      </w:r>
      <w:r w:rsidRPr="002C6551">
        <w:tab/>
        <w:t xml:space="preserve">Bahramnejad A, Rabani-Bavojdan M, Rabani-Bavojdan M. The Relationship of Metacognitive Beliefs and Tendency to Addiction in Sistan and Baluchistan University, Zahedan, Iran. </w:t>
      </w:r>
      <w:r w:rsidRPr="002C6551">
        <w:rPr>
          <w:i/>
          <w:iCs/>
        </w:rPr>
        <w:t>Addict Health</w:t>
      </w:r>
      <w:r w:rsidRPr="002C6551">
        <w:t>. 2012;4(1-2):65-72. http://www.ncbi.nlm.nih.gov/pmc/articles/PMC3905549/. Accessed August 15, 2015.</w:t>
      </w:r>
    </w:p>
    <w:p w14:paraId="2C2301E4" w14:textId="77777777" w:rsidR="002C6551" w:rsidRPr="002C6551" w:rsidRDefault="002C6551" w:rsidP="002C6551">
      <w:pPr>
        <w:pStyle w:val="Bibliography"/>
      </w:pPr>
      <w:r w:rsidRPr="002C6551">
        <w:t xml:space="preserve">38. </w:t>
      </w:r>
      <w:r w:rsidRPr="002C6551">
        <w:tab/>
        <w:t>PubMed Central Full Text PDF. http://www.ncbi.nlm.nih.gov/pmc/articles/PMC3905549/pdf/AHJ-04-065.pdf. Accessed August 15, 2015.</w:t>
      </w:r>
    </w:p>
    <w:p w14:paraId="560C41F9" w14:textId="77777777" w:rsidR="002C6551" w:rsidRPr="002C6551" w:rsidRDefault="002C6551" w:rsidP="002C6551">
      <w:pPr>
        <w:pStyle w:val="Bibliography"/>
      </w:pPr>
      <w:r w:rsidRPr="002C6551">
        <w:t xml:space="preserve">39. </w:t>
      </w:r>
      <w:r w:rsidRPr="002C6551">
        <w:tab/>
        <w:t xml:space="preserve">Mustafa OM. Health behaviors and personality in burnout: a third dimension. </w:t>
      </w:r>
      <w:r w:rsidRPr="002C6551">
        <w:rPr>
          <w:i/>
          <w:iCs/>
        </w:rPr>
        <w:t>Med Educ Online</w:t>
      </w:r>
      <w:r w:rsidRPr="002C6551">
        <w:t>. 2015;20. doi:10.3402/meo.v20.28187</w:t>
      </w:r>
    </w:p>
    <w:p w14:paraId="2F4BC580" w14:textId="77777777" w:rsidR="002C6551" w:rsidRPr="002C6551" w:rsidRDefault="002C6551" w:rsidP="002C6551">
      <w:pPr>
        <w:pStyle w:val="Bibliography"/>
      </w:pPr>
      <w:r w:rsidRPr="002C6551">
        <w:t xml:space="preserve">40. </w:t>
      </w:r>
      <w:r w:rsidRPr="002C6551">
        <w:tab/>
        <w:t xml:space="preserve">Freud A. </w:t>
      </w:r>
      <w:r w:rsidRPr="002C6551">
        <w:rPr>
          <w:i/>
          <w:iCs/>
        </w:rPr>
        <w:t>The Ego and the Mechanisms of Defence.  Issue 30 of INternational Psycho-Analytical Library. Volume 2 of Writings of Anna Freud</w:t>
      </w:r>
      <w:r w:rsidRPr="002C6551">
        <w:t>. Vol 2. revised. Karnac Books; 1992.</w:t>
      </w:r>
    </w:p>
    <w:p w14:paraId="08E48364" w14:textId="77777777" w:rsidR="002C6551" w:rsidRPr="002C6551" w:rsidRDefault="002C6551" w:rsidP="002C6551">
      <w:pPr>
        <w:pStyle w:val="Bibliography"/>
      </w:pPr>
      <w:r w:rsidRPr="002C6551">
        <w:t xml:space="preserve">41. </w:t>
      </w:r>
      <w:r w:rsidRPr="002C6551">
        <w:tab/>
        <w:t xml:space="preserve">Waqas A, Rehman A, Malik A, Muhammad U, Khan S, Mahmood N. Association of Ego Defense Mechanisms with Academic Performance, Anxiety and Depression in Medical Students: A Mixed Methods Study. </w:t>
      </w:r>
      <w:r w:rsidRPr="002C6551">
        <w:rPr>
          <w:i/>
          <w:iCs/>
        </w:rPr>
        <w:t>Cureus</w:t>
      </w:r>
      <w:r w:rsidRPr="002C6551">
        <w:t>. September 2015. doi:10.7759/cureus.337</w:t>
      </w:r>
    </w:p>
    <w:p w14:paraId="4191362C" w14:textId="77777777" w:rsidR="002C6551" w:rsidRPr="002C6551" w:rsidRDefault="002C6551" w:rsidP="002C6551">
      <w:pPr>
        <w:pStyle w:val="Bibliography"/>
      </w:pPr>
      <w:r w:rsidRPr="002C6551">
        <w:t xml:space="preserve">42. </w:t>
      </w:r>
      <w:r w:rsidRPr="002C6551">
        <w:tab/>
        <w:t xml:space="preserve">Samouei R, Fooladvand M, Janghorban S, Khorvash F. Predicting the educational performance of Isfahan University students of medical sciences based on their behaviour profile, mental health and demographic </w:t>
      </w:r>
      <w:r w:rsidRPr="002C6551">
        <w:lastRenderedPageBreak/>
        <w:t xml:space="preserve">characteristic. </w:t>
      </w:r>
      <w:r w:rsidRPr="002C6551">
        <w:rPr>
          <w:i/>
          <w:iCs/>
        </w:rPr>
        <w:t>J Educ Health Promot</w:t>
      </w:r>
      <w:r w:rsidRPr="002C6551">
        <w:t>. 2015;4. doi:10.4103/2277-9531.157230</w:t>
      </w:r>
    </w:p>
    <w:p w14:paraId="7AD7FB37" w14:textId="77777777" w:rsidR="002C6551" w:rsidRPr="002C6551" w:rsidRDefault="002C6551" w:rsidP="002C6551">
      <w:pPr>
        <w:pStyle w:val="Bibliography"/>
      </w:pPr>
      <w:r w:rsidRPr="002C6551">
        <w:t xml:space="preserve">43. </w:t>
      </w:r>
      <w:r w:rsidRPr="002C6551">
        <w:tab/>
        <w:t xml:space="preserve">Doughty HA. Blooming Idiots: Education Objectives, Learning Taxonomies and the Peagogy of Benjamin Bloom. </w:t>
      </w:r>
      <w:r w:rsidRPr="002C6551">
        <w:rPr>
          <w:i/>
          <w:iCs/>
        </w:rPr>
        <w:t>Coll Q Seneca Coll</w:t>
      </w:r>
      <w:r w:rsidRPr="002C6551">
        <w:t>. 2006;09(Fall 2006):1-23.</w:t>
      </w:r>
    </w:p>
    <w:p w14:paraId="4ACD66E3" w14:textId="77777777" w:rsidR="002C6551" w:rsidRPr="002C6551" w:rsidRDefault="002C6551" w:rsidP="002C6551">
      <w:pPr>
        <w:pStyle w:val="Bibliography"/>
      </w:pPr>
      <w:r w:rsidRPr="002C6551">
        <w:t xml:space="preserve">44. </w:t>
      </w:r>
      <w:r w:rsidRPr="002C6551">
        <w:tab/>
        <w:t xml:space="preserve">Eichbaum QG. Thinking about Thinking and Emotion: The Metacognitive Approach to the Medical Humanities that Integrates the Humanities with the Basic and Clinical Sciences. </w:t>
      </w:r>
      <w:r w:rsidRPr="002C6551">
        <w:rPr>
          <w:i/>
          <w:iCs/>
        </w:rPr>
        <w:t>Perm J</w:t>
      </w:r>
      <w:r w:rsidRPr="002C6551">
        <w:t>. 2014;18(4):64-75. doi:10.7812/TPP/14-027</w:t>
      </w:r>
    </w:p>
    <w:p w14:paraId="44F100AF" w14:textId="77777777" w:rsidR="002C6551" w:rsidRPr="002C6551" w:rsidRDefault="002C6551" w:rsidP="002C6551">
      <w:pPr>
        <w:pStyle w:val="Bibliography"/>
      </w:pPr>
      <w:r w:rsidRPr="002C6551">
        <w:t xml:space="preserve">45. </w:t>
      </w:r>
      <w:r w:rsidRPr="002C6551">
        <w:tab/>
        <w:t xml:space="preserve">Krathwohl DR. A Revision of Bloom’s Taxonomy: An Overview. </w:t>
      </w:r>
      <w:r w:rsidRPr="002C6551">
        <w:rPr>
          <w:i/>
          <w:iCs/>
        </w:rPr>
        <w:t>Theory Pract</w:t>
      </w:r>
      <w:r w:rsidRPr="002C6551">
        <w:t>. 2002;41(4):212-218. doi:10.1207/s15430421tip4104_2</w:t>
      </w:r>
    </w:p>
    <w:p w14:paraId="6CB41AD4" w14:textId="77777777" w:rsidR="002C6551" w:rsidRPr="002C6551" w:rsidRDefault="002C6551" w:rsidP="002C6551">
      <w:pPr>
        <w:pStyle w:val="Bibliography"/>
      </w:pPr>
      <w:r w:rsidRPr="002C6551">
        <w:t xml:space="preserve">46. </w:t>
      </w:r>
      <w:r w:rsidRPr="002C6551">
        <w:tab/>
        <w:t xml:space="preserve">Driessen E. When I say … metacognition. </w:t>
      </w:r>
      <w:r w:rsidRPr="002C6551">
        <w:rPr>
          <w:i/>
          <w:iCs/>
        </w:rPr>
        <w:t>Med Educ</w:t>
      </w:r>
      <w:r w:rsidRPr="002C6551">
        <w:t>. 2014;48(6):561-562. doi:10.1111/medu.12374</w:t>
      </w:r>
    </w:p>
    <w:p w14:paraId="54762E60" w14:textId="77777777" w:rsidR="002C6551" w:rsidRPr="002C6551" w:rsidRDefault="002C6551" w:rsidP="002C6551">
      <w:pPr>
        <w:pStyle w:val="Bibliography"/>
      </w:pPr>
      <w:r w:rsidRPr="002C6551">
        <w:t xml:space="preserve">47. </w:t>
      </w:r>
      <w:r w:rsidRPr="002C6551">
        <w:tab/>
        <w:t xml:space="preserve">Mayne L. Reflective writing as a tool for assessing teamwork in bioscience: Insights into student performance and understanding of teamwork. </w:t>
      </w:r>
      <w:r w:rsidRPr="002C6551">
        <w:rPr>
          <w:i/>
          <w:iCs/>
        </w:rPr>
        <w:t>Biochem Mol Biol Educ</w:t>
      </w:r>
      <w:r w:rsidRPr="002C6551">
        <w:t>. 2012;40(4):234-240. doi:10.1002/bmb.20621</w:t>
      </w:r>
    </w:p>
    <w:p w14:paraId="54DE005A" w14:textId="77777777" w:rsidR="002C6551" w:rsidRPr="002C6551" w:rsidRDefault="002C6551" w:rsidP="002C6551">
      <w:pPr>
        <w:pStyle w:val="Bibliography"/>
      </w:pPr>
      <w:r w:rsidRPr="002C6551">
        <w:t xml:space="preserve">48. </w:t>
      </w:r>
      <w:r w:rsidRPr="002C6551">
        <w:tab/>
        <w:t xml:space="preserve">Palladino P, Poli P, Masi G, Marcheschi M. Impulsive-reflective cognitive style, metacognition, and emotion in adolescence. </w:t>
      </w:r>
      <w:r w:rsidRPr="002C6551">
        <w:rPr>
          <w:i/>
          <w:iCs/>
        </w:rPr>
        <w:t>Percept Mot Skills</w:t>
      </w:r>
      <w:r w:rsidRPr="002C6551">
        <w:t>. 1997;84(1):47-57. doi:10.2466/pms.1997.84.1.47</w:t>
      </w:r>
    </w:p>
    <w:p w14:paraId="63C0509D" w14:textId="77777777" w:rsidR="002C6551" w:rsidRPr="002C6551" w:rsidRDefault="002C6551" w:rsidP="002C6551">
      <w:pPr>
        <w:pStyle w:val="Bibliography"/>
      </w:pPr>
      <w:r w:rsidRPr="002C6551">
        <w:t xml:space="preserve">49. </w:t>
      </w:r>
      <w:r w:rsidRPr="002C6551">
        <w:tab/>
        <w:t xml:space="preserve">Feyzi-Behnagh R, Azevedo R, Legowski E, Reitmeyer K, Tseytlin E, Crowley RS. METACOGNITIVE SCAFFOLDS IMPROVE SELF-JUDGMENTS OF ACCURACY IN A MEDICAL INTELLIGENT TUTORING SYSTEM. </w:t>
      </w:r>
      <w:r w:rsidRPr="002C6551">
        <w:rPr>
          <w:i/>
          <w:iCs/>
        </w:rPr>
        <w:t>Instr Sci</w:t>
      </w:r>
      <w:r w:rsidRPr="002C6551">
        <w:t>. 2014;42(2):159-181. doi:10.1007/s11251-013-9275-4</w:t>
      </w:r>
    </w:p>
    <w:p w14:paraId="63E181A8" w14:textId="77777777" w:rsidR="002C6551" w:rsidRPr="002C6551" w:rsidRDefault="002C6551" w:rsidP="002C6551">
      <w:pPr>
        <w:pStyle w:val="Bibliography"/>
      </w:pPr>
      <w:r w:rsidRPr="002C6551">
        <w:t xml:space="preserve">50. </w:t>
      </w:r>
      <w:r w:rsidRPr="002C6551">
        <w:tab/>
        <w:t xml:space="preserve">Stark M, Fins JJ. The ethical imperative to think about thinking - diagnostics, metacognition, and medical professionalism. </w:t>
      </w:r>
      <w:r w:rsidRPr="002C6551">
        <w:rPr>
          <w:i/>
          <w:iCs/>
        </w:rPr>
        <w:t>Camb Q Healthc Ethics CQ Int J Healthc Ethics Comm</w:t>
      </w:r>
      <w:r w:rsidRPr="002C6551">
        <w:t>. 2014;23(4):386-396. doi:10.1017/S0963180114000061</w:t>
      </w:r>
    </w:p>
    <w:p w14:paraId="5D37F614" w14:textId="77777777" w:rsidR="002C6551" w:rsidRPr="002C6551" w:rsidRDefault="002C6551" w:rsidP="002C6551">
      <w:pPr>
        <w:pStyle w:val="Bibliography"/>
      </w:pPr>
      <w:r w:rsidRPr="002C6551">
        <w:t xml:space="preserve">51. </w:t>
      </w:r>
      <w:r w:rsidRPr="002C6551">
        <w:tab/>
        <w:t xml:space="preserve">Cassidy S. Assessing ‘inexperienced’ students’ ability to self‐assess: exploring links with learning style and academic personal control. </w:t>
      </w:r>
      <w:r w:rsidRPr="002C6551">
        <w:rPr>
          <w:i/>
          <w:iCs/>
        </w:rPr>
        <w:t>Assess Eval High Educ</w:t>
      </w:r>
      <w:r w:rsidRPr="002C6551">
        <w:t>. 2007;32(3):313-330. doi:10.1080/02602930600896704</w:t>
      </w:r>
    </w:p>
    <w:p w14:paraId="46E83442" w14:textId="77777777" w:rsidR="002C6551" w:rsidRPr="002C6551" w:rsidRDefault="002C6551" w:rsidP="002C6551">
      <w:pPr>
        <w:pStyle w:val="Bibliography"/>
      </w:pPr>
      <w:r w:rsidRPr="002C6551">
        <w:t xml:space="preserve">52. </w:t>
      </w:r>
      <w:r w:rsidRPr="002C6551">
        <w:tab/>
        <w:t xml:space="preserve">Feeley A-M, Biggerstaff DL. Exam Success at Undergraduate and Graduate-Entry Medical Schools: Is Learning Style or Learning Approach More Important? A Critical Review Exploring Links Between Academic Success, Learning Styles, and Learning Approaches Among School-Leaver Entry (“Traditional”) and Graduate-Entry (“Nontraditional”) Medical Students. </w:t>
      </w:r>
      <w:r w:rsidRPr="002C6551">
        <w:rPr>
          <w:i/>
          <w:iCs/>
        </w:rPr>
        <w:t>Teach Learn Med</w:t>
      </w:r>
      <w:r w:rsidRPr="002C6551">
        <w:t>. 2015;27(3):237-244. doi:10.1080/10401334.2015.1046734</w:t>
      </w:r>
    </w:p>
    <w:p w14:paraId="55299D65" w14:textId="77777777" w:rsidR="002C6551" w:rsidRPr="002C6551" w:rsidRDefault="002C6551" w:rsidP="002C6551">
      <w:pPr>
        <w:pStyle w:val="Bibliography"/>
      </w:pPr>
      <w:r w:rsidRPr="002C6551">
        <w:lastRenderedPageBreak/>
        <w:t xml:space="preserve">53. </w:t>
      </w:r>
      <w:r w:rsidRPr="002C6551">
        <w:tab/>
        <w:t xml:space="preserve">El Saadawi GM, Azevedo R, Castine M, et al. Factors Affecting Feeling-of-knowing in a Medical Intelligent Tutoring System – the role of Immediate Feedback as a Metacognitive Scaffold. </w:t>
      </w:r>
      <w:r w:rsidRPr="002C6551">
        <w:rPr>
          <w:i/>
          <w:iCs/>
        </w:rPr>
        <w:t>Adv Health Sci Educ Theory Pract</w:t>
      </w:r>
      <w:r w:rsidRPr="002C6551">
        <w:t>. 2010;15(1):9. doi:10.1007/s10459-009-9162-6</w:t>
      </w:r>
    </w:p>
    <w:p w14:paraId="3888083B" w14:textId="77777777" w:rsidR="002C6551" w:rsidRPr="002C6551" w:rsidRDefault="002C6551" w:rsidP="002C6551">
      <w:pPr>
        <w:pStyle w:val="Bibliography"/>
      </w:pPr>
      <w:r w:rsidRPr="002C6551">
        <w:t xml:space="preserve">54. </w:t>
      </w:r>
      <w:r w:rsidRPr="002C6551">
        <w:tab/>
        <w:t xml:space="preserve">Farrington CA, Roderick M, Allensworth E, et al. </w:t>
      </w:r>
      <w:r w:rsidRPr="002C6551">
        <w:rPr>
          <w:i/>
          <w:iCs/>
        </w:rPr>
        <w:t>Teaching Adolescents to Become Learners: The Role of Noncognitive Factors in Shaping School Performance--A Critical Literature Review</w:t>
      </w:r>
      <w:r w:rsidRPr="002C6551">
        <w:t>. Consortium on Chicago School Research; 2012. https://eric.ed.gov/?id=ED542543. Accessed February 18, 2018.</w:t>
      </w:r>
    </w:p>
    <w:p w14:paraId="55B07F6C" w14:textId="77777777" w:rsidR="002C6551" w:rsidRPr="002C6551" w:rsidRDefault="002C6551" w:rsidP="002C6551">
      <w:pPr>
        <w:pStyle w:val="Bibliography"/>
      </w:pPr>
      <w:r w:rsidRPr="002C6551">
        <w:t xml:space="preserve">55. </w:t>
      </w:r>
      <w:r w:rsidRPr="002C6551">
        <w:tab/>
        <w:t xml:space="preserve">Farrington CA, Small MH, American Youth Policy Forum. </w:t>
      </w:r>
      <w:r w:rsidRPr="002C6551">
        <w:rPr>
          <w:i/>
          <w:iCs/>
        </w:rPr>
        <w:t>A New Model of Student Assessment for the 21st Century</w:t>
      </w:r>
      <w:r w:rsidRPr="002C6551">
        <w:t>. American Youth Policy Forum; 2008.</w:t>
      </w:r>
    </w:p>
    <w:p w14:paraId="6F1530B7" w14:textId="77777777" w:rsidR="002C6551" w:rsidRPr="002C6551" w:rsidRDefault="002C6551" w:rsidP="002C6551">
      <w:pPr>
        <w:pStyle w:val="Bibliography"/>
      </w:pPr>
      <w:r w:rsidRPr="002C6551">
        <w:t xml:space="preserve">56. </w:t>
      </w:r>
      <w:r w:rsidRPr="002C6551">
        <w:tab/>
        <w:t xml:space="preserve">Larmar S, Lodge JM. Making sense of how I learn: Metacognitive capital and the first year university student. </w:t>
      </w:r>
      <w:r w:rsidRPr="002C6551">
        <w:rPr>
          <w:i/>
          <w:iCs/>
        </w:rPr>
        <w:t>Int J First Year High Educ</w:t>
      </w:r>
      <w:r w:rsidRPr="002C6551">
        <w:t>. 2014;5(1). doi:10.5204/intjfyhe.v5i1.193</w:t>
      </w:r>
    </w:p>
    <w:p w14:paraId="1AFADE8F" w14:textId="77777777" w:rsidR="002C6551" w:rsidRPr="002C6551" w:rsidRDefault="002C6551" w:rsidP="002C6551">
      <w:pPr>
        <w:pStyle w:val="Bibliography"/>
      </w:pPr>
      <w:r w:rsidRPr="002C6551">
        <w:t xml:space="preserve">57. </w:t>
      </w:r>
      <w:r w:rsidRPr="002C6551">
        <w:tab/>
        <w:t xml:space="preserve">Laakkonen J, Nevgi A. Relationships between Learning Strategies, Stress, and Study Success Among First-Year Veterinary Students During an Educational Transition Phase. </w:t>
      </w:r>
      <w:r w:rsidRPr="002C6551">
        <w:rPr>
          <w:i/>
          <w:iCs/>
        </w:rPr>
        <w:t>J Vet Med Educ</w:t>
      </w:r>
      <w:r w:rsidRPr="002C6551">
        <w:t>. 2014;41(3):284-293. doi:10.3138/jvme.0214-016R1</w:t>
      </w:r>
    </w:p>
    <w:p w14:paraId="2538D404" w14:textId="77777777" w:rsidR="002C6551" w:rsidRPr="002C6551" w:rsidRDefault="002C6551" w:rsidP="002C6551">
      <w:pPr>
        <w:pStyle w:val="Bibliography"/>
      </w:pPr>
      <w:r w:rsidRPr="002C6551">
        <w:t xml:space="preserve">58. </w:t>
      </w:r>
      <w:r w:rsidRPr="002C6551">
        <w:tab/>
        <w:t xml:space="preserve">Moffat KJ, McConnachie A, Ross S, Morrison JM. First year medical student stress and coping in a problem-based learning medical curriculum. </w:t>
      </w:r>
      <w:r w:rsidRPr="002C6551">
        <w:rPr>
          <w:i/>
          <w:iCs/>
        </w:rPr>
        <w:t>Med Educ</w:t>
      </w:r>
      <w:r w:rsidRPr="002C6551">
        <w:t>. 2004;38(5):482-491. doi:10.1046/j.1365-2929.2004.01814.x</w:t>
      </w:r>
    </w:p>
    <w:p w14:paraId="102A5C8C" w14:textId="77777777" w:rsidR="002C6551" w:rsidRPr="002C6551" w:rsidRDefault="002C6551" w:rsidP="002C6551">
      <w:pPr>
        <w:pStyle w:val="Bibliography"/>
      </w:pPr>
      <w:r w:rsidRPr="002C6551">
        <w:t xml:space="preserve">59. </w:t>
      </w:r>
      <w:r w:rsidRPr="002C6551">
        <w:tab/>
        <w:t xml:space="preserve">Ali S, Khan HF. Impact of Combined modular assessment on deep learning and personal development of medical students. </w:t>
      </w:r>
      <w:r w:rsidRPr="002C6551">
        <w:rPr>
          <w:i/>
          <w:iCs/>
        </w:rPr>
        <w:t>Pak J Med Sci</w:t>
      </w:r>
      <w:r w:rsidRPr="002C6551">
        <w:t>. 2016;32(1):191-195. doi:10.12669/pjms.321.9007</w:t>
      </w:r>
    </w:p>
    <w:p w14:paraId="442D1816" w14:textId="77777777" w:rsidR="002C6551" w:rsidRPr="002C6551" w:rsidRDefault="002C6551" w:rsidP="002C6551">
      <w:pPr>
        <w:pStyle w:val="Bibliography"/>
      </w:pPr>
      <w:r w:rsidRPr="002C6551">
        <w:t xml:space="preserve">60. </w:t>
      </w:r>
      <w:r w:rsidRPr="002C6551">
        <w:tab/>
        <w:t xml:space="preserve">Kumar LR, Chacko TV. Using appreciative inquiry on learning styles to facilitate student learning. </w:t>
      </w:r>
      <w:r w:rsidRPr="002C6551">
        <w:rPr>
          <w:i/>
          <w:iCs/>
        </w:rPr>
        <w:t>Med Educ</w:t>
      </w:r>
      <w:r w:rsidRPr="002C6551">
        <w:t>. 2010;44(11):1121-1122. doi:10.1111/j.1365-2923.2010.03842.x</w:t>
      </w:r>
    </w:p>
    <w:p w14:paraId="1101EACC" w14:textId="77777777" w:rsidR="002C6551" w:rsidRPr="002C6551" w:rsidRDefault="002C6551" w:rsidP="002C6551">
      <w:pPr>
        <w:pStyle w:val="Bibliography"/>
      </w:pPr>
      <w:r w:rsidRPr="002C6551">
        <w:t xml:space="preserve">61. </w:t>
      </w:r>
      <w:r w:rsidRPr="002C6551">
        <w:tab/>
        <w:t xml:space="preserve">Mayya S, Roff S. Students’ perceptions of educational environment: a comparison of academic achievers and under-achievers at kasturba medical college, India. </w:t>
      </w:r>
      <w:r w:rsidRPr="002C6551">
        <w:rPr>
          <w:i/>
          <w:iCs/>
        </w:rPr>
        <w:t>Educ Health Abingdon Engl</w:t>
      </w:r>
      <w:r w:rsidRPr="002C6551">
        <w:t>. 2004;17(3):280-291. doi:10.1080/13576280400002445</w:t>
      </w:r>
    </w:p>
    <w:p w14:paraId="11994FAE" w14:textId="7991D4DF" w:rsidR="002C6551" w:rsidRPr="002C6551" w:rsidRDefault="002C6551" w:rsidP="002C6551">
      <w:pPr>
        <w:pStyle w:val="Bibliography"/>
      </w:pPr>
      <w:r w:rsidRPr="002C6551">
        <w:t xml:space="preserve">62. </w:t>
      </w:r>
      <w:r w:rsidRPr="002C6551">
        <w:tab/>
        <w:t xml:space="preserve">Ryan AM, Pintrich PR. “Should I Ask for Help?” The Role of Motivation and Attitudes in Adolescents’ </w:t>
      </w:r>
      <w:r w:rsidR="002E6792">
        <w:t>Help-seeking</w:t>
      </w:r>
      <w:r w:rsidRPr="002C6551">
        <w:t xml:space="preserve"> in Math Class. </w:t>
      </w:r>
      <w:r w:rsidRPr="002C6551">
        <w:rPr>
          <w:i/>
          <w:iCs/>
        </w:rPr>
        <w:t>J Educ Psychol</w:t>
      </w:r>
      <w:r w:rsidRPr="002C6551">
        <w:t>. 1997;89(2):329-341. http://libraries.ou.edu/access.aspx?url=http://search.ebscohost.com/login.aspx?direct=true&amp;db=eric&amp;AN=EJ550057&amp;site=ehost-live. Accessed October 5, 2014.</w:t>
      </w:r>
    </w:p>
    <w:p w14:paraId="41928932" w14:textId="77777777" w:rsidR="002C6551" w:rsidRPr="002C6551" w:rsidRDefault="002C6551" w:rsidP="002C6551">
      <w:pPr>
        <w:pStyle w:val="Bibliography"/>
      </w:pPr>
      <w:r w:rsidRPr="002C6551">
        <w:lastRenderedPageBreak/>
        <w:t xml:space="preserve">63. </w:t>
      </w:r>
      <w:r w:rsidRPr="002C6551">
        <w:tab/>
        <w:t xml:space="preserve">Thistlethwaite J, Quirk F, Evans R. Medical students seeking medical help: a qualitative study. </w:t>
      </w:r>
      <w:r w:rsidRPr="002C6551">
        <w:rPr>
          <w:i/>
          <w:iCs/>
        </w:rPr>
        <w:t>Med Teach</w:t>
      </w:r>
      <w:r w:rsidRPr="002C6551">
        <w:t>. 2010;32(2):164-166. doi:http://dx.doi.org/10.3109/01421590903434177</w:t>
      </w:r>
    </w:p>
    <w:p w14:paraId="2DA62BD7" w14:textId="28DA1717" w:rsidR="002C6551" w:rsidRPr="002C6551" w:rsidRDefault="002C6551" w:rsidP="002C6551">
      <w:pPr>
        <w:pStyle w:val="Bibliography"/>
      </w:pPr>
      <w:r w:rsidRPr="002C6551">
        <w:t xml:space="preserve">64. </w:t>
      </w:r>
      <w:r w:rsidRPr="002C6551">
        <w:tab/>
        <w:t xml:space="preserve">Lee C. Academic </w:t>
      </w:r>
      <w:r w:rsidR="002E6792">
        <w:t>help-seeking</w:t>
      </w:r>
      <w:r w:rsidRPr="002C6551">
        <w:t xml:space="preserve">: theory and strategies for nursing faculty. [Review] [35 refs]. </w:t>
      </w:r>
      <w:r w:rsidRPr="002C6551">
        <w:rPr>
          <w:i/>
          <w:iCs/>
        </w:rPr>
        <w:t>J Nurs Educ</w:t>
      </w:r>
      <w:r w:rsidRPr="002C6551">
        <w:t>. 2007;46(10):468-475.</w:t>
      </w:r>
    </w:p>
    <w:p w14:paraId="5AECA76D" w14:textId="77777777" w:rsidR="002C6551" w:rsidRPr="002C6551" w:rsidRDefault="002C6551" w:rsidP="002C6551">
      <w:pPr>
        <w:pStyle w:val="Bibliography"/>
      </w:pPr>
      <w:r w:rsidRPr="002C6551">
        <w:t xml:space="preserve">65. </w:t>
      </w:r>
      <w:r w:rsidRPr="002C6551">
        <w:tab/>
        <w:t xml:space="preserve">Nordberg SS, Hayes JA, McAleavey AA, Castonguay LG, Locke BD. Treatment Utilization on College Campuses: Who Seeks Help for What? </w:t>
      </w:r>
      <w:r w:rsidRPr="002C6551">
        <w:rPr>
          <w:i/>
          <w:iCs/>
        </w:rPr>
        <w:t>J Coll Couns</w:t>
      </w:r>
      <w:r w:rsidRPr="002C6551">
        <w:t>. 2013;16(3):258-274.</w:t>
      </w:r>
    </w:p>
    <w:p w14:paraId="43DFF603" w14:textId="77777777" w:rsidR="002C6551" w:rsidRPr="002C6551" w:rsidRDefault="002C6551" w:rsidP="002C6551">
      <w:pPr>
        <w:pStyle w:val="Bibliography"/>
      </w:pPr>
      <w:r w:rsidRPr="002C6551">
        <w:t xml:space="preserve">66. </w:t>
      </w:r>
      <w:r w:rsidRPr="002C6551">
        <w:tab/>
        <w:t xml:space="preserve">O’Brien L, Mathieson K, Leafman J, Rice-Spearman L. Level of stress and common coping strategies among physician assistant students. </w:t>
      </w:r>
      <w:r w:rsidRPr="002C6551">
        <w:rPr>
          <w:i/>
          <w:iCs/>
        </w:rPr>
        <w:t>J Physician Assist Educ Off J Physician Assist Educ Assoc</w:t>
      </w:r>
      <w:r w:rsidRPr="002C6551">
        <w:t>. 2012;23(4):25-29.</w:t>
      </w:r>
    </w:p>
    <w:p w14:paraId="01ED9CC6" w14:textId="77777777" w:rsidR="002C6551" w:rsidRPr="002C6551" w:rsidRDefault="002C6551" w:rsidP="002C6551">
      <w:pPr>
        <w:pStyle w:val="Bibliography"/>
      </w:pPr>
      <w:r w:rsidRPr="002C6551">
        <w:t xml:space="preserve">67. </w:t>
      </w:r>
      <w:r w:rsidRPr="002C6551">
        <w:tab/>
        <w:t xml:space="preserve">Dahlin M, Nilsson C, Stotzer E, Runeson B. Mental distress, alcohol use and help-seeking among medical and business students: a cross-sectional comparative study. </w:t>
      </w:r>
      <w:r w:rsidRPr="002C6551">
        <w:rPr>
          <w:i/>
          <w:iCs/>
        </w:rPr>
        <w:t>BMC Med Educ</w:t>
      </w:r>
      <w:r w:rsidRPr="002C6551">
        <w:t>. 2011. doi:http://dx.doi.org/10.1186/1472-6920-11-92</w:t>
      </w:r>
    </w:p>
    <w:p w14:paraId="13A3F694" w14:textId="77777777" w:rsidR="002C6551" w:rsidRPr="002C6551" w:rsidRDefault="002C6551" w:rsidP="002C6551">
      <w:pPr>
        <w:pStyle w:val="Bibliography"/>
      </w:pPr>
      <w:r w:rsidRPr="002C6551">
        <w:t xml:space="preserve">68. </w:t>
      </w:r>
      <w:r w:rsidRPr="002C6551">
        <w:tab/>
        <w:t xml:space="preserve">Chew-Graham C, Rogers A, Yassin N. “I wouldn’t want it on my CV or their records”: medical students’ experiences of help-seeking for mental health problems. </w:t>
      </w:r>
      <w:r w:rsidRPr="002C6551">
        <w:rPr>
          <w:i/>
          <w:iCs/>
        </w:rPr>
        <w:t>Med Educ</w:t>
      </w:r>
      <w:r w:rsidRPr="002C6551">
        <w:t>. 2003;37(10):873-880. http://webproxy.ouhsc.edu/login?url=http://ovidsp.ovid.com/ovidweb.cgi?T=JS&amp;CSC=Y&amp;NEWS=N&amp;PAGE=fulltext&amp;D=med4&amp;AN=12974841. Accessed October 5, 2014.</w:t>
      </w:r>
    </w:p>
    <w:p w14:paraId="14374A69" w14:textId="77777777" w:rsidR="002C6551" w:rsidRPr="002C6551" w:rsidRDefault="002C6551" w:rsidP="002C6551">
      <w:pPr>
        <w:pStyle w:val="Bibliography"/>
      </w:pPr>
      <w:r w:rsidRPr="002C6551">
        <w:t xml:space="preserve">69. </w:t>
      </w:r>
      <w:r w:rsidRPr="002C6551">
        <w:tab/>
        <w:t>Lee CJ. Educational innovations.</w:t>
      </w:r>
    </w:p>
    <w:p w14:paraId="282E62EE" w14:textId="77777777" w:rsidR="002C6551" w:rsidRPr="002C6551" w:rsidRDefault="002C6551" w:rsidP="002C6551">
      <w:pPr>
        <w:pStyle w:val="Bibliography"/>
      </w:pPr>
      <w:r w:rsidRPr="002C6551">
        <w:t xml:space="preserve">70. </w:t>
      </w:r>
      <w:r w:rsidRPr="002C6551">
        <w:tab/>
        <w:t>McGrath JN. College Students’ Help-Seeking Preferences for Personal Problems. May 1995. http://eric.ed.gov/?id=ED390005. Accessed October 5, 2014.</w:t>
      </w:r>
    </w:p>
    <w:p w14:paraId="16961490" w14:textId="77777777" w:rsidR="002C6551" w:rsidRPr="002C6551" w:rsidRDefault="002C6551" w:rsidP="002C6551">
      <w:pPr>
        <w:pStyle w:val="Bibliography"/>
      </w:pPr>
      <w:r w:rsidRPr="002C6551">
        <w:t xml:space="preserve">71. </w:t>
      </w:r>
      <w:r w:rsidRPr="002C6551">
        <w:tab/>
        <w:t xml:space="preserve">Maher B, Hynes H, Sweeney C, et al. The at-risk medical student--what more can we do? </w:t>
      </w:r>
      <w:r w:rsidRPr="002C6551">
        <w:rPr>
          <w:i/>
          <w:iCs/>
        </w:rPr>
        <w:t>Ir Med J</w:t>
      </w:r>
      <w:r w:rsidRPr="002C6551">
        <w:t>. 2014;107(9):295-296.</w:t>
      </w:r>
    </w:p>
    <w:p w14:paraId="169F9276" w14:textId="77777777" w:rsidR="002C6551" w:rsidRPr="002C6551" w:rsidRDefault="002C6551" w:rsidP="002C6551">
      <w:pPr>
        <w:pStyle w:val="Bibliography"/>
      </w:pPr>
      <w:r w:rsidRPr="002C6551">
        <w:t xml:space="preserve">72. </w:t>
      </w:r>
      <w:r w:rsidRPr="002C6551">
        <w:tab/>
        <w:t xml:space="preserve">Tracey T, Sherry P, Keitel M. Distress and help-seeking as a function of person-environment fit and self-efficacy: a causal model. </w:t>
      </w:r>
      <w:r w:rsidRPr="002C6551">
        <w:rPr>
          <w:i/>
          <w:iCs/>
        </w:rPr>
        <w:t>J Community Psychol</w:t>
      </w:r>
      <w:r w:rsidRPr="002C6551">
        <w:t>. 1986;14(6):657-676. http://webproxy.ouhsc.edu/login?url=http://ovidsp.ovid.com/ovidweb.cgi?T=JS&amp;CSC=Y&amp;NEWS=N&amp;PAGE=fulltext&amp;D=med2&amp;AN=3799555. Accessed October 5, 2014.</w:t>
      </w:r>
    </w:p>
    <w:p w14:paraId="02C26A8C" w14:textId="17A1FBD1" w:rsidR="002C6551" w:rsidRPr="002C6551" w:rsidRDefault="002C6551" w:rsidP="002C6551">
      <w:pPr>
        <w:pStyle w:val="Bibliography"/>
      </w:pPr>
      <w:r w:rsidRPr="002C6551">
        <w:t xml:space="preserve">73. </w:t>
      </w:r>
      <w:r w:rsidRPr="002C6551">
        <w:tab/>
        <w:t xml:space="preserve">van der Rijt J, Van den Bossche P, van de Wiel MWJ, De Maeyer S, Gijselaers WH, Segers MSR. Asking for Help: A Relational Perspective on </w:t>
      </w:r>
      <w:r w:rsidR="002E6792">
        <w:t>Help-seeking</w:t>
      </w:r>
      <w:r w:rsidRPr="002C6551">
        <w:t xml:space="preserve"> in the Workplace. </w:t>
      </w:r>
      <w:r w:rsidRPr="002C6551">
        <w:rPr>
          <w:i/>
          <w:iCs/>
        </w:rPr>
        <w:t>Vocat Learn</w:t>
      </w:r>
      <w:r w:rsidRPr="002C6551">
        <w:t>. 2013;6(2):259-279.</w:t>
      </w:r>
    </w:p>
    <w:p w14:paraId="777E40BE" w14:textId="77777777" w:rsidR="002C6551" w:rsidRPr="002C6551" w:rsidRDefault="002C6551" w:rsidP="002C6551">
      <w:pPr>
        <w:pStyle w:val="Bibliography"/>
      </w:pPr>
      <w:r w:rsidRPr="002C6551">
        <w:lastRenderedPageBreak/>
        <w:t xml:space="preserve">74. </w:t>
      </w:r>
      <w:r w:rsidRPr="002C6551">
        <w:tab/>
        <w:t xml:space="preserve">Yusuff KB. Does self-reflection and peer-assessment improve Saudi pharmacy students’ academic performance and metacognitive skills? </w:t>
      </w:r>
      <w:r w:rsidRPr="002C6551">
        <w:rPr>
          <w:i/>
          <w:iCs/>
        </w:rPr>
        <w:t>Saudi Pharm J SPJ</w:t>
      </w:r>
      <w:r w:rsidRPr="002C6551">
        <w:t>. 2015;23(3):266-275. doi:10.1016/j.jsps.2014.11.018</w:t>
      </w:r>
    </w:p>
    <w:p w14:paraId="4186A898" w14:textId="77777777" w:rsidR="002C6551" w:rsidRPr="002C6551" w:rsidRDefault="002C6551" w:rsidP="002C6551">
      <w:pPr>
        <w:pStyle w:val="Bibliography"/>
      </w:pPr>
      <w:r w:rsidRPr="002C6551">
        <w:t xml:space="preserve">75. </w:t>
      </w:r>
      <w:r w:rsidRPr="002C6551">
        <w:tab/>
        <w:t xml:space="preserve">Floresh-Scott EM, Nerad M. Peers in doctoral education: Unrecognized learning partners. </w:t>
      </w:r>
      <w:r w:rsidRPr="002C6551">
        <w:rPr>
          <w:i/>
          <w:iCs/>
        </w:rPr>
        <w:t>New Dir High Educ</w:t>
      </w:r>
      <w:r w:rsidRPr="002C6551">
        <w:t>. 2012;2012(157):73-83. doi:10.1002/he.20007</w:t>
      </w:r>
    </w:p>
    <w:p w14:paraId="65FEAB74" w14:textId="77777777" w:rsidR="002C6551" w:rsidRPr="002C6551" w:rsidRDefault="002C6551" w:rsidP="002C6551">
      <w:pPr>
        <w:pStyle w:val="Bibliography"/>
      </w:pPr>
      <w:r w:rsidRPr="002C6551">
        <w:t xml:space="preserve">76. </w:t>
      </w:r>
      <w:r w:rsidRPr="002C6551">
        <w:tab/>
        <w:t xml:space="preserve">Smith R. An overview of research on student support: helping students to achieve or achieving institutional targets? Nurture or de-nature? </w:t>
      </w:r>
      <w:r w:rsidRPr="002C6551">
        <w:rPr>
          <w:i/>
          <w:iCs/>
        </w:rPr>
        <w:t>Teach High Educ</w:t>
      </w:r>
      <w:r w:rsidRPr="002C6551">
        <w:t>. 2007;12(5/6):683-695. doi:10.1080/13562510701596240</w:t>
      </w:r>
    </w:p>
    <w:p w14:paraId="760471FB" w14:textId="77777777" w:rsidR="002C6551" w:rsidRPr="002C6551" w:rsidRDefault="002C6551" w:rsidP="002C6551">
      <w:pPr>
        <w:pStyle w:val="Bibliography"/>
      </w:pPr>
      <w:r w:rsidRPr="002C6551">
        <w:t xml:space="preserve">77. </w:t>
      </w:r>
      <w:r w:rsidRPr="002C6551">
        <w:tab/>
        <w:t xml:space="preserve">Payakachat N, Gubbins PO, Ragland D, et al. Academic Help-Seeking Behavior Among Student Pharmacists. </w:t>
      </w:r>
      <w:r w:rsidRPr="002C6551">
        <w:rPr>
          <w:i/>
          <w:iCs/>
        </w:rPr>
        <w:t>Am J Pharm Educ</w:t>
      </w:r>
      <w:r w:rsidRPr="002C6551">
        <w:t>. 2013;77(1):7. doi:10.5688/ajpe7717</w:t>
      </w:r>
    </w:p>
    <w:p w14:paraId="23959928" w14:textId="77777777" w:rsidR="002C6551" w:rsidRPr="002C6551" w:rsidRDefault="002C6551" w:rsidP="002C6551">
      <w:pPr>
        <w:pStyle w:val="Bibliography"/>
      </w:pPr>
      <w:r w:rsidRPr="002C6551">
        <w:t xml:space="preserve">78. </w:t>
      </w:r>
      <w:r w:rsidRPr="002C6551">
        <w:tab/>
        <w:t xml:space="preserve">Reavley N, Jorm AF. Prevention and early intervention to improve mental health in higher education students: a review. </w:t>
      </w:r>
      <w:r w:rsidRPr="002C6551">
        <w:rPr>
          <w:i/>
          <w:iCs/>
        </w:rPr>
        <w:t>Early Interv Psychiatry</w:t>
      </w:r>
      <w:r w:rsidRPr="002C6551">
        <w:t>. 2010;4(2):132-142. doi:10.1111/j.1751-7893.2010.00167.x</w:t>
      </w:r>
    </w:p>
    <w:p w14:paraId="3D214775" w14:textId="77777777" w:rsidR="002C6551" w:rsidRPr="002C6551" w:rsidRDefault="002C6551" w:rsidP="002C6551">
      <w:pPr>
        <w:pStyle w:val="Bibliography"/>
      </w:pPr>
      <w:r w:rsidRPr="002C6551">
        <w:t xml:space="preserve">79. </w:t>
      </w:r>
      <w:r w:rsidRPr="002C6551">
        <w:tab/>
        <w:t xml:space="preserve">Monrouxe LV, Rees CE, Lewis NJ, Cleland JA. Medical educators’ social acts of explaining passing underperformance in students: a qualitative study. </w:t>
      </w:r>
      <w:r w:rsidRPr="002C6551">
        <w:rPr>
          <w:i/>
          <w:iCs/>
        </w:rPr>
        <w:t>Adv Health Sci Educ</w:t>
      </w:r>
      <w:r w:rsidRPr="002C6551">
        <w:t>. 2011;16(2):239-252. doi:10.1007/s10459-010-9259-y</w:t>
      </w:r>
    </w:p>
    <w:p w14:paraId="40BF289F" w14:textId="77777777" w:rsidR="002C6551" w:rsidRPr="002C6551" w:rsidRDefault="002C6551" w:rsidP="002C6551">
      <w:pPr>
        <w:pStyle w:val="Bibliography"/>
      </w:pPr>
      <w:r w:rsidRPr="002C6551">
        <w:t xml:space="preserve">80. </w:t>
      </w:r>
      <w:r w:rsidRPr="002C6551">
        <w:tab/>
        <w:t xml:space="preserve">Berkowitz SA, Pahira J. Accountable Care Organization Readiness and Academic Medical Centers. [Miscellaneous Article]. </w:t>
      </w:r>
      <w:r w:rsidRPr="002C6551">
        <w:rPr>
          <w:i/>
          <w:iCs/>
        </w:rPr>
        <w:t>Acad Med Sept 2014</w:t>
      </w:r>
      <w:r w:rsidRPr="002C6551">
        <w:t>. 2014;89(9):1210-1215. doi:10.1097/ACM.0000000000000365</w:t>
      </w:r>
    </w:p>
    <w:p w14:paraId="008642CB" w14:textId="77777777" w:rsidR="002C6551" w:rsidRPr="002C6551" w:rsidRDefault="002C6551" w:rsidP="002C6551">
      <w:pPr>
        <w:pStyle w:val="Bibliography"/>
      </w:pPr>
      <w:r w:rsidRPr="002C6551">
        <w:t xml:space="preserve">81. </w:t>
      </w:r>
      <w:r w:rsidRPr="002C6551">
        <w:tab/>
        <w:t xml:space="preserve">Cleland JA, Knight LV, Rees CE, Tracey S, Bond CM. Is it me or is it them? Factors that influence the passing of underperforming students. </w:t>
      </w:r>
      <w:r w:rsidRPr="002C6551">
        <w:rPr>
          <w:i/>
          <w:iCs/>
        </w:rPr>
        <w:t>Med Educ</w:t>
      </w:r>
      <w:r w:rsidRPr="002C6551">
        <w:t>. 2008;42(8):800-809. doi:10.1111/j.1365-2923.2008.03113.x</w:t>
      </w:r>
    </w:p>
    <w:p w14:paraId="39BD0FDB" w14:textId="77777777" w:rsidR="002C6551" w:rsidRPr="002C6551" w:rsidRDefault="002C6551" w:rsidP="002C6551">
      <w:pPr>
        <w:pStyle w:val="Bibliography"/>
      </w:pPr>
      <w:r w:rsidRPr="002C6551">
        <w:t xml:space="preserve">82. </w:t>
      </w:r>
      <w:r w:rsidRPr="002C6551">
        <w:tab/>
        <w:t xml:space="preserve">Phang CK, Mukhtar F, Ibrahim N, Keng S-L, Sidik SM. Effects of a brief mindfulness-based intervention program for stress management among medical students: the Mindful-Gym randomized controlled study. </w:t>
      </w:r>
      <w:r w:rsidRPr="002C6551">
        <w:rPr>
          <w:i/>
          <w:iCs/>
        </w:rPr>
        <w:t>Adv Health Sci Educ</w:t>
      </w:r>
      <w:r w:rsidRPr="002C6551">
        <w:t>. 2015;20(5):1115-1134. doi:10.1007/s10459-015-9591-3</w:t>
      </w:r>
    </w:p>
    <w:p w14:paraId="2516218C" w14:textId="77777777" w:rsidR="002C6551" w:rsidRPr="002C6551" w:rsidRDefault="002C6551" w:rsidP="002C6551">
      <w:pPr>
        <w:pStyle w:val="Bibliography"/>
      </w:pPr>
      <w:r w:rsidRPr="002C6551">
        <w:t xml:space="preserve">83. </w:t>
      </w:r>
      <w:r w:rsidRPr="002C6551">
        <w:tab/>
        <w:t xml:space="preserve">Kuhlmann SM, Bürger A, Esser G, Hammerle F. A mindfulness-based stress prevention training for medical students (MediMind): study protocol for a randomized controlled trial. </w:t>
      </w:r>
      <w:r w:rsidRPr="002C6551">
        <w:rPr>
          <w:i/>
          <w:iCs/>
        </w:rPr>
        <w:t>Trials</w:t>
      </w:r>
      <w:r w:rsidRPr="002C6551">
        <w:t>. 2015;16. doi:10.1186/s13063-014-0533-9</w:t>
      </w:r>
    </w:p>
    <w:p w14:paraId="5D11C6C2" w14:textId="77777777" w:rsidR="002C6551" w:rsidRPr="002C6551" w:rsidRDefault="002C6551" w:rsidP="002C6551">
      <w:pPr>
        <w:pStyle w:val="Bibliography"/>
      </w:pPr>
      <w:r w:rsidRPr="002C6551">
        <w:t xml:space="preserve">84. </w:t>
      </w:r>
      <w:r w:rsidRPr="002C6551">
        <w:tab/>
        <w:t xml:space="preserve">Brennan J, McGrady A, Lynch D, Schaefer P, Whearty K. A Stress Management Program for Higher Risk Medical Students: Preliminary Findings. </w:t>
      </w:r>
      <w:r w:rsidRPr="002C6551">
        <w:rPr>
          <w:i/>
          <w:iCs/>
        </w:rPr>
        <w:t>Appl Psychophysiol Biofeedback</w:t>
      </w:r>
      <w:r w:rsidRPr="002C6551">
        <w:t>. 2016;41(3):301-305. doi:10.1007/s10484-016-9333-1</w:t>
      </w:r>
    </w:p>
    <w:p w14:paraId="0E02E496" w14:textId="77777777" w:rsidR="002C6551" w:rsidRPr="002C6551" w:rsidRDefault="002C6551" w:rsidP="002C6551">
      <w:pPr>
        <w:pStyle w:val="Bibliography"/>
      </w:pPr>
      <w:r w:rsidRPr="002C6551">
        <w:lastRenderedPageBreak/>
        <w:t xml:space="preserve">85. </w:t>
      </w:r>
      <w:r w:rsidRPr="002C6551">
        <w:tab/>
        <w:t xml:space="preserve">Williams D, Tricomi G, Gupta J, Janise A. Efficacy of Burnout Interventions in the Medical Education Pipeline. </w:t>
      </w:r>
      <w:r w:rsidRPr="002C6551">
        <w:rPr>
          <w:i/>
          <w:iCs/>
        </w:rPr>
        <w:t>Acad Psychiatry</w:t>
      </w:r>
      <w:r w:rsidRPr="002C6551">
        <w:t>. 2015;39(1):47-54. doi:10.1007/s40596-014-0197-5</w:t>
      </w:r>
    </w:p>
    <w:p w14:paraId="2007F562" w14:textId="77777777" w:rsidR="002C6551" w:rsidRPr="002C6551" w:rsidRDefault="002C6551" w:rsidP="002C6551">
      <w:pPr>
        <w:pStyle w:val="Bibliography"/>
      </w:pPr>
      <w:r w:rsidRPr="002C6551">
        <w:t xml:space="preserve">86. </w:t>
      </w:r>
      <w:r w:rsidRPr="002C6551">
        <w:tab/>
        <w:t xml:space="preserve">Slavin SJ, Schindler DL, Chibnall JT. Medical Student Mental Health 3.0: Improving Student Wellness Through Curricular Changes. </w:t>
      </w:r>
      <w:r w:rsidRPr="002C6551">
        <w:rPr>
          <w:i/>
          <w:iCs/>
        </w:rPr>
        <w:t>Acad Med</w:t>
      </w:r>
      <w:r w:rsidRPr="002C6551">
        <w:t>. 2014;89(4):573-577. doi:10.1097/ACM.0000000000000166</w:t>
      </w:r>
    </w:p>
    <w:p w14:paraId="6C5D6E7D" w14:textId="77777777" w:rsidR="002C6551" w:rsidRPr="002C6551" w:rsidRDefault="002C6551" w:rsidP="002C6551">
      <w:pPr>
        <w:pStyle w:val="Bibliography"/>
      </w:pPr>
      <w:r w:rsidRPr="002C6551">
        <w:t xml:space="preserve">87. </w:t>
      </w:r>
      <w:r w:rsidRPr="002C6551">
        <w:tab/>
        <w:t xml:space="preserve">Moreira E, Correia M, Magalhães R, Silva MC. Stroke Awareness in Urban and Rural Populations from Northern Portugal: Knowledge and Action Are Independent. </w:t>
      </w:r>
      <w:r w:rsidRPr="002C6551">
        <w:rPr>
          <w:i/>
          <w:iCs/>
        </w:rPr>
        <w:t>Neuroepidemiology</w:t>
      </w:r>
      <w:r w:rsidRPr="002C6551">
        <w:t>. 2011;36(4):265-273. doi:10.1159/000328867</w:t>
      </w:r>
    </w:p>
    <w:p w14:paraId="5764B2F6" w14:textId="77777777" w:rsidR="002C6551" w:rsidRPr="002C6551" w:rsidRDefault="002C6551" w:rsidP="002C6551">
      <w:pPr>
        <w:pStyle w:val="Bibliography"/>
      </w:pPr>
      <w:r w:rsidRPr="002C6551">
        <w:t xml:space="preserve">88. </w:t>
      </w:r>
      <w:r w:rsidRPr="002C6551">
        <w:tab/>
        <w:t xml:space="preserve">Salopuro TM, Saaristo T, Oksa H, et al. Population-level effects of the national diabetes prevention programme (FIN-D2D) on the body weight, the waist circumference, and the prevalence of obesity. </w:t>
      </w:r>
      <w:r w:rsidRPr="002C6551">
        <w:rPr>
          <w:i/>
          <w:iCs/>
        </w:rPr>
        <w:t>BMC Public Health</w:t>
      </w:r>
      <w:r w:rsidRPr="002C6551">
        <w:t>. 2011;11:350. doi:10.1186/1471-2458-11-350</w:t>
      </w:r>
    </w:p>
    <w:p w14:paraId="4D326374" w14:textId="77777777" w:rsidR="002C6551" w:rsidRPr="002C6551" w:rsidRDefault="002C6551" w:rsidP="002C6551">
      <w:pPr>
        <w:pStyle w:val="Bibliography"/>
      </w:pPr>
      <w:r w:rsidRPr="002C6551">
        <w:t xml:space="preserve">89. </w:t>
      </w:r>
      <w:r w:rsidRPr="002C6551">
        <w:tab/>
        <w:t xml:space="preserve">Mikulík R, Goldemund D, Reif M, et al. Calling 911 in Response to Stroke: No Change following a Four-Year Educational Campaign. </w:t>
      </w:r>
      <w:r w:rsidRPr="002C6551">
        <w:rPr>
          <w:i/>
          <w:iCs/>
        </w:rPr>
        <w:t>Cerebrovasc Dis</w:t>
      </w:r>
      <w:r w:rsidRPr="002C6551">
        <w:t>. 2011;32(4):342-348. doi:10.1159/000330339</w:t>
      </w:r>
    </w:p>
    <w:p w14:paraId="211E3C0C" w14:textId="77777777" w:rsidR="002C6551" w:rsidRPr="002C6551" w:rsidRDefault="002C6551" w:rsidP="002C6551">
      <w:pPr>
        <w:pStyle w:val="Bibliography"/>
      </w:pPr>
      <w:r w:rsidRPr="002C6551">
        <w:t xml:space="preserve">90. </w:t>
      </w:r>
      <w:r w:rsidRPr="002C6551">
        <w:tab/>
        <w:t xml:space="preserve">Ellis C, Barley J, Grubaugh A. Poststroke Knowledge and Symptom Awareness: A Global Issue for Secondary Stroke Prevention. </w:t>
      </w:r>
      <w:r w:rsidRPr="002C6551">
        <w:rPr>
          <w:i/>
          <w:iCs/>
        </w:rPr>
        <w:t>Cerebrovasc Dis</w:t>
      </w:r>
      <w:r w:rsidRPr="002C6551">
        <w:t>. 2013;35(6):572-581. doi:10.1159/000351209</w:t>
      </w:r>
    </w:p>
    <w:p w14:paraId="1FF26936" w14:textId="77777777" w:rsidR="002C6551" w:rsidRPr="002C6551" w:rsidRDefault="002C6551" w:rsidP="002C6551">
      <w:pPr>
        <w:pStyle w:val="Bibliography"/>
      </w:pPr>
      <w:r w:rsidRPr="002C6551">
        <w:t xml:space="preserve">91. </w:t>
      </w:r>
      <w:r w:rsidRPr="002C6551">
        <w:tab/>
        <w:t xml:space="preserve">Suurvali H, Hodgins DC, Cunningham JA. Motivators for resolving or seeking help for gambling problems: a review of the empirical literature. </w:t>
      </w:r>
      <w:r w:rsidRPr="002C6551">
        <w:rPr>
          <w:i/>
          <w:iCs/>
        </w:rPr>
        <w:t>J Gambl Stud</w:t>
      </w:r>
      <w:r w:rsidRPr="002C6551">
        <w:t>. 2010;26(1):1-33. doi:10.1007/s10899-009-9151-y</w:t>
      </w:r>
    </w:p>
    <w:p w14:paraId="31BAEFB8" w14:textId="77777777" w:rsidR="002C6551" w:rsidRPr="002C6551" w:rsidRDefault="002C6551" w:rsidP="002C6551">
      <w:pPr>
        <w:pStyle w:val="Bibliography"/>
      </w:pPr>
      <w:r w:rsidRPr="002C6551">
        <w:t xml:space="preserve">92. </w:t>
      </w:r>
      <w:r w:rsidRPr="002C6551">
        <w:tab/>
        <w:t xml:space="preserve">Toering TT, Elferink-Gemser MT, Jordet G, Visscher C. Self-regulation and performance level of elite and non-elite youth soccer players. </w:t>
      </w:r>
      <w:r w:rsidRPr="002C6551">
        <w:rPr>
          <w:i/>
          <w:iCs/>
        </w:rPr>
        <w:t>J Sports Sci</w:t>
      </w:r>
      <w:r w:rsidRPr="002C6551">
        <w:t>. 2009;27(14):1509-1517. doi:10.1080/02640410903369919</w:t>
      </w:r>
    </w:p>
    <w:p w14:paraId="6B8B3B09" w14:textId="77777777" w:rsidR="002C6551" w:rsidRPr="002C6551" w:rsidRDefault="002C6551" w:rsidP="002C6551">
      <w:pPr>
        <w:pStyle w:val="Bibliography"/>
      </w:pPr>
      <w:r w:rsidRPr="002C6551">
        <w:t xml:space="preserve">93. </w:t>
      </w:r>
      <w:r w:rsidRPr="002C6551">
        <w:tab/>
        <w:t xml:space="preserve">McMaster HS, LeardMann CA, Speigle S, Dillman DA. An experimental comparison of web-push vs. paper-only survey procedures for conducting an in-depth health survey of military spouses. </w:t>
      </w:r>
      <w:r w:rsidRPr="002C6551">
        <w:rPr>
          <w:i/>
          <w:iCs/>
        </w:rPr>
        <w:t>BMC Med Res Methodol</w:t>
      </w:r>
      <w:r w:rsidRPr="002C6551">
        <w:t>. 2017;17. doi:10.1186/s12874-017-0337-1</w:t>
      </w:r>
    </w:p>
    <w:p w14:paraId="5764B643" w14:textId="77777777" w:rsidR="002C6551" w:rsidRPr="002C6551" w:rsidRDefault="002C6551" w:rsidP="002C6551">
      <w:pPr>
        <w:pStyle w:val="Bibliography"/>
      </w:pPr>
      <w:r w:rsidRPr="002C6551">
        <w:t xml:space="preserve">94. </w:t>
      </w:r>
      <w:r w:rsidRPr="002C6551">
        <w:tab/>
        <w:t xml:space="preserve">Weimiao F, Zheng Y. Factors affecting response rates of web survey: A systematic review. </w:t>
      </w:r>
      <w:r w:rsidRPr="002C6551">
        <w:rPr>
          <w:i/>
          <w:iCs/>
        </w:rPr>
        <w:t>Comput Hum Behav</w:t>
      </w:r>
      <w:r w:rsidRPr="002C6551">
        <w:t>. 2010;26(2010):132-139. www.elsevier.com/locate/comphumbeh.</w:t>
      </w:r>
    </w:p>
    <w:p w14:paraId="4DB11B0E" w14:textId="77777777" w:rsidR="002C6551" w:rsidRPr="002C6551" w:rsidRDefault="002C6551" w:rsidP="002C6551">
      <w:pPr>
        <w:pStyle w:val="Bibliography"/>
      </w:pPr>
      <w:r w:rsidRPr="002C6551">
        <w:t xml:space="preserve">95. </w:t>
      </w:r>
      <w:r w:rsidRPr="002C6551">
        <w:tab/>
        <w:t xml:space="preserve">Bailey EJ. Stress and Medical Care Utilization: An Element of Screening Behavior. </w:t>
      </w:r>
      <w:r w:rsidRPr="002C6551">
        <w:rPr>
          <w:i/>
          <w:iCs/>
        </w:rPr>
        <w:t>Soc Behav Personal</w:t>
      </w:r>
      <w:r w:rsidRPr="002C6551">
        <w:t>. 1986;14(1):99-102. http://libraries.ou.edu/access.aspx?url=http://search.ebscohost.com/logi</w:t>
      </w:r>
      <w:r w:rsidRPr="002C6551">
        <w:lastRenderedPageBreak/>
        <w:t>n.aspx?direct=true&amp;db=eric&amp;AN=EJ344990&amp;site=ehost-live. Accessed December 29, 2014.</w:t>
      </w:r>
    </w:p>
    <w:p w14:paraId="1E67C573" w14:textId="77777777" w:rsidR="002C6551" w:rsidRPr="002C6551" w:rsidRDefault="002C6551" w:rsidP="002C6551">
      <w:pPr>
        <w:pStyle w:val="Bibliography"/>
      </w:pPr>
      <w:r w:rsidRPr="002C6551">
        <w:t xml:space="preserve">96. </w:t>
      </w:r>
      <w:r w:rsidRPr="002C6551">
        <w:tab/>
        <w:t xml:space="preserve">Nulty DD. The adequacy of response rates to online and paper surveys: what can be done? </w:t>
      </w:r>
      <w:r w:rsidRPr="002C6551">
        <w:rPr>
          <w:i/>
          <w:iCs/>
        </w:rPr>
        <w:t>Assess Eval High Educ</w:t>
      </w:r>
      <w:r w:rsidRPr="002C6551">
        <w:t>. 2008;33(3):301-314. doi:10.1080/02602930701293231</w:t>
      </w:r>
    </w:p>
    <w:p w14:paraId="0E0E8CB2" w14:textId="77777777" w:rsidR="002C6551" w:rsidRPr="002C6551" w:rsidRDefault="002C6551" w:rsidP="002C6551">
      <w:pPr>
        <w:pStyle w:val="Bibliography"/>
      </w:pPr>
      <w:r w:rsidRPr="002C6551">
        <w:t xml:space="preserve">97. </w:t>
      </w:r>
      <w:r w:rsidRPr="002C6551">
        <w:tab/>
        <w:t xml:space="preserve">Dillman DA. Why Choice of Survey Mode Makes a Difference. </w:t>
      </w:r>
      <w:r w:rsidRPr="002C6551">
        <w:rPr>
          <w:i/>
          <w:iCs/>
        </w:rPr>
        <w:t>Public Health Rep</w:t>
      </w:r>
      <w:r w:rsidRPr="002C6551">
        <w:t>. 2006;121(1):11-13. https://www.ncbi.nlm.nih.gov/pmc/articles/PMC1497792/. Accessed December 28, 2017.</w:t>
      </w:r>
    </w:p>
    <w:p w14:paraId="5F3839D1" w14:textId="77777777" w:rsidR="002C6551" w:rsidRPr="002C6551" w:rsidRDefault="002C6551" w:rsidP="002C6551">
      <w:pPr>
        <w:pStyle w:val="Bibliography"/>
      </w:pPr>
      <w:r w:rsidRPr="002C6551">
        <w:t xml:space="preserve">98. </w:t>
      </w:r>
      <w:r w:rsidRPr="002C6551">
        <w:tab/>
        <w:t xml:space="preserve">Likert R. A technique for the Measurement of Attitudes. </w:t>
      </w:r>
      <w:r w:rsidRPr="002C6551">
        <w:rPr>
          <w:i/>
          <w:iCs/>
        </w:rPr>
        <w:t>Arch Psychol</w:t>
      </w:r>
      <w:r w:rsidRPr="002C6551">
        <w:t>. 140:1-55.</w:t>
      </w:r>
    </w:p>
    <w:p w14:paraId="0B0EE6C3" w14:textId="77777777" w:rsidR="002C6551" w:rsidRPr="002C6551" w:rsidRDefault="002C6551" w:rsidP="002C6551">
      <w:pPr>
        <w:pStyle w:val="Bibliography"/>
      </w:pPr>
      <w:r w:rsidRPr="002C6551">
        <w:t xml:space="preserve">99. </w:t>
      </w:r>
      <w:r w:rsidRPr="002C6551">
        <w:tab/>
        <w:t>Qualtrics: Online Survey Software &amp; Insight Platform. Qualtrics. http://www.qualtrics.com/. Accessed April 17, 2015.</w:t>
      </w:r>
    </w:p>
    <w:p w14:paraId="55B78687" w14:textId="77777777" w:rsidR="002C6551" w:rsidRPr="002C6551" w:rsidRDefault="002C6551" w:rsidP="002C6551">
      <w:pPr>
        <w:pStyle w:val="Bibliography"/>
      </w:pPr>
      <w:r w:rsidRPr="002C6551">
        <w:t xml:space="preserve">100. </w:t>
      </w:r>
      <w:r w:rsidRPr="002C6551">
        <w:tab/>
        <w:t xml:space="preserve">Dillman DA. </w:t>
      </w:r>
      <w:r w:rsidRPr="002C6551">
        <w:rPr>
          <w:i/>
          <w:iCs/>
        </w:rPr>
        <w:t>Mail and Internet Surveys: The Tailored Design Method -- 2007 Update with New Internet, Visual, and Mixed-Mode Guide</w:t>
      </w:r>
      <w:r w:rsidRPr="002C6551">
        <w:t>. John Wiley &amp; Sons; 2011.</w:t>
      </w:r>
    </w:p>
    <w:p w14:paraId="7CB0D204" w14:textId="77777777" w:rsidR="002C6551" w:rsidRPr="002C6551" w:rsidRDefault="002C6551" w:rsidP="002C6551">
      <w:pPr>
        <w:pStyle w:val="Bibliography"/>
      </w:pPr>
      <w:r w:rsidRPr="002C6551">
        <w:t xml:space="preserve">101. </w:t>
      </w:r>
      <w:r w:rsidRPr="002C6551">
        <w:tab/>
        <w:t xml:space="preserve">O’Brien BC, Harris IB, Beckman TJ, Reed DA, Cook DA. Standards for Reporting Qualitative Research: A Synthesis of Recommendations. </w:t>
      </w:r>
      <w:r w:rsidRPr="002C6551">
        <w:rPr>
          <w:i/>
          <w:iCs/>
        </w:rPr>
        <w:t>Acad Med Sept 2014</w:t>
      </w:r>
      <w:r w:rsidRPr="002C6551">
        <w:t>. 2014;89(9):1245-1251. doi:10.1097/ACM.0000000000000388</w:t>
      </w:r>
    </w:p>
    <w:p w14:paraId="2675CFA7" w14:textId="77777777" w:rsidR="002C6551" w:rsidRPr="002C6551" w:rsidRDefault="002C6551" w:rsidP="002C6551">
      <w:pPr>
        <w:pStyle w:val="Bibliography"/>
      </w:pPr>
      <w:r w:rsidRPr="002C6551">
        <w:t xml:space="preserve">102. </w:t>
      </w:r>
      <w:r w:rsidRPr="002C6551">
        <w:tab/>
        <w:t xml:space="preserve">Kuehl RO. </w:t>
      </w:r>
      <w:r w:rsidRPr="002C6551">
        <w:rPr>
          <w:i/>
          <w:iCs/>
        </w:rPr>
        <w:t>Design of Experiments: Statistical Principles of Research Design and Analysis</w:t>
      </w:r>
      <w:r w:rsidRPr="002C6551">
        <w:t>. 2nd ed. Belmont, CA: Brooks/Cole; 2000.</w:t>
      </w:r>
    </w:p>
    <w:p w14:paraId="10ABF83C" w14:textId="77777777" w:rsidR="002C6551" w:rsidRPr="002C6551" w:rsidRDefault="002C6551" w:rsidP="002C6551">
      <w:pPr>
        <w:pStyle w:val="Bibliography"/>
      </w:pPr>
      <w:r w:rsidRPr="002C6551">
        <w:t xml:space="preserve">103. </w:t>
      </w:r>
      <w:r w:rsidRPr="002C6551">
        <w:tab/>
        <w:t xml:space="preserve">Morrison H, McNally H, Wylie C, McFaul P, Thompson W. The passing score in the objective structured clinical examination. </w:t>
      </w:r>
      <w:r w:rsidRPr="002C6551">
        <w:rPr>
          <w:i/>
          <w:iCs/>
        </w:rPr>
        <w:t>Med Educ</w:t>
      </w:r>
      <w:r w:rsidRPr="002C6551">
        <w:t>. 1996;30(5):345-348.</w:t>
      </w:r>
    </w:p>
    <w:p w14:paraId="305EE2F9" w14:textId="77777777" w:rsidR="002C6551" w:rsidRPr="002C6551" w:rsidRDefault="002C6551" w:rsidP="002C6551">
      <w:pPr>
        <w:pStyle w:val="Bibliography"/>
      </w:pPr>
      <w:r w:rsidRPr="002C6551">
        <w:t xml:space="preserve">104. </w:t>
      </w:r>
      <w:r w:rsidRPr="002C6551">
        <w:tab/>
        <w:t xml:space="preserve">Verheggen MM, Muijtjens AMM, Os JV, Schuwirth LWT. Is an Angoff Standard an Indication of Minimal Competence of Examinees or of Judges? </w:t>
      </w:r>
      <w:r w:rsidRPr="002C6551">
        <w:rPr>
          <w:i/>
          <w:iCs/>
        </w:rPr>
        <w:t>Adv Health Sci Educ</w:t>
      </w:r>
      <w:r w:rsidRPr="002C6551">
        <w:t>. 2008;13(2):203-211. doi:10.1007/s10459-006-9035-1</w:t>
      </w:r>
    </w:p>
    <w:p w14:paraId="433647BE" w14:textId="77777777" w:rsidR="002C6551" w:rsidRPr="002C6551" w:rsidRDefault="002C6551" w:rsidP="002C6551">
      <w:pPr>
        <w:pStyle w:val="Bibliography"/>
      </w:pPr>
      <w:r w:rsidRPr="002C6551">
        <w:t xml:space="preserve">105. </w:t>
      </w:r>
      <w:r w:rsidRPr="002C6551">
        <w:tab/>
        <w:t xml:space="preserve">Boursicot K. Setting Standards in a Professional Higher Education Course: Defining the Concept of the Minimally Competent Student in Performance-Based Assessment at the Level of Graduation from Medical School. </w:t>
      </w:r>
      <w:r w:rsidRPr="002C6551">
        <w:rPr>
          <w:i/>
          <w:iCs/>
        </w:rPr>
        <w:t>High Educ Q</w:t>
      </w:r>
      <w:r w:rsidRPr="002C6551">
        <w:t>. 2006;60(1):74-90. doi:10.1111/j.1468-2273.2006.00308.x</w:t>
      </w:r>
    </w:p>
    <w:p w14:paraId="146B2356" w14:textId="77777777" w:rsidR="002C6551" w:rsidRPr="002C6551" w:rsidRDefault="002C6551" w:rsidP="002C6551">
      <w:pPr>
        <w:pStyle w:val="Bibliography"/>
      </w:pPr>
      <w:r w:rsidRPr="002C6551">
        <w:t xml:space="preserve">106. </w:t>
      </w:r>
      <w:r w:rsidRPr="002C6551">
        <w:tab/>
        <w:t xml:space="preserve">Basit T. Manual or electronic? The role of coding in qualitative data analysis. </w:t>
      </w:r>
      <w:r w:rsidRPr="002C6551">
        <w:rPr>
          <w:i/>
          <w:iCs/>
        </w:rPr>
        <w:t>Educ Res</w:t>
      </w:r>
      <w:r w:rsidRPr="002C6551">
        <w:t>. 2003;45(2):143-154. doi:10.1080/0013188032000133548</w:t>
      </w:r>
    </w:p>
    <w:p w14:paraId="6D374F84" w14:textId="77777777" w:rsidR="002C6551" w:rsidRPr="002C6551" w:rsidRDefault="002C6551" w:rsidP="002C6551">
      <w:pPr>
        <w:pStyle w:val="Bibliography"/>
      </w:pPr>
      <w:r w:rsidRPr="002C6551">
        <w:lastRenderedPageBreak/>
        <w:t xml:space="preserve">107. </w:t>
      </w:r>
      <w:r w:rsidRPr="002C6551">
        <w:tab/>
        <w:t>Stowitschek JJ, Others A. A Computerized Risk Index Screening Program for At-Risk Students. August 1990. http://eric.ed.gov/?id=ED337308. Accessed December 29, 2014.</w:t>
      </w:r>
    </w:p>
    <w:p w14:paraId="7DF25A69" w14:textId="77777777" w:rsidR="002C6551" w:rsidRPr="002C6551" w:rsidRDefault="002C6551" w:rsidP="002C6551">
      <w:pPr>
        <w:pStyle w:val="Bibliography"/>
      </w:pPr>
      <w:r w:rsidRPr="002C6551">
        <w:t xml:space="preserve">108. </w:t>
      </w:r>
      <w:r w:rsidRPr="002C6551">
        <w:tab/>
        <w:t xml:space="preserve">Hasson H, Brown C, Hasson D. Factors Associated with High Use of a Workplace Web-Based Stress Management Program in a Randomized Controlled Intervention Study. </w:t>
      </w:r>
      <w:r w:rsidRPr="002C6551">
        <w:rPr>
          <w:i/>
          <w:iCs/>
        </w:rPr>
        <w:t>Health Educ Res</w:t>
      </w:r>
      <w:r w:rsidRPr="002C6551">
        <w:t>. 2010;25(4):596-607.</w:t>
      </w:r>
    </w:p>
    <w:p w14:paraId="558357DE" w14:textId="77777777" w:rsidR="002C6551" w:rsidRPr="002C6551" w:rsidRDefault="002C6551" w:rsidP="002C6551">
      <w:pPr>
        <w:pStyle w:val="Bibliography"/>
      </w:pPr>
      <w:r w:rsidRPr="002C6551">
        <w:t xml:space="preserve">109. </w:t>
      </w:r>
      <w:r w:rsidRPr="002C6551">
        <w:tab/>
        <w:t xml:space="preserve">Uusiautti S, Määttä K. I am no longer alone – How do university students perceive the possibilities of social media? </w:t>
      </w:r>
      <w:r w:rsidRPr="002C6551">
        <w:rPr>
          <w:i/>
          <w:iCs/>
        </w:rPr>
        <w:t>Int J Adolesc Youth</w:t>
      </w:r>
      <w:r w:rsidRPr="002C6551">
        <w:t>. 2014;19(3):293-305. doi:10.1080/02673843.2014.919600</w:t>
      </w:r>
    </w:p>
    <w:p w14:paraId="2ACEC4E1" w14:textId="77777777" w:rsidR="002C6551" w:rsidRPr="002C6551" w:rsidRDefault="002C6551" w:rsidP="002C6551">
      <w:pPr>
        <w:pStyle w:val="Bibliography"/>
      </w:pPr>
      <w:r w:rsidRPr="002C6551">
        <w:t xml:space="preserve">110. </w:t>
      </w:r>
      <w:r w:rsidRPr="002C6551">
        <w:tab/>
        <w:t xml:space="preserve">Janikowski TP, And Others. Convergent and Discriminant Validity of the Microcomputer Evaluation Screening and Assessment (MESA) Interest Survey. </w:t>
      </w:r>
      <w:r w:rsidRPr="002C6551">
        <w:rPr>
          <w:i/>
          <w:iCs/>
        </w:rPr>
        <w:t>Rehabil Couns Bull</w:t>
      </w:r>
      <w:r w:rsidRPr="002C6551">
        <w:t>. 1990;34(2):139-148.</w:t>
      </w:r>
    </w:p>
    <w:p w14:paraId="5963AE6C" w14:textId="77777777" w:rsidR="002C6551" w:rsidRPr="002C6551" w:rsidRDefault="002C6551" w:rsidP="002C6551">
      <w:pPr>
        <w:pStyle w:val="Bibliography"/>
      </w:pPr>
      <w:r w:rsidRPr="002C6551">
        <w:t xml:space="preserve">111. </w:t>
      </w:r>
      <w:r w:rsidRPr="002C6551">
        <w:tab/>
        <w:t xml:space="preserve">Nitko A, Brookharg S. </w:t>
      </w:r>
      <w:r w:rsidRPr="002C6551">
        <w:rPr>
          <w:i/>
          <w:iCs/>
        </w:rPr>
        <w:t>Educational Assessment of Students</w:t>
      </w:r>
      <w:r w:rsidRPr="002C6551">
        <w:t>. 6th ed. Upper Saddle River, NJ: Pearson; 2011.</w:t>
      </w:r>
    </w:p>
    <w:p w14:paraId="60275866" w14:textId="77777777" w:rsidR="002C6551" w:rsidRPr="002C6551" w:rsidRDefault="002C6551" w:rsidP="002C6551">
      <w:pPr>
        <w:pStyle w:val="Bibliography"/>
      </w:pPr>
      <w:r w:rsidRPr="002C6551">
        <w:t xml:space="preserve">112. </w:t>
      </w:r>
      <w:r w:rsidRPr="002C6551">
        <w:tab/>
        <w:t xml:space="preserve">Abbott EF, Serrano VP, Rethlefsen ML, et al. Trends in P Value, Confidence Interval, and Power Analysis Reporting in Health Professions Education Research Reports: A Systematic Appraisal. </w:t>
      </w:r>
      <w:r w:rsidRPr="002C6551">
        <w:rPr>
          <w:i/>
          <w:iCs/>
        </w:rPr>
        <w:t>Acad Med</w:t>
      </w:r>
      <w:r w:rsidRPr="002C6551">
        <w:t>. June 2017:1. doi:10.1097/ACM.0000000000001773</w:t>
      </w:r>
    </w:p>
    <w:p w14:paraId="58923D67" w14:textId="7CF1A3F8" w:rsidR="00FA004E" w:rsidRPr="00B417BF" w:rsidRDefault="00FA004E" w:rsidP="00FA004E">
      <w:pPr>
        <w:spacing w:line="480" w:lineRule="auto"/>
        <w:rPr>
          <w:rFonts w:asciiTheme="minorHAnsi" w:hAnsiTheme="minorHAnsi"/>
        </w:rPr>
      </w:pPr>
      <w:r w:rsidRPr="00B417BF">
        <w:rPr>
          <w:rFonts w:asciiTheme="minorHAnsi" w:hAnsiTheme="minorHAnsi"/>
        </w:rPr>
        <w:fldChar w:fldCharType="end"/>
      </w:r>
    </w:p>
    <w:p w14:paraId="7D4A6BCF" w14:textId="77777777" w:rsidR="00FA004E" w:rsidRPr="00B417BF" w:rsidRDefault="00FA004E" w:rsidP="00FA004E">
      <w:pPr>
        <w:spacing w:line="480" w:lineRule="auto"/>
        <w:rPr>
          <w:rFonts w:asciiTheme="minorHAnsi" w:hAnsiTheme="minorHAnsi"/>
        </w:rPr>
      </w:pPr>
    </w:p>
    <w:p w14:paraId="2B16EAC6" w14:textId="77777777" w:rsidR="00FA004E" w:rsidRPr="00B417BF" w:rsidRDefault="00FA004E" w:rsidP="00FA004E">
      <w:pPr>
        <w:rPr>
          <w:rFonts w:asciiTheme="minorHAnsi" w:hAnsiTheme="minorHAnsi"/>
        </w:rPr>
      </w:pPr>
      <w:r w:rsidRPr="00B417BF">
        <w:rPr>
          <w:rFonts w:asciiTheme="minorHAnsi" w:hAnsiTheme="minorHAnsi"/>
        </w:rPr>
        <w:br w:type="page"/>
      </w:r>
    </w:p>
    <w:p w14:paraId="7CBC31B1" w14:textId="77777777" w:rsidR="00F84901" w:rsidRPr="00B417BF" w:rsidRDefault="00F84901" w:rsidP="00F84901">
      <w:pPr>
        <w:spacing w:line="480" w:lineRule="auto"/>
        <w:outlineLvl w:val="0"/>
        <w:rPr>
          <w:rFonts w:asciiTheme="minorHAnsi" w:hAnsiTheme="minorHAnsi"/>
        </w:rPr>
      </w:pPr>
    </w:p>
    <w:p w14:paraId="5ACB5021" w14:textId="1201F112" w:rsidR="00F84901" w:rsidRPr="003365EA" w:rsidRDefault="00650A3F" w:rsidP="00F84901">
      <w:pPr>
        <w:spacing w:line="480" w:lineRule="auto"/>
        <w:jc w:val="center"/>
        <w:outlineLvl w:val="0"/>
        <w:rPr>
          <w:rFonts w:asciiTheme="minorHAnsi" w:hAnsiTheme="minorHAnsi"/>
          <w:b/>
          <w:sz w:val="28"/>
          <w:szCs w:val="28"/>
        </w:rPr>
      </w:pPr>
      <w:r>
        <w:rPr>
          <w:rFonts w:asciiTheme="minorHAnsi" w:hAnsiTheme="minorHAnsi"/>
          <w:b/>
          <w:sz w:val="28"/>
          <w:szCs w:val="28"/>
        </w:rPr>
        <w:t xml:space="preserve">Appendix A: </w:t>
      </w:r>
      <w:r w:rsidR="005E4450">
        <w:rPr>
          <w:rFonts w:asciiTheme="minorHAnsi" w:hAnsiTheme="minorHAnsi"/>
          <w:b/>
          <w:sz w:val="28"/>
          <w:szCs w:val="28"/>
        </w:rPr>
        <w:t>Figures</w:t>
      </w:r>
    </w:p>
    <w:p w14:paraId="6C9939E7" w14:textId="0EDC4A84" w:rsidR="00F84901" w:rsidRDefault="00F84901" w:rsidP="00F84901">
      <w:pPr>
        <w:spacing w:line="480" w:lineRule="auto"/>
        <w:outlineLvl w:val="0"/>
        <w:rPr>
          <w:rFonts w:asciiTheme="minorHAnsi" w:hAnsiTheme="minorHAnsi"/>
        </w:rPr>
      </w:pPr>
    </w:p>
    <w:tbl>
      <w:tblPr>
        <w:tblW w:w="5511" w:type="dxa"/>
        <w:tblLook w:val="04A0" w:firstRow="1" w:lastRow="0" w:firstColumn="1" w:lastColumn="0" w:noHBand="0" w:noVBand="1"/>
      </w:tblPr>
      <w:tblGrid>
        <w:gridCol w:w="1517"/>
        <w:gridCol w:w="692"/>
        <w:gridCol w:w="616"/>
        <w:gridCol w:w="727"/>
        <w:gridCol w:w="616"/>
        <w:gridCol w:w="727"/>
        <w:gridCol w:w="616"/>
      </w:tblGrid>
      <w:tr w:rsidR="000C4B4E" w:rsidRPr="000C4B4E" w14:paraId="287C2547" w14:textId="77777777" w:rsidTr="00593A4F">
        <w:trPr>
          <w:trHeight w:val="820"/>
        </w:trPr>
        <w:tc>
          <w:tcPr>
            <w:tcW w:w="15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841ECA2" w14:textId="3720356A" w:rsidR="000C4B4E" w:rsidRPr="000C4B4E" w:rsidRDefault="003B58D3" w:rsidP="000C4B4E">
            <w:pPr>
              <w:rPr>
                <w:rFonts w:ascii="Cambria" w:hAnsi="Cambria" w:cs="Calibri"/>
                <w:color w:val="000000"/>
                <w:sz w:val="20"/>
                <w:szCs w:val="20"/>
              </w:rPr>
            </w:pPr>
            <w:r>
              <w:rPr>
                <w:rFonts w:asciiTheme="minorHAnsi" w:hAnsiTheme="minorHAnsi"/>
              </w:rPr>
              <w:br w:type="page"/>
            </w:r>
            <w:r w:rsidR="000C4B4E" w:rsidRPr="000C4B4E">
              <w:rPr>
                <w:rFonts w:ascii="Cambria" w:hAnsi="Cambria" w:cs="Calibri"/>
                <w:color w:val="000000"/>
                <w:sz w:val="20"/>
                <w:szCs w:val="20"/>
              </w:rPr>
              <w:t>Control Group Type of Support</w:t>
            </w:r>
          </w:p>
        </w:tc>
        <w:tc>
          <w:tcPr>
            <w:tcW w:w="692" w:type="dxa"/>
            <w:tcBorders>
              <w:top w:val="single" w:sz="8" w:space="0" w:color="auto"/>
              <w:left w:val="nil"/>
              <w:bottom w:val="single" w:sz="8" w:space="0" w:color="auto"/>
              <w:right w:val="single" w:sz="8" w:space="0" w:color="auto"/>
            </w:tcBorders>
            <w:shd w:val="clear" w:color="auto" w:fill="auto"/>
            <w:vAlign w:val="center"/>
            <w:hideMark/>
          </w:tcPr>
          <w:p w14:paraId="041FBD86"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Exam 1 n=50</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50B679C6"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w:t>
            </w:r>
          </w:p>
        </w:tc>
        <w:tc>
          <w:tcPr>
            <w:tcW w:w="727" w:type="dxa"/>
            <w:tcBorders>
              <w:top w:val="single" w:sz="8" w:space="0" w:color="auto"/>
              <w:left w:val="nil"/>
              <w:bottom w:val="single" w:sz="8" w:space="0" w:color="auto"/>
              <w:right w:val="single" w:sz="8" w:space="0" w:color="auto"/>
            </w:tcBorders>
            <w:shd w:val="clear" w:color="auto" w:fill="auto"/>
            <w:vAlign w:val="center"/>
            <w:hideMark/>
          </w:tcPr>
          <w:p w14:paraId="036A6E56"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Exam 1 &gt;80% n=30</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25177EB5"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w:t>
            </w:r>
          </w:p>
        </w:tc>
        <w:tc>
          <w:tcPr>
            <w:tcW w:w="727" w:type="dxa"/>
            <w:tcBorders>
              <w:top w:val="single" w:sz="8" w:space="0" w:color="auto"/>
              <w:left w:val="nil"/>
              <w:bottom w:val="single" w:sz="8" w:space="0" w:color="auto"/>
              <w:right w:val="single" w:sz="8" w:space="0" w:color="auto"/>
            </w:tcBorders>
            <w:shd w:val="clear" w:color="auto" w:fill="auto"/>
            <w:vAlign w:val="center"/>
            <w:hideMark/>
          </w:tcPr>
          <w:p w14:paraId="1164B8B4"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Exam 1 &lt;80% n=20</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600E87C9"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w:t>
            </w:r>
          </w:p>
        </w:tc>
      </w:tr>
      <w:tr w:rsidR="000C4B4E" w:rsidRPr="000C4B4E" w14:paraId="01E0DA5B" w14:textId="77777777" w:rsidTr="00593A4F">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3DAEE6EA" w14:textId="2ED0C73E" w:rsidR="000C4B4E" w:rsidRPr="000C4B4E" w:rsidRDefault="000C4B4E" w:rsidP="000C4B4E">
            <w:pPr>
              <w:rPr>
                <w:rFonts w:ascii="Cambria" w:hAnsi="Cambria" w:cs="Calibri"/>
                <w:color w:val="000000"/>
                <w:sz w:val="20"/>
                <w:szCs w:val="20"/>
              </w:rPr>
            </w:pPr>
            <w:r w:rsidRPr="006D499C">
              <w:rPr>
                <w:rFonts w:ascii="Cambria" w:hAnsi="Cambria" w:cs="Calibri"/>
                <w:color w:val="000000"/>
                <w:sz w:val="20"/>
                <w:szCs w:val="20"/>
              </w:rPr>
              <w:t xml:space="preserve">  </w:t>
            </w:r>
            <w:r w:rsidRPr="000C4B4E">
              <w:rPr>
                <w:rFonts w:ascii="Cambria" w:hAnsi="Cambria" w:cs="Calibri"/>
                <w:color w:val="000000"/>
                <w:sz w:val="20"/>
                <w:szCs w:val="20"/>
              </w:rPr>
              <w:t>peer support</w:t>
            </w:r>
          </w:p>
        </w:tc>
        <w:tc>
          <w:tcPr>
            <w:tcW w:w="692" w:type="dxa"/>
            <w:tcBorders>
              <w:top w:val="nil"/>
              <w:left w:val="nil"/>
              <w:bottom w:val="single" w:sz="8" w:space="0" w:color="auto"/>
              <w:right w:val="single" w:sz="8" w:space="0" w:color="auto"/>
            </w:tcBorders>
            <w:shd w:val="clear" w:color="auto" w:fill="auto"/>
            <w:noWrap/>
            <w:vAlign w:val="center"/>
            <w:hideMark/>
          </w:tcPr>
          <w:p w14:paraId="79DD7BD7"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21</w:t>
            </w:r>
          </w:p>
        </w:tc>
        <w:tc>
          <w:tcPr>
            <w:tcW w:w="616" w:type="dxa"/>
            <w:tcBorders>
              <w:top w:val="nil"/>
              <w:left w:val="nil"/>
              <w:bottom w:val="single" w:sz="8" w:space="0" w:color="auto"/>
              <w:right w:val="single" w:sz="8" w:space="0" w:color="auto"/>
            </w:tcBorders>
            <w:shd w:val="clear" w:color="auto" w:fill="auto"/>
            <w:noWrap/>
            <w:vAlign w:val="center"/>
            <w:hideMark/>
          </w:tcPr>
          <w:p w14:paraId="40E4E95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42%</w:t>
            </w:r>
          </w:p>
        </w:tc>
        <w:tc>
          <w:tcPr>
            <w:tcW w:w="727" w:type="dxa"/>
            <w:tcBorders>
              <w:top w:val="nil"/>
              <w:left w:val="nil"/>
              <w:bottom w:val="single" w:sz="8" w:space="0" w:color="auto"/>
              <w:right w:val="single" w:sz="8" w:space="0" w:color="auto"/>
            </w:tcBorders>
            <w:shd w:val="clear" w:color="auto" w:fill="auto"/>
            <w:noWrap/>
            <w:vAlign w:val="center"/>
            <w:hideMark/>
          </w:tcPr>
          <w:p w14:paraId="28D83008"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15</w:t>
            </w:r>
          </w:p>
        </w:tc>
        <w:tc>
          <w:tcPr>
            <w:tcW w:w="616" w:type="dxa"/>
            <w:tcBorders>
              <w:top w:val="nil"/>
              <w:left w:val="nil"/>
              <w:bottom w:val="single" w:sz="8" w:space="0" w:color="auto"/>
              <w:right w:val="single" w:sz="8" w:space="0" w:color="auto"/>
            </w:tcBorders>
            <w:shd w:val="clear" w:color="auto" w:fill="auto"/>
            <w:noWrap/>
            <w:vAlign w:val="center"/>
            <w:hideMark/>
          </w:tcPr>
          <w:p w14:paraId="08B767B2"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50%</w:t>
            </w:r>
          </w:p>
        </w:tc>
        <w:tc>
          <w:tcPr>
            <w:tcW w:w="727" w:type="dxa"/>
            <w:tcBorders>
              <w:top w:val="nil"/>
              <w:left w:val="nil"/>
              <w:bottom w:val="single" w:sz="8" w:space="0" w:color="auto"/>
              <w:right w:val="single" w:sz="8" w:space="0" w:color="auto"/>
            </w:tcBorders>
            <w:shd w:val="clear" w:color="auto" w:fill="auto"/>
            <w:vAlign w:val="center"/>
            <w:hideMark/>
          </w:tcPr>
          <w:p w14:paraId="7F11C16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c>
          <w:tcPr>
            <w:tcW w:w="616" w:type="dxa"/>
            <w:tcBorders>
              <w:top w:val="nil"/>
              <w:left w:val="nil"/>
              <w:bottom w:val="single" w:sz="8" w:space="0" w:color="auto"/>
              <w:right w:val="single" w:sz="8" w:space="0" w:color="auto"/>
            </w:tcBorders>
            <w:shd w:val="clear" w:color="auto" w:fill="auto"/>
            <w:noWrap/>
            <w:vAlign w:val="center"/>
            <w:hideMark/>
          </w:tcPr>
          <w:p w14:paraId="6735468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30%</w:t>
            </w:r>
          </w:p>
        </w:tc>
      </w:tr>
      <w:tr w:rsidR="000C4B4E" w:rsidRPr="000C4B4E" w14:paraId="2952A974" w14:textId="77777777" w:rsidTr="00593A4F">
        <w:trPr>
          <w:trHeight w:val="42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2A2598F2"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Advice from upperclassmen</w:t>
            </w:r>
          </w:p>
        </w:tc>
        <w:tc>
          <w:tcPr>
            <w:tcW w:w="692" w:type="dxa"/>
            <w:tcBorders>
              <w:top w:val="nil"/>
              <w:left w:val="nil"/>
              <w:bottom w:val="single" w:sz="8" w:space="0" w:color="auto"/>
              <w:right w:val="single" w:sz="8" w:space="0" w:color="auto"/>
            </w:tcBorders>
            <w:shd w:val="clear" w:color="auto" w:fill="auto"/>
            <w:noWrap/>
            <w:vAlign w:val="center"/>
            <w:hideMark/>
          </w:tcPr>
          <w:p w14:paraId="7F69451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24</w:t>
            </w:r>
          </w:p>
        </w:tc>
        <w:tc>
          <w:tcPr>
            <w:tcW w:w="616" w:type="dxa"/>
            <w:tcBorders>
              <w:top w:val="nil"/>
              <w:left w:val="nil"/>
              <w:bottom w:val="single" w:sz="8" w:space="0" w:color="auto"/>
              <w:right w:val="single" w:sz="8" w:space="0" w:color="auto"/>
            </w:tcBorders>
            <w:shd w:val="clear" w:color="auto" w:fill="auto"/>
            <w:noWrap/>
            <w:vAlign w:val="center"/>
            <w:hideMark/>
          </w:tcPr>
          <w:p w14:paraId="048D928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48%</w:t>
            </w:r>
          </w:p>
        </w:tc>
        <w:tc>
          <w:tcPr>
            <w:tcW w:w="727" w:type="dxa"/>
            <w:tcBorders>
              <w:top w:val="nil"/>
              <w:left w:val="nil"/>
              <w:bottom w:val="single" w:sz="8" w:space="0" w:color="auto"/>
              <w:right w:val="single" w:sz="8" w:space="0" w:color="auto"/>
            </w:tcBorders>
            <w:shd w:val="clear" w:color="auto" w:fill="auto"/>
            <w:noWrap/>
            <w:vAlign w:val="center"/>
            <w:hideMark/>
          </w:tcPr>
          <w:p w14:paraId="463A030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15</w:t>
            </w:r>
          </w:p>
        </w:tc>
        <w:tc>
          <w:tcPr>
            <w:tcW w:w="616" w:type="dxa"/>
            <w:tcBorders>
              <w:top w:val="nil"/>
              <w:left w:val="nil"/>
              <w:bottom w:val="single" w:sz="8" w:space="0" w:color="auto"/>
              <w:right w:val="single" w:sz="8" w:space="0" w:color="auto"/>
            </w:tcBorders>
            <w:shd w:val="clear" w:color="auto" w:fill="auto"/>
            <w:noWrap/>
            <w:vAlign w:val="center"/>
            <w:hideMark/>
          </w:tcPr>
          <w:p w14:paraId="3A93FFA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50%</w:t>
            </w:r>
          </w:p>
        </w:tc>
        <w:tc>
          <w:tcPr>
            <w:tcW w:w="727" w:type="dxa"/>
            <w:tcBorders>
              <w:top w:val="nil"/>
              <w:left w:val="nil"/>
              <w:bottom w:val="single" w:sz="8" w:space="0" w:color="auto"/>
              <w:right w:val="single" w:sz="8" w:space="0" w:color="auto"/>
            </w:tcBorders>
            <w:shd w:val="clear" w:color="auto" w:fill="auto"/>
            <w:vAlign w:val="center"/>
            <w:hideMark/>
          </w:tcPr>
          <w:p w14:paraId="5AC3CC7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9</w:t>
            </w:r>
          </w:p>
        </w:tc>
        <w:tc>
          <w:tcPr>
            <w:tcW w:w="616" w:type="dxa"/>
            <w:tcBorders>
              <w:top w:val="nil"/>
              <w:left w:val="nil"/>
              <w:bottom w:val="single" w:sz="8" w:space="0" w:color="auto"/>
              <w:right w:val="single" w:sz="8" w:space="0" w:color="auto"/>
            </w:tcBorders>
            <w:shd w:val="clear" w:color="auto" w:fill="auto"/>
            <w:noWrap/>
            <w:vAlign w:val="center"/>
            <w:hideMark/>
          </w:tcPr>
          <w:p w14:paraId="2488A5F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45%</w:t>
            </w:r>
          </w:p>
        </w:tc>
      </w:tr>
      <w:tr w:rsidR="000C4B4E" w:rsidRPr="000C4B4E" w14:paraId="55354523" w14:textId="77777777" w:rsidTr="00593A4F">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633B82A2"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Family support</w:t>
            </w:r>
          </w:p>
        </w:tc>
        <w:tc>
          <w:tcPr>
            <w:tcW w:w="692" w:type="dxa"/>
            <w:tcBorders>
              <w:top w:val="nil"/>
              <w:left w:val="nil"/>
              <w:bottom w:val="single" w:sz="8" w:space="0" w:color="auto"/>
              <w:right w:val="single" w:sz="8" w:space="0" w:color="auto"/>
            </w:tcBorders>
            <w:shd w:val="clear" w:color="auto" w:fill="auto"/>
            <w:noWrap/>
            <w:vAlign w:val="center"/>
            <w:hideMark/>
          </w:tcPr>
          <w:p w14:paraId="7D0F633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24</w:t>
            </w:r>
          </w:p>
        </w:tc>
        <w:tc>
          <w:tcPr>
            <w:tcW w:w="616" w:type="dxa"/>
            <w:tcBorders>
              <w:top w:val="nil"/>
              <w:left w:val="nil"/>
              <w:bottom w:val="single" w:sz="8" w:space="0" w:color="auto"/>
              <w:right w:val="single" w:sz="8" w:space="0" w:color="auto"/>
            </w:tcBorders>
            <w:shd w:val="clear" w:color="auto" w:fill="auto"/>
            <w:noWrap/>
            <w:vAlign w:val="center"/>
            <w:hideMark/>
          </w:tcPr>
          <w:p w14:paraId="525EBB3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48%</w:t>
            </w:r>
          </w:p>
        </w:tc>
        <w:tc>
          <w:tcPr>
            <w:tcW w:w="727" w:type="dxa"/>
            <w:tcBorders>
              <w:top w:val="nil"/>
              <w:left w:val="nil"/>
              <w:bottom w:val="single" w:sz="8" w:space="0" w:color="auto"/>
              <w:right w:val="single" w:sz="8" w:space="0" w:color="auto"/>
            </w:tcBorders>
            <w:shd w:val="clear" w:color="auto" w:fill="auto"/>
            <w:noWrap/>
            <w:vAlign w:val="center"/>
            <w:hideMark/>
          </w:tcPr>
          <w:p w14:paraId="1741966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17</w:t>
            </w:r>
          </w:p>
        </w:tc>
        <w:tc>
          <w:tcPr>
            <w:tcW w:w="616" w:type="dxa"/>
            <w:tcBorders>
              <w:top w:val="nil"/>
              <w:left w:val="nil"/>
              <w:bottom w:val="single" w:sz="8" w:space="0" w:color="auto"/>
              <w:right w:val="single" w:sz="8" w:space="0" w:color="auto"/>
            </w:tcBorders>
            <w:shd w:val="clear" w:color="auto" w:fill="auto"/>
            <w:noWrap/>
            <w:vAlign w:val="center"/>
            <w:hideMark/>
          </w:tcPr>
          <w:p w14:paraId="4A33002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57%</w:t>
            </w:r>
          </w:p>
        </w:tc>
        <w:tc>
          <w:tcPr>
            <w:tcW w:w="727" w:type="dxa"/>
            <w:tcBorders>
              <w:top w:val="nil"/>
              <w:left w:val="nil"/>
              <w:bottom w:val="single" w:sz="8" w:space="0" w:color="auto"/>
              <w:right w:val="single" w:sz="8" w:space="0" w:color="auto"/>
            </w:tcBorders>
            <w:shd w:val="clear" w:color="auto" w:fill="auto"/>
            <w:vAlign w:val="center"/>
            <w:hideMark/>
          </w:tcPr>
          <w:p w14:paraId="219A784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w:t>
            </w:r>
          </w:p>
        </w:tc>
        <w:tc>
          <w:tcPr>
            <w:tcW w:w="616" w:type="dxa"/>
            <w:tcBorders>
              <w:top w:val="nil"/>
              <w:left w:val="nil"/>
              <w:bottom w:val="single" w:sz="8" w:space="0" w:color="auto"/>
              <w:right w:val="single" w:sz="8" w:space="0" w:color="auto"/>
            </w:tcBorders>
            <w:shd w:val="clear" w:color="auto" w:fill="auto"/>
            <w:noWrap/>
            <w:vAlign w:val="center"/>
            <w:hideMark/>
          </w:tcPr>
          <w:p w14:paraId="3E04B23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35%</w:t>
            </w:r>
          </w:p>
        </w:tc>
      </w:tr>
      <w:tr w:rsidR="000C4B4E" w:rsidRPr="000C4B4E" w14:paraId="1CF56CD1" w14:textId="77777777" w:rsidTr="00593A4F">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77AA3E28"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Tutoring</w:t>
            </w:r>
          </w:p>
        </w:tc>
        <w:tc>
          <w:tcPr>
            <w:tcW w:w="692" w:type="dxa"/>
            <w:tcBorders>
              <w:top w:val="nil"/>
              <w:left w:val="nil"/>
              <w:bottom w:val="single" w:sz="8" w:space="0" w:color="auto"/>
              <w:right w:val="single" w:sz="8" w:space="0" w:color="auto"/>
            </w:tcBorders>
            <w:shd w:val="clear" w:color="auto" w:fill="auto"/>
            <w:noWrap/>
            <w:vAlign w:val="center"/>
            <w:hideMark/>
          </w:tcPr>
          <w:p w14:paraId="591F7AB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12</w:t>
            </w:r>
          </w:p>
        </w:tc>
        <w:tc>
          <w:tcPr>
            <w:tcW w:w="616" w:type="dxa"/>
            <w:tcBorders>
              <w:top w:val="nil"/>
              <w:left w:val="nil"/>
              <w:bottom w:val="single" w:sz="8" w:space="0" w:color="auto"/>
              <w:right w:val="single" w:sz="8" w:space="0" w:color="auto"/>
            </w:tcBorders>
            <w:shd w:val="clear" w:color="auto" w:fill="auto"/>
            <w:noWrap/>
            <w:vAlign w:val="center"/>
            <w:hideMark/>
          </w:tcPr>
          <w:p w14:paraId="27B2C36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24%</w:t>
            </w:r>
          </w:p>
        </w:tc>
        <w:tc>
          <w:tcPr>
            <w:tcW w:w="727" w:type="dxa"/>
            <w:tcBorders>
              <w:top w:val="nil"/>
              <w:left w:val="nil"/>
              <w:bottom w:val="single" w:sz="8" w:space="0" w:color="auto"/>
              <w:right w:val="single" w:sz="8" w:space="0" w:color="auto"/>
            </w:tcBorders>
            <w:shd w:val="clear" w:color="auto" w:fill="auto"/>
            <w:noWrap/>
            <w:vAlign w:val="center"/>
            <w:hideMark/>
          </w:tcPr>
          <w:p w14:paraId="0FFE0302"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c>
          <w:tcPr>
            <w:tcW w:w="616" w:type="dxa"/>
            <w:tcBorders>
              <w:top w:val="nil"/>
              <w:left w:val="nil"/>
              <w:bottom w:val="single" w:sz="8" w:space="0" w:color="auto"/>
              <w:right w:val="single" w:sz="8" w:space="0" w:color="auto"/>
            </w:tcBorders>
            <w:shd w:val="clear" w:color="auto" w:fill="auto"/>
            <w:noWrap/>
            <w:vAlign w:val="center"/>
            <w:hideMark/>
          </w:tcPr>
          <w:p w14:paraId="1EC621F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50%</w:t>
            </w:r>
          </w:p>
        </w:tc>
        <w:tc>
          <w:tcPr>
            <w:tcW w:w="727" w:type="dxa"/>
            <w:tcBorders>
              <w:top w:val="nil"/>
              <w:left w:val="nil"/>
              <w:bottom w:val="single" w:sz="8" w:space="0" w:color="auto"/>
              <w:right w:val="single" w:sz="8" w:space="0" w:color="auto"/>
            </w:tcBorders>
            <w:shd w:val="clear" w:color="auto" w:fill="auto"/>
            <w:vAlign w:val="center"/>
            <w:hideMark/>
          </w:tcPr>
          <w:p w14:paraId="3212E4F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616" w:type="dxa"/>
            <w:tcBorders>
              <w:top w:val="nil"/>
              <w:left w:val="nil"/>
              <w:bottom w:val="single" w:sz="8" w:space="0" w:color="auto"/>
              <w:right w:val="single" w:sz="8" w:space="0" w:color="auto"/>
            </w:tcBorders>
            <w:shd w:val="clear" w:color="auto" w:fill="auto"/>
            <w:noWrap/>
            <w:vAlign w:val="center"/>
            <w:hideMark/>
          </w:tcPr>
          <w:p w14:paraId="19E5B8F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25%</w:t>
            </w:r>
          </w:p>
        </w:tc>
      </w:tr>
      <w:tr w:rsidR="000C4B4E" w:rsidRPr="000C4B4E" w14:paraId="5B31475E" w14:textId="77777777" w:rsidTr="00593A4F">
        <w:trPr>
          <w:trHeight w:val="42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0E5C514A"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Student Health clinic</w:t>
            </w:r>
          </w:p>
        </w:tc>
        <w:tc>
          <w:tcPr>
            <w:tcW w:w="692" w:type="dxa"/>
            <w:tcBorders>
              <w:top w:val="nil"/>
              <w:left w:val="nil"/>
              <w:bottom w:val="single" w:sz="8" w:space="0" w:color="auto"/>
              <w:right w:val="single" w:sz="8" w:space="0" w:color="auto"/>
            </w:tcBorders>
            <w:shd w:val="clear" w:color="auto" w:fill="auto"/>
            <w:noWrap/>
            <w:vAlign w:val="center"/>
            <w:hideMark/>
          </w:tcPr>
          <w:p w14:paraId="06A742A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616" w:type="dxa"/>
            <w:tcBorders>
              <w:top w:val="nil"/>
              <w:left w:val="nil"/>
              <w:bottom w:val="single" w:sz="8" w:space="0" w:color="auto"/>
              <w:right w:val="single" w:sz="8" w:space="0" w:color="auto"/>
            </w:tcBorders>
            <w:shd w:val="clear" w:color="auto" w:fill="auto"/>
            <w:noWrap/>
            <w:vAlign w:val="center"/>
            <w:hideMark/>
          </w:tcPr>
          <w:p w14:paraId="59B5A29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10%</w:t>
            </w:r>
          </w:p>
        </w:tc>
        <w:tc>
          <w:tcPr>
            <w:tcW w:w="727" w:type="dxa"/>
            <w:tcBorders>
              <w:top w:val="nil"/>
              <w:left w:val="nil"/>
              <w:bottom w:val="single" w:sz="8" w:space="0" w:color="auto"/>
              <w:right w:val="single" w:sz="8" w:space="0" w:color="auto"/>
            </w:tcBorders>
            <w:shd w:val="clear" w:color="auto" w:fill="auto"/>
            <w:noWrap/>
            <w:vAlign w:val="center"/>
            <w:hideMark/>
          </w:tcPr>
          <w:p w14:paraId="282A659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616" w:type="dxa"/>
            <w:tcBorders>
              <w:top w:val="nil"/>
              <w:left w:val="nil"/>
              <w:bottom w:val="single" w:sz="8" w:space="0" w:color="auto"/>
              <w:right w:val="single" w:sz="8" w:space="0" w:color="auto"/>
            </w:tcBorders>
            <w:shd w:val="clear" w:color="auto" w:fill="auto"/>
            <w:noWrap/>
            <w:vAlign w:val="center"/>
            <w:hideMark/>
          </w:tcPr>
          <w:p w14:paraId="7D887F0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10%</w:t>
            </w:r>
          </w:p>
        </w:tc>
        <w:tc>
          <w:tcPr>
            <w:tcW w:w="727" w:type="dxa"/>
            <w:tcBorders>
              <w:top w:val="nil"/>
              <w:left w:val="nil"/>
              <w:bottom w:val="single" w:sz="8" w:space="0" w:color="auto"/>
              <w:right w:val="single" w:sz="8" w:space="0" w:color="auto"/>
            </w:tcBorders>
            <w:shd w:val="clear" w:color="auto" w:fill="auto"/>
            <w:vAlign w:val="center"/>
            <w:hideMark/>
          </w:tcPr>
          <w:p w14:paraId="787D8D8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616" w:type="dxa"/>
            <w:tcBorders>
              <w:top w:val="nil"/>
              <w:left w:val="nil"/>
              <w:bottom w:val="single" w:sz="8" w:space="0" w:color="auto"/>
              <w:right w:val="single" w:sz="8" w:space="0" w:color="auto"/>
            </w:tcBorders>
            <w:shd w:val="clear" w:color="auto" w:fill="auto"/>
            <w:noWrap/>
            <w:vAlign w:val="center"/>
            <w:hideMark/>
          </w:tcPr>
          <w:p w14:paraId="03AB3C3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10%</w:t>
            </w:r>
          </w:p>
        </w:tc>
      </w:tr>
      <w:tr w:rsidR="000C4B4E" w:rsidRPr="000C4B4E" w14:paraId="4CF3F1A1" w14:textId="77777777" w:rsidTr="00593A4F">
        <w:trPr>
          <w:trHeight w:val="42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0C8BCEFF"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Professional counseling</w:t>
            </w:r>
          </w:p>
        </w:tc>
        <w:tc>
          <w:tcPr>
            <w:tcW w:w="692" w:type="dxa"/>
            <w:tcBorders>
              <w:top w:val="nil"/>
              <w:left w:val="nil"/>
              <w:bottom w:val="single" w:sz="8" w:space="0" w:color="auto"/>
              <w:right w:val="single" w:sz="8" w:space="0" w:color="auto"/>
            </w:tcBorders>
            <w:shd w:val="clear" w:color="auto" w:fill="auto"/>
            <w:noWrap/>
            <w:vAlign w:val="center"/>
            <w:hideMark/>
          </w:tcPr>
          <w:p w14:paraId="6A90CB0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616" w:type="dxa"/>
            <w:tcBorders>
              <w:top w:val="nil"/>
              <w:left w:val="nil"/>
              <w:bottom w:val="single" w:sz="8" w:space="0" w:color="auto"/>
              <w:right w:val="single" w:sz="8" w:space="0" w:color="auto"/>
            </w:tcBorders>
            <w:shd w:val="clear" w:color="auto" w:fill="auto"/>
            <w:noWrap/>
            <w:vAlign w:val="center"/>
            <w:hideMark/>
          </w:tcPr>
          <w:p w14:paraId="4FCA975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c>
          <w:tcPr>
            <w:tcW w:w="727" w:type="dxa"/>
            <w:tcBorders>
              <w:top w:val="nil"/>
              <w:left w:val="nil"/>
              <w:bottom w:val="single" w:sz="8" w:space="0" w:color="auto"/>
              <w:right w:val="single" w:sz="8" w:space="0" w:color="auto"/>
            </w:tcBorders>
            <w:shd w:val="clear" w:color="auto" w:fill="auto"/>
            <w:noWrap/>
            <w:vAlign w:val="center"/>
            <w:hideMark/>
          </w:tcPr>
          <w:p w14:paraId="2A1C30A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616" w:type="dxa"/>
            <w:tcBorders>
              <w:top w:val="nil"/>
              <w:left w:val="nil"/>
              <w:bottom w:val="single" w:sz="8" w:space="0" w:color="auto"/>
              <w:right w:val="single" w:sz="8" w:space="0" w:color="auto"/>
            </w:tcBorders>
            <w:shd w:val="clear" w:color="auto" w:fill="auto"/>
            <w:noWrap/>
            <w:vAlign w:val="center"/>
            <w:hideMark/>
          </w:tcPr>
          <w:p w14:paraId="168461C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727" w:type="dxa"/>
            <w:tcBorders>
              <w:top w:val="nil"/>
              <w:left w:val="nil"/>
              <w:bottom w:val="single" w:sz="8" w:space="0" w:color="auto"/>
              <w:right w:val="single" w:sz="8" w:space="0" w:color="auto"/>
            </w:tcBorders>
            <w:shd w:val="clear" w:color="auto" w:fill="auto"/>
            <w:vAlign w:val="center"/>
            <w:hideMark/>
          </w:tcPr>
          <w:p w14:paraId="6FA7A53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616" w:type="dxa"/>
            <w:tcBorders>
              <w:top w:val="nil"/>
              <w:left w:val="nil"/>
              <w:bottom w:val="single" w:sz="8" w:space="0" w:color="auto"/>
              <w:right w:val="single" w:sz="8" w:space="0" w:color="auto"/>
            </w:tcBorders>
            <w:shd w:val="clear" w:color="auto" w:fill="auto"/>
            <w:noWrap/>
            <w:vAlign w:val="center"/>
            <w:hideMark/>
          </w:tcPr>
          <w:p w14:paraId="0D7B4432"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10%</w:t>
            </w:r>
          </w:p>
        </w:tc>
      </w:tr>
      <w:tr w:rsidR="000C4B4E" w:rsidRPr="000C4B4E" w14:paraId="09443039" w14:textId="77777777" w:rsidTr="00593A4F">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4589818F"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Online support</w:t>
            </w:r>
          </w:p>
        </w:tc>
        <w:tc>
          <w:tcPr>
            <w:tcW w:w="692" w:type="dxa"/>
            <w:tcBorders>
              <w:top w:val="nil"/>
              <w:left w:val="nil"/>
              <w:bottom w:val="single" w:sz="8" w:space="0" w:color="auto"/>
              <w:right w:val="single" w:sz="8" w:space="0" w:color="auto"/>
            </w:tcBorders>
            <w:shd w:val="clear" w:color="auto" w:fill="auto"/>
            <w:noWrap/>
            <w:vAlign w:val="center"/>
            <w:hideMark/>
          </w:tcPr>
          <w:p w14:paraId="473C1D2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c>
          <w:tcPr>
            <w:tcW w:w="616" w:type="dxa"/>
            <w:tcBorders>
              <w:top w:val="nil"/>
              <w:left w:val="nil"/>
              <w:bottom w:val="single" w:sz="8" w:space="0" w:color="auto"/>
              <w:right w:val="single" w:sz="8" w:space="0" w:color="auto"/>
            </w:tcBorders>
            <w:shd w:val="clear" w:color="auto" w:fill="auto"/>
            <w:noWrap/>
            <w:vAlign w:val="center"/>
            <w:hideMark/>
          </w:tcPr>
          <w:p w14:paraId="6836F83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12%</w:t>
            </w:r>
          </w:p>
        </w:tc>
        <w:tc>
          <w:tcPr>
            <w:tcW w:w="727" w:type="dxa"/>
            <w:tcBorders>
              <w:top w:val="nil"/>
              <w:left w:val="nil"/>
              <w:bottom w:val="single" w:sz="8" w:space="0" w:color="auto"/>
              <w:right w:val="single" w:sz="8" w:space="0" w:color="auto"/>
            </w:tcBorders>
            <w:shd w:val="clear" w:color="auto" w:fill="auto"/>
            <w:noWrap/>
            <w:vAlign w:val="center"/>
            <w:hideMark/>
          </w:tcPr>
          <w:p w14:paraId="1FDE60A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616" w:type="dxa"/>
            <w:tcBorders>
              <w:top w:val="nil"/>
              <w:left w:val="nil"/>
              <w:bottom w:val="single" w:sz="8" w:space="0" w:color="auto"/>
              <w:right w:val="single" w:sz="8" w:space="0" w:color="auto"/>
            </w:tcBorders>
            <w:shd w:val="clear" w:color="auto" w:fill="auto"/>
            <w:noWrap/>
            <w:vAlign w:val="center"/>
            <w:hideMark/>
          </w:tcPr>
          <w:p w14:paraId="312DCED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17%</w:t>
            </w:r>
          </w:p>
        </w:tc>
        <w:tc>
          <w:tcPr>
            <w:tcW w:w="727" w:type="dxa"/>
            <w:tcBorders>
              <w:top w:val="nil"/>
              <w:left w:val="nil"/>
              <w:bottom w:val="single" w:sz="8" w:space="0" w:color="auto"/>
              <w:right w:val="single" w:sz="8" w:space="0" w:color="auto"/>
            </w:tcBorders>
            <w:shd w:val="clear" w:color="auto" w:fill="auto"/>
            <w:vAlign w:val="center"/>
            <w:hideMark/>
          </w:tcPr>
          <w:p w14:paraId="4565CDF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616" w:type="dxa"/>
            <w:tcBorders>
              <w:top w:val="nil"/>
              <w:left w:val="nil"/>
              <w:bottom w:val="single" w:sz="8" w:space="0" w:color="auto"/>
              <w:right w:val="single" w:sz="8" w:space="0" w:color="auto"/>
            </w:tcBorders>
            <w:shd w:val="clear" w:color="auto" w:fill="auto"/>
            <w:noWrap/>
            <w:vAlign w:val="center"/>
            <w:hideMark/>
          </w:tcPr>
          <w:p w14:paraId="6D9BB38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r>
      <w:tr w:rsidR="000C4B4E" w:rsidRPr="000C4B4E" w14:paraId="35B630E0" w14:textId="77777777" w:rsidTr="00593A4F">
        <w:trPr>
          <w:trHeight w:val="42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17FAA1E6"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Professor office hours</w:t>
            </w:r>
          </w:p>
        </w:tc>
        <w:tc>
          <w:tcPr>
            <w:tcW w:w="692" w:type="dxa"/>
            <w:tcBorders>
              <w:top w:val="nil"/>
              <w:left w:val="nil"/>
              <w:bottom w:val="single" w:sz="8" w:space="0" w:color="auto"/>
              <w:right w:val="single" w:sz="8" w:space="0" w:color="auto"/>
            </w:tcBorders>
            <w:shd w:val="clear" w:color="auto" w:fill="auto"/>
            <w:noWrap/>
            <w:vAlign w:val="center"/>
            <w:hideMark/>
          </w:tcPr>
          <w:p w14:paraId="0521A7F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616" w:type="dxa"/>
            <w:tcBorders>
              <w:top w:val="nil"/>
              <w:left w:val="nil"/>
              <w:bottom w:val="single" w:sz="8" w:space="0" w:color="auto"/>
              <w:right w:val="single" w:sz="8" w:space="0" w:color="auto"/>
            </w:tcBorders>
            <w:shd w:val="clear" w:color="auto" w:fill="auto"/>
            <w:noWrap/>
            <w:vAlign w:val="center"/>
            <w:hideMark/>
          </w:tcPr>
          <w:p w14:paraId="77352CB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727" w:type="dxa"/>
            <w:tcBorders>
              <w:top w:val="nil"/>
              <w:left w:val="nil"/>
              <w:bottom w:val="single" w:sz="8" w:space="0" w:color="auto"/>
              <w:right w:val="single" w:sz="8" w:space="0" w:color="auto"/>
            </w:tcBorders>
            <w:shd w:val="clear" w:color="auto" w:fill="auto"/>
            <w:noWrap/>
            <w:vAlign w:val="center"/>
            <w:hideMark/>
          </w:tcPr>
          <w:p w14:paraId="4E00F94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616" w:type="dxa"/>
            <w:tcBorders>
              <w:top w:val="nil"/>
              <w:left w:val="nil"/>
              <w:bottom w:val="single" w:sz="8" w:space="0" w:color="auto"/>
              <w:right w:val="single" w:sz="8" w:space="0" w:color="auto"/>
            </w:tcBorders>
            <w:shd w:val="clear" w:color="auto" w:fill="auto"/>
            <w:noWrap/>
            <w:vAlign w:val="center"/>
            <w:hideMark/>
          </w:tcPr>
          <w:p w14:paraId="1667738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727" w:type="dxa"/>
            <w:tcBorders>
              <w:top w:val="nil"/>
              <w:left w:val="nil"/>
              <w:bottom w:val="single" w:sz="8" w:space="0" w:color="auto"/>
              <w:right w:val="single" w:sz="8" w:space="0" w:color="auto"/>
            </w:tcBorders>
            <w:shd w:val="clear" w:color="auto" w:fill="auto"/>
            <w:vAlign w:val="center"/>
            <w:hideMark/>
          </w:tcPr>
          <w:p w14:paraId="19C8DDD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616" w:type="dxa"/>
            <w:tcBorders>
              <w:top w:val="nil"/>
              <w:left w:val="nil"/>
              <w:bottom w:val="single" w:sz="8" w:space="0" w:color="auto"/>
              <w:right w:val="single" w:sz="8" w:space="0" w:color="auto"/>
            </w:tcBorders>
            <w:shd w:val="clear" w:color="auto" w:fill="auto"/>
            <w:noWrap/>
            <w:vAlign w:val="center"/>
            <w:hideMark/>
          </w:tcPr>
          <w:p w14:paraId="49F4218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r>
      <w:tr w:rsidR="000C4B4E" w:rsidRPr="000C4B4E" w14:paraId="791A10AD" w14:textId="77777777" w:rsidTr="00593A4F">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297DC124" w14:textId="3945726A"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xml:space="preserve">Other: </w:t>
            </w:r>
            <w:r w:rsidR="00ED4C2E">
              <w:rPr>
                <w:rFonts w:ascii="Cambria" w:hAnsi="Cambria" w:cs="Calibri"/>
                <w:color w:val="000000"/>
                <w:sz w:val="20"/>
                <w:szCs w:val="20"/>
              </w:rPr>
              <w:t>YouTube</w:t>
            </w:r>
          </w:p>
        </w:tc>
        <w:tc>
          <w:tcPr>
            <w:tcW w:w="692" w:type="dxa"/>
            <w:tcBorders>
              <w:top w:val="nil"/>
              <w:left w:val="nil"/>
              <w:bottom w:val="single" w:sz="8" w:space="0" w:color="auto"/>
              <w:right w:val="single" w:sz="8" w:space="0" w:color="auto"/>
            </w:tcBorders>
            <w:shd w:val="clear" w:color="auto" w:fill="auto"/>
            <w:noWrap/>
            <w:vAlign w:val="center"/>
            <w:hideMark/>
          </w:tcPr>
          <w:p w14:paraId="58674BA8"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616" w:type="dxa"/>
            <w:tcBorders>
              <w:top w:val="nil"/>
              <w:left w:val="nil"/>
              <w:bottom w:val="single" w:sz="8" w:space="0" w:color="auto"/>
              <w:right w:val="single" w:sz="8" w:space="0" w:color="auto"/>
            </w:tcBorders>
            <w:shd w:val="clear" w:color="auto" w:fill="auto"/>
            <w:noWrap/>
            <w:vAlign w:val="center"/>
            <w:hideMark/>
          </w:tcPr>
          <w:p w14:paraId="0DCE541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727" w:type="dxa"/>
            <w:tcBorders>
              <w:top w:val="nil"/>
              <w:left w:val="nil"/>
              <w:bottom w:val="single" w:sz="8" w:space="0" w:color="auto"/>
              <w:right w:val="single" w:sz="8" w:space="0" w:color="auto"/>
            </w:tcBorders>
            <w:shd w:val="clear" w:color="auto" w:fill="auto"/>
            <w:noWrap/>
            <w:vAlign w:val="center"/>
            <w:hideMark/>
          </w:tcPr>
          <w:p w14:paraId="3F7D751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616" w:type="dxa"/>
            <w:tcBorders>
              <w:top w:val="nil"/>
              <w:left w:val="nil"/>
              <w:bottom w:val="single" w:sz="8" w:space="0" w:color="auto"/>
              <w:right w:val="single" w:sz="8" w:space="0" w:color="auto"/>
            </w:tcBorders>
            <w:shd w:val="clear" w:color="auto" w:fill="auto"/>
            <w:noWrap/>
            <w:vAlign w:val="center"/>
            <w:hideMark/>
          </w:tcPr>
          <w:p w14:paraId="4B02A33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727" w:type="dxa"/>
            <w:tcBorders>
              <w:top w:val="nil"/>
              <w:left w:val="nil"/>
              <w:bottom w:val="single" w:sz="8" w:space="0" w:color="auto"/>
              <w:right w:val="single" w:sz="8" w:space="0" w:color="auto"/>
            </w:tcBorders>
            <w:shd w:val="clear" w:color="auto" w:fill="auto"/>
            <w:vAlign w:val="center"/>
            <w:hideMark/>
          </w:tcPr>
          <w:p w14:paraId="3F3B577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616" w:type="dxa"/>
            <w:tcBorders>
              <w:top w:val="nil"/>
              <w:left w:val="nil"/>
              <w:bottom w:val="single" w:sz="8" w:space="0" w:color="auto"/>
              <w:right w:val="single" w:sz="8" w:space="0" w:color="auto"/>
            </w:tcBorders>
            <w:shd w:val="clear" w:color="auto" w:fill="auto"/>
            <w:noWrap/>
            <w:vAlign w:val="center"/>
            <w:hideMark/>
          </w:tcPr>
          <w:p w14:paraId="6297EAD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r>
      <w:tr w:rsidR="000C4B4E" w:rsidRPr="000C4B4E" w14:paraId="236EF1E9" w14:textId="77777777" w:rsidTr="00593A4F">
        <w:trPr>
          <w:trHeight w:val="42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77FEA85E"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Pastoral Services</w:t>
            </w:r>
          </w:p>
        </w:tc>
        <w:tc>
          <w:tcPr>
            <w:tcW w:w="692" w:type="dxa"/>
            <w:tcBorders>
              <w:top w:val="nil"/>
              <w:left w:val="nil"/>
              <w:bottom w:val="single" w:sz="8" w:space="0" w:color="auto"/>
              <w:right w:val="single" w:sz="8" w:space="0" w:color="auto"/>
            </w:tcBorders>
            <w:shd w:val="clear" w:color="auto" w:fill="auto"/>
            <w:noWrap/>
            <w:vAlign w:val="center"/>
            <w:hideMark/>
          </w:tcPr>
          <w:p w14:paraId="7F8E112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616" w:type="dxa"/>
            <w:tcBorders>
              <w:top w:val="nil"/>
              <w:left w:val="nil"/>
              <w:bottom w:val="single" w:sz="8" w:space="0" w:color="auto"/>
              <w:right w:val="single" w:sz="8" w:space="0" w:color="auto"/>
            </w:tcBorders>
            <w:shd w:val="clear" w:color="auto" w:fill="auto"/>
            <w:noWrap/>
            <w:vAlign w:val="center"/>
            <w:hideMark/>
          </w:tcPr>
          <w:p w14:paraId="08354B3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727" w:type="dxa"/>
            <w:tcBorders>
              <w:top w:val="nil"/>
              <w:left w:val="nil"/>
              <w:bottom w:val="single" w:sz="8" w:space="0" w:color="auto"/>
              <w:right w:val="single" w:sz="8" w:space="0" w:color="auto"/>
            </w:tcBorders>
            <w:shd w:val="clear" w:color="auto" w:fill="auto"/>
            <w:noWrap/>
            <w:vAlign w:val="center"/>
            <w:hideMark/>
          </w:tcPr>
          <w:p w14:paraId="7F92E6B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616" w:type="dxa"/>
            <w:tcBorders>
              <w:top w:val="nil"/>
              <w:left w:val="nil"/>
              <w:bottom w:val="single" w:sz="8" w:space="0" w:color="auto"/>
              <w:right w:val="single" w:sz="8" w:space="0" w:color="auto"/>
            </w:tcBorders>
            <w:shd w:val="clear" w:color="auto" w:fill="auto"/>
            <w:noWrap/>
            <w:vAlign w:val="center"/>
            <w:hideMark/>
          </w:tcPr>
          <w:p w14:paraId="41AA496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727" w:type="dxa"/>
            <w:tcBorders>
              <w:top w:val="nil"/>
              <w:left w:val="nil"/>
              <w:bottom w:val="single" w:sz="8" w:space="0" w:color="auto"/>
              <w:right w:val="single" w:sz="8" w:space="0" w:color="auto"/>
            </w:tcBorders>
            <w:shd w:val="clear" w:color="auto" w:fill="auto"/>
            <w:vAlign w:val="center"/>
            <w:hideMark/>
          </w:tcPr>
          <w:p w14:paraId="3CCFF57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616" w:type="dxa"/>
            <w:tcBorders>
              <w:top w:val="nil"/>
              <w:left w:val="nil"/>
              <w:bottom w:val="single" w:sz="8" w:space="0" w:color="auto"/>
              <w:right w:val="single" w:sz="8" w:space="0" w:color="auto"/>
            </w:tcBorders>
            <w:shd w:val="clear" w:color="auto" w:fill="auto"/>
            <w:noWrap/>
            <w:vAlign w:val="center"/>
            <w:hideMark/>
          </w:tcPr>
          <w:p w14:paraId="11090E1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r>
      <w:tr w:rsidR="000C4B4E" w:rsidRPr="000C4B4E" w14:paraId="5B1AA903" w14:textId="77777777" w:rsidTr="00593A4F">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724331C9"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None</w:t>
            </w:r>
          </w:p>
        </w:tc>
        <w:tc>
          <w:tcPr>
            <w:tcW w:w="692" w:type="dxa"/>
            <w:tcBorders>
              <w:top w:val="nil"/>
              <w:left w:val="nil"/>
              <w:bottom w:val="single" w:sz="8" w:space="0" w:color="auto"/>
              <w:right w:val="single" w:sz="8" w:space="0" w:color="auto"/>
            </w:tcBorders>
            <w:shd w:val="clear" w:color="auto" w:fill="auto"/>
            <w:noWrap/>
            <w:vAlign w:val="center"/>
            <w:hideMark/>
          </w:tcPr>
          <w:p w14:paraId="16D9EA6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8</w:t>
            </w:r>
          </w:p>
        </w:tc>
        <w:tc>
          <w:tcPr>
            <w:tcW w:w="616" w:type="dxa"/>
            <w:tcBorders>
              <w:top w:val="nil"/>
              <w:left w:val="nil"/>
              <w:bottom w:val="single" w:sz="8" w:space="0" w:color="auto"/>
              <w:right w:val="single" w:sz="8" w:space="0" w:color="auto"/>
            </w:tcBorders>
            <w:shd w:val="clear" w:color="auto" w:fill="auto"/>
            <w:noWrap/>
            <w:vAlign w:val="center"/>
            <w:hideMark/>
          </w:tcPr>
          <w:p w14:paraId="41031B8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16%</w:t>
            </w:r>
          </w:p>
        </w:tc>
        <w:tc>
          <w:tcPr>
            <w:tcW w:w="727" w:type="dxa"/>
            <w:tcBorders>
              <w:top w:val="nil"/>
              <w:left w:val="nil"/>
              <w:bottom w:val="single" w:sz="8" w:space="0" w:color="auto"/>
              <w:right w:val="single" w:sz="8" w:space="0" w:color="auto"/>
            </w:tcBorders>
            <w:shd w:val="clear" w:color="auto" w:fill="auto"/>
            <w:noWrap/>
            <w:vAlign w:val="center"/>
            <w:hideMark/>
          </w:tcPr>
          <w:p w14:paraId="2F450D2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w:t>
            </w:r>
          </w:p>
        </w:tc>
        <w:tc>
          <w:tcPr>
            <w:tcW w:w="616" w:type="dxa"/>
            <w:tcBorders>
              <w:top w:val="nil"/>
              <w:left w:val="nil"/>
              <w:bottom w:val="single" w:sz="8" w:space="0" w:color="auto"/>
              <w:right w:val="single" w:sz="8" w:space="0" w:color="auto"/>
            </w:tcBorders>
            <w:shd w:val="clear" w:color="auto" w:fill="auto"/>
            <w:noWrap/>
            <w:vAlign w:val="center"/>
            <w:hideMark/>
          </w:tcPr>
          <w:p w14:paraId="071545B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13%</w:t>
            </w:r>
          </w:p>
        </w:tc>
        <w:tc>
          <w:tcPr>
            <w:tcW w:w="727" w:type="dxa"/>
            <w:tcBorders>
              <w:top w:val="nil"/>
              <w:left w:val="nil"/>
              <w:bottom w:val="single" w:sz="8" w:space="0" w:color="auto"/>
              <w:right w:val="single" w:sz="8" w:space="0" w:color="auto"/>
            </w:tcBorders>
            <w:shd w:val="clear" w:color="auto" w:fill="auto"/>
            <w:vAlign w:val="center"/>
            <w:hideMark/>
          </w:tcPr>
          <w:p w14:paraId="5621379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w:t>
            </w:r>
          </w:p>
        </w:tc>
        <w:tc>
          <w:tcPr>
            <w:tcW w:w="616" w:type="dxa"/>
            <w:tcBorders>
              <w:top w:val="nil"/>
              <w:left w:val="nil"/>
              <w:bottom w:val="single" w:sz="8" w:space="0" w:color="auto"/>
              <w:right w:val="single" w:sz="8" w:space="0" w:color="auto"/>
            </w:tcBorders>
            <w:shd w:val="clear" w:color="auto" w:fill="auto"/>
            <w:noWrap/>
            <w:vAlign w:val="center"/>
            <w:hideMark/>
          </w:tcPr>
          <w:p w14:paraId="535E136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20%</w:t>
            </w:r>
          </w:p>
        </w:tc>
      </w:tr>
      <w:tr w:rsidR="000C4B4E" w:rsidRPr="000C4B4E" w14:paraId="2F662D43" w14:textId="77777777" w:rsidTr="00593A4F">
        <w:trPr>
          <w:trHeight w:val="42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28D2AF15"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Student Services office</w:t>
            </w:r>
          </w:p>
        </w:tc>
        <w:tc>
          <w:tcPr>
            <w:tcW w:w="692" w:type="dxa"/>
            <w:tcBorders>
              <w:top w:val="nil"/>
              <w:left w:val="nil"/>
              <w:bottom w:val="single" w:sz="8" w:space="0" w:color="auto"/>
              <w:right w:val="single" w:sz="8" w:space="0" w:color="auto"/>
            </w:tcBorders>
            <w:shd w:val="clear" w:color="auto" w:fill="auto"/>
            <w:noWrap/>
            <w:vAlign w:val="center"/>
            <w:hideMark/>
          </w:tcPr>
          <w:p w14:paraId="35938E0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616" w:type="dxa"/>
            <w:tcBorders>
              <w:top w:val="nil"/>
              <w:left w:val="nil"/>
              <w:bottom w:val="single" w:sz="8" w:space="0" w:color="auto"/>
              <w:right w:val="single" w:sz="8" w:space="0" w:color="auto"/>
            </w:tcBorders>
            <w:shd w:val="clear" w:color="auto" w:fill="auto"/>
            <w:noWrap/>
            <w:vAlign w:val="center"/>
            <w:hideMark/>
          </w:tcPr>
          <w:p w14:paraId="78BD3EE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727" w:type="dxa"/>
            <w:tcBorders>
              <w:top w:val="nil"/>
              <w:left w:val="nil"/>
              <w:bottom w:val="single" w:sz="8" w:space="0" w:color="auto"/>
              <w:right w:val="single" w:sz="8" w:space="0" w:color="auto"/>
            </w:tcBorders>
            <w:shd w:val="clear" w:color="auto" w:fill="auto"/>
            <w:noWrap/>
            <w:vAlign w:val="center"/>
            <w:hideMark/>
          </w:tcPr>
          <w:p w14:paraId="0F22BD8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616" w:type="dxa"/>
            <w:tcBorders>
              <w:top w:val="nil"/>
              <w:left w:val="nil"/>
              <w:bottom w:val="single" w:sz="8" w:space="0" w:color="auto"/>
              <w:right w:val="single" w:sz="8" w:space="0" w:color="auto"/>
            </w:tcBorders>
            <w:shd w:val="clear" w:color="auto" w:fill="auto"/>
            <w:noWrap/>
            <w:vAlign w:val="center"/>
            <w:hideMark/>
          </w:tcPr>
          <w:p w14:paraId="42CE5C2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727" w:type="dxa"/>
            <w:tcBorders>
              <w:top w:val="nil"/>
              <w:left w:val="nil"/>
              <w:bottom w:val="single" w:sz="8" w:space="0" w:color="auto"/>
              <w:right w:val="single" w:sz="8" w:space="0" w:color="auto"/>
            </w:tcBorders>
            <w:shd w:val="clear" w:color="auto" w:fill="auto"/>
            <w:vAlign w:val="center"/>
            <w:hideMark/>
          </w:tcPr>
          <w:p w14:paraId="01B147A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616" w:type="dxa"/>
            <w:tcBorders>
              <w:top w:val="nil"/>
              <w:left w:val="nil"/>
              <w:bottom w:val="single" w:sz="8" w:space="0" w:color="auto"/>
              <w:right w:val="single" w:sz="8" w:space="0" w:color="auto"/>
            </w:tcBorders>
            <w:shd w:val="clear" w:color="auto" w:fill="auto"/>
            <w:noWrap/>
            <w:vAlign w:val="center"/>
            <w:hideMark/>
          </w:tcPr>
          <w:p w14:paraId="09161667"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r>
    </w:tbl>
    <w:p w14:paraId="3E4D3ABE" w14:textId="4C3A56D1" w:rsidR="00F84901" w:rsidRDefault="00F84901" w:rsidP="00F84901">
      <w:pPr>
        <w:spacing w:line="480" w:lineRule="auto"/>
        <w:outlineLvl w:val="0"/>
        <w:rPr>
          <w:rFonts w:asciiTheme="minorHAnsi" w:hAnsiTheme="minorHAnsi"/>
        </w:rPr>
      </w:pPr>
    </w:p>
    <w:p w14:paraId="1E05D453" w14:textId="47291D7B" w:rsidR="008B0226" w:rsidRPr="00A658B0" w:rsidRDefault="000A1A22" w:rsidP="00ED4C2E">
      <w:pPr>
        <w:spacing w:line="480" w:lineRule="auto"/>
        <w:rPr>
          <w:rFonts w:asciiTheme="minorHAnsi" w:hAnsiTheme="minorHAnsi"/>
          <w:b/>
        </w:rPr>
      </w:pPr>
      <w:r w:rsidRPr="00A658B0">
        <w:rPr>
          <w:rFonts w:asciiTheme="minorHAnsi" w:hAnsiTheme="minorHAnsi"/>
          <w:b/>
        </w:rPr>
        <w:t>Figure 6</w:t>
      </w:r>
      <w:r w:rsidR="008B0226" w:rsidRPr="00A658B0">
        <w:rPr>
          <w:rFonts w:asciiTheme="minorHAnsi" w:hAnsiTheme="minorHAnsi"/>
          <w:b/>
        </w:rPr>
        <w:t>. Group 1/Control 2016 Student Support Service Use: Exam 1</w:t>
      </w:r>
    </w:p>
    <w:p w14:paraId="60AF429A" w14:textId="4A7DD207" w:rsidR="008B0226" w:rsidRDefault="008B0226" w:rsidP="00ED4C2E">
      <w:pPr>
        <w:spacing w:line="480" w:lineRule="auto"/>
        <w:rPr>
          <w:rFonts w:asciiTheme="minorHAnsi" w:hAnsiTheme="minorHAnsi"/>
        </w:rPr>
      </w:pPr>
      <w:r>
        <w:rPr>
          <w:rFonts w:asciiTheme="minorHAnsi" w:hAnsiTheme="minorHAnsi"/>
        </w:rPr>
        <w:t>Percentage of Support Service Usage for all respondents</w:t>
      </w:r>
      <w:r w:rsidR="00006B09">
        <w:rPr>
          <w:rFonts w:asciiTheme="minorHAnsi" w:hAnsiTheme="minorHAnsi"/>
        </w:rPr>
        <w:t>.  MCBPs (&lt;80% exam grade) compared to total group and students with exam grade &gt;80%.</w:t>
      </w:r>
    </w:p>
    <w:p w14:paraId="75216AA9" w14:textId="77777777" w:rsidR="008B0226" w:rsidRDefault="008B0226" w:rsidP="00F84901">
      <w:pPr>
        <w:spacing w:line="480" w:lineRule="auto"/>
        <w:outlineLvl w:val="0"/>
        <w:rPr>
          <w:rFonts w:asciiTheme="minorHAnsi" w:hAnsiTheme="minorHAnsi"/>
        </w:rPr>
      </w:pPr>
    </w:p>
    <w:p w14:paraId="401753EA" w14:textId="5526DE78" w:rsidR="000C4B4E" w:rsidRDefault="000C4B4E">
      <w:pPr>
        <w:rPr>
          <w:rFonts w:asciiTheme="minorHAnsi" w:hAnsiTheme="minorHAnsi"/>
        </w:rPr>
      </w:pPr>
      <w:r>
        <w:rPr>
          <w:rFonts w:asciiTheme="minorHAnsi" w:hAnsiTheme="minorHAnsi"/>
        </w:rPr>
        <w:br w:type="page"/>
      </w:r>
    </w:p>
    <w:p w14:paraId="4F317F2E" w14:textId="77777777" w:rsidR="00F84901" w:rsidRDefault="00F84901" w:rsidP="00F84901">
      <w:pPr>
        <w:spacing w:line="480" w:lineRule="auto"/>
        <w:outlineLvl w:val="0"/>
        <w:rPr>
          <w:rFonts w:asciiTheme="minorHAnsi" w:hAnsiTheme="minorHAnsi"/>
        </w:rPr>
      </w:pPr>
    </w:p>
    <w:p w14:paraId="0DFCCDF6" w14:textId="77777777" w:rsidR="00F84901" w:rsidRDefault="00F84901" w:rsidP="00F84901">
      <w:pPr>
        <w:spacing w:line="480" w:lineRule="auto"/>
        <w:outlineLvl w:val="0"/>
        <w:rPr>
          <w:rFonts w:asciiTheme="minorHAnsi" w:hAnsiTheme="minorHAnsi"/>
        </w:rPr>
      </w:pPr>
    </w:p>
    <w:tbl>
      <w:tblPr>
        <w:tblW w:w="3360" w:type="dxa"/>
        <w:tblLook w:val="04A0" w:firstRow="1" w:lastRow="0" w:firstColumn="1" w:lastColumn="0" w:noHBand="0" w:noVBand="1"/>
      </w:tblPr>
      <w:tblGrid>
        <w:gridCol w:w="1517"/>
        <w:gridCol w:w="692"/>
        <w:gridCol w:w="616"/>
        <w:gridCol w:w="727"/>
        <w:gridCol w:w="616"/>
        <w:gridCol w:w="727"/>
        <w:gridCol w:w="616"/>
      </w:tblGrid>
      <w:tr w:rsidR="000C4B4E" w:rsidRPr="000C4B4E" w14:paraId="01604698" w14:textId="77777777" w:rsidTr="00AA2D4D">
        <w:trPr>
          <w:trHeight w:val="820"/>
        </w:trPr>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EB27DE"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Control Group Type of Support</w:t>
            </w:r>
          </w:p>
        </w:tc>
        <w:tc>
          <w:tcPr>
            <w:tcW w:w="440" w:type="dxa"/>
            <w:tcBorders>
              <w:top w:val="single" w:sz="8" w:space="0" w:color="auto"/>
              <w:left w:val="nil"/>
              <w:bottom w:val="single" w:sz="8" w:space="0" w:color="auto"/>
              <w:right w:val="single" w:sz="8" w:space="0" w:color="auto"/>
            </w:tcBorders>
            <w:shd w:val="clear" w:color="auto" w:fill="auto"/>
            <w:vAlign w:val="center"/>
            <w:hideMark/>
          </w:tcPr>
          <w:p w14:paraId="04652AFF"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Exam 2 n=40</w:t>
            </w:r>
          </w:p>
        </w:tc>
        <w:tc>
          <w:tcPr>
            <w:tcW w:w="400" w:type="dxa"/>
            <w:tcBorders>
              <w:top w:val="single" w:sz="8" w:space="0" w:color="auto"/>
              <w:left w:val="nil"/>
              <w:bottom w:val="single" w:sz="8" w:space="0" w:color="auto"/>
              <w:right w:val="single" w:sz="8" w:space="0" w:color="auto"/>
            </w:tcBorders>
            <w:shd w:val="clear" w:color="auto" w:fill="auto"/>
            <w:vAlign w:val="center"/>
            <w:hideMark/>
          </w:tcPr>
          <w:p w14:paraId="382F26B8"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w:t>
            </w:r>
          </w:p>
        </w:tc>
        <w:tc>
          <w:tcPr>
            <w:tcW w:w="440" w:type="dxa"/>
            <w:tcBorders>
              <w:top w:val="single" w:sz="8" w:space="0" w:color="auto"/>
              <w:left w:val="nil"/>
              <w:bottom w:val="single" w:sz="8" w:space="0" w:color="auto"/>
              <w:right w:val="single" w:sz="8" w:space="0" w:color="auto"/>
            </w:tcBorders>
            <w:shd w:val="clear" w:color="auto" w:fill="auto"/>
            <w:vAlign w:val="center"/>
            <w:hideMark/>
          </w:tcPr>
          <w:p w14:paraId="03ED2F86"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Exam 2 &gt;80% n=29</w:t>
            </w:r>
          </w:p>
        </w:tc>
        <w:tc>
          <w:tcPr>
            <w:tcW w:w="400" w:type="dxa"/>
            <w:tcBorders>
              <w:top w:val="single" w:sz="8" w:space="0" w:color="auto"/>
              <w:left w:val="nil"/>
              <w:bottom w:val="single" w:sz="8" w:space="0" w:color="auto"/>
              <w:right w:val="single" w:sz="8" w:space="0" w:color="auto"/>
            </w:tcBorders>
            <w:shd w:val="clear" w:color="auto" w:fill="auto"/>
            <w:vAlign w:val="center"/>
            <w:hideMark/>
          </w:tcPr>
          <w:p w14:paraId="3D44D084"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w:t>
            </w:r>
          </w:p>
        </w:tc>
        <w:tc>
          <w:tcPr>
            <w:tcW w:w="440" w:type="dxa"/>
            <w:tcBorders>
              <w:top w:val="single" w:sz="8" w:space="0" w:color="auto"/>
              <w:left w:val="nil"/>
              <w:bottom w:val="single" w:sz="8" w:space="0" w:color="auto"/>
              <w:right w:val="single" w:sz="8" w:space="0" w:color="auto"/>
            </w:tcBorders>
            <w:shd w:val="clear" w:color="auto" w:fill="auto"/>
            <w:vAlign w:val="center"/>
            <w:hideMark/>
          </w:tcPr>
          <w:p w14:paraId="14003192"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Exam 2  &lt;80% n=11</w:t>
            </w:r>
          </w:p>
        </w:tc>
        <w:tc>
          <w:tcPr>
            <w:tcW w:w="380" w:type="dxa"/>
            <w:tcBorders>
              <w:top w:val="single" w:sz="8" w:space="0" w:color="auto"/>
              <w:left w:val="nil"/>
              <w:bottom w:val="single" w:sz="8" w:space="0" w:color="auto"/>
              <w:right w:val="single" w:sz="8" w:space="0" w:color="auto"/>
            </w:tcBorders>
            <w:shd w:val="clear" w:color="auto" w:fill="auto"/>
            <w:vAlign w:val="center"/>
            <w:hideMark/>
          </w:tcPr>
          <w:p w14:paraId="667A6ACE"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w:t>
            </w:r>
          </w:p>
        </w:tc>
      </w:tr>
      <w:tr w:rsidR="000C4B4E" w:rsidRPr="000C4B4E" w14:paraId="19970D6C" w14:textId="77777777" w:rsidTr="00AA2D4D">
        <w:trPr>
          <w:trHeight w:val="34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580DBF4"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peer support</w:t>
            </w:r>
          </w:p>
        </w:tc>
        <w:tc>
          <w:tcPr>
            <w:tcW w:w="440" w:type="dxa"/>
            <w:tcBorders>
              <w:top w:val="nil"/>
              <w:left w:val="nil"/>
              <w:bottom w:val="single" w:sz="8" w:space="0" w:color="auto"/>
              <w:right w:val="single" w:sz="8" w:space="0" w:color="auto"/>
            </w:tcBorders>
            <w:shd w:val="clear" w:color="auto" w:fill="auto"/>
            <w:noWrap/>
            <w:vAlign w:val="center"/>
            <w:hideMark/>
          </w:tcPr>
          <w:p w14:paraId="1B831C5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30</w:t>
            </w:r>
          </w:p>
        </w:tc>
        <w:tc>
          <w:tcPr>
            <w:tcW w:w="400" w:type="dxa"/>
            <w:tcBorders>
              <w:top w:val="nil"/>
              <w:left w:val="nil"/>
              <w:bottom w:val="single" w:sz="8" w:space="0" w:color="auto"/>
              <w:right w:val="single" w:sz="8" w:space="0" w:color="auto"/>
            </w:tcBorders>
            <w:shd w:val="clear" w:color="auto" w:fill="auto"/>
            <w:noWrap/>
            <w:vAlign w:val="center"/>
            <w:hideMark/>
          </w:tcPr>
          <w:p w14:paraId="0FE264B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75%</w:t>
            </w:r>
          </w:p>
        </w:tc>
        <w:tc>
          <w:tcPr>
            <w:tcW w:w="440" w:type="dxa"/>
            <w:tcBorders>
              <w:top w:val="nil"/>
              <w:left w:val="nil"/>
              <w:bottom w:val="single" w:sz="8" w:space="0" w:color="auto"/>
              <w:right w:val="single" w:sz="8" w:space="0" w:color="auto"/>
            </w:tcBorders>
            <w:shd w:val="clear" w:color="auto" w:fill="auto"/>
            <w:noWrap/>
            <w:vAlign w:val="center"/>
            <w:hideMark/>
          </w:tcPr>
          <w:p w14:paraId="7B3D60D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25</w:t>
            </w:r>
          </w:p>
        </w:tc>
        <w:tc>
          <w:tcPr>
            <w:tcW w:w="400" w:type="dxa"/>
            <w:tcBorders>
              <w:top w:val="nil"/>
              <w:left w:val="nil"/>
              <w:bottom w:val="single" w:sz="8" w:space="0" w:color="auto"/>
              <w:right w:val="single" w:sz="8" w:space="0" w:color="auto"/>
            </w:tcBorders>
            <w:shd w:val="clear" w:color="auto" w:fill="auto"/>
            <w:noWrap/>
            <w:vAlign w:val="center"/>
            <w:hideMark/>
          </w:tcPr>
          <w:p w14:paraId="7CB82A8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86%</w:t>
            </w:r>
          </w:p>
        </w:tc>
        <w:tc>
          <w:tcPr>
            <w:tcW w:w="440" w:type="dxa"/>
            <w:tcBorders>
              <w:top w:val="nil"/>
              <w:left w:val="nil"/>
              <w:bottom w:val="single" w:sz="8" w:space="0" w:color="auto"/>
              <w:right w:val="single" w:sz="8" w:space="0" w:color="auto"/>
            </w:tcBorders>
            <w:shd w:val="clear" w:color="auto" w:fill="auto"/>
            <w:noWrap/>
            <w:vAlign w:val="center"/>
            <w:hideMark/>
          </w:tcPr>
          <w:p w14:paraId="40459AD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380" w:type="dxa"/>
            <w:tcBorders>
              <w:top w:val="nil"/>
              <w:left w:val="nil"/>
              <w:bottom w:val="single" w:sz="8" w:space="0" w:color="auto"/>
              <w:right w:val="single" w:sz="8" w:space="0" w:color="auto"/>
            </w:tcBorders>
            <w:shd w:val="clear" w:color="auto" w:fill="auto"/>
            <w:noWrap/>
            <w:vAlign w:val="center"/>
            <w:hideMark/>
          </w:tcPr>
          <w:p w14:paraId="49533EA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63%</w:t>
            </w:r>
          </w:p>
        </w:tc>
      </w:tr>
      <w:tr w:rsidR="000C4B4E" w:rsidRPr="000C4B4E" w14:paraId="7E7A9E8F" w14:textId="77777777" w:rsidTr="00AA2D4D">
        <w:trPr>
          <w:trHeight w:val="42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2EA94AB"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Advice from upperclassmen</w:t>
            </w:r>
          </w:p>
        </w:tc>
        <w:tc>
          <w:tcPr>
            <w:tcW w:w="440" w:type="dxa"/>
            <w:tcBorders>
              <w:top w:val="nil"/>
              <w:left w:val="nil"/>
              <w:bottom w:val="single" w:sz="8" w:space="0" w:color="auto"/>
              <w:right w:val="single" w:sz="8" w:space="0" w:color="auto"/>
            </w:tcBorders>
            <w:shd w:val="clear" w:color="auto" w:fill="auto"/>
            <w:noWrap/>
            <w:vAlign w:val="center"/>
            <w:hideMark/>
          </w:tcPr>
          <w:p w14:paraId="0C5632F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25</w:t>
            </w:r>
          </w:p>
        </w:tc>
        <w:tc>
          <w:tcPr>
            <w:tcW w:w="400" w:type="dxa"/>
            <w:tcBorders>
              <w:top w:val="nil"/>
              <w:left w:val="nil"/>
              <w:bottom w:val="single" w:sz="8" w:space="0" w:color="auto"/>
              <w:right w:val="single" w:sz="8" w:space="0" w:color="auto"/>
            </w:tcBorders>
            <w:shd w:val="clear" w:color="auto" w:fill="auto"/>
            <w:noWrap/>
            <w:vAlign w:val="center"/>
            <w:hideMark/>
          </w:tcPr>
          <w:p w14:paraId="61ED4B0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63%</w:t>
            </w:r>
          </w:p>
        </w:tc>
        <w:tc>
          <w:tcPr>
            <w:tcW w:w="440" w:type="dxa"/>
            <w:tcBorders>
              <w:top w:val="nil"/>
              <w:left w:val="nil"/>
              <w:bottom w:val="single" w:sz="8" w:space="0" w:color="auto"/>
              <w:right w:val="single" w:sz="8" w:space="0" w:color="auto"/>
            </w:tcBorders>
            <w:shd w:val="clear" w:color="auto" w:fill="auto"/>
            <w:noWrap/>
            <w:vAlign w:val="center"/>
            <w:hideMark/>
          </w:tcPr>
          <w:p w14:paraId="67650318"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19</w:t>
            </w:r>
          </w:p>
        </w:tc>
        <w:tc>
          <w:tcPr>
            <w:tcW w:w="400" w:type="dxa"/>
            <w:tcBorders>
              <w:top w:val="nil"/>
              <w:left w:val="nil"/>
              <w:bottom w:val="single" w:sz="8" w:space="0" w:color="auto"/>
              <w:right w:val="single" w:sz="8" w:space="0" w:color="auto"/>
            </w:tcBorders>
            <w:shd w:val="clear" w:color="auto" w:fill="auto"/>
            <w:noWrap/>
            <w:vAlign w:val="center"/>
            <w:hideMark/>
          </w:tcPr>
          <w:p w14:paraId="2934939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66%</w:t>
            </w:r>
          </w:p>
        </w:tc>
        <w:tc>
          <w:tcPr>
            <w:tcW w:w="440" w:type="dxa"/>
            <w:tcBorders>
              <w:top w:val="nil"/>
              <w:left w:val="nil"/>
              <w:bottom w:val="single" w:sz="8" w:space="0" w:color="auto"/>
              <w:right w:val="single" w:sz="8" w:space="0" w:color="auto"/>
            </w:tcBorders>
            <w:shd w:val="clear" w:color="auto" w:fill="auto"/>
            <w:noWrap/>
            <w:vAlign w:val="center"/>
            <w:hideMark/>
          </w:tcPr>
          <w:p w14:paraId="610F334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c>
          <w:tcPr>
            <w:tcW w:w="380" w:type="dxa"/>
            <w:tcBorders>
              <w:top w:val="nil"/>
              <w:left w:val="nil"/>
              <w:bottom w:val="single" w:sz="8" w:space="0" w:color="auto"/>
              <w:right w:val="single" w:sz="8" w:space="0" w:color="auto"/>
            </w:tcBorders>
            <w:shd w:val="clear" w:color="auto" w:fill="auto"/>
            <w:noWrap/>
            <w:vAlign w:val="center"/>
            <w:hideMark/>
          </w:tcPr>
          <w:p w14:paraId="1F2F8E8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38%</w:t>
            </w:r>
          </w:p>
        </w:tc>
      </w:tr>
      <w:tr w:rsidR="000C4B4E" w:rsidRPr="000C4B4E" w14:paraId="482C32B0" w14:textId="77777777" w:rsidTr="00AA2D4D">
        <w:trPr>
          <w:trHeight w:val="34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121E0E4"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Family support</w:t>
            </w:r>
          </w:p>
        </w:tc>
        <w:tc>
          <w:tcPr>
            <w:tcW w:w="440" w:type="dxa"/>
            <w:tcBorders>
              <w:top w:val="nil"/>
              <w:left w:val="nil"/>
              <w:bottom w:val="single" w:sz="8" w:space="0" w:color="auto"/>
              <w:right w:val="single" w:sz="8" w:space="0" w:color="auto"/>
            </w:tcBorders>
            <w:shd w:val="clear" w:color="auto" w:fill="auto"/>
            <w:noWrap/>
            <w:vAlign w:val="center"/>
            <w:hideMark/>
          </w:tcPr>
          <w:p w14:paraId="4BBD57E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29</w:t>
            </w:r>
          </w:p>
        </w:tc>
        <w:tc>
          <w:tcPr>
            <w:tcW w:w="400" w:type="dxa"/>
            <w:tcBorders>
              <w:top w:val="nil"/>
              <w:left w:val="nil"/>
              <w:bottom w:val="single" w:sz="8" w:space="0" w:color="auto"/>
              <w:right w:val="single" w:sz="8" w:space="0" w:color="auto"/>
            </w:tcBorders>
            <w:shd w:val="clear" w:color="auto" w:fill="auto"/>
            <w:noWrap/>
            <w:vAlign w:val="center"/>
            <w:hideMark/>
          </w:tcPr>
          <w:p w14:paraId="39E31BC7"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73%</w:t>
            </w:r>
          </w:p>
        </w:tc>
        <w:tc>
          <w:tcPr>
            <w:tcW w:w="440" w:type="dxa"/>
            <w:tcBorders>
              <w:top w:val="nil"/>
              <w:left w:val="nil"/>
              <w:bottom w:val="single" w:sz="8" w:space="0" w:color="auto"/>
              <w:right w:val="single" w:sz="8" w:space="0" w:color="auto"/>
            </w:tcBorders>
            <w:shd w:val="clear" w:color="auto" w:fill="auto"/>
            <w:noWrap/>
            <w:vAlign w:val="center"/>
            <w:hideMark/>
          </w:tcPr>
          <w:p w14:paraId="58AD84B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21</w:t>
            </w:r>
          </w:p>
        </w:tc>
        <w:tc>
          <w:tcPr>
            <w:tcW w:w="400" w:type="dxa"/>
            <w:tcBorders>
              <w:top w:val="nil"/>
              <w:left w:val="nil"/>
              <w:bottom w:val="single" w:sz="8" w:space="0" w:color="auto"/>
              <w:right w:val="single" w:sz="8" w:space="0" w:color="auto"/>
            </w:tcBorders>
            <w:shd w:val="clear" w:color="auto" w:fill="auto"/>
            <w:noWrap/>
            <w:vAlign w:val="center"/>
            <w:hideMark/>
          </w:tcPr>
          <w:p w14:paraId="13C9887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72%</w:t>
            </w:r>
          </w:p>
        </w:tc>
        <w:tc>
          <w:tcPr>
            <w:tcW w:w="440" w:type="dxa"/>
            <w:tcBorders>
              <w:top w:val="nil"/>
              <w:left w:val="nil"/>
              <w:bottom w:val="single" w:sz="8" w:space="0" w:color="auto"/>
              <w:right w:val="single" w:sz="8" w:space="0" w:color="auto"/>
            </w:tcBorders>
            <w:shd w:val="clear" w:color="auto" w:fill="auto"/>
            <w:noWrap/>
            <w:vAlign w:val="center"/>
            <w:hideMark/>
          </w:tcPr>
          <w:p w14:paraId="3585469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8</w:t>
            </w:r>
          </w:p>
        </w:tc>
        <w:tc>
          <w:tcPr>
            <w:tcW w:w="380" w:type="dxa"/>
            <w:tcBorders>
              <w:top w:val="nil"/>
              <w:left w:val="nil"/>
              <w:bottom w:val="single" w:sz="8" w:space="0" w:color="auto"/>
              <w:right w:val="single" w:sz="8" w:space="0" w:color="auto"/>
            </w:tcBorders>
            <w:shd w:val="clear" w:color="auto" w:fill="auto"/>
            <w:noWrap/>
            <w:vAlign w:val="center"/>
            <w:hideMark/>
          </w:tcPr>
          <w:p w14:paraId="54F14D38"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63%</w:t>
            </w:r>
          </w:p>
        </w:tc>
      </w:tr>
      <w:tr w:rsidR="000C4B4E" w:rsidRPr="000C4B4E" w14:paraId="4AFA451D" w14:textId="77777777" w:rsidTr="00AA2D4D">
        <w:trPr>
          <w:trHeight w:val="34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2A15F81"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Tutoring</w:t>
            </w:r>
          </w:p>
        </w:tc>
        <w:tc>
          <w:tcPr>
            <w:tcW w:w="440" w:type="dxa"/>
            <w:tcBorders>
              <w:top w:val="nil"/>
              <w:left w:val="nil"/>
              <w:bottom w:val="single" w:sz="8" w:space="0" w:color="auto"/>
              <w:right w:val="single" w:sz="8" w:space="0" w:color="auto"/>
            </w:tcBorders>
            <w:shd w:val="clear" w:color="auto" w:fill="auto"/>
            <w:noWrap/>
            <w:vAlign w:val="center"/>
            <w:hideMark/>
          </w:tcPr>
          <w:p w14:paraId="63D9C25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10</w:t>
            </w:r>
          </w:p>
        </w:tc>
        <w:tc>
          <w:tcPr>
            <w:tcW w:w="400" w:type="dxa"/>
            <w:tcBorders>
              <w:top w:val="nil"/>
              <w:left w:val="nil"/>
              <w:bottom w:val="single" w:sz="8" w:space="0" w:color="auto"/>
              <w:right w:val="single" w:sz="8" w:space="0" w:color="auto"/>
            </w:tcBorders>
            <w:shd w:val="clear" w:color="auto" w:fill="auto"/>
            <w:noWrap/>
            <w:vAlign w:val="center"/>
            <w:hideMark/>
          </w:tcPr>
          <w:p w14:paraId="34013B5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25%</w:t>
            </w:r>
          </w:p>
        </w:tc>
        <w:tc>
          <w:tcPr>
            <w:tcW w:w="440" w:type="dxa"/>
            <w:tcBorders>
              <w:top w:val="nil"/>
              <w:left w:val="nil"/>
              <w:bottom w:val="single" w:sz="8" w:space="0" w:color="auto"/>
              <w:right w:val="single" w:sz="8" w:space="0" w:color="auto"/>
            </w:tcBorders>
            <w:shd w:val="clear" w:color="auto" w:fill="auto"/>
            <w:noWrap/>
            <w:vAlign w:val="center"/>
            <w:hideMark/>
          </w:tcPr>
          <w:p w14:paraId="2E4ECAE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8</w:t>
            </w:r>
          </w:p>
        </w:tc>
        <w:tc>
          <w:tcPr>
            <w:tcW w:w="400" w:type="dxa"/>
            <w:tcBorders>
              <w:top w:val="nil"/>
              <w:left w:val="nil"/>
              <w:bottom w:val="single" w:sz="8" w:space="0" w:color="auto"/>
              <w:right w:val="single" w:sz="8" w:space="0" w:color="auto"/>
            </w:tcBorders>
            <w:shd w:val="clear" w:color="auto" w:fill="auto"/>
            <w:noWrap/>
            <w:vAlign w:val="center"/>
            <w:hideMark/>
          </w:tcPr>
          <w:p w14:paraId="1FCBE122"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28%</w:t>
            </w:r>
          </w:p>
        </w:tc>
        <w:tc>
          <w:tcPr>
            <w:tcW w:w="440" w:type="dxa"/>
            <w:tcBorders>
              <w:top w:val="nil"/>
              <w:left w:val="nil"/>
              <w:bottom w:val="single" w:sz="8" w:space="0" w:color="auto"/>
              <w:right w:val="single" w:sz="8" w:space="0" w:color="auto"/>
            </w:tcBorders>
            <w:shd w:val="clear" w:color="auto" w:fill="auto"/>
            <w:noWrap/>
            <w:vAlign w:val="center"/>
            <w:hideMark/>
          </w:tcPr>
          <w:p w14:paraId="6B88929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380" w:type="dxa"/>
            <w:tcBorders>
              <w:top w:val="nil"/>
              <w:left w:val="nil"/>
              <w:bottom w:val="single" w:sz="8" w:space="0" w:color="auto"/>
              <w:right w:val="single" w:sz="8" w:space="0" w:color="auto"/>
            </w:tcBorders>
            <w:shd w:val="clear" w:color="auto" w:fill="auto"/>
            <w:noWrap/>
            <w:vAlign w:val="center"/>
            <w:hideMark/>
          </w:tcPr>
          <w:p w14:paraId="716BADD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19%</w:t>
            </w:r>
          </w:p>
        </w:tc>
      </w:tr>
      <w:tr w:rsidR="000C4B4E" w:rsidRPr="000C4B4E" w14:paraId="1F540B54" w14:textId="77777777" w:rsidTr="00AA2D4D">
        <w:trPr>
          <w:trHeight w:val="42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E3A422C"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Student Health clinic</w:t>
            </w:r>
          </w:p>
        </w:tc>
        <w:tc>
          <w:tcPr>
            <w:tcW w:w="440" w:type="dxa"/>
            <w:tcBorders>
              <w:top w:val="nil"/>
              <w:left w:val="nil"/>
              <w:bottom w:val="single" w:sz="8" w:space="0" w:color="auto"/>
              <w:right w:val="single" w:sz="8" w:space="0" w:color="auto"/>
            </w:tcBorders>
            <w:shd w:val="clear" w:color="auto" w:fill="auto"/>
            <w:noWrap/>
            <w:vAlign w:val="center"/>
            <w:hideMark/>
          </w:tcPr>
          <w:p w14:paraId="1C098D9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w:t>
            </w:r>
          </w:p>
        </w:tc>
        <w:tc>
          <w:tcPr>
            <w:tcW w:w="400" w:type="dxa"/>
            <w:tcBorders>
              <w:top w:val="nil"/>
              <w:left w:val="nil"/>
              <w:bottom w:val="single" w:sz="8" w:space="0" w:color="auto"/>
              <w:right w:val="single" w:sz="8" w:space="0" w:color="auto"/>
            </w:tcBorders>
            <w:shd w:val="clear" w:color="auto" w:fill="auto"/>
            <w:noWrap/>
            <w:vAlign w:val="center"/>
            <w:hideMark/>
          </w:tcPr>
          <w:p w14:paraId="358AB52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18%</w:t>
            </w:r>
          </w:p>
        </w:tc>
        <w:tc>
          <w:tcPr>
            <w:tcW w:w="440" w:type="dxa"/>
            <w:tcBorders>
              <w:top w:val="nil"/>
              <w:left w:val="nil"/>
              <w:bottom w:val="single" w:sz="8" w:space="0" w:color="auto"/>
              <w:right w:val="single" w:sz="8" w:space="0" w:color="auto"/>
            </w:tcBorders>
            <w:shd w:val="clear" w:color="auto" w:fill="auto"/>
            <w:noWrap/>
            <w:vAlign w:val="center"/>
            <w:hideMark/>
          </w:tcPr>
          <w:p w14:paraId="255448F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c>
          <w:tcPr>
            <w:tcW w:w="400" w:type="dxa"/>
            <w:tcBorders>
              <w:top w:val="nil"/>
              <w:left w:val="nil"/>
              <w:bottom w:val="single" w:sz="8" w:space="0" w:color="auto"/>
              <w:right w:val="single" w:sz="8" w:space="0" w:color="auto"/>
            </w:tcBorders>
            <w:shd w:val="clear" w:color="auto" w:fill="auto"/>
            <w:noWrap/>
            <w:vAlign w:val="center"/>
            <w:hideMark/>
          </w:tcPr>
          <w:p w14:paraId="2D804DF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17%</w:t>
            </w:r>
          </w:p>
        </w:tc>
        <w:tc>
          <w:tcPr>
            <w:tcW w:w="440" w:type="dxa"/>
            <w:tcBorders>
              <w:top w:val="nil"/>
              <w:left w:val="nil"/>
              <w:bottom w:val="single" w:sz="8" w:space="0" w:color="auto"/>
              <w:right w:val="single" w:sz="8" w:space="0" w:color="auto"/>
            </w:tcBorders>
            <w:shd w:val="clear" w:color="auto" w:fill="auto"/>
            <w:noWrap/>
            <w:vAlign w:val="center"/>
            <w:hideMark/>
          </w:tcPr>
          <w:p w14:paraId="2E3B46C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380" w:type="dxa"/>
            <w:tcBorders>
              <w:top w:val="nil"/>
              <w:left w:val="nil"/>
              <w:bottom w:val="single" w:sz="8" w:space="0" w:color="auto"/>
              <w:right w:val="single" w:sz="8" w:space="0" w:color="auto"/>
            </w:tcBorders>
            <w:shd w:val="clear" w:color="auto" w:fill="auto"/>
            <w:noWrap/>
            <w:vAlign w:val="center"/>
            <w:hideMark/>
          </w:tcPr>
          <w:p w14:paraId="331748E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9%</w:t>
            </w:r>
          </w:p>
        </w:tc>
      </w:tr>
      <w:tr w:rsidR="000C4B4E" w:rsidRPr="000C4B4E" w14:paraId="78E919D2" w14:textId="77777777" w:rsidTr="00AA2D4D">
        <w:trPr>
          <w:trHeight w:val="42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6434757"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Professional counseling</w:t>
            </w:r>
          </w:p>
        </w:tc>
        <w:tc>
          <w:tcPr>
            <w:tcW w:w="440" w:type="dxa"/>
            <w:tcBorders>
              <w:top w:val="nil"/>
              <w:left w:val="nil"/>
              <w:bottom w:val="single" w:sz="8" w:space="0" w:color="auto"/>
              <w:right w:val="single" w:sz="8" w:space="0" w:color="auto"/>
            </w:tcBorders>
            <w:shd w:val="clear" w:color="auto" w:fill="auto"/>
            <w:noWrap/>
            <w:vAlign w:val="center"/>
            <w:hideMark/>
          </w:tcPr>
          <w:p w14:paraId="0E14CCC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400" w:type="dxa"/>
            <w:tcBorders>
              <w:top w:val="nil"/>
              <w:left w:val="nil"/>
              <w:bottom w:val="single" w:sz="8" w:space="0" w:color="auto"/>
              <w:right w:val="single" w:sz="8" w:space="0" w:color="auto"/>
            </w:tcBorders>
            <w:shd w:val="clear" w:color="auto" w:fill="auto"/>
            <w:noWrap/>
            <w:vAlign w:val="center"/>
            <w:hideMark/>
          </w:tcPr>
          <w:p w14:paraId="4F0148B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440" w:type="dxa"/>
            <w:tcBorders>
              <w:top w:val="nil"/>
              <w:left w:val="nil"/>
              <w:bottom w:val="single" w:sz="8" w:space="0" w:color="auto"/>
              <w:right w:val="single" w:sz="8" w:space="0" w:color="auto"/>
            </w:tcBorders>
            <w:shd w:val="clear" w:color="auto" w:fill="auto"/>
            <w:noWrap/>
            <w:vAlign w:val="center"/>
            <w:hideMark/>
          </w:tcPr>
          <w:p w14:paraId="7F4F341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400" w:type="dxa"/>
            <w:tcBorders>
              <w:top w:val="nil"/>
              <w:left w:val="nil"/>
              <w:bottom w:val="single" w:sz="8" w:space="0" w:color="auto"/>
              <w:right w:val="single" w:sz="8" w:space="0" w:color="auto"/>
            </w:tcBorders>
            <w:shd w:val="clear" w:color="auto" w:fill="auto"/>
            <w:noWrap/>
            <w:vAlign w:val="center"/>
            <w:hideMark/>
          </w:tcPr>
          <w:p w14:paraId="1C8E95F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w:t>
            </w:r>
          </w:p>
        </w:tc>
        <w:tc>
          <w:tcPr>
            <w:tcW w:w="440" w:type="dxa"/>
            <w:tcBorders>
              <w:top w:val="nil"/>
              <w:left w:val="nil"/>
              <w:bottom w:val="single" w:sz="8" w:space="0" w:color="auto"/>
              <w:right w:val="single" w:sz="8" w:space="0" w:color="auto"/>
            </w:tcBorders>
            <w:shd w:val="clear" w:color="auto" w:fill="auto"/>
            <w:noWrap/>
            <w:vAlign w:val="center"/>
            <w:hideMark/>
          </w:tcPr>
          <w:p w14:paraId="251B504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380" w:type="dxa"/>
            <w:tcBorders>
              <w:top w:val="nil"/>
              <w:left w:val="nil"/>
              <w:bottom w:val="single" w:sz="8" w:space="0" w:color="auto"/>
              <w:right w:val="single" w:sz="8" w:space="0" w:color="auto"/>
            </w:tcBorders>
            <w:shd w:val="clear" w:color="auto" w:fill="auto"/>
            <w:noWrap/>
            <w:vAlign w:val="center"/>
            <w:hideMark/>
          </w:tcPr>
          <w:p w14:paraId="23E3E58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r>
      <w:tr w:rsidR="000C4B4E" w:rsidRPr="000C4B4E" w14:paraId="761216BD" w14:textId="77777777" w:rsidTr="00AA2D4D">
        <w:trPr>
          <w:trHeight w:val="34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1908CD2"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Online support</w:t>
            </w:r>
          </w:p>
        </w:tc>
        <w:tc>
          <w:tcPr>
            <w:tcW w:w="440" w:type="dxa"/>
            <w:tcBorders>
              <w:top w:val="nil"/>
              <w:left w:val="nil"/>
              <w:bottom w:val="single" w:sz="8" w:space="0" w:color="auto"/>
              <w:right w:val="single" w:sz="8" w:space="0" w:color="auto"/>
            </w:tcBorders>
            <w:shd w:val="clear" w:color="auto" w:fill="auto"/>
            <w:noWrap/>
            <w:vAlign w:val="center"/>
            <w:hideMark/>
          </w:tcPr>
          <w:p w14:paraId="41770DC2"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400" w:type="dxa"/>
            <w:tcBorders>
              <w:top w:val="nil"/>
              <w:left w:val="nil"/>
              <w:bottom w:val="single" w:sz="8" w:space="0" w:color="auto"/>
              <w:right w:val="single" w:sz="8" w:space="0" w:color="auto"/>
            </w:tcBorders>
            <w:shd w:val="clear" w:color="auto" w:fill="auto"/>
            <w:noWrap/>
            <w:vAlign w:val="center"/>
            <w:hideMark/>
          </w:tcPr>
          <w:p w14:paraId="0F57B188"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8%</w:t>
            </w:r>
          </w:p>
        </w:tc>
        <w:tc>
          <w:tcPr>
            <w:tcW w:w="440" w:type="dxa"/>
            <w:tcBorders>
              <w:top w:val="nil"/>
              <w:left w:val="nil"/>
              <w:bottom w:val="single" w:sz="8" w:space="0" w:color="auto"/>
              <w:right w:val="single" w:sz="8" w:space="0" w:color="auto"/>
            </w:tcBorders>
            <w:shd w:val="clear" w:color="auto" w:fill="auto"/>
            <w:noWrap/>
            <w:vAlign w:val="center"/>
            <w:hideMark/>
          </w:tcPr>
          <w:p w14:paraId="3242710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400" w:type="dxa"/>
            <w:tcBorders>
              <w:top w:val="nil"/>
              <w:left w:val="nil"/>
              <w:bottom w:val="single" w:sz="8" w:space="0" w:color="auto"/>
              <w:right w:val="single" w:sz="8" w:space="0" w:color="auto"/>
            </w:tcBorders>
            <w:shd w:val="clear" w:color="auto" w:fill="auto"/>
            <w:noWrap/>
            <w:vAlign w:val="center"/>
            <w:hideMark/>
          </w:tcPr>
          <w:p w14:paraId="39F692A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w:t>
            </w:r>
          </w:p>
        </w:tc>
        <w:tc>
          <w:tcPr>
            <w:tcW w:w="440" w:type="dxa"/>
            <w:tcBorders>
              <w:top w:val="nil"/>
              <w:left w:val="nil"/>
              <w:bottom w:val="single" w:sz="8" w:space="0" w:color="auto"/>
              <w:right w:val="single" w:sz="8" w:space="0" w:color="auto"/>
            </w:tcBorders>
            <w:shd w:val="clear" w:color="auto" w:fill="auto"/>
            <w:noWrap/>
            <w:vAlign w:val="center"/>
            <w:hideMark/>
          </w:tcPr>
          <w:p w14:paraId="4364CF3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380" w:type="dxa"/>
            <w:tcBorders>
              <w:top w:val="nil"/>
              <w:left w:val="nil"/>
              <w:bottom w:val="single" w:sz="8" w:space="0" w:color="auto"/>
              <w:right w:val="single" w:sz="8" w:space="0" w:color="auto"/>
            </w:tcBorders>
            <w:shd w:val="clear" w:color="auto" w:fill="auto"/>
            <w:noWrap/>
            <w:vAlign w:val="center"/>
            <w:hideMark/>
          </w:tcPr>
          <w:p w14:paraId="0D6EFDF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13%</w:t>
            </w:r>
          </w:p>
        </w:tc>
      </w:tr>
      <w:tr w:rsidR="000C4B4E" w:rsidRPr="000C4B4E" w14:paraId="39CE51EC" w14:textId="77777777" w:rsidTr="00AA2D4D">
        <w:trPr>
          <w:trHeight w:val="42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EFF5655"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Professor office hours</w:t>
            </w:r>
          </w:p>
        </w:tc>
        <w:tc>
          <w:tcPr>
            <w:tcW w:w="440" w:type="dxa"/>
            <w:tcBorders>
              <w:top w:val="nil"/>
              <w:left w:val="nil"/>
              <w:bottom w:val="single" w:sz="8" w:space="0" w:color="auto"/>
              <w:right w:val="single" w:sz="8" w:space="0" w:color="auto"/>
            </w:tcBorders>
            <w:shd w:val="clear" w:color="auto" w:fill="auto"/>
            <w:noWrap/>
            <w:vAlign w:val="center"/>
            <w:hideMark/>
          </w:tcPr>
          <w:p w14:paraId="149FD68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400" w:type="dxa"/>
            <w:tcBorders>
              <w:top w:val="nil"/>
              <w:left w:val="nil"/>
              <w:bottom w:val="single" w:sz="8" w:space="0" w:color="auto"/>
              <w:right w:val="single" w:sz="8" w:space="0" w:color="auto"/>
            </w:tcBorders>
            <w:shd w:val="clear" w:color="auto" w:fill="auto"/>
            <w:noWrap/>
            <w:vAlign w:val="center"/>
            <w:hideMark/>
          </w:tcPr>
          <w:p w14:paraId="52F5656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13%</w:t>
            </w:r>
          </w:p>
        </w:tc>
        <w:tc>
          <w:tcPr>
            <w:tcW w:w="440" w:type="dxa"/>
            <w:tcBorders>
              <w:top w:val="nil"/>
              <w:left w:val="nil"/>
              <w:bottom w:val="single" w:sz="8" w:space="0" w:color="auto"/>
              <w:right w:val="single" w:sz="8" w:space="0" w:color="auto"/>
            </w:tcBorders>
            <w:shd w:val="clear" w:color="auto" w:fill="auto"/>
            <w:noWrap/>
            <w:vAlign w:val="center"/>
            <w:hideMark/>
          </w:tcPr>
          <w:p w14:paraId="2B4056B8"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400" w:type="dxa"/>
            <w:tcBorders>
              <w:top w:val="nil"/>
              <w:left w:val="nil"/>
              <w:bottom w:val="single" w:sz="8" w:space="0" w:color="auto"/>
              <w:right w:val="single" w:sz="8" w:space="0" w:color="auto"/>
            </w:tcBorders>
            <w:shd w:val="clear" w:color="auto" w:fill="auto"/>
            <w:noWrap/>
            <w:vAlign w:val="center"/>
            <w:hideMark/>
          </w:tcPr>
          <w:p w14:paraId="5E4BA80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10%</w:t>
            </w:r>
          </w:p>
        </w:tc>
        <w:tc>
          <w:tcPr>
            <w:tcW w:w="440" w:type="dxa"/>
            <w:tcBorders>
              <w:top w:val="nil"/>
              <w:left w:val="nil"/>
              <w:bottom w:val="single" w:sz="8" w:space="0" w:color="auto"/>
              <w:right w:val="single" w:sz="8" w:space="0" w:color="auto"/>
            </w:tcBorders>
            <w:shd w:val="clear" w:color="auto" w:fill="auto"/>
            <w:noWrap/>
            <w:vAlign w:val="center"/>
            <w:hideMark/>
          </w:tcPr>
          <w:p w14:paraId="177B31C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380" w:type="dxa"/>
            <w:tcBorders>
              <w:top w:val="nil"/>
              <w:left w:val="nil"/>
              <w:bottom w:val="single" w:sz="8" w:space="0" w:color="auto"/>
              <w:right w:val="single" w:sz="8" w:space="0" w:color="auto"/>
            </w:tcBorders>
            <w:shd w:val="clear" w:color="auto" w:fill="auto"/>
            <w:noWrap/>
            <w:vAlign w:val="center"/>
            <w:hideMark/>
          </w:tcPr>
          <w:p w14:paraId="6C31491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13%</w:t>
            </w:r>
          </w:p>
        </w:tc>
      </w:tr>
      <w:tr w:rsidR="000C4B4E" w:rsidRPr="000C4B4E" w14:paraId="03DD5A77" w14:textId="77777777" w:rsidTr="00AA2D4D">
        <w:trPr>
          <w:trHeight w:val="34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B299EBB" w14:textId="0339F4F9"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xml:space="preserve">Other: </w:t>
            </w:r>
            <w:r w:rsidR="00ED4C2E">
              <w:rPr>
                <w:rFonts w:ascii="Cambria" w:hAnsi="Cambria" w:cs="Calibri"/>
                <w:color w:val="000000"/>
                <w:sz w:val="20"/>
                <w:szCs w:val="20"/>
              </w:rPr>
              <w:t>YouTube</w:t>
            </w:r>
          </w:p>
        </w:tc>
        <w:tc>
          <w:tcPr>
            <w:tcW w:w="440" w:type="dxa"/>
            <w:tcBorders>
              <w:top w:val="nil"/>
              <w:left w:val="nil"/>
              <w:bottom w:val="single" w:sz="8" w:space="0" w:color="auto"/>
              <w:right w:val="single" w:sz="8" w:space="0" w:color="auto"/>
            </w:tcBorders>
            <w:shd w:val="clear" w:color="auto" w:fill="auto"/>
            <w:noWrap/>
            <w:vAlign w:val="center"/>
            <w:hideMark/>
          </w:tcPr>
          <w:p w14:paraId="46BB372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174007D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440" w:type="dxa"/>
            <w:tcBorders>
              <w:top w:val="nil"/>
              <w:left w:val="nil"/>
              <w:bottom w:val="single" w:sz="8" w:space="0" w:color="auto"/>
              <w:right w:val="single" w:sz="8" w:space="0" w:color="auto"/>
            </w:tcBorders>
            <w:shd w:val="clear" w:color="auto" w:fill="auto"/>
            <w:noWrap/>
            <w:vAlign w:val="center"/>
            <w:hideMark/>
          </w:tcPr>
          <w:p w14:paraId="0E78DAA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4D6930E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440" w:type="dxa"/>
            <w:tcBorders>
              <w:top w:val="nil"/>
              <w:left w:val="nil"/>
              <w:bottom w:val="single" w:sz="8" w:space="0" w:color="auto"/>
              <w:right w:val="single" w:sz="8" w:space="0" w:color="auto"/>
            </w:tcBorders>
            <w:shd w:val="clear" w:color="auto" w:fill="auto"/>
            <w:noWrap/>
            <w:vAlign w:val="center"/>
            <w:hideMark/>
          </w:tcPr>
          <w:p w14:paraId="5786E26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380" w:type="dxa"/>
            <w:tcBorders>
              <w:top w:val="nil"/>
              <w:left w:val="nil"/>
              <w:bottom w:val="single" w:sz="8" w:space="0" w:color="auto"/>
              <w:right w:val="single" w:sz="8" w:space="0" w:color="auto"/>
            </w:tcBorders>
            <w:shd w:val="clear" w:color="auto" w:fill="auto"/>
            <w:noWrap/>
            <w:vAlign w:val="center"/>
            <w:hideMark/>
          </w:tcPr>
          <w:p w14:paraId="6CA7FE8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r>
      <w:tr w:rsidR="000C4B4E" w:rsidRPr="000C4B4E" w14:paraId="72C9D6DE" w14:textId="77777777" w:rsidTr="00AA2D4D">
        <w:trPr>
          <w:trHeight w:val="42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DE448CB"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Pastoral Services</w:t>
            </w:r>
          </w:p>
        </w:tc>
        <w:tc>
          <w:tcPr>
            <w:tcW w:w="440" w:type="dxa"/>
            <w:tcBorders>
              <w:top w:val="nil"/>
              <w:left w:val="nil"/>
              <w:bottom w:val="single" w:sz="8" w:space="0" w:color="auto"/>
              <w:right w:val="single" w:sz="8" w:space="0" w:color="auto"/>
            </w:tcBorders>
            <w:shd w:val="clear" w:color="auto" w:fill="auto"/>
            <w:noWrap/>
            <w:vAlign w:val="center"/>
            <w:hideMark/>
          </w:tcPr>
          <w:p w14:paraId="19C96B1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400" w:type="dxa"/>
            <w:tcBorders>
              <w:top w:val="nil"/>
              <w:left w:val="nil"/>
              <w:bottom w:val="single" w:sz="8" w:space="0" w:color="auto"/>
              <w:right w:val="single" w:sz="8" w:space="0" w:color="auto"/>
            </w:tcBorders>
            <w:shd w:val="clear" w:color="auto" w:fill="auto"/>
            <w:noWrap/>
            <w:vAlign w:val="center"/>
            <w:hideMark/>
          </w:tcPr>
          <w:p w14:paraId="5F1F096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8%</w:t>
            </w:r>
          </w:p>
        </w:tc>
        <w:tc>
          <w:tcPr>
            <w:tcW w:w="440" w:type="dxa"/>
            <w:tcBorders>
              <w:top w:val="nil"/>
              <w:left w:val="nil"/>
              <w:bottom w:val="single" w:sz="8" w:space="0" w:color="auto"/>
              <w:right w:val="single" w:sz="8" w:space="0" w:color="auto"/>
            </w:tcBorders>
            <w:shd w:val="clear" w:color="auto" w:fill="auto"/>
            <w:noWrap/>
            <w:vAlign w:val="center"/>
            <w:hideMark/>
          </w:tcPr>
          <w:p w14:paraId="44B9AF4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400" w:type="dxa"/>
            <w:tcBorders>
              <w:top w:val="nil"/>
              <w:left w:val="nil"/>
              <w:bottom w:val="single" w:sz="8" w:space="0" w:color="auto"/>
              <w:right w:val="single" w:sz="8" w:space="0" w:color="auto"/>
            </w:tcBorders>
            <w:shd w:val="clear" w:color="auto" w:fill="auto"/>
            <w:noWrap/>
            <w:vAlign w:val="center"/>
            <w:hideMark/>
          </w:tcPr>
          <w:p w14:paraId="228538D7"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10%</w:t>
            </w:r>
          </w:p>
        </w:tc>
        <w:tc>
          <w:tcPr>
            <w:tcW w:w="440" w:type="dxa"/>
            <w:tcBorders>
              <w:top w:val="nil"/>
              <w:left w:val="nil"/>
              <w:bottom w:val="single" w:sz="8" w:space="0" w:color="auto"/>
              <w:right w:val="single" w:sz="8" w:space="0" w:color="auto"/>
            </w:tcBorders>
            <w:shd w:val="clear" w:color="auto" w:fill="auto"/>
            <w:noWrap/>
            <w:vAlign w:val="center"/>
            <w:hideMark/>
          </w:tcPr>
          <w:p w14:paraId="6BE25CF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380" w:type="dxa"/>
            <w:tcBorders>
              <w:top w:val="nil"/>
              <w:left w:val="nil"/>
              <w:bottom w:val="single" w:sz="8" w:space="0" w:color="auto"/>
              <w:right w:val="single" w:sz="8" w:space="0" w:color="auto"/>
            </w:tcBorders>
            <w:shd w:val="clear" w:color="auto" w:fill="auto"/>
            <w:noWrap/>
            <w:vAlign w:val="center"/>
            <w:hideMark/>
          </w:tcPr>
          <w:p w14:paraId="6615F0F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13%</w:t>
            </w:r>
          </w:p>
        </w:tc>
      </w:tr>
      <w:tr w:rsidR="000C4B4E" w:rsidRPr="000C4B4E" w14:paraId="076B34FC" w14:textId="77777777" w:rsidTr="00AA2D4D">
        <w:trPr>
          <w:trHeight w:val="34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4450A1E"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None</w:t>
            </w:r>
          </w:p>
        </w:tc>
        <w:tc>
          <w:tcPr>
            <w:tcW w:w="440" w:type="dxa"/>
            <w:tcBorders>
              <w:top w:val="nil"/>
              <w:left w:val="nil"/>
              <w:bottom w:val="single" w:sz="8" w:space="0" w:color="auto"/>
              <w:right w:val="single" w:sz="8" w:space="0" w:color="auto"/>
            </w:tcBorders>
            <w:shd w:val="clear" w:color="auto" w:fill="auto"/>
            <w:noWrap/>
            <w:vAlign w:val="center"/>
            <w:hideMark/>
          </w:tcPr>
          <w:p w14:paraId="27A20A5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400" w:type="dxa"/>
            <w:tcBorders>
              <w:top w:val="nil"/>
              <w:left w:val="nil"/>
              <w:bottom w:val="single" w:sz="8" w:space="0" w:color="auto"/>
              <w:right w:val="single" w:sz="8" w:space="0" w:color="auto"/>
            </w:tcBorders>
            <w:shd w:val="clear" w:color="auto" w:fill="auto"/>
            <w:noWrap/>
            <w:vAlign w:val="center"/>
            <w:hideMark/>
          </w:tcPr>
          <w:p w14:paraId="0E72DB7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13%</w:t>
            </w:r>
          </w:p>
        </w:tc>
        <w:tc>
          <w:tcPr>
            <w:tcW w:w="440" w:type="dxa"/>
            <w:tcBorders>
              <w:top w:val="nil"/>
              <w:left w:val="nil"/>
              <w:bottom w:val="single" w:sz="8" w:space="0" w:color="auto"/>
              <w:right w:val="single" w:sz="8" w:space="0" w:color="auto"/>
            </w:tcBorders>
            <w:shd w:val="clear" w:color="auto" w:fill="auto"/>
            <w:noWrap/>
            <w:vAlign w:val="center"/>
            <w:hideMark/>
          </w:tcPr>
          <w:p w14:paraId="6758FD8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w:t>
            </w:r>
          </w:p>
        </w:tc>
        <w:tc>
          <w:tcPr>
            <w:tcW w:w="400" w:type="dxa"/>
            <w:tcBorders>
              <w:top w:val="nil"/>
              <w:left w:val="nil"/>
              <w:bottom w:val="single" w:sz="8" w:space="0" w:color="auto"/>
              <w:right w:val="single" w:sz="8" w:space="0" w:color="auto"/>
            </w:tcBorders>
            <w:shd w:val="clear" w:color="auto" w:fill="auto"/>
            <w:noWrap/>
            <w:vAlign w:val="center"/>
            <w:hideMark/>
          </w:tcPr>
          <w:p w14:paraId="5C02F377"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14%</w:t>
            </w:r>
          </w:p>
        </w:tc>
        <w:tc>
          <w:tcPr>
            <w:tcW w:w="440" w:type="dxa"/>
            <w:tcBorders>
              <w:top w:val="nil"/>
              <w:left w:val="nil"/>
              <w:bottom w:val="single" w:sz="8" w:space="0" w:color="auto"/>
              <w:right w:val="single" w:sz="8" w:space="0" w:color="auto"/>
            </w:tcBorders>
            <w:shd w:val="clear" w:color="auto" w:fill="auto"/>
            <w:noWrap/>
            <w:vAlign w:val="center"/>
            <w:hideMark/>
          </w:tcPr>
          <w:p w14:paraId="78430AB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380" w:type="dxa"/>
            <w:tcBorders>
              <w:top w:val="nil"/>
              <w:left w:val="nil"/>
              <w:bottom w:val="single" w:sz="8" w:space="0" w:color="auto"/>
              <w:right w:val="single" w:sz="8" w:space="0" w:color="auto"/>
            </w:tcBorders>
            <w:shd w:val="clear" w:color="auto" w:fill="auto"/>
            <w:noWrap/>
            <w:vAlign w:val="center"/>
            <w:hideMark/>
          </w:tcPr>
          <w:p w14:paraId="3F003E8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19%</w:t>
            </w:r>
          </w:p>
        </w:tc>
      </w:tr>
      <w:tr w:rsidR="000C4B4E" w:rsidRPr="000C4B4E" w14:paraId="2C730F83" w14:textId="77777777" w:rsidTr="00AA2D4D">
        <w:trPr>
          <w:trHeight w:val="42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6DC51A8"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Student Services office</w:t>
            </w:r>
          </w:p>
        </w:tc>
        <w:tc>
          <w:tcPr>
            <w:tcW w:w="440" w:type="dxa"/>
            <w:tcBorders>
              <w:top w:val="nil"/>
              <w:left w:val="nil"/>
              <w:bottom w:val="single" w:sz="8" w:space="0" w:color="auto"/>
              <w:right w:val="single" w:sz="8" w:space="0" w:color="auto"/>
            </w:tcBorders>
            <w:shd w:val="clear" w:color="auto" w:fill="auto"/>
            <w:noWrap/>
            <w:vAlign w:val="center"/>
            <w:hideMark/>
          </w:tcPr>
          <w:p w14:paraId="3D35770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4723BE4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440" w:type="dxa"/>
            <w:tcBorders>
              <w:top w:val="nil"/>
              <w:left w:val="nil"/>
              <w:bottom w:val="single" w:sz="8" w:space="0" w:color="auto"/>
              <w:right w:val="single" w:sz="8" w:space="0" w:color="auto"/>
            </w:tcBorders>
            <w:shd w:val="clear" w:color="auto" w:fill="auto"/>
            <w:noWrap/>
            <w:vAlign w:val="center"/>
            <w:hideMark/>
          </w:tcPr>
          <w:p w14:paraId="4146895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400" w:type="dxa"/>
            <w:tcBorders>
              <w:top w:val="nil"/>
              <w:left w:val="nil"/>
              <w:bottom w:val="single" w:sz="8" w:space="0" w:color="auto"/>
              <w:right w:val="single" w:sz="8" w:space="0" w:color="auto"/>
            </w:tcBorders>
            <w:shd w:val="clear" w:color="auto" w:fill="auto"/>
            <w:noWrap/>
            <w:vAlign w:val="center"/>
            <w:hideMark/>
          </w:tcPr>
          <w:p w14:paraId="4A10DF7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440" w:type="dxa"/>
            <w:tcBorders>
              <w:top w:val="nil"/>
              <w:left w:val="nil"/>
              <w:bottom w:val="single" w:sz="8" w:space="0" w:color="auto"/>
              <w:right w:val="single" w:sz="8" w:space="0" w:color="auto"/>
            </w:tcBorders>
            <w:shd w:val="clear" w:color="auto" w:fill="auto"/>
            <w:noWrap/>
            <w:vAlign w:val="center"/>
            <w:hideMark/>
          </w:tcPr>
          <w:p w14:paraId="0459F642"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380" w:type="dxa"/>
            <w:tcBorders>
              <w:top w:val="nil"/>
              <w:left w:val="nil"/>
              <w:bottom w:val="single" w:sz="8" w:space="0" w:color="auto"/>
              <w:right w:val="single" w:sz="8" w:space="0" w:color="auto"/>
            </w:tcBorders>
            <w:shd w:val="clear" w:color="auto" w:fill="auto"/>
            <w:noWrap/>
            <w:vAlign w:val="center"/>
            <w:hideMark/>
          </w:tcPr>
          <w:p w14:paraId="0A48F887"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9%</w:t>
            </w:r>
          </w:p>
        </w:tc>
      </w:tr>
    </w:tbl>
    <w:p w14:paraId="59FAFB98" w14:textId="3E9AEE9A" w:rsidR="000C4B4E" w:rsidRDefault="000C4B4E" w:rsidP="00F84901">
      <w:pPr>
        <w:spacing w:line="480" w:lineRule="auto"/>
        <w:outlineLvl w:val="0"/>
        <w:rPr>
          <w:rFonts w:asciiTheme="minorHAnsi" w:hAnsiTheme="minorHAnsi"/>
        </w:rPr>
      </w:pPr>
    </w:p>
    <w:p w14:paraId="699292BD" w14:textId="74AE2247" w:rsidR="008B0226" w:rsidRPr="00A658B0" w:rsidRDefault="000A1A22" w:rsidP="00006B09">
      <w:pPr>
        <w:spacing w:line="480" w:lineRule="auto"/>
        <w:rPr>
          <w:rFonts w:asciiTheme="minorHAnsi" w:hAnsiTheme="minorHAnsi"/>
          <w:b/>
        </w:rPr>
      </w:pPr>
      <w:r w:rsidRPr="00A658B0">
        <w:rPr>
          <w:rFonts w:asciiTheme="minorHAnsi" w:hAnsiTheme="minorHAnsi"/>
          <w:b/>
        </w:rPr>
        <w:t>Figure 7</w:t>
      </w:r>
      <w:r w:rsidR="008B0226" w:rsidRPr="00A658B0">
        <w:rPr>
          <w:rFonts w:asciiTheme="minorHAnsi" w:hAnsiTheme="minorHAnsi"/>
          <w:b/>
        </w:rPr>
        <w:t>. Group 1/Control 2016 Student Support Service Use: Exam 2</w:t>
      </w:r>
    </w:p>
    <w:p w14:paraId="37144CFB" w14:textId="28D03327" w:rsidR="008B0226" w:rsidRDefault="008B0226" w:rsidP="00006B09">
      <w:pPr>
        <w:spacing w:line="480" w:lineRule="auto"/>
        <w:rPr>
          <w:rFonts w:asciiTheme="minorHAnsi" w:hAnsiTheme="minorHAnsi"/>
        </w:rPr>
      </w:pPr>
      <w:r>
        <w:rPr>
          <w:rFonts w:asciiTheme="minorHAnsi" w:hAnsiTheme="minorHAnsi"/>
        </w:rPr>
        <w:t>Percentage of Support Se</w:t>
      </w:r>
      <w:r w:rsidR="00006B09">
        <w:rPr>
          <w:rFonts w:asciiTheme="minorHAnsi" w:hAnsiTheme="minorHAnsi"/>
        </w:rPr>
        <w:t>rvice Usage for all respondents. MCBPs (&lt;80% exam grade) compared to total group and students with exam grade &gt;80%.</w:t>
      </w:r>
    </w:p>
    <w:p w14:paraId="58C06FEC" w14:textId="77777777" w:rsidR="008B0226" w:rsidRDefault="008B0226" w:rsidP="00F84901">
      <w:pPr>
        <w:spacing w:line="480" w:lineRule="auto"/>
        <w:outlineLvl w:val="0"/>
        <w:rPr>
          <w:rFonts w:asciiTheme="minorHAnsi" w:hAnsiTheme="minorHAnsi"/>
        </w:rPr>
      </w:pPr>
    </w:p>
    <w:p w14:paraId="1527C492" w14:textId="7348DEB9" w:rsidR="000C4B4E" w:rsidRDefault="000C4B4E">
      <w:pPr>
        <w:rPr>
          <w:rFonts w:asciiTheme="minorHAnsi" w:hAnsiTheme="minorHAnsi"/>
        </w:rPr>
      </w:pPr>
      <w:r>
        <w:rPr>
          <w:rFonts w:asciiTheme="minorHAnsi" w:hAnsiTheme="minorHAnsi"/>
        </w:rPr>
        <w:br w:type="page"/>
      </w:r>
    </w:p>
    <w:tbl>
      <w:tblPr>
        <w:tblW w:w="3360" w:type="dxa"/>
        <w:tblLook w:val="04A0" w:firstRow="1" w:lastRow="0" w:firstColumn="1" w:lastColumn="0" w:noHBand="0" w:noVBand="1"/>
      </w:tblPr>
      <w:tblGrid>
        <w:gridCol w:w="1517"/>
        <w:gridCol w:w="692"/>
        <w:gridCol w:w="616"/>
        <w:gridCol w:w="837"/>
        <w:gridCol w:w="616"/>
        <w:gridCol w:w="727"/>
        <w:gridCol w:w="616"/>
      </w:tblGrid>
      <w:tr w:rsidR="000C4B4E" w:rsidRPr="000C4B4E" w14:paraId="6B4267FE" w14:textId="77777777" w:rsidTr="000C4B4E">
        <w:trPr>
          <w:trHeight w:val="820"/>
        </w:trPr>
        <w:tc>
          <w:tcPr>
            <w:tcW w:w="8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B70B3A"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lastRenderedPageBreak/>
              <w:t>Control Group Type of Support</w:t>
            </w:r>
          </w:p>
        </w:tc>
        <w:tc>
          <w:tcPr>
            <w:tcW w:w="440" w:type="dxa"/>
            <w:tcBorders>
              <w:top w:val="single" w:sz="8" w:space="0" w:color="auto"/>
              <w:left w:val="nil"/>
              <w:bottom w:val="single" w:sz="8" w:space="0" w:color="auto"/>
              <w:right w:val="single" w:sz="8" w:space="0" w:color="auto"/>
            </w:tcBorders>
            <w:shd w:val="clear" w:color="auto" w:fill="auto"/>
            <w:vAlign w:val="center"/>
            <w:hideMark/>
          </w:tcPr>
          <w:p w14:paraId="4E367681"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Exam 3 n=33</w:t>
            </w:r>
          </w:p>
        </w:tc>
        <w:tc>
          <w:tcPr>
            <w:tcW w:w="400" w:type="dxa"/>
            <w:tcBorders>
              <w:top w:val="single" w:sz="8" w:space="0" w:color="auto"/>
              <w:left w:val="nil"/>
              <w:bottom w:val="single" w:sz="8" w:space="0" w:color="auto"/>
              <w:right w:val="single" w:sz="8" w:space="0" w:color="auto"/>
            </w:tcBorders>
            <w:shd w:val="clear" w:color="auto" w:fill="auto"/>
            <w:vAlign w:val="center"/>
            <w:hideMark/>
          </w:tcPr>
          <w:p w14:paraId="1A6D02D0"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w:t>
            </w:r>
          </w:p>
        </w:tc>
        <w:tc>
          <w:tcPr>
            <w:tcW w:w="440" w:type="dxa"/>
            <w:tcBorders>
              <w:top w:val="single" w:sz="8" w:space="0" w:color="auto"/>
              <w:left w:val="nil"/>
              <w:bottom w:val="single" w:sz="8" w:space="0" w:color="auto"/>
              <w:right w:val="single" w:sz="8" w:space="0" w:color="auto"/>
            </w:tcBorders>
            <w:shd w:val="clear" w:color="auto" w:fill="auto"/>
            <w:vAlign w:val="center"/>
            <w:hideMark/>
          </w:tcPr>
          <w:p w14:paraId="6311B822"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Exam 3&gt;80% n=22</w:t>
            </w:r>
          </w:p>
        </w:tc>
        <w:tc>
          <w:tcPr>
            <w:tcW w:w="400" w:type="dxa"/>
            <w:tcBorders>
              <w:top w:val="single" w:sz="8" w:space="0" w:color="auto"/>
              <w:left w:val="nil"/>
              <w:bottom w:val="single" w:sz="8" w:space="0" w:color="auto"/>
              <w:right w:val="single" w:sz="8" w:space="0" w:color="auto"/>
            </w:tcBorders>
            <w:shd w:val="clear" w:color="auto" w:fill="auto"/>
            <w:vAlign w:val="center"/>
            <w:hideMark/>
          </w:tcPr>
          <w:p w14:paraId="39D1D0A3"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w:t>
            </w:r>
          </w:p>
        </w:tc>
        <w:tc>
          <w:tcPr>
            <w:tcW w:w="440" w:type="dxa"/>
            <w:tcBorders>
              <w:top w:val="single" w:sz="8" w:space="0" w:color="auto"/>
              <w:left w:val="nil"/>
              <w:bottom w:val="single" w:sz="8" w:space="0" w:color="auto"/>
              <w:right w:val="single" w:sz="8" w:space="0" w:color="auto"/>
            </w:tcBorders>
            <w:shd w:val="clear" w:color="auto" w:fill="auto"/>
            <w:vAlign w:val="center"/>
            <w:hideMark/>
          </w:tcPr>
          <w:p w14:paraId="413DC05A"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Exam 3 &lt;80% n=11</w:t>
            </w:r>
          </w:p>
        </w:tc>
        <w:tc>
          <w:tcPr>
            <w:tcW w:w="380" w:type="dxa"/>
            <w:tcBorders>
              <w:top w:val="single" w:sz="8" w:space="0" w:color="auto"/>
              <w:left w:val="nil"/>
              <w:bottom w:val="single" w:sz="8" w:space="0" w:color="auto"/>
              <w:right w:val="single" w:sz="8" w:space="0" w:color="auto"/>
            </w:tcBorders>
            <w:shd w:val="clear" w:color="auto" w:fill="auto"/>
            <w:vAlign w:val="center"/>
            <w:hideMark/>
          </w:tcPr>
          <w:p w14:paraId="79090CF1"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w:t>
            </w:r>
          </w:p>
        </w:tc>
      </w:tr>
      <w:tr w:rsidR="000C4B4E" w:rsidRPr="000C4B4E" w14:paraId="668D3783" w14:textId="77777777" w:rsidTr="000C4B4E">
        <w:trPr>
          <w:trHeight w:val="34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D9C7195"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peer support</w:t>
            </w:r>
          </w:p>
        </w:tc>
        <w:tc>
          <w:tcPr>
            <w:tcW w:w="440" w:type="dxa"/>
            <w:tcBorders>
              <w:top w:val="nil"/>
              <w:left w:val="nil"/>
              <w:bottom w:val="single" w:sz="8" w:space="0" w:color="auto"/>
              <w:right w:val="single" w:sz="8" w:space="0" w:color="auto"/>
            </w:tcBorders>
            <w:shd w:val="clear" w:color="auto" w:fill="auto"/>
            <w:noWrap/>
            <w:vAlign w:val="center"/>
            <w:hideMark/>
          </w:tcPr>
          <w:p w14:paraId="25BE5A2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20</w:t>
            </w:r>
          </w:p>
        </w:tc>
        <w:tc>
          <w:tcPr>
            <w:tcW w:w="400" w:type="dxa"/>
            <w:tcBorders>
              <w:top w:val="nil"/>
              <w:left w:val="nil"/>
              <w:bottom w:val="single" w:sz="8" w:space="0" w:color="auto"/>
              <w:right w:val="single" w:sz="8" w:space="0" w:color="auto"/>
            </w:tcBorders>
            <w:shd w:val="clear" w:color="auto" w:fill="auto"/>
            <w:noWrap/>
            <w:vAlign w:val="center"/>
            <w:hideMark/>
          </w:tcPr>
          <w:p w14:paraId="1294D80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61%</w:t>
            </w:r>
          </w:p>
        </w:tc>
        <w:tc>
          <w:tcPr>
            <w:tcW w:w="440" w:type="dxa"/>
            <w:tcBorders>
              <w:top w:val="nil"/>
              <w:left w:val="nil"/>
              <w:bottom w:val="single" w:sz="8" w:space="0" w:color="auto"/>
              <w:right w:val="single" w:sz="8" w:space="0" w:color="auto"/>
            </w:tcBorders>
            <w:shd w:val="clear" w:color="auto" w:fill="auto"/>
            <w:noWrap/>
            <w:vAlign w:val="center"/>
            <w:hideMark/>
          </w:tcPr>
          <w:p w14:paraId="7330E3F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17</w:t>
            </w:r>
          </w:p>
        </w:tc>
        <w:tc>
          <w:tcPr>
            <w:tcW w:w="400" w:type="dxa"/>
            <w:tcBorders>
              <w:top w:val="nil"/>
              <w:left w:val="nil"/>
              <w:bottom w:val="single" w:sz="8" w:space="0" w:color="auto"/>
              <w:right w:val="single" w:sz="8" w:space="0" w:color="auto"/>
            </w:tcBorders>
            <w:shd w:val="clear" w:color="auto" w:fill="auto"/>
            <w:noWrap/>
            <w:vAlign w:val="center"/>
            <w:hideMark/>
          </w:tcPr>
          <w:p w14:paraId="35A6E0B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77%</w:t>
            </w:r>
          </w:p>
        </w:tc>
        <w:tc>
          <w:tcPr>
            <w:tcW w:w="440" w:type="dxa"/>
            <w:tcBorders>
              <w:top w:val="nil"/>
              <w:left w:val="nil"/>
              <w:bottom w:val="single" w:sz="8" w:space="0" w:color="auto"/>
              <w:right w:val="single" w:sz="8" w:space="0" w:color="auto"/>
            </w:tcBorders>
            <w:shd w:val="clear" w:color="auto" w:fill="auto"/>
            <w:noWrap/>
            <w:vAlign w:val="center"/>
            <w:hideMark/>
          </w:tcPr>
          <w:p w14:paraId="5E0684F2"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380" w:type="dxa"/>
            <w:tcBorders>
              <w:top w:val="nil"/>
              <w:left w:val="nil"/>
              <w:bottom w:val="single" w:sz="8" w:space="0" w:color="auto"/>
              <w:right w:val="single" w:sz="8" w:space="0" w:color="auto"/>
            </w:tcBorders>
            <w:shd w:val="clear" w:color="auto" w:fill="auto"/>
            <w:noWrap/>
            <w:vAlign w:val="center"/>
            <w:hideMark/>
          </w:tcPr>
          <w:p w14:paraId="3B271CE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46%</w:t>
            </w:r>
          </w:p>
        </w:tc>
      </w:tr>
      <w:tr w:rsidR="000C4B4E" w:rsidRPr="000C4B4E" w14:paraId="2EB59AC0" w14:textId="77777777" w:rsidTr="000C4B4E">
        <w:trPr>
          <w:trHeight w:val="42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52979C1E"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Advice from upperclassmen</w:t>
            </w:r>
          </w:p>
        </w:tc>
        <w:tc>
          <w:tcPr>
            <w:tcW w:w="440" w:type="dxa"/>
            <w:tcBorders>
              <w:top w:val="nil"/>
              <w:left w:val="nil"/>
              <w:bottom w:val="single" w:sz="8" w:space="0" w:color="auto"/>
              <w:right w:val="single" w:sz="8" w:space="0" w:color="auto"/>
            </w:tcBorders>
            <w:shd w:val="clear" w:color="auto" w:fill="auto"/>
            <w:noWrap/>
            <w:vAlign w:val="center"/>
            <w:hideMark/>
          </w:tcPr>
          <w:p w14:paraId="1D4D0A9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14</w:t>
            </w:r>
          </w:p>
        </w:tc>
        <w:tc>
          <w:tcPr>
            <w:tcW w:w="400" w:type="dxa"/>
            <w:tcBorders>
              <w:top w:val="nil"/>
              <w:left w:val="nil"/>
              <w:bottom w:val="single" w:sz="8" w:space="0" w:color="auto"/>
              <w:right w:val="single" w:sz="8" w:space="0" w:color="auto"/>
            </w:tcBorders>
            <w:shd w:val="clear" w:color="auto" w:fill="auto"/>
            <w:noWrap/>
            <w:vAlign w:val="center"/>
            <w:hideMark/>
          </w:tcPr>
          <w:p w14:paraId="2F9BCE3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42%</w:t>
            </w:r>
          </w:p>
        </w:tc>
        <w:tc>
          <w:tcPr>
            <w:tcW w:w="440" w:type="dxa"/>
            <w:tcBorders>
              <w:top w:val="nil"/>
              <w:left w:val="nil"/>
              <w:bottom w:val="single" w:sz="8" w:space="0" w:color="auto"/>
              <w:right w:val="single" w:sz="8" w:space="0" w:color="auto"/>
            </w:tcBorders>
            <w:shd w:val="clear" w:color="auto" w:fill="auto"/>
            <w:noWrap/>
            <w:vAlign w:val="center"/>
            <w:hideMark/>
          </w:tcPr>
          <w:p w14:paraId="074411B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8</w:t>
            </w:r>
          </w:p>
        </w:tc>
        <w:tc>
          <w:tcPr>
            <w:tcW w:w="400" w:type="dxa"/>
            <w:tcBorders>
              <w:top w:val="nil"/>
              <w:left w:val="nil"/>
              <w:bottom w:val="single" w:sz="8" w:space="0" w:color="auto"/>
              <w:right w:val="single" w:sz="8" w:space="0" w:color="auto"/>
            </w:tcBorders>
            <w:shd w:val="clear" w:color="auto" w:fill="auto"/>
            <w:noWrap/>
            <w:vAlign w:val="center"/>
            <w:hideMark/>
          </w:tcPr>
          <w:p w14:paraId="59696B1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36%</w:t>
            </w:r>
          </w:p>
        </w:tc>
        <w:tc>
          <w:tcPr>
            <w:tcW w:w="440" w:type="dxa"/>
            <w:tcBorders>
              <w:top w:val="nil"/>
              <w:left w:val="nil"/>
              <w:bottom w:val="single" w:sz="8" w:space="0" w:color="auto"/>
              <w:right w:val="single" w:sz="8" w:space="0" w:color="auto"/>
            </w:tcBorders>
            <w:shd w:val="clear" w:color="auto" w:fill="auto"/>
            <w:noWrap/>
            <w:vAlign w:val="center"/>
            <w:hideMark/>
          </w:tcPr>
          <w:p w14:paraId="3C3ED6C8"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c>
          <w:tcPr>
            <w:tcW w:w="380" w:type="dxa"/>
            <w:tcBorders>
              <w:top w:val="nil"/>
              <w:left w:val="nil"/>
              <w:bottom w:val="single" w:sz="8" w:space="0" w:color="auto"/>
              <w:right w:val="single" w:sz="8" w:space="0" w:color="auto"/>
            </w:tcBorders>
            <w:shd w:val="clear" w:color="auto" w:fill="auto"/>
            <w:noWrap/>
            <w:vAlign w:val="center"/>
            <w:hideMark/>
          </w:tcPr>
          <w:p w14:paraId="51C286A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55%</w:t>
            </w:r>
          </w:p>
        </w:tc>
      </w:tr>
      <w:tr w:rsidR="000C4B4E" w:rsidRPr="000C4B4E" w14:paraId="2571F89D" w14:textId="77777777" w:rsidTr="000C4B4E">
        <w:trPr>
          <w:trHeight w:val="34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7FE93EA"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Family support</w:t>
            </w:r>
          </w:p>
        </w:tc>
        <w:tc>
          <w:tcPr>
            <w:tcW w:w="440" w:type="dxa"/>
            <w:tcBorders>
              <w:top w:val="nil"/>
              <w:left w:val="nil"/>
              <w:bottom w:val="single" w:sz="8" w:space="0" w:color="auto"/>
              <w:right w:val="single" w:sz="8" w:space="0" w:color="auto"/>
            </w:tcBorders>
            <w:shd w:val="clear" w:color="auto" w:fill="auto"/>
            <w:noWrap/>
            <w:vAlign w:val="center"/>
            <w:hideMark/>
          </w:tcPr>
          <w:p w14:paraId="4C7D3B8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16</w:t>
            </w:r>
          </w:p>
        </w:tc>
        <w:tc>
          <w:tcPr>
            <w:tcW w:w="400" w:type="dxa"/>
            <w:tcBorders>
              <w:top w:val="nil"/>
              <w:left w:val="nil"/>
              <w:bottom w:val="single" w:sz="8" w:space="0" w:color="auto"/>
              <w:right w:val="single" w:sz="8" w:space="0" w:color="auto"/>
            </w:tcBorders>
            <w:shd w:val="clear" w:color="auto" w:fill="auto"/>
            <w:noWrap/>
            <w:vAlign w:val="center"/>
            <w:hideMark/>
          </w:tcPr>
          <w:p w14:paraId="7B612A0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49%</w:t>
            </w:r>
          </w:p>
        </w:tc>
        <w:tc>
          <w:tcPr>
            <w:tcW w:w="440" w:type="dxa"/>
            <w:tcBorders>
              <w:top w:val="nil"/>
              <w:left w:val="nil"/>
              <w:bottom w:val="single" w:sz="8" w:space="0" w:color="auto"/>
              <w:right w:val="single" w:sz="8" w:space="0" w:color="auto"/>
            </w:tcBorders>
            <w:shd w:val="clear" w:color="auto" w:fill="auto"/>
            <w:noWrap/>
            <w:vAlign w:val="center"/>
            <w:hideMark/>
          </w:tcPr>
          <w:p w14:paraId="5996C1D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10</w:t>
            </w:r>
          </w:p>
        </w:tc>
        <w:tc>
          <w:tcPr>
            <w:tcW w:w="400" w:type="dxa"/>
            <w:tcBorders>
              <w:top w:val="nil"/>
              <w:left w:val="nil"/>
              <w:bottom w:val="single" w:sz="8" w:space="0" w:color="auto"/>
              <w:right w:val="single" w:sz="8" w:space="0" w:color="auto"/>
            </w:tcBorders>
            <w:shd w:val="clear" w:color="auto" w:fill="auto"/>
            <w:noWrap/>
            <w:vAlign w:val="center"/>
            <w:hideMark/>
          </w:tcPr>
          <w:p w14:paraId="0797007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45%</w:t>
            </w:r>
          </w:p>
        </w:tc>
        <w:tc>
          <w:tcPr>
            <w:tcW w:w="440" w:type="dxa"/>
            <w:tcBorders>
              <w:top w:val="nil"/>
              <w:left w:val="nil"/>
              <w:bottom w:val="single" w:sz="8" w:space="0" w:color="auto"/>
              <w:right w:val="single" w:sz="8" w:space="0" w:color="auto"/>
            </w:tcBorders>
            <w:shd w:val="clear" w:color="auto" w:fill="auto"/>
            <w:noWrap/>
            <w:vAlign w:val="center"/>
            <w:hideMark/>
          </w:tcPr>
          <w:p w14:paraId="46FA9BC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c>
          <w:tcPr>
            <w:tcW w:w="380" w:type="dxa"/>
            <w:tcBorders>
              <w:top w:val="nil"/>
              <w:left w:val="nil"/>
              <w:bottom w:val="single" w:sz="8" w:space="0" w:color="auto"/>
              <w:right w:val="single" w:sz="8" w:space="0" w:color="auto"/>
            </w:tcBorders>
            <w:shd w:val="clear" w:color="auto" w:fill="auto"/>
            <w:noWrap/>
            <w:vAlign w:val="center"/>
            <w:hideMark/>
          </w:tcPr>
          <w:p w14:paraId="17369EA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55%</w:t>
            </w:r>
          </w:p>
        </w:tc>
      </w:tr>
      <w:tr w:rsidR="000C4B4E" w:rsidRPr="000C4B4E" w14:paraId="0C2A58FE" w14:textId="77777777" w:rsidTr="000C4B4E">
        <w:trPr>
          <w:trHeight w:val="34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05B677E"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Tutoring</w:t>
            </w:r>
          </w:p>
        </w:tc>
        <w:tc>
          <w:tcPr>
            <w:tcW w:w="440" w:type="dxa"/>
            <w:tcBorders>
              <w:top w:val="nil"/>
              <w:left w:val="nil"/>
              <w:bottom w:val="single" w:sz="8" w:space="0" w:color="auto"/>
              <w:right w:val="single" w:sz="8" w:space="0" w:color="auto"/>
            </w:tcBorders>
            <w:shd w:val="clear" w:color="auto" w:fill="auto"/>
            <w:noWrap/>
            <w:vAlign w:val="center"/>
            <w:hideMark/>
          </w:tcPr>
          <w:p w14:paraId="6D9E190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10</w:t>
            </w:r>
          </w:p>
        </w:tc>
        <w:tc>
          <w:tcPr>
            <w:tcW w:w="400" w:type="dxa"/>
            <w:tcBorders>
              <w:top w:val="nil"/>
              <w:left w:val="nil"/>
              <w:bottom w:val="single" w:sz="8" w:space="0" w:color="auto"/>
              <w:right w:val="single" w:sz="8" w:space="0" w:color="auto"/>
            </w:tcBorders>
            <w:shd w:val="clear" w:color="auto" w:fill="auto"/>
            <w:noWrap/>
            <w:vAlign w:val="center"/>
            <w:hideMark/>
          </w:tcPr>
          <w:p w14:paraId="6533DE1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30%</w:t>
            </w:r>
          </w:p>
        </w:tc>
        <w:tc>
          <w:tcPr>
            <w:tcW w:w="440" w:type="dxa"/>
            <w:tcBorders>
              <w:top w:val="nil"/>
              <w:left w:val="nil"/>
              <w:bottom w:val="single" w:sz="8" w:space="0" w:color="auto"/>
              <w:right w:val="single" w:sz="8" w:space="0" w:color="auto"/>
            </w:tcBorders>
            <w:shd w:val="clear" w:color="auto" w:fill="auto"/>
            <w:noWrap/>
            <w:vAlign w:val="center"/>
            <w:hideMark/>
          </w:tcPr>
          <w:p w14:paraId="11DCE90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10</w:t>
            </w:r>
          </w:p>
        </w:tc>
        <w:tc>
          <w:tcPr>
            <w:tcW w:w="400" w:type="dxa"/>
            <w:tcBorders>
              <w:top w:val="nil"/>
              <w:left w:val="nil"/>
              <w:bottom w:val="single" w:sz="8" w:space="0" w:color="auto"/>
              <w:right w:val="single" w:sz="8" w:space="0" w:color="auto"/>
            </w:tcBorders>
            <w:shd w:val="clear" w:color="auto" w:fill="auto"/>
            <w:noWrap/>
            <w:vAlign w:val="center"/>
            <w:hideMark/>
          </w:tcPr>
          <w:p w14:paraId="62E3CFD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45%</w:t>
            </w:r>
          </w:p>
        </w:tc>
        <w:tc>
          <w:tcPr>
            <w:tcW w:w="440" w:type="dxa"/>
            <w:tcBorders>
              <w:top w:val="nil"/>
              <w:left w:val="nil"/>
              <w:bottom w:val="single" w:sz="8" w:space="0" w:color="auto"/>
              <w:right w:val="single" w:sz="8" w:space="0" w:color="auto"/>
            </w:tcBorders>
            <w:shd w:val="clear" w:color="auto" w:fill="auto"/>
            <w:noWrap/>
            <w:vAlign w:val="center"/>
            <w:hideMark/>
          </w:tcPr>
          <w:p w14:paraId="58A923F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380" w:type="dxa"/>
            <w:tcBorders>
              <w:top w:val="nil"/>
              <w:left w:val="nil"/>
              <w:bottom w:val="single" w:sz="8" w:space="0" w:color="auto"/>
              <w:right w:val="single" w:sz="8" w:space="0" w:color="auto"/>
            </w:tcBorders>
            <w:shd w:val="clear" w:color="auto" w:fill="auto"/>
            <w:noWrap/>
            <w:vAlign w:val="center"/>
            <w:hideMark/>
          </w:tcPr>
          <w:p w14:paraId="6BD6027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r>
      <w:tr w:rsidR="000C4B4E" w:rsidRPr="000C4B4E" w14:paraId="79104C93" w14:textId="77777777" w:rsidTr="000C4B4E">
        <w:trPr>
          <w:trHeight w:val="42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4FA4CB2F"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Student Health clinic</w:t>
            </w:r>
          </w:p>
        </w:tc>
        <w:tc>
          <w:tcPr>
            <w:tcW w:w="440" w:type="dxa"/>
            <w:tcBorders>
              <w:top w:val="nil"/>
              <w:left w:val="nil"/>
              <w:bottom w:val="single" w:sz="8" w:space="0" w:color="auto"/>
              <w:right w:val="single" w:sz="8" w:space="0" w:color="auto"/>
            </w:tcBorders>
            <w:shd w:val="clear" w:color="auto" w:fill="auto"/>
            <w:noWrap/>
            <w:vAlign w:val="center"/>
            <w:hideMark/>
          </w:tcPr>
          <w:p w14:paraId="0013ABC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w:t>
            </w:r>
          </w:p>
        </w:tc>
        <w:tc>
          <w:tcPr>
            <w:tcW w:w="400" w:type="dxa"/>
            <w:tcBorders>
              <w:top w:val="nil"/>
              <w:left w:val="nil"/>
              <w:bottom w:val="single" w:sz="8" w:space="0" w:color="auto"/>
              <w:right w:val="single" w:sz="8" w:space="0" w:color="auto"/>
            </w:tcBorders>
            <w:shd w:val="clear" w:color="auto" w:fill="auto"/>
            <w:noWrap/>
            <w:vAlign w:val="center"/>
            <w:hideMark/>
          </w:tcPr>
          <w:p w14:paraId="0DB1EC1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12%</w:t>
            </w:r>
          </w:p>
        </w:tc>
        <w:tc>
          <w:tcPr>
            <w:tcW w:w="440" w:type="dxa"/>
            <w:tcBorders>
              <w:top w:val="nil"/>
              <w:left w:val="nil"/>
              <w:bottom w:val="single" w:sz="8" w:space="0" w:color="auto"/>
              <w:right w:val="single" w:sz="8" w:space="0" w:color="auto"/>
            </w:tcBorders>
            <w:shd w:val="clear" w:color="auto" w:fill="auto"/>
            <w:noWrap/>
            <w:vAlign w:val="center"/>
            <w:hideMark/>
          </w:tcPr>
          <w:p w14:paraId="7DBB701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1AC9321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440" w:type="dxa"/>
            <w:tcBorders>
              <w:top w:val="nil"/>
              <w:left w:val="nil"/>
              <w:bottom w:val="single" w:sz="8" w:space="0" w:color="auto"/>
              <w:right w:val="single" w:sz="8" w:space="0" w:color="auto"/>
            </w:tcBorders>
            <w:shd w:val="clear" w:color="auto" w:fill="auto"/>
            <w:noWrap/>
            <w:vAlign w:val="center"/>
            <w:hideMark/>
          </w:tcPr>
          <w:p w14:paraId="33947D0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380" w:type="dxa"/>
            <w:tcBorders>
              <w:top w:val="nil"/>
              <w:left w:val="nil"/>
              <w:bottom w:val="single" w:sz="8" w:space="0" w:color="auto"/>
              <w:right w:val="single" w:sz="8" w:space="0" w:color="auto"/>
            </w:tcBorders>
            <w:shd w:val="clear" w:color="auto" w:fill="auto"/>
            <w:noWrap/>
            <w:vAlign w:val="center"/>
            <w:hideMark/>
          </w:tcPr>
          <w:p w14:paraId="628DE82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27%</w:t>
            </w:r>
          </w:p>
        </w:tc>
      </w:tr>
      <w:tr w:rsidR="000C4B4E" w:rsidRPr="000C4B4E" w14:paraId="116173B8" w14:textId="77777777" w:rsidTr="000C4B4E">
        <w:trPr>
          <w:trHeight w:val="42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0156A1E3"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Professional counseling</w:t>
            </w:r>
          </w:p>
        </w:tc>
        <w:tc>
          <w:tcPr>
            <w:tcW w:w="440" w:type="dxa"/>
            <w:tcBorders>
              <w:top w:val="nil"/>
              <w:left w:val="nil"/>
              <w:bottom w:val="single" w:sz="8" w:space="0" w:color="auto"/>
              <w:right w:val="single" w:sz="8" w:space="0" w:color="auto"/>
            </w:tcBorders>
            <w:shd w:val="clear" w:color="auto" w:fill="auto"/>
            <w:noWrap/>
            <w:vAlign w:val="center"/>
            <w:hideMark/>
          </w:tcPr>
          <w:p w14:paraId="738D25F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400" w:type="dxa"/>
            <w:tcBorders>
              <w:top w:val="nil"/>
              <w:left w:val="nil"/>
              <w:bottom w:val="single" w:sz="8" w:space="0" w:color="auto"/>
              <w:right w:val="single" w:sz="8" w:space="0" w:color="auto"/>
            </w:tcBorders>
            <w:shd w:val="clear" w:color="auto" w:fill="auto"/>
            <w:noWrap/>
            <w:vAlign w:val="center"/>
            <w:hideMark/>
          </w:tcPr>
          <w:p w14:paraId="08F5ED18"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440" w:type="dxa"/>
            <w:tcBorders>
              <w:top w:val="nil"/>
              <w:left w:val="nil"/>
              <w:bottom w:val="single" w:sz="8" w:space="0" w:color="auto"/>
              <w:right w:val="single" w:sz="8" w:space="0" w:color="auto"/>
            </w:tcBorders>
            <w:shd w:val="clear" w:color="auto" w:fill="auto"/>
            <w:noWrap/>
            <w:vAlign w:val="center"/>
            <w:hideMark/>
          </w:tcPr>
          <w:p w14:paraId="5D955C8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400" w:type="dxa"/>
            <w:tcBorders>
              <w:top w:val="nil"/>
              <w:left w:val="nil"/>
              <w:bottom w:val="single" w:sz="8" w:space="0" w:color="auto"/>
              <w:right w:val="single" w:sz="8" w:space="0" w:color="auto"/>
            </w:tcBorders>
            <w:shd w:val="clear" w:color="auto" w:fill="auto"/>
            <w:noWrap/>
            <w:vAlign w:val="center"/>
            <w:hideMark/>
          </w:tcPr>
          <w:p w14:paraId="460A8FD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440" w:type="dxa"/>
            <w:tcBorders>
              <w:top w:val="nil"/>
              <w:left w:val="nil"/>
              <w:bottom w:val="single" w:sz="8" w:space="0" w:color="auto"/>
              <w:right w:val="single" w:sz="8" w:space="0" w:color="auto"/>
            </w:tcBorders>
            <w:shd w:val="clear" w:color="auto" w:fill="auto"/>
            <w:noWrap/>
            <w:vAlign w:val="center"/>
            <w:hideMark/>
          </w:tcPr>
          <w:p w14:paraId="1E3CEFD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380" w:type="dxa"/>
            <w:tcBorders>
              <w:top w:val="nil"/>
              <w:left w:val="nil"/>
              <w:bottom w:val="single" w:sz="8" w:space="0" w:color="auto"/>
              <w:right w:val="single" w:sz="8" w:space="0" w:color="auto"/>
            </w:tcBorders>
            <w:shd w:val="clear" w:color="auto" w:fill="auto"/>
            <w:noWrap/>
            <w:vAlign w:val="center"/>
            <w:hideMark/>
          </w:tcPr>
          <w:p w14:paraId="22C8EE0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r>
      <w:tr w:rsidR="000C4B4E" w:rsidRPr="000C4B4E" w14:paraId="6E7BFC5C" w14:textId="77777777" w:rsidTr="000C4B4E">
        <w:trPr>
          <w:trHeight w:val="34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2A10B25"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Online support</w:t>
            </w:r>
          </w:p>
        </w:tc>
        <w:tc>
          <w:tcPr>
            <w:tcW w:w="440" w:type="dxa"/>
            <w:tcBorders>
              <w:top w:val="nil"/>
              <w:left w:val="nil"/>
              <w:bottom w:val="single" w:sz="8" w:space="0" w:color="auto"/>
              <w:right w:val="single" w:sz="8" w:space="0" w:color="auto"/>
            </w:tcBorders>
            <w:shd w:val="clear" w:color="auto" w:fill="auto"/>
            <w:noWrap/>
            <w:vAlign w:val="center"/>
            <w:hideMark/>
          </w:tcPr>
          <w:p w14:paraId="5735783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400" w:type="dxa"/>
            <w:tcBorders>
              <w:top w:val="nil"/>
              <w:left w:val="nil"/>
              <w:bottom w:val="single" w:sz="8" w:space="0" w:color="auto"/>
              <w:right w:val="single" w:sz="8" w:space="0" w:color="auto"/>
            </w:tcBorders>
            <w:shd w:val="clear" w:color="auto" w:fill="auto"/>
            <w:noWrap/>
            <w:vAlign w:val="center"/>
            <w:hideMark/>
          </w:tcPr>
          <w:p w14:paraId="39518D6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15%</w:t>
            </w:r>
          </w:p>
        </w:tc>
        <w:tc>
          <w:tcPr>
            <w:tcW w:w="440" w:type="dxa"/>
            <w:tcBorders>
              <w:top w:val="nil"/>
              <w:left w:val="nil"/>
              <w:bottom w:val="single" w:sz="8" w:space="0" w:color="auto"/>
              <w:right w:val="single" w:sz="8" w:space="0" w:color="auto"/>
            </w:tcBorders>
            <w:shd w:val="clear" w:color="auto" w:fill="auto"/>
            <w:noWrap/>
            <w:vAlign w:val="center"/>
            <w:hideMark/>
          </w:tcPr>
          <w:p w14:paraId="08AB785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w:t>
            </w:r>
          </w:p>
        </w:tc>
        <w:tc>
          <w:tcPr>
            <w:tcW w:w="400" w:type="dxa"/>
            <w:tcBorders>
              <w:top w:val="nil"/>
              <w:left w:val="nil"/>
              <w:bottom w:val="single" w:sz="8" w:space="0" w:color="auto"/>
              <w:right w:val="single" w:sz="8" w:space="0" w:color="auto"/>
            </w:tcBorders>
            <w:shd w:val="clear" w:color="auto" w:fill="auto"/>
            <w:noWrap/>
            <w:vAlign w:val="center"/>
            <w:hideMark/>
          </w:tcPr>
          <w:p w14:paraId="3533C6F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18%</w:t>
            </w:r>
          </w:p>
        </w:tc>
        <w:tc>
          <w:tcPr>
            <w:tcW w:w="440" w:type="dxa"/>
            <w:tcBorders>
              <w:top w:val="nil"/>
              <w:left w:val="nil"/>
              <w:bottom w:val="single" w:sz="8" w:space="0" w:color="auto"/>
              <w:right w:val="single" w:sz="8" w:space="0" w:color="auto"/>
            </w:tcBorders>
            <w:shd w:val="clear" w:color="auto" w:fill="auto"/>
            <w:noWrap/>
            <w:vAlign w:val="center"/>
            <w:hideMark/>
          </w:tcPr>
          <w:p w14:paraId="1E63EDA2"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380" w:type="dxa"/>
            <w:tcBorders>
              <w:top w:val="nil"/>
              <w:left w:val="nil"/>
              <w:bottom w:val="single" w:sz="8" w:space="0" w:color="auto"/>
              <w:right w:val="single" w:sz="8" w:space="0" w:color="auto"/>
            </w:tcBorders>
            <w:shd w:val="clear" w:color="auto" w:fill="auto"/>
            <w:noWrap/>
            <w:vAlign w:val="center"/>
            <w:hideMark/>
          </w:tcPr>
          <w:p w14:paraId="7AA030C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9%</w:t>
            </w:r>
          </w:p>
        </w:tc>
      </w:tr>
      <w:tr w:rsidR="000C4B4E" w:rsidRPr="000C4B4E" w14:paraId="73EEF8C1" w14:textId="77777777" w:rsidTr="000C4B4E">
        <w:trPr>
          <w:trHeight w:val="42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58D4CEF"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Professor office hours</w:t>
            </w:r>
          </w:p>
        </w:tc>
        <w:tc>
          <w:tcPr>
            <w:tcW w:w="440" w:type="dxa"/>
            <w:tcBorders>
              <w:top w:val="nil"/>
              <w:left w:val="nil"/>
              <w:bottom w:val="single" w:sz="8" w:space="0" w:color="auto"/>
              <w:right w:val="single" w:sz="8" w:space="0" w:color="auto"/>
            </w:tcBorders>
            <w:shd w:val="clear" w:color="auto" w:fill="auto"/>
            <w:noWrap/>
            <w:vAlign w:val="center"/>
            <w:hideMark/>
          </w:tcPr>
          <w:p w14:paraId="38CD3BE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c>
          <w:tcPr>
            <w:tcW w:w="400" w:type="dxa"/>
            <w:tcBorders>
              <w:top w:val="nil"/>
              <w:left w:val="nil"/>
              <w:bottom w:val="single" w:sz="8" w:space="0" w:color="auto"/>
              <w:right w:val="single" w:sz="8" w:space="0" w:color="auto"/>
            </w:tcBorders>
            <w:shd w:val="clear" w:color="auto" w:fill="auto"/>
            <w:noWrap/>
            <w:vAlign w:val="center"/>
            <w:hideMark/>
          </w:tcPr>
          <w:p w14:paraId="347ECC0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18%</w:t>
            </w:r>
          </w:p>
        </w:tc>
        <w:tc>
          <w:tcPr>
            <w:tcW w:w="440" w:type="dxa"/>
            <w:tcBorders>
              <w:top w:val="nil"/>
              <w:left w:val="nil"/>
              <w:bottom w:val="single" w:sz="8" w:space="0" w:color="auto"/>
              <w:right w:val="single" w:sz="8" w:space="0" w:color="auto"/>
            </w:tcBorders>
            <w:shd w:val="clear" w:color="auto" w:fill="auto"/>
            <w:noWrap/>
            <w:vAlign w:val="center"/>
            <w:hideMark/>
          </w:tcPr>
          <w:p w14:paraId="7F66FA17"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w:t>
            </w:r>
          </w:p>
        </w:tc>
        <w:tc>
          <w:tcPr>
            <w:tcW w:w="400" w:type="dxa"/>
            <w:tcBorders>
              <w:top w:val="nil"/>
              <w:left w:val="nil"/>
              <w:bottom w:val="single" w:sz="8" w:space="0" w:color="auto"/>
              <w:right w:val="single" w:sz="8" w:space="0" w:color="auto"/>
            </w:tcBorders>
            <w:shd w:val="clear" w:color="auto" w:fill="auto"/>
            <w:noWrap/>
            <w:vAlign w:val="center"/>
            <w:hideMark/>
          </w:tcPr>
          <w:p w14:paraId="2C954FB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32%</w:t>
            </w:r>
          </w:p>
        </w:tc>
        <w:tc>
          <w:tcPr>
            <w:tcW w:w="440" w:type="dxa"/>
            <w:tcBorders>
              <w:top w:val="nil"/>
              <w:left w:val="nil"/>
              <w:bottom w:val="single" w:sz="8" w:space="0" w:color="auto"/>
              <w:right w:val="single" w:sz="8" w:space="0" w:color="auto"/>
            </w:tcBorders>
            <w:shd w:val="clear" w:color="auto" w:fill="auto"/>
            <w:noWrap/>
            <w:vAlign w:val="center"/>
            <w:hideMark/>
          </w:tcPr>
          <w:p w14:paraId="7720405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380" w:type="dxa"/>
            <w:tcBorders>
              <w:top w:val="nil"/>
              <w:left w:val="nil"/>
              <w:bottom w:val="single" w:sz="8" w:space="0" w:color="auto"/>
              <w:right w:val="single" w:sz="8" w:space="0" w:color="auto"/>
            </w:tcBorders>
            <w:shd w:val="clear" w:color="auto" w:fill="auto"/>
            <w:noWrap/>
            <w:vAlign w:val="center"/>
            <w:hideMark/>
          </w:tcPr>
          <w:p w14:paraId="2B5195D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9%</w:t>
            </w:r>
          </w:p>
        </w:tc>
      </w:tr>
      <w:tr w:rsidR="000C4B4E" w:rsidRPr="000C4B4E" w14:paraId="0A224933" w14:textId="77777777" w:rsidTr="000C4B4E">
        <w:trPr>
          <w:trHeight w:val="34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31C9EA2B" w14:textId="473004F6"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xml:space="preserve">Other: </w:t>
            </w:r>
            <w:r w:rsidR="00ED4C2E">
              <w:rPr>
                <w:rFonts w:ascii="Cambria" w:hAnsi="Cambria" w:cs="Calibri"/>
                <w:color w:val="000000"/>
                <w:sz w:val="20"/>
                <w:szCs w:val="20"/>
              </w:rPr>
              <w:t>YouTube</w:t>
            </w:r>
          </w:p>
        </w:tc>
        <w:tc>
          <w:tcPr>
            <w:tcW w:w="440" w:type="dxa"/>
            <w:tcBorders>
              <w:top w:val="nil"/>
              <w:left w:val="nil"/>
              <w:bottom w:val="single" w:sz="8" w:space="0" w:color="auto"/>
              <w:right w:val="single" w:sz="8" w:space="0" w:color="auto"/>
            </w:tcBorders>
            <w:shd w:val="clear" w:color="auto" w:fill="auto"/>
            <w:noWrap/>
            <w:vAlign w:val="center"/>
            <w:hideMark/>
          </w:tcPr>
          <w:p w14:paraId="2A293662"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400" w:type="dxa"/>
            <w:tcBorders>
              <w:top w:val="nil"/>
              <w:left w:val="nil"/>
              <w:bottom w:val="single" w:sz="8" w:space="0" w:color="auto"/>
              <w:right w:val="single" w:sz="8" w:space="0" w:color="auto"/>
            </w:tcBorders>
            <w:shd w:val="clear" w:color="auto" w:fill="auto"/>
            <w:noWrap/>
            <w:vAlign w:val="center"/>
            <w:hideMark/>
          </w:tcPr>
          <w:p w14:paraId="0A18216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440" w:type="dxa"/>
            <w:tcBorders>
              <w:top w:val="nil"/>
              <w:left w:val="nil"/>
              <w:bottom w:val="single" w:sz="8" w:space="0" w:color="auto"/>
              <w:right w:val="single" w:sz="8" w:space="0" w:color="auto"/>
            </w:tcBorders>
            <w:shd w:val="clear" w:color="auto" w:fill="auto"/>
            <w:noWrap/>
            <w:vAlign w:val="center"/>
            <w:hideMark/>
          </w:tcPr>
          <w:p w14:paraId="5AC51632"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400" w:type="dxa"/>
            <w:tcBorders>
              <w:top w:val="nil"/>
              <w:left w:val="nil"/>
              <w:bottom w:val="single" w:sz="8" w:space="0" w:color="auto"/>
              <w:right w:val="single" w:sz="8" w:space="0" w:color="auto"/>
            </w:tcBorders>
            <w:shd w:val="clear" w:color="auto" w:fill="auto"/>
            <w:noWrap/>
            <w:vAlign w:val="center"/>
            <w:hideMark/>
          </w:tcPr>
          <w:p w14:paraId="55F1707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440" w:type="dxa"/>
            <w:tcBorders>
              <w:top w:val="nil"/>
              <w:left w:val="nil"/>
              <w:bottom w:val="single" w:sz="8" w:space="0" w:color="auto"/>
              <w:right w:val="single" w:sz="8" w:space="0" w:color="auto"/>
            </w:tcBorders>
            <w:shd w:val="clear" w:color="auto" w:fill="auto"/>
            <w:noWrap/>
            <w:vAlign w:val="center"/>
            <w:hideMark/>
          </w:tcPr>
          <w:p w14:paraId="2A73E862"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380" w:type="dxa"/>
            <w:tcBorders>
              <w:top w:val="nil"/>
              <w:left w:val="nil"/>
              <w:bottom w:val="single" w:sz="8" w:space="0" w:color="auto"/>
              <w:right w:val="single" w:sz="8" w:space="0" w:color="auto"/>
            </w:tcBorders>
            <w:shd w:val="clear" w:color="auto" w:fill="auto"/>
            <w:noWrap/>
            <w:vAlign w:val="center"/>
            <w:hideMark/>
          </w:tcPr>
          <w:p w14:paraId="3BA6D41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r>
      <w:tr w:rsidR="000C4B4E" w:rsidRPr="000C4B4E" w14:paraId="7F95A57D" w14:textId="77777777" w:rsidTr="000C4B4E">
        <w:trPr>
          <w:trHeight w:val="42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605EE5C5"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Pastoral Services</w:t>
            </w:r>
          </w:p>
        </w:tc>
        <w:tc>
          <w:tcPr>
            <w:tcW w:w="440" w:type="dxa"/>
            <w:tcBorders>
              <w:top w:val="nil"/>
              <w:left w:val="nil"/>
              <w:bottom w:val="single" w:sz="8" w:space="0" w:color="auto"/>
              <w:right w:val="single" w:sz="8" w:space="0" w:color="auto"/>
            </w:tcBorders>
            <w:shd w:val="clear" w:color="auto" w:fill="auto"/>
            <w:noWrap/>
            <w:vAlign w:val="center"/>
            <w:hideMark/>
          </w:tcPr>
          <w:p w14:paraId="33A191E8"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586734D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440" w:type="dxa"/>
            <w:tcBorders>
              <w:top w:val="nil"/>
              <w:left w:val="nil"/>
              <w:bottom w:val="single" w:sz="8" w:space="0" w:color="auto"/>
              <w:right w:val="single" w:sz="8" w:space="0" w:color="auto"/>
            </w:tcBorders>
            <w:shd w:val="clear" w:color="auto" w:fill="auto"/>
            <w:noWrap/>
            <w:vAlign w:val="center"/>
            <w:hideMark/>
          </w:tcPr>
          <w:p w14:paraId="0A63FC5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38D491B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440" w:type="dxa"/>
            <w:tcBorders>
              <w:top w:val="nil"/>
              <w:left w:val="nil"/>
              <w:bottom w:val="single" w:sz="8" w:space="0" w:color="auto"/>
              <w:right w:val="single" w:sz="8" w:space="0" w:color="auto"/>
            </w:tcBorders>
            <w:shd w:val="clear" w:color="auto" w:fill="auto"/>
            <w:noWrap/>
            <w:vAlign w:val="center"/>
            <w:hideMark/>
          </w:tcPr>
          <w:p w14:paraId="4DE5DEF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380" w:type="dxa"/>
            <w:tcBorders>
              <w:top w:val="nil"/>
              <w:left w:val="nil"/>
              <w:bottom w:val="single" w:sz="8" w:space="0" w:color="auto"/>
              <w:right w:val="single" w:sz="8" w:space="0" w:color="auto"/>
            </w:tcBorders>
            <w:shd w:val="clear" w:color="auto" w:fill="auto"/>
            <w:noWrap/>
            <w:vAlign w:val="center"/>
            <w:hideMark/>
          </w:tcPr>
          <w:p w14:paraId="06A83F6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r>
      <w:tr w:rsidR="000C4B4E" w:rsidRPr="000C4B4E" w14:paraId="718E3D6D" w14:textId="77777777" w:rsidTr="000C4B4E">
        <w:trPr>
          <w:trHeight w:val="34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2AFAA067"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None</w:t>
            </w:r>
          </w:p>
        </w:tc>
        <w:tc>
          <w:tcPr>
            <w:tcW w:w="440" w:type="dxa"/>
            <w:tcBorders>
              <w:top w:val="nil"/>
              <w:left w:val="nil"/>
              <w:bottom w:val="single" w:sz="8" w:space="0" w:color="auto"/>
              <w:right w:val="single" w:sz="8" w:space="0" w:color="auto"/>
            </w:tcBorders>
            <w:shd w:val="clear" w:color="auto" w:fill="auto"/>
            <w:noWrap/>
            <w:vAlign w:val="center"/>
            <w:hideMark/>
          </w:tcPr>
          <w:p w14:paraId="6BE849C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c>
          <w:tcPr>
            <w:tcW w:w="400" w:type="dxa"/>
            <w:tcBorders>
              <w:top w:val="nil"/>
              <w:left w:val="nil"/>
              <w:bottom w:val="single" w:sz="8" w:space="0" w:color="auto"/>
              <w:right w:val="single" w:sz="8" w:space="0" w:color="auto"/>
            </w:tcBorders>
            <w:shd w:val="clear" w:color="auto" w:fill="auto"/>
            <w:noWrap/>
            <w:vAlign w:val="center"/>
            <w:hideMark/>
          </w:tcPr>
          <w:p w14:paraId="496390F7"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18%</w:t>
            </w:r>
          </w:p>
        </w:tc>
        <w:tc>
          <w:tcPr>
            <w:tcW w:w="440" w:type="dxa"/>
            <w:tcBorders>
              <w:top w:val="nil"/>
              <w:left w:val="nil"/>
              <w:bottom w:val="single" w:sz="8" w:space="0" w:color="auto"/>
              <w:right w:val="single" w:sz="8" w:space="0" w:color="auto"/>
            </w:tcBorders>
            <w:shd w:val="clear" w:color="auto" w:fill="auto"/>
            <w:noWrap/>
            <w:vAlign w:val="center"/>
            <w:hideMark/>
          </w:tcPr>
          <w:p w14:paraId="0BBD31C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400" w:type="dxa"/>
            <w:tcBorders>
              <w:top w:val="nil"/>
              <w:left w:val="nil"/>
              <w:bottom w:val="single" w:sz="8" w:space="0" w:color="auto"/>
              <w:right w:val="single" w:sz="8" w:space="0" w:color="auto"/>
            </w:tcBorders>
            <w:shd w:val="clear" w:color="auto" w:fill="auto"/>
            <w:noWrap/>
            <w:vAlign w:val="center"/>
            <w:hideMark/>
          </w:tcPr>
          <w:p w14:paraId="742B0477"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23%</w:t>
            </w:r>
          </w:p>
        </w:tc>
        <w:tc>
          <w:tcPr>
            <w:tcW w:w="440" w:type="dxa"/>
            <w:tcBorders>
              <w:top w:val="nil"/>
              <w:left w:val="nil"/>
              <w:bottom w:val="single" w:sz="8" w:space="0" w:color="auto"/>
              <w:right w:val="single" w:sz="8" w:space="0" w:color="auto"/>
            </w:tcBorders>
            <w:shd w:val="clear" w:color="auto" w:fill="auto"/>
            <w:noWrap/>
            <w:vAlign w:val="center"/>
            <w:hideMark/>
          </w:tcPr>
          <w:p w14:paraId="3157486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380" w:type="dxa"/>
            <w:tcBorders>
              <w:top w:val="nil"/>
              <w:left w:val="nil"/>
              <w:bottom w:val="single" w:sz="8" w:space="0" w:color="auto"/>
              <w:right w:val="single" w:sz="8" w:space="0" w:color="auto"/>
            </w:tcBorders>
            <w:shd w:val="clear" w:color="auto" w:fill="auto"/>
            <w:noWrap/>
            <w:vAlign w:val="center"/>
            <w:hideMark/>
          </w:tcPr>
          <w:p w14:paraId="7C80BAE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9%</w:t>
            </w:r>
          </w:p>
        </w:tc>
      </w:tr>
      <w:tr w:rsidR="000C4B4E" w:rsidRPr="000C4B4E" w14:paraId="0CC262F8" w14:textId="77777777" w:rsidTr="000C4B4E">
        <w:trPr>
          <w:trHeight w:val="420"/>
        </w:trPr>
        <w:tc>
          <w:tcPr>
            <w:tcW w:w="860" w:type="dxa"/>
            <w:tcBorders>
              <w:top w:val="nil"/>
              <w:left w:val="single" w:sz="8" w:space="0" w:color="auto"/>
              <w:bottom w:val="single" w:sz="8" w:space="0" w:color="auto"/>
              <w:right w:val="single" w:sz="8" w:space="0" w:color="auto"/>
            </w:tcBorders>
            <w:shd w:val="clear" w:color="auto" w:fill="auto"/>
            <w:vAlign w:val="center"/>
            <w:hideMark/>
          </w:tcPr>
          <w:p w14:paraId="78D769D1"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Student Services office</w:t>
            </w:r>
          </w:p>
        </w:tc>
        <w:tc>
          <w:tcPr>
            <w:tcW w:w="440" w:type="dxa"/>
            <w:tcBorders>
              <w:top w:val="nil"/>
              <w:left w:val="nil"/>
              <w:bottom w:val="single" w:sz="8" w:space="0" w:color="auto"/>
              <w:right w:val="single" w:sz="8" w:space="0" w:color="auto"/>
            </w:tcBorders>
            <w:shd w:val="clear" w:color="auto" w:fill="auto"/>
            <w:noWrap/>
            <w:vAlign w:val="center"/>
            <w:hideMark/>
          </w:tcPr>
          <w:p w14:paraId="7B03746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4E96836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440" w:type="dxa"/>
            <w:tcBorders>
              <w:top w:val="nil"/>
              <w:left w:val="nil"/>
              <w:bottom w:val="single" w:sz="8" w:space="0" w:color="auto"/>
              <w:right w:val="single" w:sz="8" w:space="0" w:color="auto"/>
            </w:tcBorders>
            <w:shd w:val="clear" w:color="auto" w:fill="auto"/>
            <w:noWrap/>
            <w:vAlign w:val="center"/>
            <w:hideMark/>
          </w:tcPr>
          <w:p w14:paraId="7F3B6EA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261159B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440" w:type="dxa"/>
            <w:tcBorders>
              <w:top w:val="nil"/>
              <w:left w:val="nil"/>
              <w:bottom w:val="single" w:sz="8" w:space="0" w:color="auto"/>
              <w:right w:val="single" w:sz="8" w:space="0" w:color="auto"/>
            </w:tcBorders>
            <w:shd w:val="clear" w:color="auto" w:fill="auto"/>
            <w:noWrap/>
            <w:vAlign w:val="center"/>
            <w:hideMark/>
          </w:tcPr>
          <w:p w14:paraId="02AB489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380" w:type="dxa"/>
            <w:tcBorders>
              <w:top w:val="nil"/>
              <w:left w:val="nil"/>
              <w:bottom w:val="single" w:sz="8" w:space="0" w:color="auto"/>
              <w:right w:val="single" w:sz="8" w:space="0" w:color="auto"/>
            </w:tcBorders>
            <w:shd w:val="clear" w:color="auto" w:fill="auto"/>
            <w:noWrap/>
            <w:vAlign w:val="center"/>
            <w:hideMark/>
          </w:tcPr>
          <w:p w14:paraId="000CF93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9%</w:t>
            </w:r>
          </w:p>
        </w:tc>
      </w:tr>
    </w:tbl>
    <w:p w14:paraId="778B24AD" w14:textId="77777777" w:rsidR="000C4B4E" w:rsidRDefault="000C4B4E" w:rsidP="00F84901">
      <w:pPr>
        <w:spacing w:line="480" w:lineRule="auto"/>
        <w:outlineLvl w:val="0"/>
        <w:rPr>
          <w:rFonts w:asciiTheme="minorHAnsi" w:hAnsiTheme="minorHAnsi"/>
        </w:rPr>
      </w:pPr>
    </w:p>
    <w:p w14:paraId="20D9F760" w14:textId="423A93BB" w:rsidR="008B0226" w:rsidRPr="00A658B0" w:rsidRDefault="000A1A22" w:rsidP="00006B09">
      <w:pPr>
        <w:spacing w:line="480" w:lineRule="auto"/>
        <w:rPr>
          <w:rFonts w:asciiTheme="minorHAnsi" w:hAnsiTheme="minorHAnsi"/>
          <w:b/>
        </w:rPr>
      </w:pPr>
      <w:r w:rsidRPr="00A658B0">
        <w:rPr>
          <w:rFonts w:asciiTheme="minorHAnsi" w:hAnsiTheme="minorHAnsi"/>
          <w:b/>
        </w:rPr>
        <w:t>Figure 8</w:t>
      </w:r>
      <w:r w:rsidR="008B0226" w:rsidRPr="00A658B0">
        <w:rPr>
          <w:rFonts w:asciiTheme="minorHAnsi" w:hAnsiTheme="minorHAnsi"/>
          <w:b/>
        </w:rPr>
        <w:t>. Group 1/Control 2016 Student Support Service Use: Exam 3</w:t>
      </w:r>
    </w:p>
    <w:p w14:paraId="64F3EE92" w14:textId="1413D51A" w:rsidR="008B0226" w:rsidRDefault="008B0226" w:rsidP="00006B09">
      <w:pPr>
        <w:spacing w:line="480" w:lineRule="auto"/>
        <w:rPr>
          <w:rFonts w:asciiTheme="minorHAnsi" w:hAnsiTheme="minorHAnsi"/>
        </w:rPr>
      </w:pPr>
      <w:r>
        <w:rPr>
          <w:rFonts w:asciiTheme="minorHAnsi" w:hAnsiTheme="minorHAnsi"/>
        </w:rPr>
        <w:t>Percentage of Support Service Usage for all respondents</w:t>
      </w:r>
      <w:r w:rsidR="00006B09">
        <w:rPr>
          <w:rFonts w:asciiTheme="minorHAnsi" w:hAnsiTheme="minorHAnsi"/>
        </w:rPr>
        <w:t>.</w:t>
      </w:r>
      <w:r>
        <w:rPr>
          <w:rFonts w:asciiTheme="minorHAnsi" w:hAnsiTheme="minorHAnsi"/>
        </w:rPr>
        <w:t xml:space="preserve"> </w:t>
      </w:r>
      <w:r w:rsidR="00006B09">
        <w:rPr>
          <w:rFonts w:asciiTheme="minorHAnsi" w:hAnsiTheme="minorHAnsi"/>
        </w:rPr>
        <w:t>MCBPs (&lt;80% exam grade) compared to total group and students with exam grade &gt;80%.</w:t>
      </w:r>
    </w:p>
    <w:p w14:paraId="320BB7D9" w14:textId="77777777" w:rsidR="000C4B4E" w:rsidRDefault="000C4B4E" w:rsidP="00F84901">
      <w:pPr>
        <w:spacing w:line="480" w:lineRule="auto"/>
        <w:outlineLvl w:val="0"/>
        <w:rPr>
          <w:rFonts w:asciiTheme="minorHAnsi" w:hAnsiTheme="minorHAnsi"/>
        </w:rPr>
      </w:pPr>
    </w:p>
    <w:p w14:paraId="6A4020E7" w14:textId="0698BEA0" w:rsidR="000C4B4E" w:rsidRDefault="000C4B4E">
      <w:pPr>
        <w:rPr>
          <w:rFonts w:asciiTheme="minorHAnsi" w:hAnsiTheme="minorHAnsi"/>
        </w:rPr>
      </w:pPr>
      <w:r>
        <w:rPr>
          <w:rFonts w:asciiTheme="minorHAnsi" w:hAnsiTheme="minorHAnsi"/>
        </w:rPr>
        <w:br w:type="page"/>
      </w:r>
    </w:p>
    <w:tbl>
      <w:tblPr>
        <w:tblW w:w="4093" w:type="dxa"/>
        <w:tblLook w:val="04A0" w:firstRow="1" w:lastRow="0" w:firstColumn="1" w:lastColumn="0" w:noHBand="0" w:noVBand="1"/>
      </w:tblPr>
      <w:tblGrid>
        <w:gridCol w:w="1517"/>
        <w:gridCol w:w="816"/>
        <w:gridCol w:w="616"/>
        <w:gridCol w:w="816"/>
        <w:gridCol w:w="616"/>
        <w:gridCol w:w="816"/>
        <w:gridCol w:w="616"/>
      </w:tblGrid>
      <w:tr w:rsidR="006D499C" w:rsidRPr="000C4B4E" w14:paraId="19412EB4" w14:textId="77777777" w:rsidTr="00AA2D4D">
        <w:trPr>
          <w:trHeight w:val="820"/>
        </w:trPr>
        <w:tc>
          <w:tcPr>
            <w:tcW w:w="99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D3A4BC" w14:textId="30ABDCF8" w:rsidR="000C4B4E" w:rsidRPr="000C4B4E" w:rsidRDefault="000C4B4E" w:rsidP="000C4B4E">
            <w:pPr>
              <w:rPr>
                <w:rFonts w:ascii="Cambria" w:hAnsi="Cambria" w:cs="Calibri"/>
                <w:color w:val="000000"/>
                <w:sz w:val="20"/>
                <w:szCs w:val="20"/>
              </w:rPr>
            </w:pPr>
            <w:r w:rsidRPr="006D499C">
              <w:rPr>
                <w:rFonts w:asciiTheme="minorHAnsi" w:hAnsiTheme="minorHAnsi"/>
                <w:sz w:val="20"/>
                <w:szCs w:val="20"/>
              </w:rPr>
              <w:lastRenderedPageBreak/>
              <w:br w:type="page"/>
            </w:r>
            <w:r w:rsidRPr="000C4B4E">
              <w:rPr>
                <w:rFonts w:ascii="Cambria" w:hAnsi="Cambria" w:cs="Calibri"/>
                <w:color w:val="000000"/>
                <w:sz w:val="20"/>
                <w:szCs w:val="20"/>
              </w:rPr>
              <w:t>Control Group Type of Support</w:t>
            </w:r>
          </w:p>
        </w:tc>
        <w:tc>
          <w:tcPr>
            <w:tcW w:w="576" w:type="dxa"/>
            <w:tcBorders>
              <w:top w:val="single" w:sz="8" w:space="0" w:color="auto"/>
              <w:left w:val="nil"/>
              <w:bottom w:val="single" w:sz="8" w:space="0" w:color="auto"/>
              <w:right w:val="single" w:sz="8" w:space="0" w:color="auto"/>
            </w:tcBorders>
            <w:shd w:val="clear" w:color="auto" w:fill="auto"/>
            <w:vAlign w:val="center"/>
            <w:hideMark/>
          </w:tcPr>
          <w:p w14:paraId="68636FE0"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TOTAL n=123</w:t>
            </w:r>
          </w:p>
        </w:tc>
        <w:tc>
          <w:tcPr>
            <w:tcW w:w="456" w:type="dxa"/>
            <w:tcBorders>
              <w:top w:val="single" w:sz="8" w:space="0" w:color="auto"/>
              <w:left w:val="nil"/>
              <w:bottom w:val="single" w:sz="8" w:space="0" w:color="auto"/>
              <w:right w:val="single" w:sz="8" w:space="0" w:color="auto"/>
            </w:tcBorders>
            <w:shd w:val="clear" w:color="auto" w:fill="auto"/>
            <w:vAlign w:val="center"/>
            <w:hideMark/>
          </w:tcPr>
          <w:p w14:paraId="49C7CB54"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w:t>
            </w:r>
          </w:p>
        </w:tc>
        <w:tc>
          <w:tcPr>
            <w:tcW w:w="576" w:type="dxa"/>
            <w:tcBorders>
              <w:top w:val="single" w:sz="8" w:space="0" w:color="auto"/>
              <w:left w:val="nil"/>
              <w:bottom w:val="single" w:sz="8" w:space="0" w:color="auto"/>
              <w:right w:val="single" w:sz="8" w:space="0" w:color="auto"/>
            </w:tcBorders>
            <w:shd w:val="clear" w:color="auto" w:fill="auto"/>
            <w:vAlign w:val="center"/>
            <w:hideMark/>
          </w:tcPr>
          <w:p w14:paraId="10D01F06"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TOTAL &gt;80% n=81</w:t>
            </w:r>
          </w:p>
        </w:tc>
        <w:tc>
          <w:tcPr>
            <w:tcW w:w="456" w:type="dxa"/>
            <w:tcBorders>
              <w:top w:val="single" w:sz="8" w:space="0" w:color="auto"/>
              <w:left w:val="nil"/>
              <w:bottom w:val="single" w:sz="8" w:space="0" w:color="auto"/>
              <w:right w:val="single" w:sz="8" w:space="0" w:color="auto"/>
            </w:tcBorders>
            <w:shd w:val="clear" w:color="auto" w:fill="auto"/>
            <w:vAlign w:val="center"/>
            <w:hideMark/>
          </w:tcPr>
          <w:p w14:paraId="1B42E3ED"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w:t>
            </w:r>
          </w:p>
        </w:tc>
        <w:tc>
          <w:tcPr>
            <w:tcW w:w="576" w:type="dxa"/>
            <w:tcBorders>
              <w:top w:val="single" w:sz="8" w:space="0" w:color="auto"/>
              <w:left w:val="nil"/>
              <w:bottom w:val="single" w:sz="8" w:space="0" w:color="auto"/>
              <w:right w:val="single" w:sz="8" w:space="0" w:color="auto"/>
            </w:tcBorders>
            <w:shd w:val="clear" w:color="auto" w:fill="auto"/>
            <w:vAlign w:val="center"/>
            <w:hideMark/>
          </w:tcPr>
          <w:p w14:paraId="702EBE28"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TOTAL  &lt;80% n=42</w:t>
            </w:r>
          </w:p>
        </w:tc>
        <w:tc>
          <w:tcPr>
            <w:tcW w:w="456" w:type="dxa"/>
            <w:tcBorders>
              <w:top w:val="single" w:sz="8" w:space="0" w:color="auto"/>
              <w:left w:val="nil"/>
              <w:bottom w:val="single" w:sz="8" w:space="0" w:color="auto"/>
              <w:right w:val="single" w:sz="8" w:space="0" w:color="auto"/>
            </w:tcBorders>
            <w:shd w:val="clear" w:color="auto" w:fill="auto"/>
            <w:vAlign w:val="center"/>
            <w:hideMark/>
          </w:tcPr>
          <w:p w14:paraId="4C41F42D"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w:t>
            </w:r>
          </w:p>
        </w:tc>
      </w:tr>
      <w:tr w:rsidR="000C4B4E" w:rsidRPr="000C4B4E" w14:paraId="2CE537CD" w14:textId="77777777" w:rsidTr="00AA2D4D">
        <w:trPr>
          <w:trHeight w:val="340"/>
        </w:trPr>
        <w:tc>
          <w:tcPr>
            <w:tcW w:w="997" w:type="dxa"/>
            <w:tcBorders>
              <w:top w:val="nil"/>
              <w:left w:val="single" w:sz="8" w:space="0" w:color="auto"/>
              <w:bottom w:val="single" w:sz="8" w:space="0" w:color="auto"/>
              <w:right w:val="single" w:sz="8" w:space="0" w:color="auto"/>
            </w:tcBorders>
            <w:shd w:val="clear" w:color="auto" w:fill="auto"/>
            <w:vAlign w:val="center"/>
            <w:hideMark/>
          </w:tcPr>
          <w:p w14:paraId="74A96663"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peer support</w:t>
            </w:r>
          </w:p>
        </w:tc>
        <w:tc>
          <w:tcPr>
            <w:tcW w:w="576" w:type="dxa"/>
            <w:tcBorders>
              <w:top w:val="nil"/>
              <w:left w:val="nil"/>
              <w:bottom w:val="single" w:sz="8" w:space="0" w:color="auto"/>
              <w:right w:val="single" w:sz="8" w:space="0" w:color="auto"/>
            </w:tcBorders>
            <w:shd w:val="clear" w:color="auto" w:fill="auto"/>
            <w:noWrap/>
            <w:vAlign w:val="center"/>
            <w:hideMark/>
          </w:tcPr>
          <w:p w14:paraId="21C9CA3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71</w:t>
            </w:r>
          </w:p>
        </w:tc>
        <w:tc>
          <w:tcPr>
            <w:tcW w:w="456" w:type="dxa"/>
            <w:tcBorders>
              <w:top w:val="nil"/>
              <w:left w:val="nil"/>
              <w:bottom w:val="single" w:sz="8" w:space="0" w:color="auto"/>
              <w:right w:val="single" w:sz="8" w:space="0" w:color="auto"/>
            </w:tcBorders>
            <w:shd w:val="clear" w:color="auto" w:fill="auto"/>
            <w:noWrap/>
            <w:vAlign w:val="center"/>
            <w:hideMark/>
          </w:tcPr>
          <w:p w14:paraId="5560841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58%</w:t>
            </w:r>
          </w:p>
        </w:tc>
        <w:tc>
          <w:tcPr>
            <w:tcW w:w="576" w:type="dxa"/>
            <w:tcBorders>
              <w:top w:val="nil"/>
              <w:left w:val="nil"/>
              <w:bottom w:val="single" w:sz="8" w:space="0" w:color="auto"/>
              <w:right w:val="single" w:sz="8" w:space="0" w:color="auto"/>
            </w:tcBorders>
            <w:shd w:val="clear" w:color="auto" w:fill="auto"/>
            <w:noWrap/>
            <w:vAlign w:val="center"/>
            <w:hideMark/>
          </w:tcPr>
          <w:p w14:paraId="72B9335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55</w:t>
            </w:r>
          </w:p>
        </w:tc>
        <w:tc>
          <w:tcPr>
            <w:tcW w:w="456" w:type="dxa"/>
            <w:tcBorders>
              <w:top w:val="nil"/>
              <w:left w:val="nil"/>
              <w:bottom w:val="single" w:sz="8" w:space="0" w:color="auto"/>
              <w:right w:val="single" w:sz="8" w:space="0" w:color="auto"/>
            </w:tcBorders>
            <w:shd w:val="clear" w:color="auto" w:fill="auto"/>
            <w:noWrap/>
            <w:vAlign w:val="center"/>
            <w:hideMark/>
          </w:tcPr>
          <w:p w14:paraId="45F34C2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68%</w:t>
            </w:r>
          </w:p>
        </w:tc>
        <w:tc>
          <w:tcPr>
            <w:tcW w:w="576" w:type="dxa"/>
            <w:tcBorders>
              <w:top w:val="nil"/>
              <w:left w:val="nil"/>
              <w:bottom w:val="single" w:sz="8" w:space="0" w:color="auto"/>
              <w:right w:val="single" w:sz="8" w:space="0" w:color="auto"/>
            </w:tcBorders>
            <w:shd w:val="clear" w:color="auto" w:fill="auto"/>
            <w:noWrap/>
            <w:vAlign w:val="center"/>
            <w:hideMark/>
          </w:tcPr>
          <w:p w14:paraId="21BE1D6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16</w:t>
            </w:r>
          </w:p>
        </w:tc>
        <w:tc>
          <w:tcPr>
            <w:tcW w:w="456" w:type="dxa"/>
            <w:tcBorders>
              <w:top w:val="nil"/>
              <w:left w:val="nil"/>
              <w:bottom w:val="single" w:sz="8" w:space="0" w:color="auto"/>
              <w:right w:val="single" w:sz="8" w:space="0" w:color="auto"/>
            </w:tcBorders>
            <w:shd w:val="clear" w:color="auto" w:fill="auto"/>
            <w:noWrap/>
            <w:vAlign w:val="center"/>
            <w:hideMark/>
          </w:tcPr>
          <w:p w14:paraId="157B0E6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38%</w:t>
            </w:r>
          </w:p>
        </w:tc>
      </w:tr>
      <w:tr w:rsidR="000C4B4E" w:rsidRPr="000C4B4E" w14:paraId="5109FB22" w14:textId="77777777" w:rsidTr="00AA2D4D">
        <w:trPr>
          <w:trHeight w:val="420"/>
        </w:trPr>
        <w:tc>
          <w:tcPr>
            <w:tcW w:w="997" w:type="dxa"/>
            <w:tcBorders>
              <w:top w:val="nil"/>
              <w:left w:val="single" w:sz="8" w:space="0" w:color="auto"/>
              <w:bottom w:val="single" w:sz="8" w:space="0" w:color="auto"/>
              <w:right w:val="single" w:sz="8" w:space="0" w:color="auto"/>
            </w:tcBorders>
            <w:shd w:val="clear" w:color="auto" w:fill="auto"/>
            <w:vAlign w:val="center"/>
            <w:hideMark/>
          </w:tcPr>
          <w:p w14:paraId="709A82E5"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Advice from upperclassmen</w:t>
            </w:r>
          </w:p>
        </w:tc>
        <w:tc>
          <w:tcPr>
            <w:tcW w:w="576" w:type="dxa"/>
            <w:tcBorders>
              <w:top w:val="nil"/>
              <w:left w:val="nil"/>
              <w:bottom w:val="single" w:sz="8" w:space="0" w:color="auto"/>
              <w:right w:val="single" w:sz="8" w:space="0" w:color="auto"/>
            </w:tcBorders>
            <w:shd w:val="clear" w:color="auto" w:fill="auto"/>
            <w:noWrap/>
            <w:vAlign w:val="center"/>
            <w:hideMark/>
          </w:tcPr>
          <w:p w14:paraId="729C79B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63</w:t>
            </w:r>
          </w:p>
        </w:tc>
        <w:tc>
          <w:tcPr>
            <w:tcW w:w="456" w:type="dxa"/>
            <w:tcBorders>
              <w:top w:val="nil"/>
              <w:left w:val="nil"/>
              <w:bottom w:val="single" w:sz="8" w:space="0" w:color="auto"/>
              <w:right w:val="single" w:sz="8" w:space="0" w:color="auto"/>
            </w:tcBorders>
            <w:shd w:val="clear" w:color="auto" w:fill="auto"/>
            <w:noWrap/>
            <w:vAlign w:val="center"/>
            <w:hideMark/>
          </w:tcPr>
          <w:p w14:paraId="77F611F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51%</w:t>
            </w:r>
          </w:p>
        </w:tc>
        <w:tc>
          <w:tcPr>
            <w:tcW w:w="576" w:type="dxa"/>
            <w:tcBorders>
              <w:top w:val="nil"/>
              <w:left w:val="nil"/>
              <w:bottom w:val="single" w:sz="8" w:space="0" w:color="auto"/>
              <w:right w:val="single" w:sz="8" w:space="0" w:color="auto"/>
            </w:tcBorders>
            <w:shd w:val="clear" w:color="auto" w:fill="auto"/>
            <w:noWrap/>
            <w:vAlign w:val="center"/>
            <w:hideMark/>
          </w:tcPr>
          <w:p w14:paraId="361BD1E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42</w:t>
            </w:r>
          </w:p>
        </w:tc>
        <w:tc>
          <w:tcPr>
            <w:tcW w:w="456" w:type="dxa"/>
            <w:tcBorders>
              <w:top w:val="nil"/>
              <w:left w:val="nil"/>
              <w:bottom w:val="single" w:sz="8" w:space="0" w:color="auto"/>
              <w:right w:val="single" w:sz="8" w:space="0" w:color="auto"/>
            </w:tcBorders>
            <w:shd w:val="clear" w:color="auto" w:fill="auto"/>
            <w:noWrap/>
            <w:vAlign w:val="center"/>
            <w:hideMark/>
          </w:tcPr>
          <w:p w14:paraId="6451368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52%</w:t>
            </w:r>
          </w:p>
        </w:tc>
        <w:tc>
          <w:tcPr>
            <w:tcW w:w="576" w:type="dxa"/>
            <w:tcBorders>
              <w:top w:val="nil"/>
              <w:left w:val="nil"/>
              <w:bottom w:val="single" w:sz="8" w:space="0" w:color="auto"/>
              <w:right w:val="single" w:sz="8" w:space="0" w:color="auto"/>
            </w:tcBorders>
            <w:shd w:val="clear" w:color="auto" w:fill="auto"/>
            <w:noWrap/>
            <w:vAlign w:val="center"/>
            <w:hideMark/>
          </w:tcPr>
          <w:p w14:paraId="1AA6CE0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21</w:t>
            </w:r>
          </w:p>
        </w:tc>
        <w:tc>
          <w:tcPr>
            <w:tcW w:w="456" w:type="dxa"/>
            <w:tcBorders>
              <w:top w:val="nil"/>
              <w:left w:val="nil"/>
              <w:bottom w:val="single" w:sz="8" w:space="0" w:color="auto"/>
              <w:right w:val="single" w:sz="8" w:space="0" w:color="auto"/>
            </w:tcBorders>
            <w:shd w:val="clear" w:color="auto" w:fill="auto"/>
            <w:noWrap/>
            <w:vAlign w:val="center"/>
            <w:hideMark/>
          </w:tcPr>
          <w:p w14:paraId="0C3B110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50%</w:t>
            </w:r>
          </w:p>
        </w:tc>
      </w:tr>
      <w:tr w:rsidR="000C4B4E" w:rsidRPr="000C4B4E" w14:paraId="029111BF" w14:textId="77777777" w:rsidTr="00AA2D4D">
        <w:trPr>
          <w:trHeight w:val="340"/>
        </w:trPr>
        <w:tc>
          <w:tcPr>
            <w:tcW w:w="997" w:type="dxa"/>
            <w:tcBorders>
              <w:top w:val="nil"/>
              <w:left w:val="single" w:sz="8" w:space="0" w:color="auto"/>
              <w:bottom w:val="single" w:sz="8" w:space="0" w:color="auto"/>
              <w:right w:val="single" w:sz="8" w:space="0" w:color="auto"/>
            </w:tcBorders>
            <w:shd w:val="clear" w:color="auto" w:fill="auto"/>
            <w:vAlign w:val="center"/>
            <w:hideMark/>
          </w:tcPr>
          <w:p w14:paraId="06F43846"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Family support</w:t>
            </w:r>
          </w:p>
        </w:tc>
        <w:tc>
          <w:tcPr>
            <w:tcW w:w="576" w:type="dxa"/>
            <w:tcBorders>
              <w:top w:val="nil"/>
              <w:left w:val="nil"/>
              <w:bottom w:val="single" w:sz="8" w:space="0" w:color="auto"/>
              <w:right w:val="single" w:sz="8" w:space="0" w:color="auto"/>
            </w:tcBorders>
            <w:shd w:val="clear" w:color="auto" w:fill="auto"/>
            <w:noWrap/>
            <w:vAlign w:val="center"/>
            <w:hideMark/>
          </w:tcPr>
          <w:p w14:paraId="621F7EA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69</w:t>
            </w:r>
          </w:p>
        </w:tc>
        <w:tc>
          <w:tcPr>
            <w:tcW w:w="456" w:type="dxa"/>
            <w:tcBorders>
              <w:top w:val="nil"/>
              <w:left w:val="nil"/>
              <w:bottom w:val="single" w:sz="8" w:space="0" w:color="auto"/>
              <w:right w:val="single" w:sz="8" w:space="0" w:color="auto"/>
            </w:tcBorders>
            <w:shd w:val="clear" w:color="auto" w:fill="auto"/>
            <w:noWrap/>
            <w:vAlign w:val="center"/>
            <w:hideMark/>
          </w:tcPr>
          <w:p w14:paraId="6D4A2FA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56%</w:t>
            </w:r>
          </w:p>
        </w:tc>
        <w:tc>
          <w:tcPr>
            <w:tcW w:w="576" w:type="dxa"/>
            <w:tcBorders>
              <w:top w:val="nil"/>
              <w:left w:val="nil"/>
              <w:bottom w:val="single" w:sz="8" w:space="0" w:color="auto"/>
              <w:right w:val="single" w:sz="8" w:space="0" w:color="auto"/>
            </w:tcBorders>
            <w:shd w:val="clear" w:color="auto" w:fill="auto"/>
            <w:noWrap/>
            <w:vAlign w:val="center"/>
            <w:hideMark/>
          </w:tcPr>
          <w:p w14:paraId="5213A802"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48</w:t>
            </w:r>
          </w:p>
        </w:tc>
        <w:tc>
          <w:tcPr>
            <w:tcW w:w="456" w:type="dxa"/>
            <w:tcBorders>
              <w:top w:val="nil"/>
              <w:left w:val="nil"/>
              <w:bottom w:val="single" w:sz="8" w:space="0" w:color="auto"/>
              <w:right w:val="single" w:sz="8" w:space="0" w:color="auto"/>
            </w:tcBorders>
            <w:shd w:val="clear" w:color="auto" w:fill="auto"/>
            <w:noWrap/>
            <w:vAlign w:val="center"/>
            <w:hideMark/>
          </w:tcPr>
          <w:p w14:paraId="57213C5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59%</w:t>
            </w:r>
          </w:p>
        </w:tc>
        <w:tc>
          <w:tcPr>
            <w:tcW w:w="576" w:type="dxa"/>
            <w:tcBorders>
              <w:top w:val="nil"/>
              <w:left w:val="nil"/>
              <w:bottom w:val="single" w:sz="8" w:space="0" w:color="auto"/>
              <w:right w:val="single" w:sz="8" w:space="0" w:color="auto"/>
            </w:tcBorders>
            <w:shd w:val="clear" w:color="auto" w:fill="auto"/>
            <w:noWrap/>
            <w:vAlign w:val="center"/>
            <w:hideMark/>
          </w:tcPr>
          <w:p w14:paraId="31152A8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21</w:t>
            </w:r>
          </w:p>
        </w:tc>
        <w:tc>
          <w:tcPr>
            <w:tcW w:w="456" w:type="dxa"/>
            <w:tcBorders>
              <w:top w:val="nil"/>
              <w:left w:val="nil"/>
              <w:bottom w:val="single" w:sz="8" w:space="0" w:color="auto"/>
              <w:right w:val="single" w:sz="8" w:space="0" w:color="auto"/>
            </w:tcBorders>
            <w:shd w:val="clear" w:color="auto" w:fill="auto"/>
            <w:noWrap/>
            <w:vAlign w:val="center"/>
            <w:hideMark/>
          </w:tcPr>
          <w:p w14:paraId="140E459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50%</w:t>
            </w:r>
          </w:p>
        </w:tc>
      </w:tr>
      <w:tr w:rsidR="000C4B4E" w:rsidRPr="000C4B4E" w14:paraId="3386EFF7" w14:textId="77777777" w:rsidTr="00AA2D4D">
        <w:trPr>
          <w:trHeight w:val="340"/>
        </w:trPr>
        <w:tc>
          <w:tcPr>
            <w:tcW w:w="997" w:type="dxa"/>
            <w:tcBorders>
              <w:top w:val="nil"/>
              <w:left w:val="single" w:sz="8" w:space="0" w:color="auto"/>
              <w:bottom w:val="single" w:sz="8" w:space="0" w:color="auto"/>
              <w:right w:val="single" w:sz="8" w:space="0" w:color="auto"/>
            </w:tcBorders>
            <w:shd w:val="clear" w:color="auto" w:fill="auto"/>
            <w:vAlign w:val="center"/>
            <w:hideMark/>
          </w:tcPr>
          <w:p w14:paraId="126275FA"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Tutoring</w:t>
            </w:r>
          </w:p>
        </w:tc>
        <w:tc>
          <w:tcPr>
            <w:tcW w:w="576" w:type="dxa"/>
            <w:tcBorders>
              <w:top w:val="nil"/>
              <w:left w:val="nil"/>
              <w:bottom w:val="single" w:sz="8" w:space="0" w:color="auto"/>
              <w:right w:val="single" w:sz="8" w:space="0" w:color="auto"/>
            </w:tcBorders>
            <w:shd w:val="clear" w:color="auto" w:fill="auto"/>
            <w:noWrap/>
            <w:vAlign w:val="center"/>
            <w:hideMark/>
          </w:tcPr>
          <w:p w14:paraId="6654A407"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32</w:t>
            </w:r>
          </w:p>
        </w:tc>
        <w:tc>
          <w:tcPr>
            <w:tcW w:w="456" w:type="dxa"/>
            <w:tcBorders>
              <w:top w:val="nil"/>
              <w:left w:val="nil"/>
              <w:bottom w:val="single" w:sz="8" w:space="0" w:color="auto"/>
              <w:right w:val="single" w:sz="8" w:space="0" w:color="auto"/>
            </w:tcBorders>
            <w:shd w:val="clear" w:color="auto" w:fill="auto"/>
            <w:noWrap/>
            <w:vAlign w:val="center"/>
            <w:hideMark/>
          </w:tcPr>
          <w:p w14:paraId="582597D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26%</w:t>
            </w:r>
          </w:p>
        </w:tc>
        <w:tc>
          <w:tcPr>
            <w:tcW w:w="576" w:type="dxa"/>
            <w:tcBorders>
              <w:top w:val="nil"/>
              <w:left w:val="nil"/>
              <w:bottom w:val="single" w:sz="8" w:space="0" w:color="auto"/>
              <w:right w:val="single" w:sz="8" w:space="0" w:color="auto"/>
            </w:tcBorders>
            <w:shd w:val="clear" w:color="auto" w:fill="auto"/>
            <w:noWrap/>
            <w:vAlign w:val="center"/>
            <w:hideMark/>
          </w:tcPr>
          <w:p w14:paraId="353E807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25</w:t>
            </w:r>
          </w:p>
        </w:tc>
        <w:tc>
          <w:tcPr>
            <w:tcW w:w="456" w:type="dxa"/>
            <w:tcBorders>
              <w:top w:val="nil"/>
              <w:left w:val="nil"/>
              <w:bottom w:val="single" w:sz="8" w:space="0" w:color="auto"/>
              <w:right w:val="single" w:sz="8" w:space="0" w:color="auto"/>
            </w:tcBorders>
            <w:shd w:val="clear" w:color="auto" w:fill="auto"/>
            <w:noWrap/>
            <w:vAlign w:val="center"/>
            <w:hideMark/>
          </w:tcPr>
          <w:p w14:paraId="39D28CD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31%</w:t>
            </w:r>
          </w:p>
        </w:tc>
        <w:tc>
          <w:tcPr>
            <w:tcW w:w="576" w:type="dxa"/>
            <w:tcBorders>
              <w:top w:val="nil"/>
              <w:left w:val="nil"/>
              <w:bottom w:val="single" w:sz="8" w:space="0" w:color="auto"/>
              <w:right w:val="single" w:sz="8" w:space="0" w:color="auto"/>
            </w:tcBorders>
            <w:shd w:val="clear" w:color="auto" w:fill="auto"/>
            <w:noWrap/>
            <w:vAlign w:val="center"/>
            <w:hideMark/>
          </w:tcPr>
          <w:p w14:paraId="5D724F3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w:t>
            </w:r>
          </w:p>
        </w:tc>
        <w:tc>
          <w:tcPr>
            <w:tcW w:w="456" w:type="dxa"/>
            <w:tcBorders>
              <w:top w:val="nil"/>
              <w:left w:val="nil"/>
              <w:bottom w:val="single" w:sz="8" w:space="0" w:color="auto"/>
              <w:right w:val="single" w:sz="8" w:space="0" w:color="auto"/>
            </w:tcBorders>
            <w:shd w:val="clear" w:color="auto" w:fill="auto"/>
            <w:noWrap/>
            <w:vAlign w:val="center"/>
            <w:hideMark/>
          </w:tcPr>
          <w:p w14:paraId="055546B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17%</w:t>
            </w:r>
          </w:p>
        </w:tc>
      </w:tr>
      <w:tr w:rsidR="000C4B4E" w:rsidRPr="000C4B4E" w14:paraId="5D46C2EF" w14:textId="77777777" w:rsidTr="00AA2D4D">
        <w:trPr>
          <w:trHeight w:val="420"/>
        </w:trPr>
        <w:tc>
          <w:tcPr>
            <w:tcW w:w="997" w:type="dxa"/>
            <w:tcBorders>
              <w:top w:val="nil"/>
              <w:left w:val="single" w:sz="8" w:space="0" w:color="auto"/>
              <w:bottom w:val="single" w:sz="8" w:space="0" w:color="auto"/>
              <w:right w:val="single" w:sz="8" w:space="0" w:color="auto"/>
            </w:tcBorders>
            <w:shd w:val="clear" w:color="auto" w:fill="auto"/>
            <w:vAlign w:val="center"/>
            <w:hideMark/>
          </w:tcPr>
          <w:p w14:paraId="5AB09884"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Student Health clinic</w:t>
            </w:r>
          </w:p>
        </w:tc>
        <w:tc>
          <w:tcPr>
            <w:tcW w:w="576" w:type="dxa"/>
            <w:tcBorders>
              <w:top w:val="nil"/>
              <w:left w:val="nil"/>
              <w:bottom w:val="single" w:sz="8" w:space="0" w:color="auto"/>
              <w:right w:val="single" w:sz="8" w:space="0" w:color="auto"/>
            </w:tcBorders>
            <w:shd w:val="clear" w:color="auto" w:fill="auto"/>
            <w:noWrap/>
            <w:vAlign w:val="center"/>
            <w:hideMark/>
          </w:tcPr>
          <w:p w14:paraId="43D7EC39"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16</w:t>
            </w:r>
          </w:p>
        </w:tc>
        <w:tc>
          <w:tcPr>
            <w:tcW w:w="456" w:type="dxa"/>
            <w:tcBorders>
              <w:top w:val="nil"/>
              <w:left w:val="nil"/>
              <w:bottom w:val="single" w:sz="8" w:space="0" w:color="auto"/>
              <w:right w:val="single" w:sz="8" w:space="0" w:color="auto"/>
            </w:tcBorders>
            <w:shd w:val="clear" w:color="auto" w:fill="auto"/>
            <w:noWrap/>
            <w:vAlign w:val="center"/>
            <w:hideMark/>
          </w:tcPr>
          <w:p w14:paraId="4D8E329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13%</w:t>
            </w:r>
          </w:p>
        </w:tc>
        <w:tc>
          <w:tcPr>
            <w:tcW w:w="576" w:type="dxa"/>
            <w:tcBorders>
              <w:top w:val="nil"/>
              <w:left w:val="nil"/>
              <w:bottom w:val="single" w:sz="8" w:space="0" w:color="auto"/>
              <w:right w:val="single" w:sz="8" w:space="0" w:color="auto"/>
            </w:tcBorders>
            <w:shd w:val="clear" w:color="auto" w:fill="auto"/>
            <w:noWrap/>
            <w:vAlign w:val="center"/>
            <w:hideMark/>
          </w:tcPr>
          <w:p w14:paraId="63382D5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10</w:t>
            </w:r>
          </w:p>
        </w:tc>
        <w:tc>
          <w:tcPr>
            <w:tcW w:w="456" w:type="dxa"/>
            <w:tcBorders>
              <w:top w:val="nil"/>
              <w:left w:val="nil"/>
              <w:bottom w:val="single" w:sz="8" w:space="0" w:color="auto"/>
              <w:right w:val="single" w:sz="8" w:space="0" w:color="auto"/>
            </w:tcBorders>
            <w:shd w:val="clear" w:color="auto" w:fill="auto"/>
            <w:noWrap/>
            <w:vAlign w:val="center"/>
            <w:hideMark/>
          </w:tcPr>
          <w:p w14:paraId="7D31267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12%</w:t>
            </w:r>
          </w:p>
        </w:tc>
        <w:tc>
          <w:tcPr>
            <w:tcW w:w="576" w:type="dxa"/>
            <w:tcBorders>
              <w:top w:val="nil"/>
              <w:left w:val="nil"/>
              <w:bottom w:val="single" w:sz="8" w:space="0" w:color="auto"/>
              <w:right w:val="single" w:sz="8" w:space="0" w:color="auto"/>
            </w:tcBorders>
            <w:shd w:val="clear" w:color="auto" w:fill="auto"/>
            <w:noWrap/>
            <w:vAlign w:val="center"/>
            <w:hideMark/>
          </w:tcPr>
          <w:p w14:paraId="619CBF3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c>
          <w:tcPr>
            <w:tcW w:w="456" w:type="dxa"/>
            <w:tcBorders>
              <w:top w:val="nil"/>
              <w:left w:val="nil"/>
              <w:bottom w:val="single" w:sz="8" w:space="0" w:color="auto"/>
              <w:right w:val="single" w:sz="8" w:space="0" w:color="auto"/>
            </w:tcBorders>
            <w:shd w:val="clear" w:color="auto" w:fill="auto"/>
            <w:noWrap/>
            <w:vAlign w:val="center"/>
            <w:hideMark/>
          </w:tcPr>
          <w:p w14:paraId="555FF4F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14%</w:t>
            </w:r>
          </w:p>
        </w:tc>
      </w:tr>
      <w:tr w:rsidR="000C4B4E" w:rsidRPr="000C4B4E" w14:paraId="1636A53F" w14:textId="77777777" w:rsidTr="00AA2D4D">
        <w:trPr>
          <w:trHeight w:val="420"/>
        </w:trPr>
        <w:tc>
          <w:tcPr>
            <w:tcW w:w="997" w:type="dxa"/>
            <w:tcBorders>
              <w:top w:val="nil"/>
              <w:left w:val="single" w:sz="8" w:space="0" w:color="auto"/>
              <w:bottom w:val="single" w:sz="8" w:space="0" w:color="auto"/>
              <w:right w:val="single" w:sz="8" w:space="0" w:color="auto"/>
            </w:tcBorders>
            <w:shd w:val="clear" w:color="auto" w:fill="auto"/>
            <w:vAlign w:val="center"/>
            <w:hideMark/>
          </w:tcPr>
          <w:p w14:paraId="7EB14507"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Professional counseling</w:t>
            </w:r>
          </w:p>
        </w:tc>
        <w:tc>
          <w:tcPr>
            <w:tcW w:w="576" w:type="dxa"/>
            <w:tcBorders>
              <w:top w:val="nil"/>
              <w:left w:val="nil"/>
              <w:bottom w:val="single" w:sz="8" w:space="0" w:color="auto"/>
              <w:right w:val="single" w:sz="8" w:space="0" w:color="auto"/>
            </w:tcBorders>
            <w:shd w:val="clear" w:color="auto" w:fill="auto"/>
            <w:noWrap/>
            <w:vAlign w:val="center"/>
            <w:hideMark/>
          </w:tcPr>
          <w:p w14:paraId="71B2278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456" w:type="dxa"/>
            <w:tcBorders>
              <w:top w:val="nil"/>
              <w:left w:val="nil"/>
              <w:bottom w:val="single" w:sz="8" w:space="0" w:color="auto"/>
              <w:right w:val="single" w:sz="8" w:space="0" w:color="auto"/>
            </w:tcBorders>
            <w:shd w:val="clear" w:color="auto" w:fill="auto"/>
            <w:noWrap/>
            <w:vAlign w:val="center"/>
            <w:hideMark/>
          </w:tcPr>
          <w:p w14:paraId="5AA4894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w:t>
            </w:r>
          </w:p>
        </w:tc>
        <w:tc>
          <w:tcPr>
            <w:tcW w:w="576" w:type="dxa"/>
            <w:tcBorders>
              <w:top w:val="nil"/>
              <w:left w:val="nil"/>
              <w:bottom w:val="single" w:sz="8" w:space="0" w:color="auto"/>
              <w:right w:val="single" w:sz="8" w:space="0" w:color="auto"/>
            </w:tcBorders>
            <w:shd w:val="clear" w:color="auto" w:fill="auto"/>
            <w:noWrap/>
            <w:vAlign w:val="center"/>
            <w:hideMark/>
          </w:tcPr>
          <w:p w14:paraId="7532DA5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456" w:type="dxa"/>
            <w:tcBorders>
              <w:top w:val="nil"/>
              <w:left w:val="nil"/>
              <w:bottom w:val="single" w:sz="8" w:space="0" w:color="auto"/>
              <w:right w:val="single" w:sz="8" w:space="0" w:color="auto"/>
            </w:tcBorders>
            <w:shd w:val="clear" w:color="auto" w:fill="auto"/>
            <w:noWrap/>
            <w:vAlign w:val="center"/>
            <w:hideMark/>
          </w:tcPr>
          <w:p w14:paraId="3AEEC68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576" w:type="dxa"/>
            <w:tcBorders>
              <w:top w:val="nil"/>
              <w:left w:val="nil"/>
              <w:bottom w:val="single" w:sz="8" w:space="0" w:color="auto"/>
              <w:right w:val="single" w:sz="8" w:space="0" w:color="auto"/>
            </w:tcBorders>
            <w:shd w:val="clear" w:color="auto" w:fill="auto"/>
            <w:noWrap/>
            <w:vAlign w:val="center"/>
            <w:hideMark/>
          </w:tcPr>
          <w:p w14:paraId="7543B06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456" w:type="dxa"/>
            <w:tcBorders>
              <w:top w:val="nil"/>
              <w:left w:val="nil"/>
              <w:bottom w:val="single" w:sz="8" w:space="0" w:color="auto"/>
              <w:right w:val="single" w:sz="8" w:space="0" w:color="auto"/>
            </w:tcBorders>
            <w:shd w:val="clear" w:color="auto" w:fill="auto"/>
            <w:noWrap/>
            <w:vAlign w:val="center"/>
            <w:hideMark/>
          </w:tcPr>
          <w:p w14:paraId="40D3BE4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w:t>
            </w:r>
          </w:p>
        </w:tc>
      </w:tr>
      <w:tr w:rsidR="000C4B4E" w:rsidRPr="000C4B4E" w14:paraId="2DA1155F" w14:textId="77777777" w:rsidTr="00AA2D4D">
        <w:trPr>
          <w:trHeight w:val="340"/>
        </w:trPr>
        <w:tc>
          <w:tcPr>
            <w:tcW w:w="997" w:type="dxa"/>
            <w:tcBorders>
              <w:top w:val="nil"/>
              <w:left w:val="single" w:sz="8" w:space="0" w:color="auto"/>
              <w:bottom w:val="single" w:sz="8" w:space="0" w:color="auto"/>
              <w:right w:val="single" w:sz="8" w:space="0" w:color="auto"/>
            </w:tcBorders>
            <w:shd w:val="clear" w:color="auto" w:fill="auto"/>
            <w:vAlign w:val="center"/>
            <w:hideMark/>
          </w:tcPr>
          <w:p w14:paraId="496E2F5D"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Online support</w:t>
            </w:r>
          </w:p>
        </w:tc>
        <w:tc>
          <w:tcPr>
            <w:tcW w:w="576" w:type="dxa"/>
            <w:tcBorders>
              <w:top w:val="nil"/>
              <w:left w:val="nil"/>
              <w:bottom w:val="single" w:sz="8" w:space="0" w:color="auto"/>
              <w:right w:val="single" w:sz="8" w:space="0" w:color="auto"/>
            </w:tcBorders>
            <w:shd w:val="clear" w:color="auto" w:fill="auto"/>
            <w:noWrap/>
            <w:vAlign w:val="center"/>
            <w:hideMark/>
          </w:tcPr>
          <w:p w14:paraId="231BD59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14</w:t>
            </w:r>
          </w:p>
        </w:tc>
        <w:tc>
          <w:tcPr>
            <w:tcW w:w="456" w:type="dxa"/>
            <w:tcBorders>
              <w:top w:val="nil"/>
              <w:left w:val="nil"/>
              <w:bottom w:val="single" w:sz="8" w:space="0" w:color="auto"/>
              <w:right w:val="single" w:sz="8" w:space="0" w:color="auto"/>
            </w:tcBorders>
            <w:shd w:val="clear" w:color="auto" w:fill="auto"/>
            <w:noWrap/>
            <w:vAlign w:val="center"/>
            <w:hideMark/>
          </w:tcPr>
          <w:p w14:paraId="7DDD83F3"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11%</w:t>
            </w:r>
          </w:p>
        </w:tc>
        <w:tc>
          <w:tcPr>
            <w:tcW w:w="576" w:type="dxa"/>
            <w:tcBorders>
              <w:top w:val="nil"/>
              <w:left w:val="nil"/>
              <w:bottom w:val="single" w:sz="8" w:space="0" w:color="auto"/>
              <w:right w:val="single" w:sz="8" w:space="0" w:color="auto"/>
            </w:tcBorders>
            <w:shd w:val="clear" w:color="auto" w:fill="auto"/>
            <w:noWrap/>
            <w:vAlign w:val="center"/>
            <w:hideMark/>
          </w:tcPr>
          <w:p w14:paraId="361C04C7"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11</w:t>
            </w:r>
          </w:p>
        </w:tc>
        <w:tc>
          <w:tcPr>
            <w:tcW w:w="456" w:type="dxa"/>
            <w:tcBorders>
              <w:top w:val="nil"/>
              <w:left w:val="nil"/>
              <w:bottom w:val="single" w:sz="8" w:space="0" w:color="auto"/>
              <w:right w:val="single" w:sz="8" w:space="0" w:color="auto"/>
            </w:tcBorders>
            <w:shd w:val="clear" w:color="auto" w:fill="auto"/>
            <w:noWrap/>
            <w:vAlign w:val="center"/>
            <w:hideMark/>
          </w:tcPr>
          <w:p w14:paraId="6BF017B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14%</w:t>
            </w:r>
          </w:p>
        </w:tc>
        <w:tc>
          <w:tcPr>
            <w:tcW w:w="576" w:type="dxa"/>
            <w:tcBorders>
              <w:top w:val="nil"/>
              <w:left w:val="nil"/>
              <w:bottom w:val="single" w:sz="8" w:space="0" w:color="auto"/>
              <w:right w:val="single" w:sz="8" w:space="0" w:color="auto"/>
            </w:tcBorders>
            <w:shd w:val="clear" w:color="auto" w:fill="auto"/>
            <w:noWrap/>
            <w:vAlign w:val="center"/>
            <w:hideMark/>
          </w:tcPr>
          <w:p w14:paraId="74CB988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456" w:type="dxa"/>
            <w:tcBorders>
              <w:top w:val="nil"/>
              <w:left w:val="nil"/>
              <w:bottom w:val="single" w:sz="8" w:space="0" w:color="auto"/>
              <w:right w:val="single" w:sz="8" w:space="0" w:color="auto"/>
            </w:tcBorders>
            <w:shd w:val="clear" w:color="auto" w:fill="auto"/>
            <w:noWrap/>
            <w:vAlign w:val="center"/>
            <w:hideMark/>
          </w:tcPr>
          <w:p w14:paraId="41A68DF7"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w:t>
            </w:r>
          </w:p>
        </w:tc>
      </w:tr>
      <w:tr w:rsidR="000C4B4E" w:rsidRPr="000C4B4E" w14:paraId="0C58C97C" w14:textId="77777777" w:rsidTr="00AA2D4D">
        <w:trPr>
          <w:trHeight w:val="420"/>
        </w:trPr>
        <w:tc>
          <w:tcPr>
            <w:tcW w:w="997" w:type="dxa"/>
            <w:tcBorders>
              <w:top w:val="nil"/>
              <w:left w:val="single" w:sz="8" w:space="0" w:color="auto"/>
              <w:bottom w:val="single" w:sz="8" w:space="0" w:color="auto"/>
              <w:right w:val="single" w:sz="8" w:space="0" w:color="auto"/>
            </w:tcBorders>
            <w:shd w:val="clear" w:color="auto" w:fill="auto"/>
            <w:vAlign w:val="center"/>
            <w:hideMark/>
          </w:tcPr>
          <w:p w14:paraId="17BDB2C8"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Professor office hours</w:t>
            </w:r>
          </w:p>
        </w:tc>
        <w:tc>
          <w:tcPr>
            <w:tcW w:w="576" w:type="dxa"/>
            <w:tcBorders>
              <w:top w:val="nil"/>
              <w:left w:val="nil"/>
              <w:bottom w:val="single" w:sz="8" w:space="0" w:color="auto"/>
              <w:right w:val="single" w:sz="8" w:space="0" w:color="auto"/>
            </w:tcBorders>
            <w:shd w:val="clear" w:color="auto" w:fill="auto"/>
            <w:noWrap/>
            <w:vAlign w:val="center"/>
            <w:hideMark/>
          </w:tcPr>
          <w:p w14:paraId="6380714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12</w:t>
            </w:r>
          </w:p>
        </w:tc>
        <w:tc>
          <w:tcPr>
            <w:tcW w:w="456" w:type="dxa"/>
            <w:tcBorders>
              <w:top w:val="nil"/>
              <w:left w:val="nil"/>
              <w:bottom w:val="single" w:sz="8" w:space="0" w:color="auto"/>
              <w:right w:val="single" w:sz="8" w:space="0" w:color="auto"/>
            </w:tcBorders>
            <w:shd w:val="clear" w:color="auto" w:fill="auto"/>
            <w:noWrap/>
            <w:vAlign w:val="center"/>
            <w:hideMark/>
          </w:tcPr>
          <w:p w14:paraId="5185B93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10%</w:t>
            </w:r>
          </w:p>
        </w:tc>
        <w:tc>
          <w:tcPr>
            <w:tcW w:w="576" w:type="dxa"/>
            <w:tcBorders>
              <w:top w:val="nil"/>
              <w:left w:val="nil"/>
              <w:bottom w:val="single" w:sz="8" w:space="0" w:color="auto"/>
              <w:right w:val="single" w:sz="8" w:space="0" w:color="auto"/>
            </w:tcBorders>
            <w:shd w:val="clear" w:color="auto" w:fill="auto"/>
            <w:noWrap/>
            <w:vAlign w:val="center"/>
            <w:hideMark/>
          </w:tcPr>
          <w:p w14:paraId="121F03F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9</w:t>
            </w:r>
          </w:p>
        </w:tc>
        <w:tc>
          <w:tcPr>
            <w:tcW w:w="456" w:type="dxa"/>
            <w:tcBorders>
              <w:top w:val="nil"/>
              <w:left w:val="nil"/>
              <w:bottom w:val="single" w:sz="8" w:space="0" w:color="auto"/>
              <w:right w:val="single" w:sz="8" w:space="0" w:color="auto"/>
            </w:tcBorders>
            <w:shd w:val="clear" w:color="auto" w:fill="auto"/>
            <w:noWrap/>
            <w:vAlign w:val="center"/>
            <w:hideMark/>
          </w:tcPr>
          <w:p w14:paraId="4AE8E3A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11%</w:t>
            </w:r>
          </w:p>
        </w:tc>
        <w:tc>
          <w:tcPr>
            <w:tcW w:w="576" w:type="dxa"/>
            <w:tcBorders>
              <w:top w:val="nil"/>
              <w:left w:val="nil"/>
              <w:bottom w:val="single" w:sz="8" w:space="0" w:color="auto"/>
              <w:right w:val="single" w:sz="8" w:space="0" w:color="auto"/>
            </w:tcBorders>
            <w:shd w:val="clear" w:color="auto" w:fill="auto"/>
            <w:noWrap/>
            <w:vAlign w:val="center"/>
            <w:hideMark/>
          </w:tcPr>
          <w:p w14:paraId="6372DA08"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3</w:t>
            </w:r>
          </w:p>
        </w:tc>
        <w:tc>
          <w:tcPr>
            <w:tcW w:w="456" w:type="dxa"/>
            <w:tcBorders>
              <w:top w:val="nil"/>
              <w:left w:val="nil"/>
              <w:bottom w:val="single" w:sz="8" w:space="0" w:color="auto"/>
              <w:right w:val="single" w:sz="8" w:space="0" w:color="auto"/>
            </w:tcBorders>
            <w:shd w:val="clear" w:color="auto" w:fill="auto"/>
            <w:noWrap/>
            <w:vAlign w:val="center"/>
            <w:hideMark/>
          </w:tcPr>
          <w:p w14:paraId="4823469D"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7%</w:t>
            </w:r>
          </w:p>
        </w:tc>
      </w:tr>
      <w:tr w:rsidR="000C4B4E" w:rsidRPr="000C4B4E" w14:paraId="52313DDB" w14:textId="77777777" w:rsidTr="00AA2D4D">
        <w:trPr>
          <w:trHeight w:val="340"/>
        </w:trPr>
        <w:tc>
          <w:tcPr>
            <w:tcW w:w="997" w:type="dxa"/>
            <w:tcBorders>
              <w:top w:val="nil"/>
              <w:left w:val="single" w:sz="8" w:space="0" w:color="auto"/>
              <w:bottom w:val="single" w:sz="8" w:space="0" w:color="auto"/>
              <w:right w:val="single" w:sz="8" w:space="0" w:color="auto"/>
            </w:tcBorders>
            <w:shd w:val="clear" w:color="auto" w:fill="auto"/>
            <w:vAlign w:val="center"/>
            <w:hideMark/>
          </w:tcPr>
          <w:p w14:paraId="4536425C" w14:textId="33D260F3"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 xml:space="preserve">Other: </w:t>
            </w:r>
            <w:r w:rsidR="00ED4C2E">
              <w:rPr>
                <w:rFonts w:ascii="Cambria" w:hAnsi="Cambria" w:cs="Calibri"/>
                <w:color w:val="000000"/>
                <w:sz w:val="20"/>
                <w:szCs w:val="20"/>
              </w:rPr>
              <w:t>YouTube</w:t>
            </w:r>
          </w:p>
        </w:tc>
        <w:tc>
          <w:tcPr>
            <w:tcW w:w="576" w:type="dxa"/>
            <w:tcBorders>
              <w:top w:val="nil"/>
              <w:left w:val="nil"/>
              <w:bottom w:val="single" w:sz="8" w:space="0" w:color="auto"/>
              <w:right w:val="single" w:sz="8" w:space="0" w:color="auto"/>
            </w:tcBorders>
            <w:shd w:val="clear" w:color="auto" w:fill="auto"/>
            <w:noWrap/>
            <w:vAlign w:val="center"/>
            <w:hideMark/>
          </w:tcPr>
          <w:p w14:paraId="4D9C929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456" w:type="dxa"/>
            <w:tcBorders>
              <w:top w:val="nil"/>
              <w:left w:val="nil"/>
              <w:bottom w:val="single" w:sz="8" w:space="0" w:color="auto"/>
              <w:right w:val="single" w:sz="8" w:space="0" w:color="auto"/>
            </w:tcBorders>
            <w:shd w:val="clear" w:color="auto" w:fill="auto"/>
            <w:noWrap/>
            <w:vAlign w:val="center"/>
            <w:hideMark/>
          </w:tcPr>
          <w:p w14:paraId="0AB1B76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576" w:type="dxa"/>
            <w:tcBorders>
              <w:top w:val="nil"/>
              <w:left w:val="nil"/>
              <w:bottom w:val="single" w:sz="8" w:space="0" w:color="auto"/>
              <w:right w:val="single" w:sz="8" w:space="0" w:color="auto"/>
            </w:tcBorders>
            <w:shd w:val="clear" w:color="auto" w:fill="auto"/>
            <w:noWrap/>
            <w:vAlign w:val="center"/>
            <w:hideMark/>
          </w:tcPr>
          <w:p w14:paraId="5ED4C10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w:t>
            </w:r>
          </w:p>
        </w:tc>
        <w:tc>
          <w:tcPr>
            <w:tcW w:w="456" w:type="dxa"/>
            <w:tcBorders>
              <w:top w:val="nil"/>
              <w:left w:val="nil"/>
              <w:bottom w:val="single" w:sz="8" w:space="0" w:color="auto"/>
              <w:right w:val="single" w:sz="8" w:space="0" w:color="auto"/>
            </w:tcBorders>
            <w:shd w:val="clear" w:color="auto" w:fill="auto"/>
            <w:noWrap/>
            <w:vAlign w:val="center"/>
            <w:hideMark/>
          </w:tcPr>
          <w:p w14:paraId="22FD291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576" w:type="dxa"/>
            <w:tcBorders>
              <w:top w:val="nil"/>
              <w:left w:val="nil"/>
              <w:bottom w:val="single" w:sz="8" w:space="0" w:color="auto"/>
              <w:right w:val="single" w:sz="8" w:space="0" w:color="auto"/>
            </w:tcBorders>
            <w:shd w:val="clear" w:color="auto" w:fill="auto"/>
            <w:noWrap/>
            <w:vAlign w:val="center"/>
            <w:hideMark/>
          </w:tcPr>
          <w:p w14:paraId="651F30FF"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456" w:type="dxa"/>
            <w:tcBorders>
              <w:top w:val="nil"/>
              <w:left w:val="nil"/>
              <w:bottom w:val="single" w:sz="8" w:space="0" w:color="auto"/>
              <w:right w:val="single" w:sz="8" w:space="0" w:color="auto"/>
            </w:tcBorders>
            <w:shd w:val="clear" w:color="auto" w:fill="auto"/>
            <w:noWrap/>
            <w:vAlign w:val="center"/>
            <w:hideMark/>
          </w:tcPr>
          <w:p w14:paraId="78A7A35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r>
      <w:tr w:rsidR="000C4B4E" w:rsidRPr="000C4B4E" w14:paraId="043C963D" w14:textId="77777777" w:rsidTr="00AA2D4D">
        <w:trPr>
          <w:trHeight w:val="420"/>
        </w:trPr>
        <w:tc>
          <w:tcPr>
            <w:tcW w:w="997" w:type="dxa"/>
            <w:tcBorders>
              <w:top w:val="nil"/>
              <w:left w:val="single" w:sz="8" w:space="0" w:color="auto"/>
              <w:bottom w:val="single" w:sz="8" w:space="0" w:color="auto"/>
              <w:right w:val="single" w:sz="8" w:space="0" w:color="auto"/>
            </w:tcBorders>
            <w:shd w:val="clear" w:color="auto" w:fill="auto"/>
            <w:vAlign w:val="center"/>
            <w:hideMark/>
          </w:tcPr>
          <w:p w14:paraId="461ED5E5"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Pastoral Services</w:t>
            </w:r>
          </w:p>
        </w:tc>
        <w:tc>
          <w:tcPr>
            <w:tcW w:w="576" w:type="dxa"/>
            <w:tcBorders>
              <w:top w:val="nil"/>
              <w:left w:val="nil"/>
              <w:bottom w:val="single" w:sz="8" w:space="0" w:color="auto"/>
              <w:right w:val="single" w:sz="8" w:space="0" w:color="auto"/>
            </w:tcBorders>
            <w:shd w:val="clear" w:color="auto" w:fill="auto"/>
            <w:noWrap/>
            <w:vAlign w:val="center"/>
            <w:hideMark/>
          </w:tcPr>
          <w:p w14:paraId="28009C24"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456" w:type="dxa"/>
            <w:tcBorders>
              <w:top w:val="nil"/>
              <w:left w:val="nil"/>
              <w:bottom w:val="single" w:sz="8" w:space="0" w:color="auto"/>
              <w:right w:val="single" w:sz="8" w:space="0" w:color="auto"/>
            </w:tcBorders>
            <w:shd w:val="clear" w:color="auto" w:fill="auto"/>
            <w:noWrap/>
            <w:vAlign w:val="center"/>
            <w:hideMark/>
          </w:tcPr>
          <w:p w14:paraId="3A72E4C6"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4%</w:t>
            </w:r>
          </w:p>
        </w:tc>
        <w:tc>
          <w:tcPr>
            <w:tcW w:w="576" w:type="dxa"/>
            <w:tcBorders>
              <w:top w:val="nil"/>
              <w:left w:val="nil"/>
              <w:bottom w:val="nil"/>
              <w:right w:val="single" w:sz="8" w:space="0" w:color="auto"/>
            </w:tcBorders>
            <w:shd w:val="clear" w:color="auto" w:fill="auto"/>
            <w:noWrap/>
            <w:vAlign w:val="center"/>
            <w:hideMark/>
          </w:tcPr>
          <w:p w14:paraId="64BF55A5"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c>
          <w:tcPr>
            <w:tcW w:w="456" w:type="dxa"/>
            <w:tcBorders>
              <w:top w:val="nil"/>
              <w:left w:val="nil"/>
              <w:bottom w:val="single" w:sz="8" w:space="0" w:color="auto"/>
              <w:right w:val="single" w:sz="8" w:space="0" w:color="auto"/>
            </w:tcBorders>
            <w:shd w:val="clear" w:color="auto" w:fill="auto"/>
            <w:noWrap/>
            <w:vAlign w:val="center"/>
            <w:hideMark/>
          </w:tcPr>
          <w:p w14:paraId="1B45935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c>
          <w:tcPr>
            <w:tcW w:w="576" w:type="dxa"/>
            <w:tcBorders>
              <w:top w:val="nil"/>
              <w:left w:val="nil"/>
              <w:bottom w:val="single" w:sz="8" w:space="0" w:color="auto"/>
              <w:right w:val="single" w:sz="8" w:space="0" w:color="auto"/>
            </w:tcBorders>
            <w:shd w:val="clear" w:color="auto" w:fill="auto"/>
            <w:noWrap/>
            <w:vAlign w:val="center"/>
            <w:hideMark/>
          </w:tcPr>
          <w:p w14:paraId="5732B99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456" w:type="dxa"/>
            <w:tcBorders>
              <w:top w:val="nil"/>
              <w:left w:val="nil"/>
              <w:bottom w:val="single" w:sz="8" w:space="0" w:color="auto"/>
              <w:right w:val="single" w:sz="8" w:space="0" w:color="auto"/>
            </w:tcBorders>
            <w:shd w:val="clear" w:color="auto" w:fill="auto"/>
            <w:noWrap/>
            <w:vAlign w:val="center"/>
            <w:hideMark/>
          </w:tcPr>
          <w:p w14:paraId="5005A94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r>
      <w:tr w:rsidR="000C4B4E" w:rsidRPr="000C4B4E" w14:paraId="2512A5B4" w14:textId="77777777" w:rsidTr="00AA2D4D">
        <w:trPr>
          <w:trHeight w:val="340"/>
        </w:trPr>
        <w:tc>
          <w:tcPr>
            <w:tcW w:w="997" w:type="dxa"/>
            <w:tcBorders>
              <w:top w:val="nil"/>
              <w:left w:val="single" w:sz="8" w:space="0" w:color="auto"/>
              <w:bottom w:val="single" w:sz="8" w:space="0" w:color="auto"/>
              <w:right w:val="single" w:sz="8" w:space="0" w:color="auto"/>
            </w:tcBorders>
            <w:shd w:val="clear" w:color="auto" w:fill="auto"/>
            <w:vAlign w:val="center"/>
            <w:hideMark/>
          </w:tcPr>
          <w:p w14:paraId="235C5C88"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None</w:t>
            </w:r>
          </w:p>
        </w:tc>
        <w:tc>
          <w:tcPr>
            <w:tcW w:w="576" w:type="dxa"/>
            <w:tcBorders>
              <w:top w:val="nil"/>
              <w:left w:val="nil"/>
              <w:bottom w:val="single" w:sz="8" w:space="0" w:color="auto"/>
              <w:right w:val="single" w:sz="8" w:space="0" w:color="auto"/>
            </w:tcBorders>
            <w:shd w:val="clear" w:color="auto" w:fill="auto"/>
            <w:noWrap/>
            <w:vAlign w:val="center"/>
            <w:hideMark/>
          </w:tcPr>
          <w:p w14:paraId="295693F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19</w:t>
            </w:r>
          </w:p>
        </w:tc>
        <w:tc>
          <w:tcPr>
            <w:tcW w:w="456" w:type="dxa"/>
            <w:tcBorders>
              <w:top w:val="nil"/>
              <w:left w:val="nil"/>
              <w:bottom w:val="single" w:sz="8" w:space="0" w:color="auto"/>
              <w:right w:val="nil"/>
            </w:tcBorders>
            <w:shd w:val="clear" w:color="auto" w:fill="auto"/>
            <w:noWrap/>
            <w:vAlign w:val="center"/>
            <w:hideMark/>
          </w:tcPr>
          <w:p w14:paraId="79782EC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15%</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8127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13</w:t>
            </w:r>
          </w:p>
        </w:tc>
        <w:tc>
          <w:tcPr>
            <w:tcW w:w="456" w:type="dxa"/>
            <w:tcBorders>
              <w:top w:val="nil"/>
              <w:left w:val="nil"/>
              <w:bottom w:val="single" w:sz="8" w:space="0" w:color="auto"/>
              <w:right w:val="single" w:sz="8" w:space="0" w:color="auto"/>
            </w:tcBorders>
            <w:shd w:val="clear" w:color="auto" w:fill="auto"/>
            <w:noWrap/>
            <w:vAlign w:val="center"/>
            <w:hideMark/>
          </w:tcPr>
          <w:p w14:paraId="54D833B8"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16%</w:t>
            </w:r>
          </w:p>
        </w:tc>
        <w:tc>
          <w:tcPr>
            <w:tcW w:w="576" w:type="dxa"/>
            <w:tcBorders>
              <w:top w:val="nil"/>
              <w:left w:val="nil"/>
              <w:bottom w:val="single" w:sz="8" w:space="0" w:color="auto"/>
              <w:right w:val="single" w:sz="8" w:space="0" w:color="auto"/>
            </w:tcBorders>
            <w:shd w:val="clear" w:color="auto" w:fill="auto"/>
            <w:noWrap/>
            <w:vAlign w:val="center"/>
            <w:hideMark/>
          </w:tcPr>
          <w:p w14:paraId="0544FC4E"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6</w:t>
            </w:r>
          </w:p>
        </w:tc>
        <w:tc>
          <w:tcPr>
            <w:tcW w:w="456" w:type="dxa"/>
            <w:tcBorders>
              <w:top w:val="nil"/>
              <w:left w:val="nil"/>
              <w:bottom w:val="single" w:sz="8" w:space="0" w:color="auto"/>
              <w:right w:val="single" w:sz="8" w:space="0" w:color="auto"/>
            </w:tcBorders>
            <w:shd w:val="clear" w:color="auto" w:fill="auto"/>
            <w:noWrap/>
            <w:vAlign w:val="center"/>
            <w:hideMark/>
          </w:tcPr>
          <w:p w14:paraId="428FE360"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14%</w:t>
            </w:r>
          </w:p>
        </w:tc>
      </w:tr>
      <w:tr w:rsidR="000C4B4E" w:rsidRPr="000C4B4E" w14:paraId="5E335652" w14:textId="77777777" w:rsidTr="00AA2D4D">
        <w:trPr>
          <w:trHeight w:val="420"/>
        </w:trPr>
        <w:tc>
          <w:tcPr>
            <w:tcW w:w="997" w:type="dxa"/>
            <w:tcBorders>
              <w:top w:val="nil"/>
              <w:left w:val="single" w:sz="8" w:space="0" w:color="auto"/>
              <w:bottom w:val="single" w:sz="8" w:space="0" w:color="auto"/>
              <w:right w:val="single" w:sz="8" w:space="0" w:color="auto"/>
            </w:tcBorders>
            <w:shd w:val="clear" w:color="auto" w:fill="auto"/>
            <w:vAlign w:val="center"/>
            <w:hideMark/>
          </w:tcPr>
          <w:p w14:paraId="576BBD56" w14:textId="77777777" w:rsidR="000C4B4E" w:rsidRPr="000C4B4E" w:rsidRDefault="000C4B4E" w:rsidP="000C4B4E">
            <w:pPr>
              <w:rPr>
                <w:rFonts w:ascii="Cambria" w:hAnsi="Cambria" w:cs="Calibri"/>
                <w:color w:val="000000"/>
                <w:sz w:val="20"/>
                <w:szCs w:val="20"/>
              </w:rPr>
            </w:pPr>
            <w:r w:rsidRPr="000C4B4E">
              <w:rPr>
                <w:rFonts w:ascii="Cambria" w:hAnsi="Cambria" w:cs="Calibri"/>
                <w:color w:val="000000"/>
                <w:sz w:val="20"/>
                <w:szCs w:val="20"/>
              </w:rPr>
              <w:t>Student Services office</w:t>
            </w:r>
          </w:p>
        </w:tc>
        <w:tc>
          <w:tcPr>
            <w:tcW w:w="576" w:type="dxa"/>
            <w:tcBorders>
              <w:top w:val="nil"/>
              <w:left w:val="nil"/>
              <w:bottom w:val="single" w:sz="8" w:space="0" w:color="auto"/>
              <w:right w:val="single" w:sz="8" w:space="0" w:color="auto"/>
            </w:tcBorders>
            <w:shd w:val="clear" w:color="auto" w:fill="auto"/>
            <w:noWrap/>
            <w:vAlign w:val="center"/>
            <w:hideMark/>
          </w:tcPr>
          <w:p w14:paraId="5B4B690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456" w:type="dxa"/>
            <w:tcBorders>
              <w:top w:val="nil"/>
              <w:left w:val="nil"/>
              <w:bottom w:val="single" w:sz="8" w:space="0" w:color="auto"/>
              <w:right w:val="single" w:sz="8" w:space="0" w:color="auto"/>
            </w:tcBorders>
            <w:shd w:val="clear" w:color="auto" w:fill="auto"/>
            <w:noWrap/>
            <w:vAlign w:val="center"/>
            <w:hideMark/>
          </w:tcPr>
          <w:p w14:paraId="77082041"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576" w:type="dxa"/>
            <w:tcBorders>
              <w:top w:val="nil"/>
              <w:left w:val="nil"/>
              <w:bottom w:val="single" w:sz="8" w:space="0" w:color="auto"/>
              <w:right w:val="single" w:sz="8" w:space="0" w:color="auto"/>
            </w:tcBorders>
            <w:shd w:val="clear" w:color="auto" w:fill="auto"/>
            <w:noWrap/>
            <w:vAlign w:val="center"/>
            <w:hideMark/>
          </w:tcPr>
          <w:p w14:paraId="0DCA561A"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456" w:type="dxa"/>
            <w:tcBorders>
              <w:top w:val="nil"/>
              <w:left w:val="nil"/>
              <w:bottom w:val="single" w:sz="8" w:space="0" w:color="auto"/>
              <w:right w:val="single" w:sz="8" w:space="0" w:color="auto"/>
            </w:tcBorders>
            <w:shd w:val="clear" w:color="auto" w:fill="auto"/>
            <w:noWrap/>
            <w:vAlign w:val="center"/>
            <w:hideMark/>
          </w:tcPr>
          <w:p w14:paraId="2655D9E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0%</w:t>
            </w:r>
          </w:p>
        </w:tc>
        <w:tc>
          <w:tcPr>
            <w:tcW w:w="576" w:type="dxa"/>
            <w:tcBorders>
              <w:top w:val="nil"/>
              <w:left w:val="nil"/>
              <w:bottom w:val="single" w:sz="8" w:space="0" w:color="auto"/>
              <w:right w:val="single" w:sz="8" w:space="0" w:color="auto"/>
            </w:tcBorders>
            <w:shd w:val="clear" w:color="auto" w:fill="auto"/>
            <w:noWrap/>
            <w:vAlign w:val="center"/>
            <w:hideMark/>
          </w:tcPr>
          <w:p w14:paraId="4695E83C"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2</w:t>
            </w:r>
          </w:p>
        </w:tc>
        <w:tc>
          <w:tcPr>
            <w:tcW w:w="456" w:type="dxa"/>
            <w:tcBorders>
              <w:top w:val="nil"/>
              <w:left w:val="nil"/>
              <w:bottom w:val="single" w:sz="8" w:space="0" w:color="auto"/>
              <w:right w:val="single" w:sz="8" w:space="0" w:color="auto"/>
            </w:tcBorders>
            <w:shd w:val="clear" w:color="auto" w:fill="auto"/>
            <w:noWrap/>
            <w:vAlign w:val="center"/>
            <w:hideMark/>
          </w:tcPr>
          <w:p w14:paraId="7FFB13CB" w14:textId="77777777" w:rsidR="000C4B4E" w:rsidRPr="000C4B4E" w:rsidRDefault="000C4B4E" w:rsidP="000C4B4E">
            <w:pPr>
              <w:jc w:val="right"/>
              <w:rPr>
                <w:rFonts w:ascii="Cambria" w:hAnsi="Cambria" w:cs="Calibri"/>
                <w:color w:val="000000"/>
                <w:sz w:val="20"/>
                <w:szCs w:val="20"/>
              </w:rPr>
            </w:pPr>
            <w:r w:rsidRPr="000C4B4E">
              <w:rPr>
                <w:rFonts w:ascii="Cambria" w:hAnsi="Cambria" w:cs="Calibri"/>
                <w:color w:val="000000"/>
                <w:sz w:val="20"/>
                <w:szCs w:val="20"/>
              </w:rPr>
              <w:t>5%</w:t>
            </w:r>
          </w:p>
        </w:tc>
      </w:tr>
    </w:tbl>
    <w:p w14:paraId="52661CBE" w14:textId="77777777" w:rsidR="000C4B4E" w:rsidRDefault="000C4B4E" w:rsidP="00F84901">
      <w:pPr>
        <w:spacing w:line="480" w:lineRule="auto"/>
        <w:outlineLvl w:val="0"/>
        <w:rPr>
          <w:rFonts w:asciiTheme="minorHAnsi" w:hAnsiTheme="minorHAnsi"/>
        </w:rPr>
      </w:pPr>
    </w:p>
    <w:p w14:paraId="14A1F10C" w14:textId="77777777" w:rsidR="006D499C" w:rsidRDefault="006D499C" w:rsidP="00F84901">
      <w:pPr>
        <w:spacing w:line="480" w:lineRule="auto"/>
        <w:outlineLvl w:val="0"/>
        <w:rPr>
          <w:rFonts w:asciiTheme="minorHAnsi" w:hAnsiTheme="minorHAnsi"/>
        </w:rPr>
      </w:pPr>
    </w:p>
    <w:p w14:paraId="23A9093E" w14:textId="273B1934" w:rsidR="006D499C" w:rsidRPr="00A658B0" w:rsidRDefault="000A1A22" w:rsidP="00006B09">
      <w:pPr>
        <w:spacing w:line="480" w:lineRule="auto"/>
        <w:rPr>
          <w:rFonts w:asciiTheme="minorHAnsi" w:hAnsiTheme="minorHAnsi"/>
          <w:b/>
        </w:rPr>
      </w:pPr>
      <w:r w:rsidRPr="00A658B0">
        <w:rPr>
          <w:rFonts w:asciiTheme="minorHAnsi" w:hAnsiTheme="minorHAnsi"/>
          <w:b/>
        </w:rPr>
        <w:t>Figure 9</w:t>
      </w:r>
      <w:r w:rsidR="006D499C" w:rsidRPr="00A658B0">
        <w:rPr>
          <w:rFonts w:asciiTheme="minorHAnsi" w:hAnsiTheme="minorHAnsi"/>
          <w:b/>
        </w:rPr>
        <w:t>. Group 1/Control 2016 Student Support Service Use:</w:t>
      </w:r>
      <w:r w:rsidR="008B0226" w:rsidRPr="00A658B0">
        <w:rPr>
          <w:rFonts w:asciiTheme="minorHAnsi" w:hAnsiTheme="minorHAnsi"/>
          <w:b/>
        </w:rPr>
        <w:t xml:space="preserve"> Totals</w:t>
      </w:r>
    </w:p>
    <w:p w14:paraId="26D445A0" w14:textId="008EE869" w:rsidR="006D499C" w:rsidRDefault="006D499C" w:rsidP="00006B09">
      <w:pPr>
        <w:spacing w:line="480" w:lineRule="auto"/>
        <w:rPr>
          <w:rFonts w:asciiTheme="minorHAnsi" w:hAnsiTheme="minorHAnsi"/>
        </w:rPr>
      </w:pPr>
      <w:r>
        <w:rPr>
          <w:rFonts w:asciiTheme="minorHAnsi" w:hAnsiTheme="minorHAnsi"/>
        </w:rPr>
        <w:t>Percentage of Support Service Usage for all respondents</w:t>
      </w:r>
      <w:r w:rsidR="00006B09">
        <w:rPr>
          <w:rFonts w:asciiTheme="minorHAnsi" w:hAnsiTheme="minorHAnsi"/>
        </w:rPr>
        <w:t>.</w:t>
      </w:r>
      <w:r>
        <w:rPr>
          <w:rFonts w:asciiTheme="minorHAnsi" w:hAnsiTheme="minorHAnsi"/>
        </w:rPr>
        <w:t xml:space="preserve"> </w:t>
      </w:r>
      <w:r w:rsidR="00006B09">
        <w:rPr>
          <w:rFonts w:asciiTheme="minorHAnsi" w:hAnsiTheme="minorHAnsi"/>
        </w:rPr>
        <w:t>MCBPs (&lt;80% exam grade) compared to total group and students with exam grade &gt;80%.</w:t>
      </w:r>
    </w:p>
    <w:p w14:paraId="6DEE0C8A" w14:textId="77777777" w:rsidR="006D499C" w:rsidRDefault="006D499C" w:rsidP="00F84901">
      <w:pPr>
        <w:spacing w:line="480" w:lineRule="auto"/>
        <w:outlineLvl w:val="0"/>
        <w:rPr>
          <w:rFonts w:asciiTheme="minorHAnsi" w:hAnsiTheme="minorHAnsi"/>
        </w:rPr>
      </w:pPr>
    </w:p>
    <w:p w14:paraId="7957B220" w14:textId="77777777" w:rsidR="0077719C" w:rsidRDefault="0077719C" w:rsidP="00F84901">
      <w:pPr>
        <w:spacing w:line="480" w:lineRule="auto"/>
        <w:outlineLvl w:val="0"/>
        <w:rPr>
          <w:rFonts w:asciiTheme="minorHAnsi" w:hAnsiTheme="minorHAnsi"/>
        </w:rPr>
      </w:pPr>
    </w:p>
    <w:p w14:paraId="335EC2C3" w14:textId="3459765A" w:rsidR="0077719C" w:rsidRDefault="0077719C">
      <w:pPr>
        <w:rPr>
          <w:rFonts w:asciiTheme="minorHAnsi" w:hAnsiTheme="minorHAnsi"/>
        </w:rPr>
      </w:pPr>
      <w:r>
        <w:rPr>
          <w:rFonts w:asciiTheme="minorHAnsi" w:hAnsiTheme="minorHAnsi"/>
        </w:rPr>
        <w:br w:type="page"/>
      </w:r>
    </w:p>
    <w:tbl>
      <w:tblPr>
        <w:tblW w:w="4360" w:type="dxa"/>
        <w:tblLook w:val="04A0" w:firstRow="1" w:lastRow="0" w:firstColumn="1" w:lastColumn="0" w:noHBand="0" w:noVBand="1"/>
      </w:tblPr>
      <w:tblGrid>
        <w:gridCol w:w="1517"/>
        <w:gridCol w:w="692"/>
        <w:gridCol w:w="616"/>
        <w:gridCol w:w="727"/>
        <w:gridCol w:w="616"/>
        <w:gridCol w:w="727"/>
        <w:gridCol w:w="616"/>
      </w:tblGrid>
      <w:tr w:rsidR="0077719C" w:rsidRPr="0077719C" w14:paraId="00DCDF3B" w14:textId="77777777" w:rsidTr="0077719C">
        <w:trPr>
          <w:trHeight w:val="620"/>
        </w:trPr>
        <w:tc>
          <w:tcPr>
            <w:tcW w:w="13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5B7B473" w14:textId="3B5F3722" w:rsidR="0077719C" w:rsidRPr="008B0226" w:rsidRDefault="008B0226" w:rsidP="0077719C">
            <w:pPr>
              <w:rPr>
                <w:rFonts w:ascii="Cambria" w:hAnsi="Cambria" w:cs="Calibri"/>
                <w:color w:val="000000"/>
                <w:sz w:val="20"/>
                <w:szCs w:val="20"/>
              </w:rPr>
            </w:pPr>
            <w:r>
              <w:rPr>
                <w:rFonts w:ascii="Cambria" w:hAnsi="Cambria" w:cs="Calibri"/>
                <w:color w:val="000000"/>
                <w:sz w:val="20"/>
                <w:szCs w:val="20"/>
              </w:rPr>
              <w:lastRenderedPageBreak/>
              <w:t xml:space="preserve">Experimental Group </w:t>
            </w:r>
            <w:r w:rsidR="0077719C" w:rsidRPr="008B0226">
              <w:rPr>
                <w:rFonts w:ascii="Cambria" w:hAnsi="Cambria" w:cs="Calibri"/>
                <w:color w:val="000000"/>
                <w:sz w:val="20"/>
                <w:szCs w:val="20"/>
              </w:rPr>
              <w:t>Type of Support</w:t>
            </w:r>
          </w:p>
        </w:tc>
        <w:tc>
          <w:tcPr>
            <w:tcW w:w="480" w:type="dxa"/>
            <w:tcBorders>
              <w:top w:val="single" w:sz="8" w:space="0" w:color="auto"/>
              <w:left w:val="nil"/>
              <w:bottom w:val="single" w:sz="8" w:space="0" w:color="auto"/>
              <w:right w:val="single" w:sz="8" w:space="0" w:color="auto"/>
            </w:tcBorders>
            <w:shd w:val="clear" w:color="auto" w:fill="auto"/>
            <w:vAlign w:val="center"/>
            <w:hideMark/>
          </w:tcPr>
          <w:p w14:paraId="3392848F"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Exam 1 n=51</w:t>
            </w:r>
          </w:p>
        </w:tc>
        <w:tc>
          <w:tcPr>
            <w:tcW w:w="420" w:type="dxa"/>
            <w:tcBorders>
              <w:top w:val="single" w:sz="8" w:space="0" w:color="auto"/>
              <w:left w:val="nil"/>
              <w:bottom w:val="single" w:sz="8" w:space="0" w:color="auto"/>
              <w:right w:val="single" w:sz="8" w:space="0" w:color="auto"/>
            </w:tcBorders>
            <w:shd w:val="clear" w:color="auto" w:fill="auto"/>
            <w:vAlign w:val="center"/>
            <w:hideMark/>
          </w:tcPr>
          <w:p w14:paraId="16F42131"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 </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2EAA13F7"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Exam 1 &gt;80% n=41</w:t>
            </w:r>
          </w:p>
        </w:tc>
        <w:tc>
          <w:tcPr>
            <w:tcW w:w="400" w:type="dxa"/>
            <w:tcBorders>
              <w:top w:val="single" w:sz="8" w:space="0" w:color="auto"/>
              <w:left w:val="nil"/>
              <w:bottom w:val="single" w:sz="8" w:space="0" w:color="auto"/>
              <w:right w:val="single" w:sz="8" w:space="0" w:color="auto"/>
            </w:tcBorders>
            <w:shd w:val="clear" w:color="auto" w:fill="auto"/>
            <w:vAlign w:val="center"/>
            <w:hideMark/>
          </w:tcPr>
          <w:p w14:paraId="4DCCC94A"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 </w:t>
            </w:r>
          </w:p>
        </w:tc>
        <w:tc>
          <w:tcPr>
            <w:tcW w:w="720" w:type="dxa"/>
            <w:tcBorders>
              <w:top w:val="single" w:sz="8" w:space="0" w:color="auto"/>
              <w:left w:val="nil"/>
              <w:bottom w:val="single" w:sz="8" w:space="0" w:color="auto"/>
              <w:right w:val="single" w:sz="8" w:space="0" w:color="auto"/>
            </w:tcBorders>
            <w:shd w:val="clear" w:color="auto" w:fill="auto"/>
            <w:vAlign w:val="center"/>
            <w:hideMark/>
          </w:tcPr>
          <w:p w14:paraId="4452FE90"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Exam 1 &lt;80% n=10</w:t>
            </w:r>
          </w:p>
        </w:tc>
        <w:tc>
          <w:tcPr>
            <w:tcW w:w="420" w:type="dxa"/>
            <w:tcBorders>
              <w:top w:val="single" w:sz="8" w:space="0" w:color="auto"/>
              <w:left w:val="nil"/>
              <w:bottom w:val="single" w:sz="8" w:space="0" w:color="auto"/>
              <w:right w:val="single" w:sz="8" w:space="0" w:color="auto"/>
            </w:tcBorders>
            <w:shd w:val="clear" w:color="auto" w:fill="auto"/>
            <w:vAlign w:val="center"/>
            <w:hideMark/>
          </w:tcPr>
          <w:p w14:paraId="3EFCBC9E"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 </w:t>
            </w:r>
          </w:p>
        </w:tc>
      </w:tr>
      <w:tr w:rsidR="0077719C" w:rsidRPr="0077719C" w14:paraId="3E6C67F8"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346C8824"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peer support</w:t>
            </w:r>
          </w:p>
        </w:tc>
        <w:tc>
          <w:tcPr>
            <w:tcW w:w="480" w:type="dxa"/>
            <w:tcBorders>
              <w:top w:val="nil"/>
              <w:left w:val="nil"/>
              <w:bottom w:val="single" w:sz="8" w:space="0" w:color="auto"/>
              <w:right w:val="single" w:sz="8" w:space="0" w:color="auto"/>
            </w:tcBorders>
            <w:shd w:val="clear" w:color="auto" w:fill="auto"/>
            <w:noWrap/>
            <w:vAlign w:val="center"/>
            <w:hideMark/>
          </w:tcPr>
          <w:p w14:paraId="42AF9F4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23</w:t>
            </w:r>
          </w:p>
        </w:tc>
        <w:tc>
          <w:tcPr>
            <w:tcW w:w="420" w:type="dxa"/>
            <w:tcBorders>
              <w:top w:val="nil"/>
              <w:left w:val="nil"/>
              <w:bottom w:val="single" w:sz="8" w:space="0" w:color="auto"/>
              <w:right w:val="single" w:sz="8" w:space="0" w:color="auto"/>
            </w:tcBorders>
            <w:shd w:val="clear" w:color="auto" w:fill="auto"/>
            <w:noWrap/>
            <w:vAlign w:val="center"/>
            <w:hideMark/>
          </w:tcPr>
          <w:p w14:paraId="667E2FB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45%</w:t>
            </w:r>
          </w:p>
        </w:tc>
        <w:tc>
          <w:tcPr>
            <w:tcW w:w="620" w:type="dxa"/>
            <w:tcBorders>
              <w:top w:val="nil"/>
              <w:left w:val="nil"/>
              <w:bottom w:val="single" w:sz="8" w:space="0" w:color="auto"/>
              <w:right w:val="single" w:sz="8" w:space="0" w:color="auto"/>
            </w:tcBorders>
            <w:shd w:val="clear" w:color="auto" w:fill="auto"/>
            <w:noWrap/>
            <w:vAlign w:val="center"/>
            <w:hideMark/>
          </w:tcPr>
          <w:p w14:paraId="11FA25A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16</w:t>
            </w:r>
          </w:p>
        </w:tc>
        <w:tc>
          <w:tcPr>
            <w:tcW w:w="400" w:type="dxa"/>
            <w:tcBorders>
              <w:top w:val="nil"/>
              <w:left w:val="nil"/>
              <w:bottom w:val="single" w:sz="8" w:space="0" w:color="auto"/>
              <w:right w:val="single" w:sz="8" w:space="0" w:color="auto"/>
            </w:tcBorders>
            <w:shd w:val="clear" w:color="auto" w:fill="auto"/>
            <w:noWrap/>
            <w:vAlign w:val="center"/>
            <w:hideMark/>
          </w:tcPr>
          <w:p w14:paraId="44832FC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39%</w:t>
            </w:r>
          </w:p>
        </w:tc>
        <w:tc>
          <w:tcPr>
            <w:tcW w:w="720" w:type="dxa"/>
            <w:tcBorders>
              <w:top w:val="nil"/>
              <w:left w:val="nil"/>
              <w:bottom w:val="single" w:sz="8" w:space="0" w:color="auto"/>
              <w:right w:val="single" w:sz="8" w:space="0" w:color="auto"/>
            </w:tcBorders>
            <w:shd w:val="clear" w:color="auto" w:fill="auto"/>
            <w:vAlign w:val="center"/>
            <w:hideMark/>
          </w:tcPr>
          <w:p w14:paraId="77CD341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7</w:t>
            </w:r>
          </w:p>
        </w:tc>
        <w:tc>
          <w:tcPr>
            <w:tcW w:w="420" w:type="dxa"/>
            <w:tcBorders>
              <w:top w:val="nil"/>
              <w:left w:val="nil"/>
              <w:bottom w:val="single" w:sz="8" w:space="0" w:color="auto"/>
              <w:right w:val="single" w:sz="8" w:space="0" w:color="auto"/>
            </w:tcBorders>
            <w:shd w:val="clear" w:color="auto" w:fill="auto"/>
            <w:noWrap/>
            <w:vAlign w:val="center"/>
            <w:hideMark/>
          </w:tcPr>
          <w:p w14:paraId="1654632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70%</w:t>
            </w:r>
          </w:p>
        </w:tc>
      </w:tr>
      <w:tr w:rsidR="0077719C" w:rsidRPr="0077719C" w14:paraId="43B1962B" w14:textId="77777777" w:rsidTr="0077719C">
        <w:trPr>
          <w:trHeight w:val="42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5FDD73A7"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advice from upperclassmen</w:t>
            </w:r>
          </w:p>
        </w:tc>
        <w:tc>
          <w:tcPr>
            <w:tcW w:w="480" w:type="dxa"/>
            <w:tcBorders>
              <w:top w:val="nil"/>
              <w:left w:val="nil"/>
              <w:bottom w:val="single" w:sz="8" w:space="0" w:color="auto"/>
              <w:right w:val="single" w:sz="8" w:space="0" w:color="auto"/>
            </w:tcBorders>
            <w:shd w:val="clear" w:color="auto" w:fill="auto"/>
            <w:noWrap/>
            <w:vAlign w:val="center"/>
            <w:hideMark/>
          </w:tcPr>
          <w:p w14:paraId="4DAAB05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24</w:t>
            </w:r>
          </w:p>
        </w:tc>
        <w:tc>
          <w:tcPr>
            <w:tcW w:w="420" w:type="dxa"/>
            <w:tcBorders>
              <w:top w:val="nil"/>
              <w:left w:val="nil"/>
              <w:bottom w:val="single" w:sz="8" w:space="0" w:color="auto"/>
              <w:right w:val="single" w:sz="8" w:space="0" w:color="auto"/>
            </w:tcBorders>
            <w:shd w:val="clear" w:color="auto" w:fill="auto"/>
            <w:noWrap/>
            <w:vAlign w:val="center"/>
            <w:hideMark/>
          </w:tcPr>
          <w:p w14:paraId="283C28A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47%</w:t>
            </w:r>
          </w:p>
        </w:tc>
        <w:tc>
          <w:tcPr>
            <w:tcW w:w="620" w:type="dxa"/>
            <w:tcBorders>
              <w:top w:val="nil"/>
              <w:left w:val="nil"/>
              <w:bottom w:val="single" w:sz="8" w:space="0" w:color="auto"/>
              <w:right w:val="single" w:sz="8" w:space="0" w:color="auto"/>
            </w:tcBorders>
            <w:shd w:val="clear" w:color="auto" w:fill="auto"/>
            <w:noWrap/>
            <w:vAlign w:val="center"/>
            <w:hideMark/>
          </w:tcPr>
          <w:p w14:paraId="26EFDB0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15</w:t>
            </w:r>
          </w:p>
        </w:tc>
        <w:tc>
          <w:tcPr>
            <w:tcW w:w="400" w:type="dxa"/>
            <w:tcBorders>
              <w:top w:val="nil"/>
              <w:left w:val="nil"/>
              <w:bottom w:val="single" w:sz="8" w:space="0" w:color="auto"/>
              <w:right w:val="single" w:sz="8" w:space="0" w:color="auto"/>
            </w:tcBorders>
            <w:shd w:val="clear" w:color="auto" w:fill="auto"/>
            <w:noWrap/>
            <w:vAlign w:val="center"/>
            <w:hideMark/>
          </w:tcPr>
          <w:p w14:paraId="5AB3091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37%</w:t>
            </w:r>
          </w:p>
        </w:tc>
        <w:tc>
          <w:tcPr>
            <w:tcW w:w="720" w:type="dxa"/>
            <w:tcBorders>
              <w:top w:val="nil"/>
              <w:left w:val="nil"/>
              <w:bottom w:val="single" w:sz="8" w:space="0" w:color="auto"/>
              <w:right w:val="single" w:sz="8" w:space="0" w:color="auto"/>
            </w:tcBorders>
            <w:shd w:val="clear" w:color="auto" w:fill="auto"/>
            <w:vAlign w:val="center"/>
            <w:hideMark/>
          </w:tcPr>
          <w:p w14:paraId="216FA36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9</w:t>
            </w:r>
          </w:p>
        </w:tc>
        <w:tc>
          <w:tcPr>
            <w:tcW w:w="420" w:type="dxa"/>
            <w:tcBorders>
              <w:top w:val="nil"/>
              <w:left w:val="nil"/>
              <w:bottom w:val="single" w:sz="8" w:space="0" w:color="auto"/>
              <w:right w:val="single" w:sz="8" w:space="0" w:color="auto"/>
            </w:tcBorders>
            <w:shd w:val="clear" w:color="auto" w:fill="auto"/>
            <w:noWrap/>
            <w:vAlign w:val="center"/>
            <w:hideMark/>
          </w:tcPr>
          <w:p w14:paraId="52DB575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90%</w:t>
            </w:r>
          </w:p>
        </w:tc>
      </w:tr>
      <w:tr w:rsidR="0077719C" w:rsidRPr="0077719C" w14:paraId="5AAFC4D9"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0EDABE00"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family support</w:t>
            </w:r>
          </w:p>
        </w:tc>
        <w:tc>
          <w:tcPr>
            <w:tcW w:w="480" w:type="dxa"/>
            <w:tcBorders>
              <w:top w:val="nil"/>
              <w:left w:val="nil"/>
              <w:bottom w:val="single" w:sz="8" w:space="0" w:color="auto"/>
              <w:right w:val="single" w:sz="8" w:space="0" w:color="auto"/>
            </w:tcBorders>
            <w:shd w:val="clear" w:color="auto" w:fill="auto"/>
            <w:noWrap/>
            <w:vAlign w:val="center"/>
            <w:hideMark/>
          </w:tcPr>
          <w:p w14:paraId="78B7B95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24</w:t>
            </w:r>
          </w:p>
        </w:tc>
        <w:tc>
          <w:tcPr>
            <w:tcW w:w="420" w:type="dxa"/>
            <w:tcBorders>
              <w:top w:val="nil"/>
              <w:left w:val="nil"/>
              <w:bottom w:val="single" w:sz="8" w:space="0" w:color="auto"/>
              <w:right w:val="single" w:sz="8" w:space="0" w:color="auto"/>
            </w:tcBorders>
            <w:shd w:val="clear" w:color="auto" w:fill="auto"/>
            <w:noWrap/>
            <w:vAlign w:val="center"/>
            <w:hideMark/>
          </w:tcPr>
          <w:p w14:paraId="3B4D8F4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47%</w:t>
            </w:r>
          </w:p>
        </w:tc>
        <w:tc>
          <w:tcPr>
            <w:tcW w:w="620" w:type="dxa"/>
            <w:tcBorders>
              <w:top w:val="nil"/>
              <w:left w:val="nil"/>
              <w:bottom w:val="single" w:sz="8" w:space="0" w:color="auto"/>
              <w:right w:val="single" w:sz="8" w:space="0" w:color="auto"/>
            </w:tcBorders>
            <w:shd w:val="clear" w:color="auto" w:fill="auto"/>
            <w:noWrap/>
            <w:vAlign w:val="center"/>
            <w:hideMark/>
          </w:tcPr>
          <w:p w14:paraId="297D6BE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18</w:t>
            </w:r>
          </w:p>
        </w:tc>
        <w:tc>
          <w:tcPr>
            <w:tcW w:w="400" w:type="dxa"/>
            <w:tcBorders>
              <w:top w:val="nil"/>
              <w:left w:val="nil"/>
              <w:bottom w:val="single" w:sz="8" w:space="0" w:color="auto"/>
              <w:right w:val="single" w:sz="8" w:space="0" w:color="auto"/>
            </w:tcBorders>
            <w:shd w:val="clear" w:color="auto" w:fill="auto"/>
            <w:noWrap/>
            <w:vAlign w:val="center"/>
            <w:hideMark/>
          </w:tcPr>
          <w:p w14:paraId="4BA08A9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44%</w:t>
            </w:r>
          </w:p>
        </w:tc>
        <w:tc>
          <w:tcPr>
            <w:tcW w:w="720" w:type="dxa"/>
            <w:tcBorders>
              <w:top w:val="nil"/>
              <w:left w:val="nil"/>
              <w:bottom w:val="single" w:sz="8" w:space="0" w:color="auto"/>
              <w:right w:val="single" w:sz="8" w:space="0" w:color="auto"/>
            </w:tcBorders>
            <w:shd w:val="clear" w:color="auto" w:fill="auto"/>
            <w:vAlign w:val="center"/>
            <w:hideMark/>
          </w:tcPr>
          <w:p w14:paraId="68F1228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w:t>
            </w:r>
          </w:p>
        </w:tc>
        <w:tc>
          <w:tcPr>
            <w:tcW w:w="420" w:type="dxa"/>
            <w:tcBorders>
              <w:top w:val="nil"/>
              <w:left w:val="nil"/>
              <w:bottom w:val="single" w:sz="8" w:space="0" w:color="auto"/>
              <w:right w:val="single" w:sz="8" w:space="0" w:color="auto"/>
            </w:tcBorders>
            <w:shd w:val="clear" w:color="auto" w:fill="auto"/>
            <w:noWrap/>
            <w:vAlign w:val="center"/>
            <w:hideMark/>
          </w:tcPr>
          <w:p w14:paraId="05C7BD2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60%</w:t>
            </w:r>
          </w:p>
        </w:tc>
      </w:tr>
      <w:tr w:rsidR="0077719C" w:rsidRPr="0077719C" w14:paraId="6E3BADB4"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241FB092"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tutoring</w:t>
            </w:r>
          </w:p>
        </w:tc>
        <w:tc>
          <w:tcPr>
            <w:tcW w:w="480" w:type="dxa"/>
            <w:tcBorders>
              <w:top w:val="nil"/>
              <w:left w:val="nil"/>
              <w:bottom w:val="single" w:sz="8" w:space="0" w:color="auto"/>
              <w:right w:val="single" w:sz="8" w:space="0" w:color="auto"/>
            </w:tcBorders>
            <w:shd w:val="clear" w:color="auto" w:fill="auto"/>
            <w:noWrap/>
            <w:vAlign w:val="center"/>
            <w:hideMark/>
          </w:tcPr>
          <w:p w14:paraId="6EC58E8D"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10</w:t>
            </w:r>
          </w:p>
        </w:tc>
        <w:tc>
          <w:tcPr>
            <w:tcW w:w="420" w:type="dxa"/>
            <w:tcBorders>
              <w:top w:val="nil"/>
              <w:left w:val="nil"/>
              <w:bottom w:val="single" w:sz="8" w:space="0" w:color="auto"/>
              <w:right w:val="single" w:sz="8" w:space="0" w:color="auto"/>
            </w:tcBorders>
            <w:shd w:val="clear" w:color="auto" w:fill="auto"/>
            <w:noWrap/>
            <w:vAlign w:val="center"/>
            <w:hideMark/>
          </w:tcPr>
          <w:p w14:paraId="2BFABC4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20%</w:t>
            </w:r>
          </w:p>
        </w:tc>
        <w:tc>
          <w:tcPr>
            <w:tcW w:w="620" w:type="dxa"/>
            <w:tcBorders>
              <w:top w:val="nil"/>
              <w:left w:val="nil"/>
              <w:bottom w:val="single" w:sz="8" w:space="0" w:color="auto"/>
              <w:right w:val="single" w:sz="8" w:space="0" w:color="auto"/>
            </w:tcBorders>
            <w:shd w:val="clear" w:color="auto" w:fill="auto"/>
            <w:noWrap/>
            <w:vAlign w:val="center"/>
            <w:hideMark/>
          </w:tcPr>
          <w:p w14:paraId="4D1679DD"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400" w:type="dxa"/>
            <w:tcBorders>
              <w:top w:val="nil"/>
              <w:left w:val="nil"/>
              <w:bottom w:val="single" w:sz="8" w:space="0" w:color="auto"/>
              <w:right w:val="single" w:sz="8" w:space="0" w:color="auto"/>
            </w:tcBorders>
            <w:shd w:val="clear" w:color="auto" w:fill="auto"/>
            <w:noWrap/>
            <w:vAlign w:val="center"/>
            <w:hideMark/>
          </w:tcPr>
          <w:p w14:paraId="724DED5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12%</w:t>
            </w:r>
          </w:p>
        </w:tc>
        <w:tc>
          <w:tcPr>
            <w:tcW w:w="720" w:type="dxa"/>
            <w:tcBorders>
              <w:top w:val="nil"/>
              <w:left w:val="nil"/>
              <w:bottom w:val="single" w:sz="8" w:space="0" w:color="auto"/>
              <w:right w:val="single" w:sz="8" w:space="0" w:color="auto"/>
            </w:tcBorders>
            <w:shd w:val="clear" w:color="auto" w:fill="auto"/>
            <w:vAlign w:val="center"/>
            <w:hideMark/>
          </w:tcPr>
          <w:p w14:paraId="329755E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420" w:type="dxa"/>
            <w:tcBorders>
              <w:top w:val="nil"/>
              <w:left w:val="nil"/>
              <w:bottom w:val="single" w:sz="8" w:space="0" w:color="auto"/>
              <w:right w:val="single" w:sz="8" w:space="0" w:color="auto"/>
            </w:tcBorders>
            <w:shd w:val="clear" w:color="auto" w:fill="auto"/>
            <w:noWrap/>
            <w:vAlign w:val="center"/>
            <w:hideMark/>
          </w:tcPr>
          <w:p w14:paraId="72C798BE"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50%</w:t>
            </w:r>
          </w:p>
        </w:tc>
      </w:tr>
      <w:tr w:rsidR="0077719C" w:rsidRPr="0077719C" w14:paraId="3730FFD7"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0283B5D3"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student health clinic</w:t>
            </w:r>
          </w:p>
        </w:tc>
        <w:tc>
          <w:tcPr>
            <w:tcW w:w="480" w:type="dxa"/>
            <w:tcBorders>
              <w:top w:val="nil"/>
              <w:left w:val="nil"/>
              <w:bottom w:val="single" w:sz="8" w:space="0" w:color="auto"/>
              <w:right w:val="single" w:sz="8" w:space="0" w:color="auto"/>
            </w:tcBorders>
            <w:shd w:val="clear" w:color="auto" w:fill="auto"/>
            <w:noWrap/>
            <w:vAlign w:val="center"/>
            <w:hideMark/>
          </w:tcPr>
          <w:p w14:paraId="11E314A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420" w:type="dxa"/>
            <w:tcBorders>
              <w:top w:val="nil"/>
              <w:left w:val="nil"/>
              <w:bottom w:val="single" w:sz="8" w:space="0" w:color="auto"/>
              <w:right w:val="single" w:sz="8" w:space="0" w:color="auto"/>
            </w:tcBorders>
            <w:shd w:val="clear" w:color="auto" w:fill="auto"/>
            <w:noWrap/>
            <w:vAlign w:val="center"/>
            <w:hideMark/>
          </w:tcPr>
          <w:p w14:paraId="4F9B281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10%</w:t>
            </w:r>
          </w:p>
        </w:tc>
        <w:tc>
          <w:tcPr>
            <w:tcW w:w="620" w:type="dxa"/>
            <w:tcBorders>
              <w:top w:val="nil"/>
              <w:left w:val="nil"/>
              <w:bottom w:val="single" w:sz="8" w:space="0" w:color="auto"/>
              <w:right w:val="single" w:sz="8" w:space="0" w:color="auto"/>
            </w:tcBorders>
            <w:shd w:val="clear" w:color="auto" w:fill="auto"/>
            <w:noWrap/>
            <w:vAlign w:val="center"/>
            <w:hideMark/>
          </w:tcPr>
          <w:p w14:paraId="0E5D4B9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400" w:type="dxa"/>
            <w:tcBorders>
              <w:top w:val="nil"/>
              <w:left w:val="nil"/>
              <w:bottom w:val="single" w:sz="8" w:space="0" w:color="auto"/>
              <w:right w:val="single" w:sz="8" w:space="0" w:color="auto"/>
            </w:tcBorders>
            <w:shd w:val="clear" w:color="auto" w:fill="auto"/>
            <w:noWrap/>
            <w:vAlign w:val="center"/>
            <w:hideMark/>
          </w:tcPr>
          <w:p w14:paraId="2C2A1F9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7%</w:t>
            </w:r>
          </w:p>
        </w:tc>
        <w:tc>
          <w:tcPr>
            <w:tcW w:w="720" w:type="dxa"/>
            <w:tcBorders>
              <w:top w:val="nil"/>
              <w:left w:val="nil"/>
              <w:bottom w:val="single" w:sz="8" w:space="0" w:color="auto"/>
              <w:right w:val="single" w:sz="8" w:space="0" w:color="auto"/>
            </w:tcBorders>
            <w:shd w:val="clear" w:color="auto" w:fill="auto"/>
            <w:vAlign w:val="center"/>
            <w:hideMark/>
          </w:tcPr>
          <w:p w14:paraId="670B037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420" w:type="dxa"/>
            <w:tcBorders>
              <w:top w:val="nil"/>
              <w:left w:val="nil"/>
              <w:bottom w:val="single" w:sz="8" w:space="0" w:color="auto"/>
              <w:right w:val="single" w:sz="8" w:space="0" w:color="auto"/>
            </w:tcBorders>
            <w:shd w:val="clear" w:color="auto" w:fill="auto"/>
            <w:noWrap/>
            <w:vAlign w:val="center"/>
            <w:hideMark/>
          </w:tcPr>
          <w:p w14:paraId="2C904EE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20%</w:t>
            </w:r>
          </w:p>
        </w:tc>
      </w:tr>
      <w:tr w:rsidR="0077719C" w:rsidRPr="0077719C" w14:paraId="3581F087"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6DD3ACDA"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professional counseling</w:t>
            </w:r>
          </w:p>
        </w:tc>
        <w:tc>
          <w:tcPr>
            <w:tcW w:w="480" w:type="dxa"/>
            <w:tcBorders>
              <w:top w:val="nil"/>
              <w:left w:val="nil"/>
              <w:bottom w:val="single" w:sz="8" w:space="0" w:color="auto"/>
              <w:right w:val="single" w:sz="8" w:space="0" w:color="auto"/>
            </w:tcBorders>
            <w:shd w:val="clear" w:color="auto" w:fill="auto"/>
            <w:noWrap/>
            <w:vAlign w:val="center"/>
            <w:hideMark/>
          </w:tcPr>
          <w:p w14:paraId="6C9B078D"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420" w:type="dxa"/>
            <w:tcBorders>
              <w:top w:val="nil"/>
              <w:left w:val="nil"/>
              <w:bottom w:val="single" w:sz="8" w:space="0" w:color="auto"/>
              <w:right w:val="single" w:sz="8" w:space="0" w:color="auto"/>
            </w:tcBorders>
            <w:shd w:val="clear" w:color="auto" w:fill="auto"/>
            <w:noWrap/>
            <w:vAlign w:val="center"/>
            <w:hideMark/>
          </w:tcPr>
          <w:p w14:paraId="127D9CD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w:t>
            </w:r>
          </w:p>
        </w:tc>
        <w:tc>
          <w:tcPr>
            <w:tcW w:w="620" w:type="dxa"/>
            <w:tcBorders>
              <w:top w:val="nil"/>
              <w:left w:val="nil"/>
              <w:bottom w:val="single" w:sz="8" w:space="0" w:color="auto"/>
              <w:right w:val="single" w:sz="8" w:space="0" w:color="auto"/>
            </w:tcBorders>
            <w:shd w:val="clear" w:color="auto" w:fill="auto"/>
            <w:noWrap/>
            <w:vAlign w:val="center"/>
            <w:hideMark/>
          </w:tcPr>
          <w:p w14:paraId="77F6BE3E"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4FED3E1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720" w:type="dxa"/>
            <w:tcBorders>
              <w:top w:val="nil"/>
              <w:left w:val="nil"/>
              <w:bottom w:val="single" w:sz="8" w:space="0" w:color="auto"/>
              <w:right w:val="single" w:sz="8" w:space="0" w:color="auto"/>
            </w:tcBorders>
            <w:shd w:val="clear" w:color="auto" w:fill="auto"/>
            <w:vAlign w:val="center"/>
            <w:hideMark/>
          </w:tcPr>
          <w:p w14:paraId="5B73019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420" w:type="dxa"/>
            <w:tcBorders>
              <w:top w:val="nil"/>
              <w:left w:val="nil"/>
              <w:bottom w:val="single" w:sz="8" w:space="0" w:color="auto"/>
              <w:right w:val="single" w:sz="8" w:space="0" w:color="auto"/>
            </w:tcBorders>
            <w:shd w:val="clear" w:color="auto" w:fill="auto"/>
            <w:noWrap/>
            <w:vAlign w:val="center"/>
            <w:hideMark/>
          </w:tcPr>
          <w:p w14:paraId="661101E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20%</w:t>
            </w:r>
          </w:p>
        </w:tc>
      </w:tr>
      <w:tr w:rsidR="0077719C" w:rsidRPr="0077719C" w14:paraId="0CF20640"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54F53213"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online support</w:t>
            </w:r>
          </w:p>
        </w:tc>
        <w:tc>
          <w:tcPr>
            <w:tcW w:w="480" w:type="dxa"/>
            <w:tcBorders>
              <w:top w:val="nil"/>
              <w:left w:val="nil"/>
              <w:bottom w:val="single" w:sz="8" w:space="0" w:color="auto"/>
              <w:right w:val="single" w:sz="8" w:space="0" w:color="auto"/>
            </w:tcBorders>
            <w:shd w:val="clear" w:color="auto" w:fill="auto"/>
            <w:noWrap/>
            <w:vAlign w:val="center"/>
            <w:hideMark/>
          </w:tcPr>
          <w:p w14:paraId="5D8EE43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w:t>
            </w:r>
          </w:p>
        </w:tc>
        <w:tc>
          <w:tcPr>
            <w:tcW w:w="420" w:type="dxa"/>
            <w:tcBorders>
              <w:top w:val="nil"/>
              <w:left w:val="nil"/>
              <w:bottom w:val="single" w:sz="8" w:space="0" w:color="auto"/>
              <w:right w:val="single" w:sz="8" w:space="0" w:color="auto"/>
            </w:tcBorders>
            <w:shd w:val="clear" w:color="auto" w:fill="auto"/>
            <w:noWrap/>
            <w:vAlign w:val="center"/>
            <w:hideMark/>
          </w:tcPr>
          <w:p w14:paraId="4DD6A9C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12%</w:t>
            </w:r>
          </w:p>
        </w:tc>
        <w:tc>
          <w:tcPr>
            <w:tcW w:w="620" w:type="dxa"/>
            <w:tcBorders>
              <w:top w:val="nil"/>
              <w:left w:val="nil"/>
              <w:bottom w:val="single" w:sz="8" w:space="0" w:color="auto"/>
              <w:right w:val="single" w:sz="8" w:space="0" w:color="auto"/>
            </w:tcBorders>
            <w:shd w:val="clear" w:color="auto" w:fill="auto"/>
            <w:noWrap/>
            <w:vAlign w:val="center"/>
            <w:hideMark/>
          </w:tcPr>
          <w:p w14:paraId="3F3B811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400" w:type="dxa"/>
            <w:tcBorders>
              <w:top w:val="nil"/>
              <w:left w:val="nil"/>
              <w:bottom w:val="single" w:sz="8" w:space="0" w:color="auto"/>
              <w:right w:val="single" w:sz="8" w:space="0" w:color="auto"/>
            </w:tcBorders>
            <w:shd w:val="clear" w:color="auto" w:fill="auto"/>
            <w:noWrap/>
            <w:vAlign w:val="center"/>
            <w:hideMark/>
          </w:tcPr>
          <w:p w14:paraId="68D54F9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12%</w:t>
            </w:r>
          </w:p>
        </w:tc>
        <w:tc>
          <w:tcPr>
            <w:tcW w:w="720" w:type="dxa"/>
            <w:tcBorders>
              <w:top w:val="nil"/>
              <w:left w:val="nil"/>
              <w:bottom w:val="single" w:sz="8" w:space="0" w:color="auto"/>
              <w:right w:val="single" w:sz="8" w:space="0" w:color="auto"/>
            </w:tcBorders>
            <w:shd w:val="clear" w:color="auto" w:fill="auto"/>
            <w:vAlign w:val="center"/>
            <w:hideMark/>
          </w:tcPr>
          <w:p w14:paraId="5A5B18B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20" w:type="dxa"/>
            <w:tcBorders>
              <w:top w:val="nil"/>
              <w:left w:val="nil"/>
              <w:bottom w:val="single" w:sz="8" w:space="0" w:color="auto"/>
              <w:right w:val="single" w:sz="8" w:space="0" w:color="auto"/>
            </w:tcBorders>
            <w:shd w:val="clear" w:color="auto" w:fill="auto"/>
            <w:noWrap/>
            <w:vAlign w:val="center"/>
            <w:hideMark/>
          </w:tcPr>
          <w:p w14:paraId="73CFFB8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10%</w:t>
            </w:r>
          </w:p>
        </w:tc>
      </w:tr>
      <w:tr w:rsidR="0077719C" w:rsidRPr="0077719C" w14:paraId="4997F274"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3BE67761"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professor office hours</w:t>
            </w:r>
          </w:p>
        </w:tc>
        <w:tc>
          <w:tcPr>
            <w:tcW w:w="480" w:type="dxa"/>
            <w:tcBorders>
              <w:top w:val="nil"/>
              <w:left w:val="nil"/>
              <w:bottom w:val="single" w:sz="8" w:space="0" w:color="auto"/>
              <w:right w:val="single" w:sz="8" w:space="0" w:color="auto"/>
            </w:tcBorders>
            <w:shd w:val="clear" w:color="auto" w:fill="auto"/>
            <w:noWrap/>
            <w:vAlign w:val="center"/>
            <w:hideMark/>
          </w:tcPr>
          <w:p w14:paraId="137E8B9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20" w:type="dxa"/>
            <w:tcBorders>
              <w:top w:val="nil"/>
              <w:left w:val="nil"/>
              <w:bottom w:val="single" w:sz="8" w:space="0" w:color="auto"/>
              <w:right w:val="single" w:sz="8" w:space="0" w:color="auto"/>
            </w:tcBorders>
            <w:shd w:val="clear" w:color="auto" w:fill="auto"/>
            <w:noWrap/>
            <w:vAlign w:val="center"/>
            <w:hideMark/>
          </w:tcPr>
          <w:p w14:paraId="78BD36E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620" w:type="dxa"/>
            <w:tcBorders>
              <w:top w:val="nil"/>
              <w:left w:val="nil"/>
              <w:bottom w:val="single" w:sz="8" w:space="0" w:color="auto"/>
              <w:right w:val="single" w:sz="8" w:space="0" w:color="auto"/>
            </w:tcBorders>
            <w:shd w:val="clear" w:color="auto" w:fill="auto"/>
            <w:noWrap/>
            <w:vAlign w:val="center"/>
            <w:hideMark/>
          </w:tcPr>
          <w:p w14:paraId="0DEF439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2F00900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720" w:type="dxa"/>
            <w:tcBorders>
              <w:top w:val="nil"/>
              <w:left w:val="nil"/>
              <w:bottom w:val="single" w:sz="8" w:space="0" w:color="auto"/>
              <w:right w:val="single" w:sz="8" w:space="0" w:color="auto"/>
            </w:tcBorders>
            <w:shd w:val="clear" w:color="auto" w:fill="auto"/>
            <w:vAlign w:val="center"/>
            <w:hideMark/>
          </w:tcPr>
          <w:p w14:paraId="43A35CA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6D25436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r w:rsidR="0077719C" w:rsidRPr="0077719C" w14:paraId="4745CD85"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653D27C7"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other</w:t>
            </w:r>
          </w:p>
        </w:tc>
        <w:tc>
          <w:tcPr>
            <w:tcW w:w="480" w:type="dxa"/>
            <w:tcBorders>
              <w:top w:val="nil"/>
              <w:left w:val="nil"/>
              <w:bottom w:val="single" w:sz="8" w:space="0" w:color="auto"/>
              <w:right w:val="single" w:sz="8" w:space="0" w:color="auto"/>
            </w:tcBorders>
            <w:shd w:val="clear" w:color="auto" w:fill="auto"/>
            <w:noWrap/>
            <w:vAlign w:val="center"/>
            <w:hideMark/>
          </w:tcPr>
          <w:p w14:paraId="762BDCC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20" w:type="dxa"/>
            <w:tcBorders>
              <w:top w:val="nil"/>
              <w:left w:val="nil"/>
              <w:bottom w:val="single" w:sz="8" w:space="0" w:color="auto"/>
              <w:right w:val="single" w:sz="8" w:space="0" w:color="auto"/>
            </w:tcBorders>
            <w:shd w:val="clear" w:color="auto" w:fill="auto"/>
            <w:noWrap/>
            <w:vAlign w:val="center"/>
            <w:hideMark/>
          </w:tcPr>
          <w:p w14:paraId="0BC09B5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620" w:type="dxa"/>
            <w:tcBorders>
              <w:top w:val="nil"/>
              <w:left w:val="nil"/>
              <w:bottom w:val="single" w:sz="8" w:space="0" w:color="auto"/>
              <w:right w:val="single" w:sz="8" w:space="0" w:color="auto"/>
            </w:tcBorders>
            <w:shd w:val="clear" w:color="auto" w:fill="auto"/>
            <w:noWrap/>
            <w:vAlign w:val="center"/>
            <w:hideMark/>
          </w:tcPr>
          <w:p w14:paraId="7713967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457F5E5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720" w:type="dxa"/>
            <w:tcBorders>
              <w:top w:val="nil"/>
              <w:left w:val="nil"/>
              <w:bottom w:val="single" w:sz="8" w:space="0" w:color="auto"/>
              <w:right w:val="single" w:sz="8" w:space="0" w:color="auto"/>
            </w:tcBorders>
            <w:shd w:val="clear" w:color="auto" w:fill="auto"/>
            <w:vAlign w:val="center"/>
            <w:hideMark/>
          </w:tcPr>
          <w:p w14:paraId="42532205"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0A4D01A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r w:rsidR="0077719C" w:rsidRPr="0077719C" w14:paraId="36236A9D"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5BEA3D55"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pastoral services</w:t>
            </w:r>
          </w:p>
        </w:tc>
        <w:tc>
          <w:tcPr>
            <w:tcW w:w="480" w:type="dxa"/>
            <w:tcBorders>
              <w:top w:val="nil"/>
              <w:left w:val="nil"/>
              <w:bottom w:val="single" w:sz="8" w:space="0" w:color="auto"/>
              <w:right w:val="single" w:sz="8" w:space="0" w:color="auto"/>
            </w:tcBorders>
            <w:shd w:val="clear" w:color="auto" w:fill="auto"/>
            <w:noWrap/>
            <w:vAlign w:val="center"/>
            <w:hideMark/>
          </w:tcPr>
          <w:p w14:paraId="443FD3C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20" w:type="dxa"/>
            <w:tcBorders>
              <w:top w:val="nil"/>
              <w:left w:val="nil"/>
              <w:bottom w:val="single" w:sz="8" w:space="0" w:color="auto"/>
              <w:right w:val="single" w:sz="8" w:space="0" w:color="auto"/>
            </w:tcBorders>
            <w:shd w:val="clear" w:color="auto" w:fill="auto"/>
            <w:noWrap/>
            <w:vAlign w:val="center"/>
            <w:hideMark/>
          </w:tcPr>
          <w:p w14:paraId="5FAD24D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620" w:type="dxa"/>
            <w:tcBorders>
              <w:top w:val="nil"/>
              <w:left w:val="nil"/>
              <w:bottom w:val="single" w:sz="8" w:space="0" w:color="auto"/>
              <w:right w:val="single" w:sz="8" w:space="0" w:color="auto"/>
            </w:tcBorders>
            <w:shd w:val="clear" w:color="auto" w:fill="auto"/>
            <w:noWrap/>
            <w:vAlign w:val="center"/>
            <w:hideMark/>
          </w:tcPr>
          <w:p w14:paraId="106BC70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11BFB08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720" w:type="dxa"/>
            <w:tcBorders>
              <w:top w:val="nil"/>
              <w:left w:val="nil"/>
              <w:bottom w:val="single" w:sz="8" w:space="0" w:color="auto"/>
              <w:right w:val="single" w:sz="8" w:space="0" w:color="auto"/>
            </w:tcBorders>
            <w:shd w:val="clear" w:color="auto" w:fill="auto"/>
            <w:vAlign w:val="center"/>
            <w:hideMark/>
          </w:tcPr>
          <w:p w14:paraId="01E452D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2F499D4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r w:rsidR="0077719C" w:rsidRPr="0077719C" w14:paraId="4C61C750"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07BDCDE6"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none</w:t>
            </w:r>
          </w:p>
        </w:tc>
        <w:tc>
          <w:tcPr>
            <w:tcW w:w="480" w:type="dxa"/>
            <w:tcBorders>
              <w:top w:val="nil"/>
              <w:left w:val="nil"/>
              <w:bottom w:val="single" w:sz="8" w:space="0" w:color="auto"/>
              <w:right w:val="single" w:sz="8" w:space="0" w:color="auto"/>
            </w:tcBorders>
            <w:shd w:val="clear" w:color="auto" w:fill="auto"/>
            <w:noWrap/>
            <w:vAlign w:val="center"/>
            <w:hideMark/>
          </w:tcPr>
          <w:p w14:paraId="1790A14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w:t>
            </w:r>
          </w:p>
        </w:tc>
        <w:tc>
          <w:tcPr>
            <w:tcW w:w="420" w:type="dxa"/>
            <w:tcBorders>
              <w:top w:val="nil"/>
              <w:left w:val="nil"/>
              <w:bottom w:val="single" w:sz="8" w:space="0" w:color="auto"/>
              <w:right w:val="single" w:sz="8" w:space="0" w:color="auto"/>
            </w:tcBorders>
            <w:shd w:val="clear" w:color="auto" w:fill="auto"/>
            <w:noWrap/>
            <w:vAlign w:val="center"/>
            <w:hideMark/>
          </w:tcPr>
          <w:p w14:paraId="22873D5E"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12%</w:t>
            </w:r>
          </w:p>
        </w:tc>
        <w:tc>
          <w:tcPr>
            <w:tcW w:w="620" w:type="dxa"/>
            <w:tcBorders>
              <w:top w:val="nil"/>
              <w:left w:val="nil"/>
              <w:bottom w:val="single" w:sz="8" w:space="0" w:color="auto"/>
              <w:right w:val="single" w:sz="8" w:space="0" w:color="auto"/>
            </w:tcBorders>
            <w:shd w:val="clear" w:color="auto" w:fill="auto"/>
            <w:noWrap/>
            <w:vAlign w:val="center"/>
            <w:hideMark/>
          </w:tcPr>
          <w:p w14:paraId="3949F13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400" w:type="dxa"/>
            <w:tcBorders>
              <w:top w:val="nil"/>
              <w:left w:val="nil"/>
              <w:bottom w:val="single" w:sz="8" w:space="0" w:color="auto"/>
              <w:right w:val="single" w:sz="8" w:space="0" w:color="auto"/>
            </w:tcBorders>
            <w:shd w:val="clear" w:color="auto" w:fill="auto"/>
            <w:noWrap/>
            <w:vAlign w:val="center"/>
            <w:hideMark/>
          </w:tcPr>
          <w:p w14:paraId="64B7184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7%</w:t>
            </w:r>
          </w:p>
        </w:tc>
        <w:tc>
          <w:tcPr>
            <w:tcW w:w="720" w:type="dxa"/>
            <w:tcBorders>
              <w:top w:val="nil"/>
              <w:left w:val="nil"/>
              <w:bottom w:val="single" w:sz="8" w:space="0" w:color="auto"/>
              <w:right w:val="single" w:sz="8" w:space="0" w:color="auto"/>
            </w:tcBorders>
            <w:shd w:val="clear" w:color="auto" w:fill="auto"/>
            <w:vAlign w:val="center"/>
            <w:hideMark/>
          </w:tcPr>
          <w:p w14:paraId="5F2A509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420" w:type="dxa"/>
            <w:tcBorders>
              <w:top w:val="nil"/>
              <w:left w:val="nil"/>
              <w:bottom w:val="single" w:sz="8" w:space="0" w:color="auto"/>
              <w:right w:val="single" w:sz="8" w:space="0" w:color="auto"/>
            </w:tcBorders>
            <w:shd w:val="clear" w:color="auto" w:fill="auto"/>
            <w:noWrap/>
            <w:vAlign w:val="center"/>
            <w:hideMark/>
          </w:tcPr>
          <w:p w14:paraId="756204D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30%</w:t>
            </w:r>
          </w:p>
        </w:tc>
      </w:tr>
      <w:tr w:rsidR="0077719C" w:rsidRPr="0077719C" w14:paraId="7350F43F"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5E281BE8"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student services office</w:t>
            </w:r>
          </w:p>
        </w:tc>
        <w:tc>
          <w:tcPr>
            <w:tcW w:w="480" w:type="dxa"/>
            <w:tcBorders>
              <w:top w:val="nil"/>
              <w:left w:val="nil"/>
              <w:bottom w:val="single" w:sz="8" w:space="0" w:color="auto"/>
              <w:right w:val="single" w:sz="8" w:space="0" w:color="auto"/>
            </w:tcBorders>
            <w:shd w:val="clear" w:color="auto" w:fill="auto"/>
            <w:noWrap/>
            <w:vAlign w:val="center"/>
            <w:hideMark/>
          </w:tcPr>
          <w:p w14:paraId="43C376F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3CB69EFE"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620" w:type="dxa"/>
            <w:tcBorders>
              <w:top w:val="nil"/>
              <w:left w:val="nil"/>
              <w:bottom w:val="single" w:sz="8" w:space="0" w:color="auto"/>
              <w:right w:val="single" w:sz="8" w:space="0" w:color="auto"/>
            </w:tcBorders>
            <w:shd w:val="clear" w:color="auto" w:fill="auto"/>
            <w:noWrap/>
            <w:vAlign w:val="center"/>
            <w:hideMark/>
          </w:tcPr>
          <w:p w14:paraId="44FE4CE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00" w:type="dxa"/>
            <w:tcBorders>
              <w:top w:val="nil"/>
              <w:left w:val="nil"/>
              <w:bottom w:val="single" w:sz="8" w:space="0" w:color="auto"/>
              <w:right w:val="single" w:sz="8" w:space="0" w:color="auto"/>
            </w:tcBorders>
            <w:shd w:val="clear" w:color="auto" w:fill="auto"/>
            <w:noWrap/>
            <w:vAlign w:val="center"/>
            <w:hideMark/>
          </w:tcPr>
          <w:p w14:paraId="6AD89FC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720" w:type="dxa"/>
            <w:tcBorders>
              <w:top w:val="nil"/>
              <w:left w:val="nil"/>
              <w:bottom w:val="single" w:sz="8" w:space="0" w:color="auto"/>
              <w:right w:val="single" w:sz="8" w:space="0" w:color="auto"/>
            </w:tcBorders>
            <w:shd w:val="clear" w:color="auto" w:fill="auto"/>
            <w:vAlign w:val="center"/>
            <w:hideMark/>
          </w:tcPr>
          <w:p w14:paraId="1376135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33D0FB9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bl>
    <w:p w14:paraId="1EEDC4EB" w14:textId="0A56953D" w:rsidR="0077719C" w:rsidRDefault="0077719C" w:rsidP="00F84901">
      <w:pPr>
        <w:spacing w:line="480" w:lineRule="auto"/>
        <w:outlineLvl w:val="0"/>
        <w:rPr>
          <w:rFonts w:asciiTheme="minorHAnsi" w:hAnsiTheme="minorHAnsi"/>
        </w:rPr>
      </w:pPr>
    </w:p>
    <w:p w14:paraId="67D755E8" w14:textId="08479CDC" w:rsidR="00CC5011" w:rsidRPr="00A658B0" w:rsidRDefault="000A1A22" w:rsidP="00006B09">
      <w:pPr>
        <w:spacing w:line="480" w:lineRule="auto"/>
        <w:rPr>
          <w:rFonts w:asciiTheme="minorHAnsi" w:hAnsiTheme="minorHAnsi"/>
          <w:b/>
        </w:rPr>
      </w:pPr>
      <w:r w:rsidRPr="00A658B0">
        <w:rPr>
          <w:rFonts w:asciiTheme="minorHAnsi" w:hAnsiTheme="minorHAnsi"/>
          <w:b/>
        </w:rPr>
        <w:t>Figure 10</w:t>
      </w:r>
      <w:r w:rsidR="00CC5011" w:rsidRPr="00A658B0">
        <w:rPr>
          <w:rFonts w:asciiTheme="minorHAnsi" w:hAnsiTheme="minorHAnsi"/>
          <w:b/>
        </w:rPr>
        <w:t xml:space="preserve">. </w:t>
      </w:r>
      <w:r w:rsidR="00A658B0">
        <w:rPr>
          <w:rFonts w:asciiTheme="minorHAnsi" w:hAnsiTheme="minorHAnsi"/>
          <w:b/>
        </w:rPr>
        <w:t xml:space="preserve"> </w:t>
      </w:r>
      <w:r w:rsidR="00CC5011" w:rsidRPr="00A658B0">
        <w:rPr>
          <w:rFonts w:asciiTheme="minorHAnsi" w:hAnsiTheme="minorHAnsi"/>
          <w:b/>
        </w:rPr>
        <w:t>Group 2/Experimental</w:t>
      </w:r>
      <w:r w:rsidR="006745D7" w:rsidRPr="00A658B0">
        <w:rPr>
          <w:rFonts w:asciiTheme="minorHAnsi" w:hAnsiTheme="minorHAnsi"/>
          <w:b/>
        </w:rPr>
        <w:t xml:space="preserve"> 2017</w:t>
      </w:r>
      <w:r w:rsidR="00CC5011" w:rsidRPr="00A658B0">
        <w:rPr>
          <w:rFonts w:asciiTheme="minorHAnsi" w:hAnsiTheme="minorHAnsi"/>
          <w:b/>
        </w:rPr>
        <w:t xml:space="preserve"> Student Support Service Use: </w:t>
      </w:r>
      <w:r w:rsidR="006745D7" w:rsidRPr="00A658B0">
        <w:rPr>
          <w:rFonts w:asciiTheme="minorHAnsi" w:hAnsiTheme="minorHAnsi"/>
          <w:b/>
        </w:rPr>
        <w:t>Exam 1</w:t>
      </w:r>
    </w:p>
    <w:p w14:paraId="36A80BBE" w14:textId="159F78CE" w:rsidR="006745D7" w:rsidRDefault="00CC5011" w:rsidP="00006B09">
      <w:pPr>
        <w:spacing w:line="480" w:lineRule="auto"/>
        <w:rPr>
          <w:rFonts w:asciiTheme="minorHAnsi" w:hAnsiTheme="minorHAnsi"/>
        </w:rPr>
      </w:pPr>
      <w:r>
        <w:rPr>
          <w:rFonts w:asciiTheme="minorHAnsi" w:hAnsiTheme="minorHAnsi"/>
        </w:rPr>
        <w:t>Percentage of Support Se</w:t>
      </w:r>
      <w:r w:rsidR="00006B09">
        <w:rPr>
          <w:rFonts w:asciiTheme="minorHAnsi" w:hAnsiTheme="minorHAnsi"/>
        </w:rPr>
        <w:t>rvice Usage for all respondents. MCBPs (&lt;80% exam grade) compared to total group and students with exam grade &gt;80%.</w:t>
      </w:r>
    </w:p>
    <w:p w14:paraId="64E860B6" w14:textId="21EA2AB1" w:rsidR="00006B09" w:rsidRDefault="00006B09">
      <w:pPr>
        <w:rPr>
          <w:rFonts w:asciiTheme="minorHAnsi" w:hAnsiTheme="minorHAnsi"/>
        </w:rPr>
      </w:pPr>
      <w:r>
        <w:rPr>
          <w:rFonts w:asciiTheme="minorHAnsi" w:hAnsiTheme="minorHAnsi"/>
        </w:rPr>
        <w:br w:type="page"/>
      </w:r>
    </w:p>
    <w:p w14:paraId="2F748718" w14:textId="77777777" w:rsidR="00CC5011" w:rsidRDefault="00CC5011" w:rsidP="00F84901">
      <w:pPr>
        <w:spacing w:line="480" w:lineRule="auto"/>
        <w:outlineLvl w:val="0"/>
        <w:rPr>
          <w:rFonts w:asciiTheme="minorHAnsi" w:hAnsiTheme="minorHAnsi"/>
        </w:rPr>
      </w:pPr>
    </w:p>
    <w:tbl>
      <w:tblPr>
        <w:tblW w:w="5955" w:type="dxa"/>
        <w:tblLook w:val="04A0" w:firstRow="1" w:lastRow="0" w:firstColumn="1" w:lastColumn="0" w:noHBand="0" w:noVBand="1"/>
      </w:tblPr>
      <w:tblGrid>
        <w:gridCol w:w="1517"/>
        <w:gridCol w:w="692"/>
        <w:gridCol w:w="616"/>
        <w:gridCol w:w="727"/>
        <w:gridCol w:w="616"/>
        <w:gridCol w:w="1171"/>
        <w:gridCol w:w="616"/>
      </w:tblGrid>
      <w:tr w:rsidR="0077719C" w:rsidRPr="0077719C" w14:paraId="2F129F8C" w14:textId="77777777" w:rsidTr="00AA2D4D">
        <w:trPr>
          <w:trHeight w:val="620"/>
        </w:trPr>
        <w:tc>
          <w:tcPr>
            <w:tcW w:w="15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4C1292" w14:textId="0836EEC2" w:rsidR="0077719C" w:rsidRPr="008B0226" w:rsidRDefault="008B0226" w:rsidP="0077719C">
            <w:pPr>
              <w:rPr>
                <w:rFonts w:ascii="Cambria" w:hAnsi="Cambria" w:cs="Calibri"/>
                <w:color w:val="000000"/>
                <w:sz w:val="20"/>
                <w:szCs w:val="20"/>
              </w:rPr>
            </w:pPr>
            <w:r>
              <w:rPr>
                <w:rFonts w:ascii="Cambria" w:hAnsi="Cambria" w:cs="Calibri"/>
                <w:color w:val="000000"/>
                <w:sz w:val="20"/>
                <w:szCs w:val="20"/>
              </w:rPr>
              <w:t>Experimental Group</w:t>
            </w:r>
            <w:r w:rsidR="0077719C" w:rsidRPr="008B0226">
              <w:rPr>
                <w:rFonts w:ascii="Cambria" w:hAnsi="Cambria" w:cs="Calibri"/>
                <w:color w:val="000000"/>
                <w:sz w:val="20"/>
                <w:szCs w:val="20"/>
              </w:rPr>
              <w:t xml:space="preserve"> Type of Support</w:t>
            </w:r>
          </w:p>
        </w:tc>
        <w:tc>
          <w:tcPr>
            <w:tcW w:w="692" w:type="dxa"/>
            <w:tcBorders>
              <w:top w:val="single" w:sz="8" w:space="0" w:color="auto"/>
              <w:left w:val="nil"/>
              <w:bottom w:val="single" w:sz="8" w:space="0" w:color="auto"/>
              <w:right w:val="single" w:sz="8" w:space="0" w:color="auto"/>
            </w:tcBorders>
            <w:shd w:val="clear" w:color="auto" w:fill="auto"/>
            <w:vAlign w:val="center"/>
            <w:hideMark/>
          </w:tcPr>
          <w:p w14:paraId="30716792"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Exam 2 n=46</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099F21B0"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 </w:t>
            </w:r>
          </w:p>
        </w:tc>
        <w:tc>
          <w:tcPr>
            <w:tcW w:w="727" w:type="dxa"/>
            <w:tcBorders>
              <w:top w:val="single" w:sz="8" w:space="0" w:color="auto"/>
              <w:left w:val="nil"/>
              <w:bottom w:val="single" w:sz="8" w:space="0" w:color="auto"/>
              <w:right w:val="single" w:sz="8" w:space="0" w:color="auto"/>
            </w:tcBorders>
            <w:shd w:val="clear" w:color="auto" w:fill="auto"/>
            <w:vAlign w:val="center"/>
            <w:hideMark/>
          </w:tcPr>
          <w:p w14:paraId="38DC01A7"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Exam 2 &gt;80% n=30</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6B383DA8"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 </w:t>
            </w:r>
          </w:p>
        </w:tc>
        <w:tc>
          <w:tcPr>
            <w:tcW w:w="1171" w:type="dxa"/>
            <w:tcBorders>
              <w:top w:val="single" w:sz="8" w:space="0" w:color="auto"/>
              <w:left w:val="nil"/>
              <w:bottom w:val="single" w:sz="8" w:space="0" w:color="auto"/>
              <w:right w:val="single" w:sz="8" w:space="0" w:color="auto"/>
            </w:tcBorders>
            <w:shd w:val="clear" w:color="auto" w:fill="auto"/>
            <w:vAlign w:val="center"/>
            <w:hideMark/>
          </w:tcPr>
          <w:p w14:paraId="67A235A3"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Exam 2 &lt;80%n=16</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54F0A5B9"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 </w:t>
            </w:r>
          </w:p>
        </w:tc>
      </w:tr>
      <w:tr w:rsidR="0077719C" w:rsidRPr="0077719C" w14:paraId="71735FD9" w14:textId="77777777" w:rsidTr="00AA2D4D">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787F8291"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peer support</w:t>
            </w:r>
          </w:p>
        </w:tc>
        <w:tc>
          <w:tcPr>
            <w:tcW w:w="692" w:type="dxa"/>
            <w:tcBorders>
              <w:top w:val="nil"/>
              <w:left w:val="nil"/>
              <w:bottom w:val="single" w:sz="8" w:space="0" w:color="auto"/>
              <w:right w:val="single" w:sz="8" w:space="0" w:color="auto"/>
            </w:tcBorders>
            <w:shd w:val="clear" w:color="auto" w:fill="auto"/>
            <w:noWrap/>
            <w:vAlign w:val="center"/>
            <w:hideMark/>
          </w:tcPr>
          <w:p w14:paraId="4EC0E42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27</w:t>
            </w:r>
          </w:p>
        </w:tc>
        <w:tc>
          <w:tcPr>
            <w:tcW w:w="616" w:type="dxa"/>
            <w:tcBorders>
              <w:top w:val="nil"/>
              <w:left w:val="nil"/>
              <w:bottom w:val="single" w:sz="8" w:space="0" w:color="auto"/>
              <w:right w:val="single" w:sz="8" w:space="0" w:color="auto"/>
            </w:tcBorders>
            <w:shd w:val="clear" w:color="auto" w:fill="auto"/>
            <w:noWrap/>
            <w:vAlign w:val="center"/>
            <w:hideMark/>
          </w:tcPr>
          <w:p w14:paraId="58FE2A4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59%</w:t>
            </w:r>
          </w:p>
        </w:tc>
        <w:tc>
          <w:tcPr>
            <w:tcW w:w="727" w:type="dxa"/>
            <w:tcBorders>
              <w:top w:val="nil"/>
              <w:left w:val="nil"/>
              <w:bottom w:val="single" w:sz="8" w:space="0" w:color="auto"/>
              <w:right w:val="single" w:sz="8" w:space="0" w:color="auto"/>
            </w:tcBorders>
            <w:shd w:val="clear" w:color="auto" w:fill="auto"/>
            <w:noWrap/>
            <w:vAlign w:val="center"/>
            <w:hideMark/>
          </w:tcPr>
          <w:p w14:paraId="29A7B0E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17</w:t>
            </w:r>
          </w:p>
        </w:tc>
        <w:tc>
          <w:tcPr>
            <w:tcW w:w="616" w:type="dxa"/>
            <w:tcBorders>
              <w:top w:val="nil"/>
              <w:left w:val="nil"/>
              <w:bottom w:val="single" w:sz="8" w:space="0" w:color="auto"/>
              <w:right w:val="single" w:sz="8" w:space="0" w:color="auto"/>
            </w:tcBorders>
            <w:shd w:val="clear" w:color="auto" w:fill="auto"/>
            <w:noWrap/>
            <w:vAlign w:val="center"/>
            <w:hideMark/>
          </w:tcPr>
          <w:p w14:paraId="213AEEC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57%</w:t>
            </w:r>
          </w:p>
        </w:tc>
        <w:tc>
          <w:tcPr>
            <w:tcW w:w="1171" w:type="dxa"/>
            <w:tcBorders>
              <w:top w:val="nil"/>
              <w:left w:val="nil"/>
              <w:bottom w:val="single" w:sz="8" w:space="0" w:color="auto"/>
              <w:right w:val="single" w:sz="8" w:space="0" w:color="auto"/>
            </w:tcBorders>
            <w:shd w:val="clear" w:color="auto" w:fill="auto"/>
            <w:noWrap/>
            <w:vAlign w:val="center"/>
            <w:hideMark/>
          </w:tcPr>
          <w:p w14:paraId="6CE7261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10</w:t>
            </w:r>
          </w:p>
        </w:tc>
        <w:tc>
          <w:tcPr>
            <w:tcW w:w="616" w:type="dxa"/>
            <w:tcBorders>
              <w:top w:val="nil"/>
              <w:left w:val="nil"/>
              <w:bottom w:val="single" w:sz="8" w:space="0" w:color="auto"/>
              <w:right w:val="single" w:sz="8" w:space="0" w:color="auto"/>
            </w:tcBorders>
            <w:shd w:val="clear" w:color="auto" w:fill="auto"/>
            <w:noWrap/>
            <w:vAlign w:val="center"/>
            <w:hideMark/>
          </w:tcPr>
          <w:p w14:paraId="7AAD9D2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63%</w:t>
            </w:r>
          </w:p>
        </w:tc>
      </w:tr>
      <w:tr w:rsidR="0077719C" w:rsidRPr="0077719C" w14:paraId="438F93E4" w14:textId="77777777" w:rsidTr="00AA2D4D">
        <w:trPr>
          <w:trHeight w:val="42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7230F0F4"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advice from upperclassmen</w:t>
            </w:r>
          </w:p>
        </w:tc>
        <w:tc>
          <w:tcPr>
            <w:tcW w:w="692" w:type="dxa"/>
            <w:tcBorders>
              <w:top w:val="nil"/>
              <w:left w:val="nil"/>
              <w:bottom w:val="single" w:sz="8" w:space="0" w:color="auto"/>
              <w:right w:val="single" w:sz="8" w:space="0" w:color="auto"/>
            </w:tcBorders>
            <w:shd w:val="clear" w:color="auto" w:fill="auto"/>
            <w:noWrap/>
            <w:vAlign w:val="center"/>
            <w:hideMark/>
          </w:tcPr>
          <w:p w14:paraId="5A98BAD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25</w:t>
            </w:r>
          </w:p>
        </w:tc>
        <w:tc>
          <w:tcPr>
            <w:tcW w:w="616" w:type="dxa"/>
            <w:tcBorders>
              <w:top w:val="nil"/>
              <w:left w:val="nil"/>
              <w:bottom w:val="single" w:sz="8" w:space="0" w:color="auto"/>
              <w:right w:val="single" w:sz="8" w:space="0" w:color="auto"/>
            </w:tcBorders>
            <w:shd w:val="clear" w:color="auto" w:fill="auto"/>
            <w:noWrap/>
            <w:vAlign w:val="center"/>
            <w:hideMark/>
          </w:tcPr>
          <w:p w14:paraId="3044FA9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54%</w:t>
            </w:r>
          </w:p>
        </w:tc>
        <w:tc>
          <w:tcPr>
            <w:tcW w:w="727" w:type="dxa"/>
            <w:tcBorders>
              <w:top w:val="nil"/>
              <w:left w:val="nil"/>
              <w:bottom w:val="single" w:sz="8" w:space="0" w:color="auto"/>
              <w:right w:val="single" w:sz="8" w:space="0" w:color="auto"/>
            </w:tcBorders>
            <w:shd w:val="clear" w:color="auto" w:fill="auto"/>
            <w:noWrap/>
            <w:vAlign w:val="center"/>
            <w:hideMark/>
          </w:tcPr>
          <w:p w14:paraId="614D3715"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16</w:t>
            </w:r>
          </w:p>
        </w:tc>
        <w:tc>
          <w:tcPr>
            <w:tcW w:w="616" w:type="dxa"/>
            <w:tcBorders>
              <w:top w:val="nil"/>
              <w:left w:val="nil"/>
              <w:bottom w:val="single" w:sz="8" w:space="0" w:color="auto"/>
              <w:right w:val="single" w:sz="8" w:space="0" w:color="auto"/>
            </w:tcBorders>
            <w:shd w:val="clear" w:color="auto" w:fill="auto"/>
            <w:noWrap/>
            <w:vAlign w:val="center"/>
            <w:hideMark/>
          </w:tcPr>
          <w:p w14:paraId="6A47197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53%</w:t>
            </w:r>
          </w:p>
        </w:tc>
        <w:tc>
          <w:tcPr>
            <w:tcW w:w="1171" w:type="dxa"/>
            <w:tcBorders>
              <w:top w:val="nil"/>
              <w:left w:val="nil"/>
              <w:bottom w:val="single" w:sz="8" w:space="0" w:color="auto"/>
              <w:right w:val="single" w:sz="8" w:space="0" w:color="auto"/>
            </w:tcBorders>
            <w:shd w:val="clear" w:color="auto" w:fill="auto"/>
            <w:noWrap/>
            <w:vAlign w:val="center"/>
            <w:hideMark/>
          </w:tcPr>
          <w:p w14:paraId="44A9A9B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9</w:t>
            </w:r>
          </w:p>
        </w:tc>
        <w:tc>
          <w:tcPr>
            <w:tcW w:w="616" w:type="dxa"/>
            <w:tcBorders>
              <w:top w:val="nil"/>
              <w:left w:val="nil"/>
              <w:bottom w:val="single" w:sz="8" w:space="0" w:color="auto"/>
              <w:right w:val="single" w:sz="8" w:space="0" w:color="auto"/>
            </w:tcBorders>
            <w:shd w:val="clear" w:color="auto" w:fill="auto"/>
            <w:noWrap/>
            <w:vAlign w:val="center"/>
            <w:hideMark/>
          </w:tcPr>
          <w:p w14:paraId="3BE10BD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56%</w:t>
            </w:r>
          </w:p>
        </w:tc>
      </w:tr>
      <w:tr w:rsidR="0077719C" w:rsidRPr="0077719C" w14:paraId="566D700B" w14:textId="77777777" w:rsidTr="00AA2D4D">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76295D6E"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family support</w:t>
            </w:r>
          </w:p>
        </w:tc>
        <w:tc>
          <w:tcPr>
            <w:tcW w:w="692" w:type="dxa"/>
            <w:tcBorders>
              <w:top w:val="nil"/>
              <w:left w:val="nil"/>
              <w:bottom w:val="single" w:sz="8" w:space="0" w:color="auto"/>
              <w:right w:val="single" w:sz="8" w:space="0" w:color="auto"/>
            </w:tcBorders>
            <w:shd w:val="clear" w:color="auto" w:fill="auto"/>
            <w:noWrap/>
            <w:vAlign w:val="center"/>
            <w:hideMark/>
          </w:tcPr>
          <w:p w14:paraId="2BF2295E"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28</w:t>
            </w:r>
          </w:p>
        </w:tc>
        <w:tc>
          <w:tcPr>
            <w:tcW w:w="616" w:type="dxa"/>
            <w:tcBorders>
              <w:top w:val="nil"/>
              <w:left w:val="nil"/>
              <w:bottom w:val="single" w:sz="8" w:space="0" w:color="auto"/>
              <w:right w:val="single" w:sz="8" w:space="0" w:color="auto"/>
            </w:tcBorders>
            <w:shd w:val="clear" w:color="auto" w:fill="auto"/>
            <w:noWrap/>
            <w:vAlign w:val="center"/>
            <w:hideMark/>
          </w:tcPr>
          <w:p w14:paraId="0429BDE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61%</w:t>
            </w:r>
          </w:p>
        </w:tc>
        <w:tc>
          <w:tcPr>
            <w:tcW w:w="727" w:type="dxa"/>
            <w:tcBorders>
              <w:top w:val="nil"/>
              <w:left w:val="nil"/>
              <w:bottom w:val="single" w:sz="8" w:space="0" w:color="auto"/>
              <w:right w:val="single" w:sz="8" w:space="0" w:color="auto"/>
            </w:tcBorders>
            <w:shd w:val="clear" w:color="auto" w:fill="auto"/>
            <w:noWrap/>
            <w:vAlign w:val="center"/>
            <w:hideMark/>
          </w:tcPr>
          <w:p w14:paraId="5067676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18</w:t>
            </w:r>
          </w:p>
        </w:tc>
        <w:tc>
          <w:tcPr>
            <w:tcW w:w="616" w:type="dxa"/>
            <w:tcBorders>
              <w:top w:val="nil"/>
              <w:left w:val="nil"/>
              <w:bottom w:val="single" w:sz="8" w:space="0" w:color="auto"/>
              <w:right w:val="single" w:sz="8" w:space="0" w:color="auto"/>
            </w:tcBorders>
            <w:shd w:val="clear" w:color="auto" w:fill="auto"/>
            <w:noWrap/>
            <w:vAlign w:val="center"/>
            <w:hideMark/>
          </w:tcPr>
          <w:p w14:paraId="29F72A3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60%</w:t>
            </w:r>
          </w:p>
        </w:tc>
        <w:tc>
          <w:tcPr>
            <w:tcW w:w="1171" w:type="dxa"/>
            <w:tcBorders>
              <w:top w:val="nil"/>
              <w:left w:val="nil"/>
              <w:bottom w:val="single" w:sz="8" w:space="0" w:color="auto"/>
              <w:right w:val="single" w:sz="8" w:space="0" w:color="auto"/>
            </w:tcBorders>
            <w:shd w:val="clear" w:color="auto" w:fill="auto"/>
            <w:noWrap/>
            <w:vAlign w:val="center"/>
            <w:hideMark/>
          </w:tcPr>
          <w:p w14:paraId="0A1A8E1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10</w:t>
            </w:r>
          </w:p>
        </w:tc>
        <w:tc>
          <w:tcPr>
            <w:tcW w:w="616" w:type="dxa"/>
            <w:tcBorders>
              <w:top w:val="nil"/>
              <w:left w:val="nil"/>
              <w:bottom w:val="single" w:sz="8" w:space="0" w:color="auto"/>
              <w:right w:val="single" w:sz="8" w:space="0" w:color="auto"/>
            </w:tcBorders>
            <w:shd w:val="clear" w:color="auto" w:fill="auto"/>
            <w:noWrap/>
            <w:vAlign w:val="center"/>
            <w:hideMark/>
          </w:tcPr>
          <w:p w14:paraId="37C9DE9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63%</w:t>
            </w:r>
          </w:p>
        </w:tc>
      </w:tr>
      <w:tr w:rsidR="0077719C" w:rsidRPr="0077719C" w14:paraId="106F2046" w14:textId="77777777" w:rsidTr="00AA2D4D">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3F703561"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tutoring</w:t>
            </w:r>
          </w:p>
        </w:tc>
        <w:tc>
          <w:tcPr>
            <w:tcW w:w="692" w:type="dxa"/>
            <w:tcBorders>
              <w:top w:val="nil"/>
              <w:left w:val="nil"/>
              <w:bottom w:val="single" w:sz="8" w:space="0" w:color="auto"/>
              <w:right w:val="single" w:sz="8" w:space="0" w:color="auto"/>
            </w:tcBorders>
            <w:shd w:val="clear" w:color="auto" w:fill="auto"/>
            <w:noWrap/>
            <w:vAlign w:val="center"/>
            <w:hideMark/>
          </w:tcPr>
          <w:p w14:paraId="4EBCACD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12</w:t>
            </w:r>
          </w:p>
        </w:tc>
        <w:tc>
          <w:tcPr>
            <w:tcW w:w="616" w:type="dxa"/>
            <w:tcBorders>
              <w:top w:val="nil"/>
              <w:left w:val="nil"/>
              <w:bottom w:val="single" w:sz="8" w:space="0" w:color="auto"/>
              <w:right w:val="single" w:sz="8" w:space="0" w:color="auto"/>
            </w:tcBorders>
            <w:shd w:val="clear" w:color="auto" w:fill="auto"/>
            <w:noWrap/>
            <w:vAlign w:val="center"/>
            <w:hideMark/>
          </w:tcPr>
          <w:p w14:paraId="373FB5C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26%</w:t>
            </w:r>
          </w:p>
        </w:tc>
        <w:tc>
          <w:tcPr>
            <w:tcW w:w="727" w:type="dxa"/>
            <w:tcBorders>
              <w:top w:val="nil"/>
              <w:left w:val="nil"/>
              <w:bottom w:val="single" w:sz="8" w:space="0" w:color="auto"/>
              <w:right w:val="single" w:sz="8" w:space="0" w:color="auto"/>
            </w:tcBorders>
            <w:shd w:val="clear" w:color="auto" w:fill="auto"/>
            <w:noWrap/>
            <w:vAlign w:val="center"/>
            <w:hideMark/>
          </w:tcPr>
          <w:p w14:paraId="222E89C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8</w:t>
            </w:r>
          </w:p>
        </w:tc>
        <w:tc>
          <w:tcPr>
            <w:tcW w:w="616" w:type="dxa"/>
            <w:tcBorders>
              <w:top w:val="nil"/>
              <w:left w:val="nil"/>
              <w:bottom w:val="single" w:sz="8" w:space="0" w:color="auto"/>
              <w:right w:val="single" w:sz="8" w:space="0" w:color="auto"/>
            </w:tcBorders>
            <w:shd w:val="clear" w:color="auto" w:fill="auto"/>
            <w:noWrap/>
            <w:vAlign w:val="center"/>
            <w:hideMark/>
          </w:tcPr>
          <w:p w14:paraId="6E68B7B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27%</w:t>
            </w:r>
          </w:p>
        </w:tc>
        <w:tc>
          <w:tcPr>
            <w:tcW w:w="1171" w:type="dxa"/>
            <w:tcBorders>
              <w:top w:val="nil"/>
              <w:left w:val="nil"/>
              <w:bottom w:val="single" w:sz="8" w:space="0" w:color="auto"/>
              <w:right w:val="single" w:sz="8" w:space="0" w:color="auto"/>
            </w:tcBorders>
            <w:shd w:val="clear" w:color="auto" w:fill="auto"/>
            <w:noWrap/>
            <w:vAlign w:val="center"/>
            <w:hideMark/>
          </w:tcPr>
          <w:p w14:paraId="425CBD3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w:t>
            </w:r>
          </w:p>
        </w:tc>
        <w:tc>
          <w:tcPr>
            <w:tcW w:w="616" w:type="dxa"/>
            <w:tcBorders>
              <w:top w:val="nil"/>
              <w:left w:val="nil"/>
              <w:bottom w:val="single" w:sz="8" w:space="0" w:color="auto"/>
              <w:right w:val="single" w:sz="8" w:space="0" w:color="auto"/>
            </w:tcBorders>
            <w:shd w:val="clear" w:color="auto" w:fill="auto"/>
            <w:noWrap/>
            <w:vAlign w:val="center"/>
            <w:hideMark/>
          </w:tcPr>
          <w:p w14:paraId="7AD31F9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25%</w:t>
            </w:r>
          </w:p>
        </w:tc>
      </w:tr>
      <w:tr w:rsidR="0077719C" w:rsidRPr="0077719C" w14:paraId="30F6A5FB" w14:textId="77777777" w:rsidTr="00AA2D4D">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1235D734"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student health clinic</w:t>
            </w:r>
          </w:p>
        </w:tc>
        <w:tc>
          <w:tcPr>
            <w:tcW w:w="692" w:type="dxa"/>
            <w:tcBorders>
              <w:top w:val="nil"/>
              <w:left w:val="nil"/>
              <w:bottom w:val="single" w:sz="8" w:space="0" w:color="auto"/>
              <w:right w:val="single" w:sz="8" w:space="0" w:color="auto"/>
            </w:tcBorders>
            <w:shd w:val="clear" w:color="auto" w:fill="auto"/>
            <w:noWrap/>
            <w:vAlign w:val="center"/>
            <w:hideMark/>
          </w:tcPr>
          <w:p w14:paraId="368D9B1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w:t>
            </w:r>
          </w:p>
        </w:tc>
        <w:tc>
          <w:tcPr>
            <w:tcW w:w="616" w:type="dxa"/>
            <w:tcBorders>
              <w:top w:val="nil"/>
              <w:left w:val="nil"/>
              <w:bottom w:val="single" w:sz="8" w:space="0" w:color="auto"/>
              <w:right w:val="single" w:sz="8" w:space="0" w:color="auto"/>
            </w:tcBorders>
            <w:shd w:val="clear" w:color="auto" w:fill="auto"/>
            <w:noWrap/>
            <w:vAlign w:val="center"/>
            <w:hideMark/>
          </w:tcPr>
          <w:p w14:paraId="718399D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13%</w:t>
            </w:r>
          </w:p>
        </w:tc>
        <w:tc>
          <w:tcPr>
            <w:tcW w:w="727" w:type="dxa"/>
            <w:tcBorders>
              <w:top w:val="nil"/>
              <w:left w:val="nil"/>
              <w:bottom w:val="single" w:sz="8" w:space="0" w:color="auto"/>
              <w:right w:val="single" w:sz="8" w:space="0" w:color="auto"/>
            </w:tcBorders>
            <w:shd w:val="clear" w:color="auto" w:fill="auto"/>
            <w:noWrap/>
            <w:vAlign w:val="center"/>
            <w:hideMark/>
          </w:tcPr>
          <w:p w14:paraId="60B1E12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w:t>
            </w:r>
          </w:p>
        </w:tc>
        <w:tc>
          <w:tcPr>
            <w:tcW w:w="616" w:type="dxa"/>
            <w:tcBorders>
              <w:top w:val="nil"/>
              <w:left w:val="nil"/>
              <w:bottom w:val="single" w:sz="8" w:space="0" w:color="auto"/>
              <w:right w:val="single" w:sz="8" w:space="0" w:color="auto"/>
            </w:tcBorders>
            <w:shd w:val="clear" w:color="auto" w:fill="auto"/>
            <w:noWrap/>
            <w:vAlign w:val="center"/>
            <w:hideMark/>
          </w:tcPr>
          <w:p w14:paraId="2317DF1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20%</w:t>
            </w:r>
          </w:p>
        </w:tc>
        <w:tc>
          <w:tcPr>
            <w:tcW w:w="1171" w:type="dxa"/>
            <w:tcBorders>
              <w:top w:val="nil"/>
              <w:left w:val="nil"/>
              <w:bottom w:val="single" w:sz="8" w:space="0" w:color="auto"/>
              <w:right w:val="single" w:sz="8" w:space="0" w:color="auto"/>
            </w:tcBorders>
            <w:shd w:val="clear" w:color="auto" w:fill="auto"/>
            <w:noWrap/>
            <w:vAlign w:val="center"/>
            <w:hideMark/>
          </w:tcPr>
          <w:p w14:paraId="65D6AFED"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616" w:type="dxa"/>
            <w:tcBorders>
              <w:top w:val="nil"/>
              <w:left w:val="nil"/>
              <w:bottom w:val="single" w:sz="8" w:space="0" w:color="auto"/>
              <w:right w:val="single" w:sz="8" w:space="0" w:color="auto"/>
            </w:tcBorders>
            <w:shd w:val="clear" w:color="auto" w:fill="auto"/>
            <w:noWrap/>
            <w:vAlign w:val="center"/>
            <w:hideMark/>
          </w:tcPr>
          <w:p w14:paraId="7827FBE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r w:rsidR="0077719C" w:rsidRPr="0077719C" w14:paraId="2135B91F" w14:textId="77777777" w:rsidTr="00AA2D4D">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014A4D5A"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professional counseling</w:t>
            </w:r>
          </w:p>
        </w:tc>
        <w:tc>
          <w:tcPr>
            <w:tcW w:w="692" w:type="dxa"/>
            <w:tcBorders>
              <w:top w:val="nil"/>
              <w:left w:val="nil"/>
              <w:bottom w:val="single" w:sz="8" w:space="0" w:color="auto"/>
              <w:right w:val="single" w:sz="8" w:space="0" w:color="auto"/>
            </w:tcBorders>
            <w:shd w:val="clear" w:color="auto" w:fill="auto"/>
            <w:noWrap/>
            <w:vAlign w:val="center"/>
            <w:hideMark/>
          </w:tcPr>
          <w:p w14:paraId="1A862DE5"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616" w:type="dxa"/>
            <w:tcBorders>
              <w:top w:val="nil"/>
              <w:left w:val="nil"/>
              <w:bottom w:val="single" w:sz="8" w:space="0" w:color="auto"/>
              <w:right w:val="single" w:sz="8" w:space="0" w:color="auto"/>
            </w:tcBorders>
            <w:shd w:val="clear" w:color="auto" w:fill="auto"/>
            <w:noWrap/>
            <w:vAlign w:val="center"/>
            <w:hideMark/>
          </w:tcPr>
          <w:p w14:paraId="289B668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w:t>
            </w:r>
          </w:p>
        </w:tc>
        <w:tc>
          <w:tcPr>
            <w:tcW w:w="727" w:type="dxa"/>
            <w:tcBorders>
              <w:top w:val="nil"/>
              <w:left w:val="nil"/>
              <w:bottom w:val="single" w:sz="8" w:space="0" w:color="auto"/>
              <w:right w:val="single" w:sz="8" w:space="0" w:color="auto"/>
            </w:tcBorders>
            <w:shd w:val="clear" w:color="auto" w:fill="auto"/>
            <w:noWrap/>
            <w:vAlign w:val="center"/>
            <w:hideMark/>
          </w:tcPr>
          <w:p w14:paraId="6CB8770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616" w:type="dxa"/>
            <w:tcBorders>
              <w:top w:val="nil"/>
              <w:left w:val="nil"/>
              <w:bottom w:val="single" w:sz="8" w:space="0" w:color="auto"/>
              <w:right w:val="single" w:sz="8" w:space="0" w:color="auto"/>
            </w:tcBorders>
            <w:shd w:val="clear" w:color="auto" w:fill="auto"/>
            <w:noWrap/>
            <w:vAlign w:val="center"/>
            <w:hideMark/>
          </w:tcPr>
          <w:p w14:paraId="7BBB626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1171" w:type="dxa"/>
            <w:tcBorders>
              <w:top w:val="nil"/>
              <w:left w:val="nil"/>
              <w:bottom w:val="single" w:sz="8" w:space="0" w:color="auto"/>
              <w:right w:val="single" w:sz="8" w:space="0" w:color="auto"/>
            </w:tcBorders>
            <w:shd w:val="clear" w:color="auto" w:fill="auto"/>
            <w:noWrap/>
            <w:vAlign w:val="center"/>
            <w:hideMark/>
          </w:tcPr>
          <w:p w14:paraId="5EBA1E3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616" w:type="dxa"/>
            <w:tcBorders>
              <w:top w:val="nil"/>
              <w:left w:val="nil"/>
              <w:bottom w:val="single" w:sz="8" w:space="0" w:color="auto"/>
              <w:right w:val="single" w:sz="8" w:space="0" w:color="auto"/>
            </w:tcBorders>
            <w:shd w:val="clear" w:color="auto" w:fill="auto"/>
            <w:noWrap/>
            <w:vAlign w:val="center"/>
            <w:hideMark/>
          </w:tcPr>
          <w:p w14:paraId="252540D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w:t>
            </w:r>
          </w:p>
        </w:tc>
      </w:tr>
      <w:tr w:rsidR="0077719C" w:rsidRPr="0077719C" w14:paraId="24898D3B" w14:textId="77777777" w:rsidTr="00AA2D4D">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250BB082"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online support</w:t>
            </w:r>
          </w:p>
        </w:tc>
        <w:tc>
          <w:tcPr>
            <w:tcW w:w="692" w:type="dxa"/>
            <w:tcBorders>
              <w:top w:val="nil"/>
              <w:left w:val="nil"/>
              <w:bottom w:val="single" w:sz="8" w:space="0" w:color="auto"/>
              <w:right w:val="single" w:sz="8" w:space="0" w:color="auto"/>
            </w:tcBorders>
            <w:shd w:val="clear" w:color="auto" w:fill="auto"/>
            <w:noWrap/>
            <w:vAlign w:val="center"/>
            <w:hideMark/>
          </w:tcPr>
          <w:p w14:paraId="4C7F215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w:t>
            </w:r>
          </w:p>
        </w:tc>
        <w:tc>
          <w:tcPr>
            <w:tcW w:w="616" w:type="dxa"/>
            <w:tcBorders>
              <w:top w:val="nil"/>
              <w:left w:val="nil"/>
              <w:bottom w:val="single" w:sz="8" w:space="0" w:color="auto"/>
              <w:right w:val="single" w:sz="8" w:space="0" w:color="auto"/>
            </w:tcBorders>
            <w:shd w:val="clear" w:color="auto" w:fill="auto"/>
            <w:noWrap/>
            <w:vAlign w:val="center"/>
            <w:hideMark/>
          </w:tcPr>
          <w:p w14:paraId="442E4C8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9%</w:t>
            </w:r>
          </w:p>
        </w:tc>
        <w:tc>
          <w:tcPr>
            <w:tcW w:w="727" w:type="dxa"/>
            <w:tcBorders>
              <w:top w:val="nil"/>
              <w:left w:val="nil"/>
              <w:bottom w:val="single" w:sz="8" w:space="0" w:color="auto"/>
              <w:right w:val="single" w:sz="8" w:space="0" w:color="auto"/>
            </w:tcBorders>
            <w:shd w:val="clear" w:color="auto" w:fill="auto"/>
            <w:noWrap/>
            <w:vAlign w:val="center"/>
            <w:hideMark/>
          </w:tcPr>
          <w:p w14:paraId="3F3B066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616" w:type="dxa"/>
            <w:tcBorders>
              <w:top w:val="nil"/>
              <w:left w:val="nil"/>
              <w:bottom w:val="single" w:sz="8" w:space="0" w:color="auto"/>
              <w:right w:val="single" w:sz="8" w:space="0" w:color="auto"/>
            </w:tcBorders>
            <w:shd w:val="clear" w:color="auto" w:fill="auto"/>
            <w:noWrap/>
            <w:vAlign w:val="center"/>
            <w:hideMark/>
          </w:tcPr>
          <w:p w14:paraId="56706C3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7%</w:t>
            </w:r>
          </w:p>
        </w:tc>
        <w:tc>
          <w:tcPr>
            <w:tcW w:w="1171" w:type="dxa"/>
            <w:tcBorders>
              <w:top w:val="nil"/>
              <w:left w:val="nil"/>
              <w:bottom w:val="single" w:sz="8" w:space="0" w:color="auto"/>
              <w:right w:val="single" w:sz="8" w:space="0" w:color="auto"/>
            </w:tcBorders>
            <w:shd w:val="clear" w:color="auto" w:fill="auto"/>
            <w:noWrap/>
            <w:vAlign w:val="center"/>
            <w:hideMark/>
          </w:tcPr>
          <w:p w14:paraId="31F43D9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616" w:type="dxa"/>
            <w:tcBorders>
              <w:top w:val="nil"/>
              <w:left w:val="nil"/>
              <w:bottom w:val="single" w:sz="8" w:space="0" w:color="auto"/>
              <w:right w:val="single" w:sz="8" w:space="0" w:color="auto"/>
            </w:tcBorders>
            <w:shd w:val="clear" w:color="auto" w:fill="auto"/>
            <w:noWrap/>
            <w:vAlign w:val="center"/>
            <w:hideMark/>
          </w:tcPr>
          <w:p w14:paraId="01EAB76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13%</w:t>
            </w:r>
          </w:p>
        </w:tc>
      </w:tr>
      <w:tr w:rsidR="0077719C" w:rsidRPr="0077719C" w14:paraId="476A2E90" w14:textId="77777777" w:rsidTr="00AA2D4D">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4BFBE27B"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professor office hours</w:t>
            </w:r>
          </w:p>
        </w:tc>
        <w:tc>
          <w:tcPr>
            <w:tcW w:w="692" w:type="dxa"/>
            <w:tcBorders>
              <w:top w:val="nil"/>
              <w:left w:val="nil"/>
              <w:bottom w:val="single" w:sz="8" w:space="0" w:color="auto"/>
              <w:right w:val="single" w:sz="8" w:space="0" w:color="auto"/>
            </w:tcBorders>
            <w:shd w:val="clear" w:color="auto" w:fill="auto"/>
            <w:noWrap/>
            <w:vAlign w:val="center"/>
            <w:hideMark/>
          </w:tcPr>
          <w:p w14:paraId="192C758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616" w:type="dxa"/>
            <w:tcBorders>
              <w:top w:val="nil"/>
              <w:left w:val="nil"/>
              <w:bottom w:val="single" w:sz="8" w:space="0" w:color="auto"/>
              <w:right w:val="single" w:sz="8" w:space="0" w:color="auto"/>
            </w:tcBorders>
            <w:shd w:val="clear" w:color="auto" w:fill="auto"/>
            <w:noWrap/>
            <w:vAlign w:val="center"/>
            <w:hideMark/>
          </w:tcPr>
          <w:p w14:paraId="59A69F8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11%</w:t>
            </w:r>
          </w:p>
        </w:tc>
        <w:tc>
          <w:tcPr>
            <w:tcW w:w="727" w:type="dxa"/>
            <w:tcBorders>
              <w:top w:val="nil"/>
              <w:left w:val="nil"/>
              <w:bottom w:val="single" w:sz="8" w:space="0" w:color="auto"/>
              <w:right w:val="single" w:sz="8" w:space="0" w:color="auto"/>
            </w:tcBorders>
            <w:shd w:val="clear" w:color="auto" w:fill="auto"/>
            <w:noWrap/>
            <w:vAlign w:val="center"/>
            <w:hideMark/>
          </w:tcPr>
          <w:p w14:paraId="6841E65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616" w:type="dxa"/>
            <w:tcBorders>
              <w:top w:val="nil"/>
              <w:left w:val="nil"/>
              <w:bottom w:val="single" w:sz="8" w:space="0" w:color="auto"/>
              <w:right w:val="single" w:sz="8" w:space="0" w:color="auto"/>
            </w:tcBorders>
            <w:shd w:val="clear" w:color="auto" w:fill="auto"/>
            <w:noWrap/>
            <w:vAlign w:val="center"/>
            <w:hideMark/>
          </w:tcPr>
          <w:p w14:paraId="432D6BB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10%</w:t>
            </w:r>
          </w:p>
        </w:tc>
        <w:tc>
          <w:tcPr>
            <w:tcW w:w="1171" w:type="dxa"/>
            <w:tcBorders>
              <w:top w:val="nil"/>
              <w:left w:val="nil"/>
              <w:bottom w:val="single" w:sz="8" w:space="0" w:color="auto"/>
              <w:right w:val="single" w:sz="8" w:space="0" w:color="auto"/>
            </w:tcBorders>
            <w:shd w:val="clear" w:color="auto" w:fill="auto"/>
            <w:noWrap/>
            <w:vAlign w:val="center"/>
            <w:hideMark/>
          </w:tcPr>
          <w:p w14:paraId="408A57D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616" w:type="dxa"/>
            <w:tcBorders>
              <w:top w:val="nil"/>
              <w:left w:val="nil"/>
              <w:bottom w:val="single" w:sz="8" w:space="0" w:color="auto"/>
              <w:right w:val="single" w:sz="8" w:space="0" w:color="auto"/>
            </w:tcBorders>
            <w:shd w:val="clear" w:color="auto" w:fill="auto"/>
            <w:noWrap/>
            <w:vAlign w:val="center"/>
            <w:hideMark/>
          </w:tcPr>
          <w:p w14:paraId="1657F54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13%</w:t>
            </w:r>
          </w:p>
        </w:tc>
      </w:tr>
      <w:tr w:rsidR="0077719C" w:rsidRPr="0077719C" w14:paraId="4F269964" w14:textId="77777777" w:rsidTr="00AA2D4D">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4F892EDE"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other</w:t>
            </w:r>
          </w:p>
        </w:tc>
        <w:tc>
          <w:tcPr>
            <w:tcW w:w="692" w:type="dxa"/>
            <w:tcBorders>
              <w:top w:val="nil"/>
              <w:left w:val="nil"/>
              <w:bottom w:val="single" w:sz="8" w:space="0" w:color="auto"/>
              <w:right w:val="single" w:sz="8" w:space="0" w:color="auto"/>
            </w:tcBorders>
            <w:shd w:val="clear" w:color="auto" w:fill="auto"/>
            <w:noWrap/>
            <w:vAlign w:val="center"/>
            <w:hideMark/>
          </w:tcPr>
          <w:p w14:paraId="5CD7CB5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616" w:type="dxa"/>
            <w:tcBorders>
              <w:top w:val="nil"/>
              <w:left w:val="nil"/>
              <w:bottom w:val="single" w:sz="8" w:space="0" w:color="auto"/>
              <w:right w:val="single" w:sz="8" w:space="0" w:color="auto"/>
            </w:tcBorders>
            <w:shd w:val="clear" w:color="auto" w:fill="auto"/>
            <w:noWrap/>
            <w:vAlign w:val="center"/>
            <w:hideMark/>
          </w:tcPr>
          <w:p w14:paraId="5DA0E0D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727" w:type="dxa"/>
            <w:tcBorders>
              <w:top w:val="nil"/>
              <w:left w:val="nil"/>
              <w:bottom w:val="single" w:sz="8" w:space="0" w:color="auto"/>
              <w:right w:val="single" w:sz="8" w:space="0" w:color="auto"/>
            </w:tcBorders>
            <w:shd w:val="clear" w:color="auto" w:fill="auto"/>
            <w:noWrap/>
            <w:vAlign w:val="center"/>
            <w:hideMark/>
          </w:tcPr>
          <w:p w14:paraId="7FDF355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616" w:type="dxa"/>
            <w:tcBorders>
              <w:top w:val="nil"/>
              <w:left w:val="nil"/>
              <w:bottom w:val="single" w:sz="8" w:space="0" w:color="auto"/>
              <w:right w:val="single" w:sz="8" w:space="0" w:color="auto"/>
            </w:tcBorders>
            <w:shd w:val="clear" w:color="auto" w:fill="auto"/>
            <w:noWrap/>
            <w:vAlign w:val="center"/>
            <w:hideMark/>
          </w:tcPr>
          <w:p w14:paraId="310ED14E"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1171" w:type="dxa"/>
            <w:tcBorders>
              <w:top w:val="nil"/>
              <w:left w:val="nil"/>
              <w:bottom w:val="single" w:sz="8" w:space="0" w:color="auto"/>
              <w:right w:val="single" w:sz="8" w:space="0" w:color="auto"/>
            </w:tcBorders>
            <w:shd w:val="clear" w:color="auto" w:fill="auto"/>
            <w:noWrap/>
            <w:vAlign w:val="center"/>
            <w:hideMark/>
          </w:tcPr>
          <w:p w14:paraId="208070E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616" w:type="dxa"/>
            <w:tcBorders>
              <w:top w:val="nil"/>
              <w:left w:val="nil"/>
              <w:bottom w:val="single" w:sz="8" w:space="0" w:color="auto"/>
              <w:right w:val="single" w:sz="8" w:space="0" w:color="auto"/>
            </w:tcBorders>
            <w:shd w:val="clear" w:color="auto" w:fill="auto"/>
            <w:noWrap/>
            <w:vAlign w:val="center"/>
            <w:hideMark/>
          </w:tcPr>
          <w:p w14:paraId="7A7755E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r w:rsidR="0077719C" w:rsidRPr="0077719C" w14:paraId="7E625BC6" w14:textId="77777777" w:rsidTr="00AA2D4D">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16D76686"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pastoral services</w:t>
            </w:r>
          </w:p>
        </w:tc>
        <w:tc>
          <w:tcPr>
            <w:tcW w:w="692" w:type="dxa"/>
            <w:tcBorders>
              <w:top w:val="nil"/>
              <w:left w:val="nil"/>
              <w:bottom w:val="single" w:sz="8" w:space="0" w:color="auto"/>
              <w:right w:val="single" w:sz="8" w:space="0" w:color="auto"/>
            </w:tcBorders>
            <w:shd w:val="clear" w:color="auto" w:fill="auto"/>
            <w:noWrap/>
            <w:vAlign w:val="center"/>
            <w:hideMark/>
          </w:tcPr>
          <w:p w14:paraId="6084EA4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616" w:type="dxa"/>
            <w:tcBorders>
              <w:top w:val="nil"/>
              <w:left w:val="nil"/>
              <w:bottom w:val="single" w:sz="8" w:space="0" w:color="auto"/>
              <w:right w:val="single" w:sz="8" w:space="0" w:color="auto"/>
            </w:tcBorders>
            <w:shd w:val="clear" w:color="auto" w:fill="auto"/>
            <w:noWrap/>
            <w:vAlign w:val="center"/>
            <w:hideMark/>
          </w:tcPr>
          <w:p w14:paraId="661DCB6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7%</w:t>
            </w:r>
          </w:p>
        </w:tc>
        <w:tc>
          <w:tcPr>
            <w:tcW w:w="727" w:type="dxa"/>
            <w:tcBorders>
              <w:top w:val="nil"/>
              <w:left w:val="nil"/>
              <w:bottom w:val="single" w:sz="8" w:space="0" w:color="auto"/>
              <w:right w:val="single" w:sz="8" w:space="0" w:color="auto"/>
            </w:tcBorders>
            <w:shd w:val="clear" w:color="auto" w:fill="auto"/>
            <w:noWrap/>
            <w:vAlign w:val="center"/>
            <w:hideMark/>
          </w:tcPr>
          <w:p w14:paraId="20117ED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616" w:type="dxa"/>
            <w:tcBorders>
              <w:top w:val="nil"/>
              <w:left w:val="nil"/>
              <w:bottom w:val="single" w:sz="8" w:space="0" w:color="auto"/>
              <w:right w:val="single" w:sz="8" w:space="0" w:color="auto"/>
            </w:tcBorders>
            <w:shd w:val="clear" w:color="auto" w:fill="auto"/>
            <w:noWrap/>
            <w:vAlign w:val="center"/>
            <w:hideMark/>
          </w:tcPr>
          <w:p w14:paraId="5A3CF0ED"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1171" w:type="dxa"/>
            <w:tcBorders>
              <w:top w:val="nil"/>
              <w:left w:val="nil"/>
              <w:bottom w:val="single" w:sz="8" w:space="0" w:color="auto"/>
              <w:right w:val="single" w:sz="8" w:space="0" w:color="auto"/>
            </w:tcBorders>
            <w:shd w:val="clear" w:color="auto" w:fill="auto"/>
            <w:noWrap/>
            <w:vAlign w:val="center"/>
            <w:hideMark/>
          </w:tcPr>
          <w:p w14:paraId="6EF38B9D"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616" w:type="dxa"/>
            <w:tcBorders>
              <w:top w:val="nil"/>
              <w:left w:val="nil"/>
              <w:bottom w:val="single" w:sz="8" w:space="0" w:color="auto"/>
              <w:right w:val="single" w:sz="8" w:space="0" w:color="auto"/>
            </w:tcBorders>
            <w:shd w:val="clear" w:color="auto" w:fill="auto"/>
            <w:noWrap/>
            <w:vAlign w:val="center"/>
            <w:hideMark/>
          </w:tcPr>
          <w:p w14:paraId="103FE5D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13%</w:t>
            </w:r>
          </w:p>
        </w:tc>
      </w:tr>
      <w:tr w:rsidR="0077719C" w:rsidRPr="0077719C" w14:paraId="3411F131" w14:textId="77777777" w:rsidTr="00AA2D4D">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1E67AAE0"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none</w:t>
            </w:r>
          </w:p>
        </w:tc>
        <w:tc>
          <w:tcPr>
            <w:tcW w:w="692" w:type="dxa"/>
            <w:tcBorders>
              <w:top w:val="nil"/>
              <w:left w:val="nil"/>
              <w:bottom w:val="single" w:sz="8" w:space="0" w:color="auto"/>
              <w:right w:val="single" w:sz="8" w:space="0" w:color="auto"/>
            </w:tcBorders>
            <w:shd w:val="clear" w:color="auto" w:fill="auto"/>
            <w:noWrap/>
            <w:vAlign w:val="center"/>
            <w:hideMark/>
          </w:tcPr>
          <w:p w14:paraId="0A13153E"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616" w:type="dxa"/>
            <w:tcBorders>
              <w:top w:val="nil"/>
              <w:left w:val="nil"/>
              <w:bottom w:val="single" w:sz="8" w:space="0" w:color="auto"/>
              <w:right w:val="single" w:sz="8" w:space="0" w:color="auto"/>
            </w:tcBorders>
            <w:shd w:val="clear" w:color="auto" w:fill="auto"/>
            <w:noWrap/>
            <w:vAlign w:val="center"/>
            <w:hideMark/>
          </w:tcPr>
          <w:p w14:paraId="1922920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11%</w:t>
            </w:r>
          </w:p>
        </w:tc>
        <w:tc>
          <w:tcPr>
            <w:tcW w:w="727" w:type="dxa"/>
            <w:tcBorders>
              <w:top w:val="nil"/>
              <w:left w:val="nil"/>
              <w:bottom w:val="single" w:sz="8" w:space="0" w:color="auto"/>
              <w:right w:val="single" w:sz="8" w:space="0" w:color="auto"/>
            </w:tcBorders>
            <w:shd w:val="clear" w:color="auto" w:fill="auto"/>
            <w:noWrap/>
            <w:vAlign w:val="center"/>
            <w:hideMark/>
          </w:tcPr>
          <w:p w14:paraId="5E494B0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616" w:type="dxa"/>
            <w:tcBorders>
              <w:top w:val="nil"/>
              <w:left w:val="nil"/>
              <w:bottom w:val="single" w:sz="8" w:space="0" w:color="auto"/>
              <w:right w:val="single" w:sz="8" w:space="0" w:color="auto"/>
            </w:tcBorders>
            <w:shd w:val="clear" w:color="auto" w:fill="auto"/>
            <w:noWrap/>
            <w:vAlign w:val="center"/>
            <w:hideMark/>
          </w:tcPr>
          <w:p w14:paraId="3CD0D4C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7%</w:t>
            </w:r>
          </w:p>
        </w:tc>
        <w:tc>
          <w:tcPr>
            <w:tcW w:w="1171" w:type="dxa"/>
            <w:tcBorders>
              <w:top w:val="nil"/>
              <w:left w:val="nil"/>
              <w:bottom w:val="single" w:sz="8" w:space="0" w:color="auto"/>
              <w:right w:val="single" w:sz="8" w:space="0" w:color="auto"/>
            </w:tcBorders>
            <w:shd w:val="clear" w:color="auto" w:fill="auto"/>
            <w:noWrap/>
            <w:vAlign w:val="center"/>
            <w:hideMark/>
          </w:tcPr>
          <w:p w14:paraId="3280238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616" w:type="dxa"/>
            <w:tcBorders>
              <w:top w:val="nil"/>
              <w:left w:val="nil"/>
              <w:bottom w:val="single" w:sz="8" w:space="0" w:color="auto"/>
              <w:right w:val="single" w:sz="8" w:space="0" w:color="auto"/>
            </w:tcBorders>
            <w:shd w:val="clear" w:color="auto" w:fill="auto"/>
            <w:noWrap/>
            <w:vAlign w:val="center"/>
            <w:hideMark/>
          </w:tcPr>
          <w:p w14:paraId="78DF92D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19%</w:t>
            </w:r>
          </w:p>
        </w:tc>
      </w:tr>
      <w:tr w:rsidR="0077719C" w:rsidRPr="0077719C" w14:paraId="4555E92A" w14:textId="77777777" w:rsidTr="00AA2D4D">
        <w:trPr>
          <w:trHeight w:val="340"/>
        </w:trPr>
        <w:tc>
          <w:tcPr>
            <w:tcW w:w="1517" w:type="dxa"/>
            <w:tcBorders>
              <w:top w:val="nil"/>
              <w:left w:val="single" w:sz="8" w:space="0" w:color="auto"/>
              <w:bottom w:val="single" w:sz="8" w:space="0" w:color="auto"/>
              <w:right w:val="single" w:sz="8" w:space="0" w:color="auto"/>
            </w:tcBorders>
            <w:shd w:val="clear" w:color="auto" w:fill="auto"/>
            <w:vAlign w:val="center"/>
            <w:hideMark/>
          </w:tcPr>
          <w:p w14:paraId="2F5EB49A"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student services office</w:t>
            </w:r>
          </w:p>
        </w:tc>
        <w:tc>
          <w:tcPr>
            <w:tcW w:w="692" w:type="dxa"/>
            <w:tcBorders>
              <w:top w:val="nil"/>
              <w:left w:val="nil"/>
              <w:bottom w:val="single" w:sz="8" w:space="0" w:color="auto"/>
              <w:right w:val="single" w:sz="8" w:space="0" w:color="auto"/>
            </w:tcBorders>
            <w:shd w:val="clear" w:color="auto" w:fill="auto"/>
            <w:noWrap/>
            <w:vAlign w:val="center"/>
            <w:hideMark/>
          </w:tcPr>
          <w:p w14:paraId="5F433C9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616" w:type="dxa"/>
            <w:tcBorders>
              <w:top w:val="nil"/>
              <w:left w:val="nil"/>
              <w:bottom w:val="single" w:sz="8" w:space="0" w:color="auto"/>
              <w:right w:val="single" w:sz="8" w:space="0" w:color="auto"/>
            </w:tcBorders>
            <w:shd w:val="clear" w:color="auto" w:fill="auto"/>
            <w:noWrap/>
            <w:vAlign w:val="center"/>
            <w:hideMark/>
          </w:tcPr>
          <w:p w14:paraId="3177E24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727" w:type="dxa"/>
            <w:tcBorders>
              <w:top w:val="nil"/>
              <w:left w:val="nil"/>
              <w:bottom w:val="single" w:sz="8" w:space="0" w:color="auto"/>
              <w:right w:val="single" w:sz="8" w:space="0" w:color="auto"/>
            </w:tcBorders>
            <w:shd w:val="clear" w:color="auto" w:fill="auto"/>
            <w:noWrap/>
            <w:vAlign w:val="center"/>
            <w:hideMark/>
          </w:tcPr>
          <w:p w14:paraId="5F3119A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616" w:type="dxa"/>
            <w:tcBorders>
              <w:top w:val="nil"/>
              <w:left w:val="nil"/>
              <w:bottom w:val="single" w:sz="8" w:space="0" w:color="auto"/>
              <w:right w:val="single" w:sz="8" w:space="0" w:color="auto"/>
            </w:tcBorders>
            <w:shd w:val="clear" w:color="auto" w:fill="auto"/>
            <w:noWrap/>
            <w:vAlign w:val="center"/>
            <w:hideMark/>
          </w:tcPr>
          <w:p w14:paraId="79B1332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1171" w:type="dxa"/>
            <w:tcBorders>
              <w:top w:val="nil"/>
              <w:left w:val="nil"/>
              <w:bottom w:val="single" w:sz="8" w:space="0" w:color="auto"/>
              <w:right w:val="single" w:sz="8" w:space="0" w:color="auto"/>
            </w:tcBorders>
            <w:shd w:val="clear" w:color="auto" w:fill="auto"/>
            <w:noWrap/>
            <w:vAlign w:val="center"/>
            <w:hideMark/>
          </w:tcPr>
          <w:p w14:paraId="1E03DD5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616" w:type="dxa"/>
            <w:tcBorders>
              <w:top w:val="nil"/>
              <w:left w:val="nil"/>
              <w:bottom w:val="single" w:sz="8" w:space="0" w:color="auto"/>
              <w:right w:val="single" w:sz="8" w:space="0" w:color="auto"/>
            </w:tcBorders>
            <w:shd w:val="clear" w:color="auto" w:fill="auto"/>
            <w:noWrap/>
            <w:vAlign w:val="center"/>
            <w:hideMark/>
          </w:tcPr>
          <w:p w14:paraId="1550519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bl>
    <w:p w14:paraId="7B91C30C" w14:textId="2915C963" w:rsidR="0077719C" w:rsidRDefault="0077719C" w:rsidP="00F84901">
      <w:pPr>
        <w:spacing w:line="480" w:lineRule="auto"/>
        <w:outlineLvl w:val="0"/>
        <w:rPr>
          <w:rFonts w:asciiTheme="minorHAnsi" w:hAnsiTheme="minorHAnsi"/>
        </w:rPr>
      </w:pPr>
    </w:p>
    <w:p w14:paraId="5BBA56C7" w14:textId="3E5961BD" w:rsidR="006745D7" w:rsidRPr="00A658B0" w:rsidRDefault="000A1A22" w:rsidP="00006B09">
      <w:pPr>
        <w:spacing w:line="480" w:lineRule="auto"/>
        <w:rPr>
          <w:rFonts w:asciiTheme="minorHAnsi" w:hAnsiTheme="minorHAnsi"/>
          <w:b/>
        </w:rPr>
      </w:pPr>
      <w:r w:rsidRPr="00A658B0">
        <w:rPr>
          <w:rFonts w:asciiTheme="minorHAnsi" w:hAnsiTheme="minorHAnsi"/>
          <w:b/>
        </w:rPr>
        <w:t>Figure 11</w:t>
      </w:r>
      <w:r w:rsidR="006745D7" w:rsidRPr="00A658B0">
        <w:rPr>
          <w:rFonts w:asciiTheme="minorHAnsi" w:hAnsiTheme="minorHAnsi"/>
          <w:b/>
        </w:rPr>
        <w:t>.</w:t>
      </w:r>
      <w:r w:rsidR="00A658B0">
        <w:rPr>
          <w:rFonts w:asciiTheme="minorHAnsi" w:hAnsiTheme="minorHAnsi"/>
          <w:b/>
        </w:rPr>
        <w:t xml:space="preserve"> </w:t>
      </w:r>
      <w:r w:rsidR="006745D7" w:rsidRPr="00A658B0">
        <w:rPr>
          <w:rFonts w:asciiTheme="minorHAnsi" w:hAnsiTheme="minorHAnsi"/>
          <w:b/>
        </w:rPr>
        <w:t xml:space="preserve"> Group 2/Experimental 2017 Student Support Service Use: Exam 2</w:t>
      </w:r>
    </w:p>
    <w:p w14:paraId="43DBA0F3" w14:textId="6E652600" w:rsidR="006745D7" w:rsidRDefault="006745D7" w:rsidP="00006B09">
      <w:pPr>
        <w:spacing w:line="480" w:lineRule="auto"/>
        <w:outlineLvl w:val="0"/>
        <w:rPr>
          <w:rFonts w:asciiTheme="minorHAnsi" w:hAnsiTheme="minorHAnsi"/>
        </w:rPr>
      </w:pPr>
      <w:r>
        <w:rPr>
          <w:rFonts w:asciiTheme="minorHAnsi" w:hAnsiTheme="minorHAnsi"/>
        </w:rPr>
        <w:t>Percentage of Support Se</w:t>
      </w:r>
      <w:r w:rsidR="00006B09">
        <w:rPr>
          <w:rFonts w:asciiTheme="minorHAnsi" w:hAnsiTheme="minorHAnsi"/>
        </w:rPr>
        <w:t>rvice Usage for all respondents. MCBPs (&lt;80% exam grade) compared to total group and students with exam grade &gt;80%.</w:t>
      </w:r>
    </w:p>
    <w:p w14:paraId="3E763C9D" w14:textId="77777777" w:rsidR="0077719C" w:rsidRDefault="0077719C" w:rsidP="00F84901">
      <w:pPr>
        <w:spacing w:line="480" w:lineRule="auto"/>
        <w:outlineLvl w:val="0"/>
        <w:rPr>
          <w:rFonts w:asciiTheme="minorHAnsi" w:hAnsiTheme="minorHAnsi"/>
        </w:rPr>
      </w:pPr>
    </w:p>
    <w:p w14:paraId="78F6E5D3" w14:textId="77777777" w:rsidR="0077719C" w:rsidRDefault="0077719C" w:rsidP="00F84901">
      <w:pPr>
        <w:spacing w:line="480" w:lineRule="auto"/>
        <w:outlineLvl w:val="0"/>
        <w:rPr>
          <w:rFonts w:asciiTheme="minorHAnsi" w:hAnsiTheme="minorHAnsi"/>
        </w:rPr>
      </w:pPr>
    </w:p>
    <w:p w14:paraId="35FE3384" w14:textId="77777777" w:rsidR="0077719C" w:rsidRDefault="0077719C" w:rsidP="00F84901">
      <w:pPr>
        <w:spacing w:line="480" w:lineRule="auto"/>
        <w:outlineLvl w:val="0"/>
        <w:rPr>
          <w:rFonts w:asciiTheme="minorHAnsi" w:hAnsiTheme="minorHAnsi"/>
        </w:rPr>
      </w:pPr>
    </w:p>
    <w:p w14:paraId="699EF722" w14:textId="41D3092C" w:rsidR="006745D7" w:rsidRDefault="006745D7">
      <w:pPr>
        <w:rPr>
          <w:rFonts w:asciiTheme="minorHAnsi" w:hAnsiTheme="minorHAnsi"/>
        </w:rPr>
      </w:pPr>
      <w:r>
        <w:rPr>
          <w:rFonts w:asciiTheme="minorHAnsi" w:hAnsiTheme="minorHAnsi"/>
        </w:rPr>
        <w:br w:type="page"/>
      </w:r>
    </w:p>
    <w:p w14:paraId="5813BBC4" w14:textId="77777777" w:rsidR="0077719C" w:rsidRDefault="0077719C" w:rsidP="00F84901">
      <w:pPr>
        <w:spacing w:line="480" w:lineRule="auto"/>
        <w:outlineLvl w:val="0"/>
        <w:rPr>
          <w:rFonts w:asciiTheme="minorHAnsi" w:hAnsiTheme="minorHAnsi"/>
        </w:rPr>
      </w:pPr>
    </w:p>
    <w:tbl>
      <w:tblPr>
        <w:tblW w:w="4360" w:type="dxa"/>
        <w:tblLook w:val="04A0" w:firstRow="1" w:lastRow="0" w:firstColumn="1" w:lastColumn="0" w:noHBand="0" w:noVBand="1"/>
      </w:tblPr>
      <w:tblGrid>
        <w:gridCol w:w="1517"/>
        <w:gridCol w:w="692"/>
        <w:gridCol w:w="616"/>
        <w:gridCol w:w="727"/>
        <w:gridCol w:w="616"/>
        <w:gridCol w:w="727"/>
        <w:gridCol w:w="727"/>
      </w:tblGrid>
      <w:tr w:rsidR="0077719C" w:rsidRPr="0077719C" w14:paraId="2082DC8C" w14:textId="77777777" w:rsidTr="0077719C">
        <w:trPr>
          <w:trHeight w:val="620"/>
        </w:trPr>
        <w:tc>
          <w:tcPr>
            <w:tcW w:w="13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FB324A" w14:textId="0F273F04" w:rsidR="0077719C" w:rsidRPr="008B0226" w:rsidRDefault="008B0226" w:rsidP="0077719C">
            <w:pPr>
              <w:rPr>
                <w:rFonts w:ascii="Cambria" w:hAnsi="Cambria" w:cs="Calibri"/>
                <w:color w:val="000000"/>
                <w:sz w:val="20"/>
                <w:szCs w:val="20"/>
              </w:rPr>
            </w:pPr>
            <w:r>
              <w:rPr>
                <w:rFonts w:ascii="Cambria" w:hAnsi="Cambria" w:cs="Calibri"/>
                <w:color w:val="000000"/>
                <w:sz w:val="20"/>
                <w:szCs w:val="20"/>
              </w:rPr>
              <w:t>Experimental Group</w:t>
            </w:r>
            <w:r w:rsidR="0077719C" w:rsidRPr="008B0226">
              <w:rPr>
                <w:rFonts w:ascii="Cambria" w:hAnsi="Cambria" w:cs="Calibri"/>
                <w:color w:val="000000"/>
                <w:sz w:val="20"/>
                <w:szCs w:val="20"/>
              </w:rPr>
              <w:t xml:space="preserve"> Type of Support</w:t>
            </w:r>
          </w:p>
        </w:tc>
        <w:tc>
          <w:tcPr>
            <w:tcW w:w="480" w:type="dxa"/>
            <w:tcBorders>
              <w:top w:val="single" w:sz="8" w:space="0" w:color="auto"/>
              <w:left w:val="nil"/>
              <w:bottom w:val="single" w:sz="8" w:space="0" w:color="auto"/>
              <w:right w:val="single" w:sz="8" w:space="0" w:color="auto"/>
            </w:tcBorders>
            <w:shd w:val="clear" w:color="auto" w:fill="auto"/>
            <w:vAlign w:val="center"/>
            <w:hideMark/>
          </w:tcPr>
          <w:p w14:paraId="55C4F302"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Exam 3 n=23</w:t>
            </w:r>
          </w:p>
        </w:tc>
        <w:tc>
          <w:tcPr>
            <w:tcW w:w="420" w:type="dxa"/>
            <w:tcBorders>
              <w:top w:val="single" w:sz="8" w:space="0" w:color="auto"/>
              <w:left w:val="nil"/>
              <w:bottom w:val="single" w:sz="8" w:space="0" w:color="auto"/>
              <w:right w:val="single" w:sz="8" w:space="0" w:color="auto"/>
            </w:tcBorders>
            <w:shd w:val="clear" w:color="auto" w:fill="auto"/>
            <w:vAlign w:val="center"/>
            <w:hideMark/>
          </w:tcPr>
          <w:p w14:paraId="7FAB816B"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 </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7190E313"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Exam 3 &gt;80% n=21</w:t>
            </w:r>
          </w:p>
        </w:tc>
        <w:tc>
          <w:tcPr>
            <w:tcW w:w="400" w:type="dxa"/>
            <w:tcBorders>
              <w:top w:val="single" w:sz="8" w:space="0" w:color="auto"/>
              <w:left w:val="nil"/>
              <w:bottom w:val="single" w:sz="8" w:space="0" w:color="auto"/>
              <w:right w:val="single" w:sz="8" w:space="0" w:color="auto"/>
            </w:tcBorders>
            <w:shd w:val="clear" w:color="auto" w:fill="auto"/>
            <w:vAlign w:val="center"/>
            <w:hideMark/>
          </w:tcPr>
          <w:p w14:paraId="5E643DD2"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 </w:t>
            </w:r>
          </w:p>
        </w:tc>
        <w:tc>
          <w:tcPr>
            <w:tcW w:w="720" w:type="dxa"/>
            <w:tcBorders>
              <w:top w:val="single" w:sz="8" w:space="0" w:color="auto"/>
              <w:left w:val="nil"/>
              <w:bottom w:val="single" w:sz="8" w:space="0" w:color="auto"/>
              <w:right w:val="single" w:sz="8" w:space="0" w:color="auto"/>
            </w:tcBorders>
            <w:shd w:val="clear" w:color="auto" w:fill="auto"/>
            <w:vAlign w:val="center"/>
            <w:hideMark/>
          </w:tcPr>
          <w:p w14:paraId="46A48D1C"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Exam 3 &lt;80% n=2</w:t>
            </w:r>
          </w:p>
        </w:tc>
        <w:tc>
          <w:tcPr>
            <w:tcW w:w="420" w:type="dxa"/>
            <w:tcBorders>
              <w:top w:val="single" w:sz="8" w:space="0" w:color="auto"/>
              <w:left w:val="nil"/>
              <w:bottom w:val="single" w:sz="8" w:space="0" w:color="auto"/>
              <w:right w:val="single" w:sz="8" w:space="0" w:color="auto"/>
            </w:tcBorders>
            <w:shd w:val="clear" w:color="auto" w:fill="auto"/>
            <w:vAlign w:val="center"/>
            <w:hideMark/>
          </w:tcPr>
          <w:p w14:paraId="31C653A0"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 </w:t>
            </w:r>
          </w:p>
        </w:tc>
      </w:tr>
      <w:tr w:rsidR="0077719C" w:rsidRPr="0077719C" w14:paraId="6D01E00C"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57539BE8"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peer support</w:t>
            </w:r>
          </w:p>
        </w:tc>
        <w:tc>
          <w:tcPr>
            <w:tcW w:w="480" w:type="dxa"/>
            <w:tcBorders>
              <w:top w:val="nil"/>
              <w:left w:val="nil"/>
              <w:bottom w:val="single" w:sz="8" w:space="0" w:color="auto"/>
              <w:right w:val="single" w:sz="8" w:space="0" w:color="auto"/>
            </w:tcBorders>
            <w:shd w:val="clear" w:color="auto" w:fill="auto"/>
            <w:noWrap/>
            <w:vAlign w:val="center"/>
            <w:hideMark/>
          </w:tcPr>
          <w:p w14:paraId="3D91043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20</w:t>
            </w:r>
          </w:p>
        </w:tc>
        <w:tc>
          <w:tcPr>
            <w:tcW w:w="420" w:type="dxa"/>
            <w:tcBorders>
              <w:top w:val="nil"/>
              <w:left w:val="nil"/>
              <w:bottom w:val="single" w:sz="8" w:space="0" w:color="auto"/>
              <w:right w:val="single" w:sz="8" w:space="0" w:color="auto"/>
            </w:tcBorders>
            <w:shd w:val="clear" w:color="auto" w:fill="auto"/>
            <w:noWrap/>
            <w:vAlign w:val="center"/>
            <w:hideMark/>
          </w:tcPr>
          <w:p w14:paraId="7F5AE81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87%</w:t>
            </w:r>
          </w:p>
        </w:tc>
        <w:tc>
          <w:tcPr>
            <w:tcW w:w="620" w:type="dxa"/>
            <w:tcBorders>
              <w:top w:val="nil"/>
              <w:left w:val="nil"/>
              <w:bottom w:val="single" w:sz="8" w:space="0" w:color="auto"/>
              <w:right w:val="single" w:sz="8" w:space="0" w:color="auto"/>
            </w:tcBorders>
            <w:shd w:val="clear" w:color="auto" w:fill="auto"/>
            <w:noWrap/>
            <w:vAlign w:val="center"/>
            <w:hideMark/>
          </w:tcPr>
          <w:p w14:paraId="5D87038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18</w:t>
            </w:r>
          </w:p>
        </w:tc>
        <w:tc>
          <w:tcPr>
            <w:tcW w:w="400" w:type="dxa"/>
            <w:tcBorders>
              <w:top w:val="nil"/>
              <w:left w:val="nil"/>
              <w:bottom w:val="single" w:sz="8" w:space="0" w:color="auto"/>
              <w:right w:val="single" w:sz="8" w:space="0" w:color="auto"/>
            </w:tcBorders>
            <w:shd w:val="clear" w:color="auto" w:fill="auto"/>
            <w:noWrap/>
            <w:vAlign w:val="center"/>
            <w:hideMark/>
          </w:tcPr>
          <w:p w14:paraId="1F9F93B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86%</w:t>
            </w:r>
          </w:p>
        </w:tc>
        <w:tc>
          <w:tcPr>
            <w:tcW w:w="720" w:type="dxa"/>
            <w:tcBorders>
              <w:top w:val="nil"/>
              <w:left w:val="nil"/>
              <w:bottom w:val="single" w:sz="8" w:space="0" w:color="auto"/>
              <w:right w:val="single" w:sz="8" w:space="0" w:color="auto"/>
            </w:tcBorders>
            <w:shd w:val="clear" w:color="auto" w:fill="auto"/>
            <w:noWrap/>
            <w:vAlign w:val="center"/>
            <w:hideMark/>
          </w:tcPr>
          <w:p w14:paraId="47F35B8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420" w:type="dxa"/>
            <w:tcBorders>
              <w:top w:val="nil"/>
              <w:left w:val="nil"/>
              <w:bottom w:val="single" w:sz="8" w:space="0" w:color="auto"/>
              <w:right w:val="single" w:sz="8" w:space="0" w:color="auto"/>
            </w:tcBorders>
            <w:shd w:val="clear" w:color="auto" w:fill="auto"/>
            <w:noWrap/>
            <w:vAlign w:val="center"/>
            <w:hideMark/>
          </w:tcPr>
          <w:p w14:paraId="5E0B27C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100%</w:t>
            </w:r>
          </w:p>
        </w:tc>
      </w:tr>
      <w:tr w:rsidR="0077719C" w:rsidRPr="0077719C" w14:paraId="093395E3" w14:textId="77777777" w:rsidTr="0077719C">
        <w:trPr>
          <w:trHeight w:val="42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7BFD15A1"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advice from upperclassmen</w:t>
            </w:r>
          </w:p>
        </w:tc>
        <w:tc>
          <w:tcPr>
            <w:tcW w:w="480" w:type="dxa"/>
            <w:tcBorders>
              <w:top w:val="nil"/>
              <w:left w:val="nil"/>
              <w:bottom w:val="single" w:sz="8" w:space="0" w:color="auto"/>
              <w:right w:val="single" w:sz="8" w:space="0" w:color="auto"/>
            </w:tcBorders>
            <w:shd w:val="clear" w:color="auto" w:fill="auto"/>
            <w:noWrap/>
            <w:vAlign w:val="center"/>
            <w:hideMark/>
          </w:tcPr>
          <w:p w14:paraId="3733C9A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14</w:t>
            </w:r>
          </w:p>
        </w:tc>
        <w:tc>
          <w:tcPr>
            <w:tcW w:w="420" w:type="dxa"/>
            <w:tcBorders>
              <w:top w:val="nil"/>
              <w:left w:val="nil"/>
              <w:bottom w:val="single" w:sz="8" w:space="0" w:color="auto"/>
              <w:right w:val="single" w:sz="8" w:space="0" w:color="auto"/>
            </w:tcBorders>
            <w:shd w:val="clear" w:color="auto" w:fill="auto"/>
            <w:noWrap/>
            <w:vAlign w:val="center"/>
            <w:hideMark/>
          </w:tcPr>
          <w:p w14:paraId="58CB275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61%</w:t>
            </w:r>
          </w:p>
        </w:tc>
        <w:tc>
          <w:tcPr>
            <w:tcW w:w="620" w:type="dxa"/>
            <w:tcBorders>
              <w:top w:val="nil"/>
              <w:left w:val="nil"/>
              <w:bottom w:val="single" w:sz="8" w:space="0" w:color="auto"/>
              <w:right w:val="single" w:sz="8" w:space="0" w:color="auto"/>
            </w:tcBorders>
            <w:shd w:val="clear" w:color="auto" w:fill="auto"/>
            <w:noWrap/>
            <w:vAlign w:val="center"/>
            <w:hideMark/>
          </w:tcPr>
          <w:p w14:paraId="04B1062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13</w:t>
            </w:r>
          </w:p>
        </w:tc>
        <w:tc>
          <w:tcPr>
            <w:tcW w:w="400" w:type="dxa"/>
            <w:tcBorders>
              <w:top w:val="nil"/>
              <w:left w:val="nil"/>
              <w:bottom w:val="single" w:sz="8" w:space="0" w:color="auto"/>
              <w:right w:val="single" w:sz="8" w:space="0" w:color="auto"/>
            </w:tcBorders>
            <w:shd w:val="clear" w:color="auto" w:fill="auto"/>
            <w:noWrap/>
            <w:vAlign w:val="center"/>
            <w:hideMark/>
          </w:tcPr>
          <w:p w14:paraId="1644EB7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62%</w:t>
            </w:r>
          </w:p>
        </w:tc>
        <w:tc>
          <w:tcPr>
            <w:tcW w:w="720" w:type="dxa"/>
            <w:tcBorders>
              <w:top w:val="nil"/>
              <w:left w:val="nil"/>
              <w:bottom w:val="single" w:sz="8" w:space="0" w:color="auto"/>
              <w:right w:val="single" w:sz="8" w:space="0" w:color="auto"/>
            </w:tcBorders>
            <w:shd w:val="clear" w:color="auto" w:fill="auto"/>
            <w:noWrap/>
            <w:vAlign w:val="center"/>
            <w:hideMark/>
          </w:tcPr>
          <w:p w14:paraId="6D09248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20" w:type="dxa"/>
            <w:tcBorders>
              <w:top w:val="nil"/>
              <w:left w:val="nil"/>
              <w:bottom w:val="single" w:sz="8" w:space="0" w:color="auto"/>
              <w:right w:val="single" w:sz="8" w:space="0" w:color="auto"/>
            </w:tcBorders>
            <w:shd w:val="clear" w:color="auto" w:fill="auto"/>
            <w:noWrap/>
            <w:vAlign w:val="center"/>
            <w:hideMark/>
          </w:tcPr>
          <w:p w14:paraId="12CACD5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50%</w:t>
            </w:r>
          </w:p>
        </w:tc>
      </w:tr>
      <w:tr w:rsidR="0077719C" w:rsidRPr="0077719C" w14:paraId="25F853E0"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1B09E9CD"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family support</w:t>
            </w:r>
          </w:p>
        </w:tc>
        <w:tc>
          <w:tcPr>
            <w:tcW w:w="480" w:type="dxa"/>
            <w:tcBorders>
              <w:top w:val="nil"/>
              <w:left w:val="nil"/>
              <w:bottom w:val="single" w:sz="8" w:space="0" w:color="auto"/>
              <w:right w:val="single" w:sz="8" w:space="0" w:color="auto"/>
            </w:tcBorders>
            <w:shd w:val="clear" w:color="auto" w:fill="auto"/>
            <w:noWrap/>
            <w:vAlign w:val="center"/>
            <w:hideMark/>
          </w:tcPr>
          <w:p w14:paraId="665B2A1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16</w:t>
            </w:r>
          </w:p>
        </w:tc>
        <w:tc>
          <w:tcPr>
            <w:tcW w:w="420" w:type="dxa"/>
            <w:tcBorders>
              <w:top w:val="nil"/>
              <w:left w:val="nil"/>
              <w:bottom w:val="single" w:sz="8" w:space="0" w:color="auto"/>
              <w:right w:val="single" w:sz="8" w:space="0" w:color="auto"/>
            </w:tcBorders>
            <w:shd w:val="clear" w:color="auto" w:fill="auto"/>
            <w:noWrap/>
            <w:vAlign w:val="center"/>
            <w:hideMark/>
          </w:tcPr>
          <w:p w14:paraId="526BE07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70%</w:t>
            </w:r>
          </w:p>
        </w:tc>
        <w:tc>
          <w:tcPr>
            <w:tcW w:w="620" w:type="dxa"/>
            <w:tcBorders>
              <w:top w:val="nil"/>
              <w:left w:val="nil"/>
              <w:bottom w:val="single" w:sz="8" w:space="0" w:color="auto"/>
              <w:right w:val="single" w:sz="8" w:space="0" w:color="auto"/>
            </w:tcBorders>
            <w:shd w:val="clear" w:color="auto" w:fill="auto"/>
            <w:noWrap/>
            <w:vAlign w:val="center"/>
            <w:hideMark/>
          </w:tcPr>
          <w:p w14:paraId="0F903DE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16</w:t>
            </w:r>
          </w:p>
        </w:tc>
        <w:tc>
          <w:tcPr>
            <w:tcW w:w="400" w:type="dxa"/>
            <w:tcBorders>
              <w:top w:val="nil"/>
              <w:left w:val="nil"/>
              <w:bottom w:val="single" w:sz="8" w:space="0" w:color="auto"/>
              <w:right w:val="single" w:sz="8" w:space="0" w:color="auto"/>
            </w:tcBorders>
            <w:shd w:val="clear" w:color="auto" w:fill="auto"/>
            <w:noWrap/>
            <w:vAlign w:val="center"/>
            <w:hideMark/>
          </w:tcPr>
          <w:p w14:paraId="2BA4AC7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76%</w:t>
            </w:r>
          </w:p>
        </w:tc>
        <w:tc>
          <w:tcPr>
            <w:tcW w:w="720" w:type="dxa"/>
            <w:tcBorders>
              <w:top w:val="nil"/>
              <w:left w:val="nil"/>
              <w:bottom w:val="single" w:sz="8" w:space="0" w:color="auto"/>
              <w:right w:val="single" w:sz="8" w:space="0" w:color="auto"/>
            </w:tcBorders>
            <w:shd w:val="clear" w:color="auto" w:fill="auto"/>
            <w:noWrap/>
            <w:vAlign w:val="center"/>
            <w:hideMark/>
          </w:tcPr>
          <w:p w14:paraId="6779961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3E7EEA8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r w:rsidR="0077719C" w:rsidRPr="0077719C" w14:paraId="7D08AF05"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42B68481"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tutoring</w:t>
            </w:r>
          </w:p>
        </w:tc>
        <w:tc>
          <w:tcPr>
            <w:tcW w:w="480" w:type="dxa"/>
            <w:tcBorders>
              <w:top w:val="nil"/>
              <w:left w:val="nil"/>
              <w:bottom w:val="single" w:sz="8" w:space="0" w:color="auto"/>
              <w:right w:val="single" w:sz="8" w:space="0" w:color="auto"/>
            </w:tcBorders>
            <w:shd w:val="clear" w:color="auto" w:fill="auto"/>
            <w:noWrap/>
            <w:vAlign w:val="center"/>
            <w:hideMark/>
          </w:tcPr>
          <w:p w14:paraId="6F06115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10</w:t>
            </w:r>
          </w:p>
        </w:tc>
        <w:tc>
          <w:tcPr>
            <w:tcW w:w="420" w:type="dxa"/>
            <w:tcBorders>
              <w:top w:val="nil"/>
              <w:left w:val="nil"/>
              <w:bottom w:val="single" w:sz="8" w:space="0" w:color="auto"/>
              <w:right w:val="single" w:sz="8" w:space="0" w:color="auto"/>
            </w:tcBorders>
            <w:shd w:val="clear" w:color="auto" w:fill="auto"/>
            <w:noWrap/>
            <w:vAlign w:val="center"/>
            <w:hideMark/>
          </w:tcPr>
          <w:p w14:paraId="56D3431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44%</w:t>
            </w:r>
          </w:p>
        </w:tc>
        <w:tc>
          <w:tcPr>
            <w:tcW w:w="620" w:type="dxa"/>
            <w:tcBorders>
              <w:top w:val="nil"/>
              <w:left w:val="nil"/>
              <w:bottom w:val="single" w:sz="8" w:space="0" w:color="auto"/>
              <w:right w:val="single" w:sz="8" w:space="0" w:color="auto"/>
            </w:tcBorders>
            <w:shd w:val="clear" w:color="auto" w:fill="auto"/>
            <w:noWrap/>
            <w:vAlign w:val="center"/>
            <w:hideMark/>
          </w:tcPr>
          <w:p w14:paraId="01C0B9B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9</w:t>
            </w:r>
          </w:p>
        </w:tc>
        <w:tc>
          <w:tcPr>
            <w:tcW w:w="400" w:type="dxa"/>
            <w:tcBorders>
              <w:top w:val="nil"/>
              <w:left w:val="nil"/>
              <w:bottom w:val="single" w:sz="8" w:space="0" w:color="auto"/>
              <w:right w:val="single" w:sz="8" w:space="0" w:color="auto"/>
            </w:tcBorders>
            <w:shd w:val="clear" w:color="auto" w:fill="auto"/>
            <w:noWrap/>
            <w:vAlign w:val="center"/>
            <w:hideMark/>
          </w:tcPr>
          <w:p w14:paraId="59A199D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43%</w:t>
            </w:r>
          </w:p>
        </w:tc>
        <w:tc>
          <w:tcPr>
            <w:tcW w:w="720" w:type="dxa"/>
            <w:tcBorders>
              <w:top w:val="nil"/>
              <w:left w:val="nil"/>
              <w:bottom w:val="single" w:sz="8" w:space="0" w:color="auto"/>
              <w:right w:val="single" w:sz="8" w:space="0" w:color="auto"/>
            </w:tcBorders>
            <w:shd w:val="clear" w:color="auto" w:fill="auto"/>
            <w:noWrap/>
            <w:vAlign w:val="center"/>
            <w:hideMark/>
          </w:tcPr>
          <w:p w14:paraId="2796B5D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20" w:type="dxa"/>
            <w:tcBorders>
              <w:top w:val="nil"/>
              <w:left w:val="nil"/>
              <w:bottom w:val="single" w:sz="8" w:space="0" w:color="auto"/>
              <w:right w:val="single" w:sz="8" w:space="0" w:color="auto"/>
            </w:tcBorders>
            <w:shd w:val="clear" w:color="auto" w:fill="auto"/>
            <w:noWrap/>
            <w:vAlign w:val="center"/>
            <w:hideMark/>
          </w:tcPr>
          <w:p w14:paraId="5BCA5AC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50%</w:t>
            </w:r>
          </w:p>
        </w:tc>
      </w:tr>
      <w:tr w:rsidR="0077719C" w:rsidRPr="0077719C" w14:paraId="3FC16E5E"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512F5E42"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student health clinic</w:t>
            </w:r>
          </w:p>
        </w:tc>
        <w:tc>
          <w:tcPr>
            <w:tcW w:w="480" w:type="dxa"/>
            <w:tcBorders>
              <w:top w:val="nil"/>
              <w:left w:val="nil"/>
              <w:bottom w:val="single" w:sz="8" w:space="0" w:color="auto"/>
              <w:right w:val="single" w:sz="8" w:space="0" w:color="auto"/>
            </w:tcBorders>
            <w:shd w:val="clear" w:color="auto" w:fill="auto"/>
            <w:noWrap/>
            <w:vAlign w:val="center"/>
            <w:hideMark/>
          </w:tcPr>
          <w:p w14:paraId="213FE52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w:t>
            </w:r>
          </w:p>
        </w:tc>
        <w:tc>
          <w:tcPr>
            <w:tcW w:w="420" w:type="dxa"/>
            <w:tcBorders>
              <w:top w:val="nil"/>
              <w:left w:val="nil"/>
              <w:bottom w:val="single" w:sz="8" w:space="0" w:color="auto"/>
              <w:right w:val="single" w:sz="8" w:space="0" w:color="auto"/>
            </w:tcBorders>
            <w:shd w:val="clear" w:color="auto" w:fill="auto"/>
            <w:noWrap/>
            <w:vAlign w:val="center"/>
            <w:hideMark/>
          </w:tcPr>
          <w:p w14:paraId="2B475845"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17%</w:t>
            </w:r>
          </w:p>
        </w:tc>
        <w:tc>
          <w:tcPr>
            <w:tcW w:w="620" w:type="dxa"/>
            <w:tcBorders>
              <w:top w:val="nil"/>
              <w:left w:val="nil"/>
              <w:bottom w:val="single" w:sz="8" w:space="0" w:color="auto"/>
              <w:right w:val="single" w:sz="8" w:space="0" w:color="auto"/>
            </w:tcBorders>
            <w:shd w:val="clear" w:color="auto" w:fill="auto"/>
            <w:noWrap/>
            <w:vAlign w:val="center"/>
            <w:hideMark/>
          </w:tcPr>
          <w:p w14:paraId="6B122B0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w:t>
            </w:r>
          </w:p>
        </w:tc>
        <w:tc>
          <w:tcPr>
            <w:tcW w:w="400" w:type="dxa"/>
            <w:tcBorders>
              <w:top w:val="nil"/>
              <w:left w:val="nil"/>
              <w:bottom w:val="single" w:sz="8" w:space="0" w:color="auto"/>
              <w:right w:val="single" w:sz="8" w:space="0" w:color="auto"/>
            </w:tcBorders>
            <w:shd w:val="clear" w:color="auto" w:fill="auto"/>
            <w:noWrap/>
            <w:vAlign w:val="center"/>
            <w:hideMark/>
          </w:tcPr>
          <w:p w14:paraId="33089A55"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19%</w:t>
            </w:r>
          </w:p>
        </w:tc>
        <w:tc>
          <w:tcPr>
            <w:tcW w:w="720" w:type="dxa"/>
            <w:tcBorders>
              <w:top w:val="nil"/>
              <w:left w:val="nil"/>
              <w:bottom w:val="single" w:sz="8" w:space="0" w:color="auto"/>
              <w:right w:val="single" w:sz="8" w:space="0" w:color="auto"/>
            </w:tcBorders>
            <w:shd w:val="clear" w:color="auto" w:fill="auto"/>
            <w:noWrap/>
            <w:vAlign w:val="center"/>
            <w:hideMark/>
          </w:tcPr>
          <w:p w14:paraId="6C15881E"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1113CD8E"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r w:rsidR="0077719C" w:rsidRPr="0077719C" w14:paraId="17044CC3"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7AB3E54F"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professional counseling</w:t>
            </w:r>
          </w:p>
        </w:tc>
        <w:tc>
          <w:tcPr>
            <w:tcW w:w="480" w:type="dxa"/>
            <w:tcBorders>
              <w:top w:val="nil"/>
              <w:left w:val="nil"/>
              <w:bottom w:val="single" w:sz="8" w:space="0" w:color="auto"/>
              <w:right w:val="single" w:sz="8" w:space="0" w:color="auto"/>
            </w:tcBorders>
            <w:shd w:val="clear" w:color="auto" w:fill="auto"/>
            <w:noWrap/>
            <w:vAlign w:val="center"/>
            <w:hideMark/>
          </w:tcPr>
          <w:p w14:paraId="62710DB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2629309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620" w:type="dxa"/>
            <w:tcBorders>
              <w:top w:val="nil"/>
              <w:left w:val="nil"/>
              <w:bottom w:val="single" w:sz="8" w:space="0" w:color="auto"/>
              <w:right w:val="single" w:sz="8" w:space="0" w:color="auto"/>
            </w:tcBorders>
            <w:shd w:val="clear" w:color="auto" w:fill="auto"/>
            <w:noWrap/>
            <w:vAlign w:val="center"/>
            <w:hideMark/>
          </w:tcPr>
          <w:p w14:paraId="15396F9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00" w:type="dxa"/>
            <w:tcBorders>
              <w:top w:val="nil"/>
              <w:left w:val="nil"/>
              <w:bottom w:val="single" w:sz="8" w:space="0" w:color="auto"/>
              <w:right w:val="single" w:sz="8" w:space="0" w:color="auto"/>
            </w:tcBorders>
            <w:shd w:val="clear" w:color="auto" w:fill="auto"/>
            <w:noWrap/>
            <w:vAlign w:val="center"/>
            <w:hideMark/>
          </w:tcPr>
          <w:p w14:paraId="577AB4D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720" w:type="dxa"/>
            <w:tcBorders>
              <w:top w:val="nil"/>
              <w:left w:val="nil"/>
              <w:bottom w:val="single" w:sz="8" w:space="0" w:color="auto"/>
              <w:right w:val="single" w:sz="8" w:space="0" w:color="auto"/>
            </w:tcBorders>
            <w:shd w:val="clear" w:color="auto" w:fill="auto"/>
            <w:noWrap/>
            <w:vAlign w:val="center"/>
            <w:hideMark/>
          </w:tcPr>
          <w:p w14:paraId="1977A24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1D9923E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r w:rsidR="0077719C" w:rsidRPr="0077719C" w14:paraId="055598A4"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1B018C84"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online support</w:t>
            </w:r>
          </w:p>
        </w:tc>
        <w:tc>
          <w:tcPr>
            <w:tcW w:w="480" w:type="dxa"/>
            <w:tcBorders>
              <w:top w:val="nil"/>
              <w:left w:val="nil"/>
              <w:bottom w:val="single" w:sz="8" w:space="0" w:color="auto"/>
              <w:right w:val="single" w:sz="8" w:space="0" w:color="auto"/>
            </w:tcBorders>
            <w:shd w:val="clear" w:color="auto" w:fill="auto"/>
            <w:noWrap/>
            <w:vAlign w:val="center"/>
            <w:hideMark/>
          </w:tcPr>
          <w:p w14:paraId="257855D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420" w:type="dxa"/>
            <w:tcBorders>
              <w:top w:val="nil"/>
              <w:left w:val="nil"/>
              <w:bottom w:val="single" w:sz="8" w:space="0" w:color="auto"/>
              <w:right w:val="single" w:sz="8" w:space="0" w:color="auto"/>
            </w:tcBorders>
            <w:shd w:val="clear" w:color="auto" w:fill="auto"/>
            <w:noWrap/>
            <w:vAlign w:val="center"/>
            <w:hideMark/>
          </w:tcPr>
          <w:p w14:paraId="14828B5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22%</w:t>
            </w:r>
          </w:p>
        </w:tc>
        <w:tc>
          <w:tcPr>
            <w:tcW w:w="620" w:type="dxa"/>
            <w:tcBorders>
              <w:top w:val="nil"/>
              <w:left w:val="nil"/>
              <w:bottom w:val="single" w:sz="8" w:space="0" w:color="auto"/>
              <w:right w:val="single" w:sz="8" w:space="0" w:color="auto"/>
            </w:tcBorders>
            <w:shd w:val="clear" w:color="auto" w:fill="auto"/>
            <w:noWrap/>
            <w:vAlign w:val="center"/>
            <w:hideMark/>
          </w:tcPr>
          <w:p w14:paraId="6F28B88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w:t>
            </w:r>
          </w:p>
        </w:tc>
        <w:tc>
          <w:tcPr>
            <w:tcW w:w="400" w:type="dxa"/>
            <w:tcBorders>
              <w:top w:val="nil"/>
              <w:left w:val="nil"/>
              <w:bottom w:val="single" w:sz="8" w:space="0" w:color="auto"/>
              <w:right w:val="single" w:sz="8" w:space="0" w:color="auto"/>
            </w:tcBorders>
            <w:shd w:val="clear" w:color="auto" w:fill="auto"/>
            <w:noWrap/>
            <w:vAlign w:val="center"/>
            <w:hideMark/>
          </w:tcPr>
          <w:p w14:paraId="083C4C7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19%</w:t>
            </w:r>
          </w:p>
        </w:tc>
        <w:tc>
          <w:tcPr>
            <w:tcW w:w="720" w:type="dxa"/>
            <w:tcBorders>
              <w:top w:val="nil"/>
              <w:left w:val="nil"/>
              <w:bottom w:val="single" w:sz="8" w:space="0" w:color="auto"/>
              <w:right w:val="single" w:sz="8" w:space="0" w:color="auto"/>
            </w:tcBorders>
            <w:shd w:val="clear" w:color="auto" w:fill="auto"/>
            <w:noWrap/>
            <w:vAlign w:val="center"/>
            <w:hideMark/>
          </w:tcPr>
          <w:p w14:paraId="0C4F46D5"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20" w:type="dxa"/>
            <w:tcBorders>
              <w:top w:val="nil"/>
              <w:left w:val="nil"/>
              <w:bottom w:val="single" w:sz="8" w:space="0" w:color="auto"/>
              <w:right w:val="single" w:sz="8" w:space="0" w:color="auto"/>
            </w:tcBorders>
            <w:shd w:val="clear" w:color="auto" w:fill="auto"/>
            <w:noWrap/>
            <w:vAlign w:val="center"/>
            <w:hideMark/>
          </w:tcPr>
          <w:p w14:paraId="585D10AD"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50%</w:t>
            </w:r>
          </w:p>
        </w:tc>
      </w:tr>
      <w:tr w:rsidR="0077719C" w:rsidRPr="0077719C" w14:paraId="2CA25FDB"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3FCD6C3F"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professor office hours</w:t>
            </w:r>
          </w:p>
        </w:tc>
        <w:tc>
          <w:tcPr>
            <w:tcW w:w="480" w:type="dxa"/>
            <w:tcBorders>
              <w:top w:val="nil"/>
              <w:left w:val="nil"/>
              <w:bottom w:val="single" w:sz="8" w:space="0" w:color="auto"/>
              <w:right w:val="single" w:sz="8" w:space="0" w:color="auto"/>
            </w:tcBorders>
            <w:shd w:val="clear" w:color="auto" w:fill="auto"/>
            <w:noWrap/>
            <w:vAlign w:val="center"/>
            <w:hideMark/>
          </w:tcPr>
          <w:p w14:paraId="46BE8E3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420" w:type="dxa"/>
            <w:tcBorders>
              <w:top w:val="nil"/>
              <w:left w:val="nil"/>
              <w:bottom w:val="single" w:sz="8" w:space="0" w:color="auto"/>
              <w:right w:val="single" w:sz="8" w:space="0" w:color="auto"/>
            </w:tcBorders>
            <w:shd w:val="clear" w:color="auto" w:fill="auto"/>
            <w:noWrap/>
            <w:vAlign w:val="center"/>
            <w:hideMark/>
          </w:tcPr>
          <w:p w14:paraId="1762D25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22%</w:t>
            </w:r>
          </w:p>
        </w:tc>
        <w:tc>
          <w:tcPr>
            <w:tcW w:w="620" w:type="dxa"/>
            <w:tcBorders>
              <w:top w:val="nil"/>
              <w:left w:val="nil"/>
              <w:bottom w:val="single" w:sz="8" w:space="0" w:color="auto"/>
              <w:right w:val="single" w:sz="8" w:space="0" w:color="auto"/>
            </w:tcBorders>
            <w:shd w:val="clear" w:color="auto" w:fill="auto"/>
            <w:noWrap/>
            <w:vAlign w:val="center"/>
            <w:hideMark/>
          </w:tcPr>
          <w:p w14:paraId="452B03F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w:t>
            </w:r>
          </w:p>
        </w:tc>
        <w:tc>
          <w:tcPr>
            <w:tcW w:w="400" w:type="dxa"/>
            <w:tcBorders>
              <w:top w:val="nil"/>
              <w:left w:val="nil"/>
              <w:bottom w:val="single" w:sz="8" w:space="0" w:color="auto"/>
              <w:right w:val="single" w:sz="8" w:space="0" w:color="auto"/>
            </w:tcBorders>
            <w:shd w:val="clear" w:color="auto" w:fill="auto"/>
            <w:noWrap/>
            <w:vAlign w:val="center"/>
            <w:hideMark/>
          </w:tcPr>
          <w:p w14:paraId="1E44818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19%</w:t>
            </w:r>
          </w:p>
        </w:tc>
        <w:tc>
          <w:tcPr>
            <w:tcW w:w="720" w:type="dxa"/>
            <w:tcBorders>
              <w:top w:val="nil"/>
              <w:left w:val="nil"/>
              <w:bottom w:val="single" w:sz="8" w:space="0" w:color="auto"/>
              <w:right w:val="single" w:sz="8" w:space="0" w:color="auto"/>
            </w:tcBorders>
            <w:shd w:val="clear" w:color="auto" w:fill="auto"/>
            <w:noWrap/>
            <w:vAlign w:val="center"/>
            <w:hideMark/>
          </w:tcPr>
          <w:p w14:paraId="4529437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20" w:type="dxa"/>
            <w:tcBorders>
              <w:top w:val="nil"/>
              <w:left w:val="nil"/>
              <w:bottom w:val="single" w:sz="8" w:space="0" w:color="auto"/>
              <w:right w:val="single" w:sz="8" w:space="0" w:color="auto"/>
            </w:tcBorders>
            <w:shd w:val="clear" w:color="auto" w:fill="auto"/>
            <w:noWrap/>
            <w:vAlign w:val="center"/>
            <w:hideMark/>
          </w:tcPr>
          <w:p w14:paraId="5B0D69D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50%</w:t>
            </w:r>
          </w:p>
        </w:tc>
      </w:tr>
      <w:tr w:rsidR="0077719C" w:rsidRPr="0077719C" w14:paraId="735F2CE6"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6C442CF9"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other</w:t>
            </w:r>
          </w:p>
        </w:tc>
        <w:tc>
          <w:tcPr>
            <w:tcW w:w="480" w:type="dxa"/>
            <w:tcBorders>
              <w:top w:val="nil"/>
              <w:left w:val="nil"/>
              <w:bottom w:val="single" w:sz="8" w:space="0" w:color="auto"/>
              <w:right w:val="single" w:sz="8" w:space="0" w:color="auto"/>
            </w:tcBorders>
            <w:shd w:val="clear" w:color="auto" w:fill="auto"/>
            <w:noWrap/>
            <w:vAlign w:val="center"/>
            <w:hideMark/>
          </w:tcPr>
          <w:p w14:paraId="0E7E333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1A7E6D1D"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620" w:type="dxa"/>
            <w:tcBorders>
              <w:top w:val="nil"/>
              <w:left w:val="nil"/>
              <w:bottom w:val="single" w:sz="8" w:space="0" w:color="auto"/>
              <w:right w:val="single" w:sz="8" w:space="0" w:color="auto"/>
            </w:tcBorders>
            <w:shd w:val="clear" w:color="auto" w:fill="auto"/>
            <w:noWrap/>
            <w:vAlign w:val="center"/>
            <w:hideMark/>
          </w:tcPr>
          <w:p w14:paraId="7F2CBF9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00" w:type="dxa"/>
            <w:tcBorders>
              <w:top w:val="nil"/>
              <w:left w:val="nil"/>
              <w:bottom w:val="single" w:sz="8" w:space="0" w:color="auto"/>
              <w:right w:val="single" w:sz="8" w:space="0" w:color="auto"/>
            </w:tcBorders>
            <w:shd w:val="clear" w:color="auto" w:fill="auto"/>
            <w:noWrap/>
            <w:vAlign w:val="center"/>
            <w:hideMark/>
          </w:tcPr>
          <w:p w14:paraId="72BFA7D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720" w:type="dxa"/>
            <w:tcBorders>
              <w:top w:val="nil"/>
              <w:left w:val="nil"/>
              <w:bottom w:val="single" w:sz="8" w:space="0" w:color="auto"/>
              <w:right w:val="single" w:sz="8" w:space="0" w:color="auto"/>
            </w:tcBorders>
            <w:shd w:val="clear" w:color="auto" w:fill="auto"/>
            <w:noWrap/>
            <w:vAlign w:val="center"/>
            <w:hideMark/>
          </w:tcPr>
          <w:p w14:paraId="3D972A7D"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6B45E49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r w:rsidR="0077719C" w:rsidRPr="0077719C" w14:paraId="63FBABE7"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254A6EAA"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pastoral services</w:t>
            </w:r>
          </w:p>
        </w:tc>
        <w:tc>
          <w:tcPr>
            <w:tcW w:w="480" w:type="dxa"/>
            <w:tcBorders>
              <w:top w:val="nil"/>
              <w:left w:val="nil"/>
              <w:bottom w:val="single" w:sz="8" w:space="0" w:color="auto"/>
              <w:right w:val="single" w:sz="8" w:space="0" w:color="auto"/>
            </w:tcBorders>
            <w:shd w:val="clear" w:color="auto" w:fill="auto"/>
            <w:noWrap/>
            <w:vAlign w:val="center"/>
            <w:hideMark/>
          </w:tcPr>
          <w:p w14:paraId="33843405"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20" w:type="dxa"/>
            <w:tcBorders>
              <w:top w:val="nil"/>
              <w:left w:val="nil"/>
              <w:bottom w:val="single" w:sz="8" w:space="0" w:color="auto"/>
              <w:right w:val="single" w:sz="8" w:space="0" w:color="auto"/>
            </w:tcBorders>
            <w:shd w:val="clear" w:color="auto" w:fill="auto"/>
            <w:noWrap/>
            <w:vAlign w:val="center"/>
            <w:hideMark/>
          </w:tcPr>
          <w:p w14:paraId="71CC697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w:t>
            </w:r>
          </w:p>
        </w:tc>
        <w:tc>
          <w:tcPr>
            <w:tcW w:w="620" w:type="dxa"/>
            <w:tcBorders>
              <w:top w:val="nil"/>
              <w:left w:val="nil"/>
              <w:bottom w:val="single" w:sz="8" w:space="0" w:color="auto"/>
              <w:right w:val="single" w:sz="8" w:space="0" w:color="auto"/>
            </w:tcBorders>
            <w:shd w:val="clear" w:color="auto" w:fill="auto"/>
            <w:noWrap/>
            <w:vAlign w:val="center"/>
            <w:hideMark/>
          </w:tcPr>
          <w:p w14:paraId="49F82A7E"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5082F94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720" w:type="dxa"/>
            <w:tcBorders>
              <w:top w:val="nil"/>
              <w:left w:val="nil"/>
              <w:bottom w:val="single" w:sz="8" w:space="0" w:color="auto"/>
              <w:right w:val="single" w:sz="8" w:space="0" w:color="auto"/>
            </w:tcBorders>
            <w:shd w:val="clear" w:color="auto" w:fill="auto"/>
            <w:noWrap/>
            <w:vAlign w:val="center"/>
            <w:hideMark/>
          </w:tcPr>
          <w:p w14:paraId="4BA18935"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0F19987D"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r w:rsidR="0077719C" w:rsidRPr="0077719C" w14:paraId="10468D37"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48FEBB79"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none</w:t>
            </w:r>
          </w:p>
        </w:tc>
        <w:tc>
          <w:tcPr>
            <w:tcW w:w="480" w:type="dxa"/>
            <w:tcBorders>
              <w:top w:val="nil"/>
              <w:left w:val="nil"/>
              <w:bottom w:val="single" w:sz="8" w:space="0" w:color="auto"/>
              <w:right w:val="single" w:sz="8" w:space="0" w:color="auto"/>
            </w:tcBorders>
            <w:shd w:val="clear" w:color="auto" w:fill="auto"/>
            <w:noWrap/>
            <w:vAlign w:val="center"/>
            <w:hideMark/>
          </w:tcPr>
          <w:p w14:paraId="6F6AE2C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420" w:type="dxa"/>
            <w:tcBorders>
              <w:top w:val="nil"/>
              <w:left w:val="nil"/>
              <w:bottom w:val="single" w:sz="8" w:space="0" w:color="auto"/>
              <w:right w:val="single" w:sz="8" w:space="0" w:color="auto"/>
            </w:tcBorders>
            <w:shd w:val="clear" w:color="auto" w:fill="auto"/>
            <w:noWrap/>
            <w:vAlign w:val="center"/>
            <w:hideMark/>
          </w:tcPr>
          <w:p w14:paraId="728AD39E"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22%</w:t>
            </w:r>
          </w:p>
        </w:tc>
        <w:tc>
          <w:tcPr>
            <w:tcW w:w="620" w:type="dxa"/>
            <w:tcBorders>
              <w:top w:val="nil"/>
              <w:left w:val="nil"/>
              <w:bottom w:val="single" w:sz="8" w:space="0" w:color="auto"/>
              <w:right w:val="single" w:sz="8" w:space="0" w:color="auto"/>
            </w:tcBorders>
            <w:shd w:val="clear" w:color="auto" w:fill="auto"/>
            <w:noWrap/>
            <w:vAlign w:val="center"/>
            <w:hideMark/>
          </w:tcPr>
          <w:p w14:paraId="52E540D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400" w:type="dxa"/>
            <w:tcBorders>
              <w:top w:val="nil"/>
              <w:left w:val="nil"/>
              <w:bottom w:val="single" w:sz="8" w:space="0" w:color="auto"/>
              <w:right w:val="single" w:sz="8" w:space="0" w:color="auto"/>
            </w:tcBorders>
            <w:shd w:val="clear" w:color="auto" w:fill="auto"/>
            <w:noWrap/>
            <w:vAlign w:val="center"/>
            <w:hideMark/>
          </w:tcPr>
          <w:p w14:paraId="3FF48BD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24%</w:t>
            </w:r>
          </w:p>
        </w:tc>
        <w:tc>
          <w:tcPr>
            <w:tcW w:w="720" w:type="dxa"/>
            <w:tcBorders>
              <w:top w:val="nil"/>
              <w:left w:val="nil"/>
              <w:bottom w:val="single" w:sz="8" w:space="0" w:color="auto"/>
              <w:right w:val="single" w:sz="8" w:space="0" w:color="auto"/>
            </w:tcBorders>
            <w:shd w:val="clear" w:color="auto" w:fill="auto"/>
            <w:noWrap/>
            <w:vAlign w:val="center"/>
            <w:hideMark/>
          </w:tcPr>
          <w:p w14:paraId="23A5588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1941E6F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r w:rsidR="0077719C" w:rsidRPr="0077719C" w14:paraId="7B2DCCAF" w14:textId="77777777" w:rsidTr="0077719C">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7DA437A4"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student services office</w:t>
            </w:r>
          </w:p>
        </w:tc>
        <w:tc>
          <w:tcPr>
            <w:tcW w:w="480" w:type="dxa"/>
            <w:tcBorders>
              <w:top w:val="nil"/>
              <w:left w:val="nil"/>
              <w:bottom w:val="single" w:sz="8" w:space="0" w:color="auto"/>
              <w:right w:val="single" w:sz="8" w:space="0" w:color="auto"/>
            </w:tcBorders>
            <w:shd w:val="clear" w:color="auto" w:fill="auto"/>
            <w:noWrap/>
            <w:vAlign w:val="center"/>
            <w:hideMark/>
          </w:tcPr>
          <w:p w14:paraId="1FF7856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75C610A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620" w:type="dxa"/>
            <w:tcBorders>
              <w:top w:val="nil"/>
              <w:left w:val="nil"/>
              <w:bottom w:val="single" w:sz="8" w:space="0" w:color="auto"/>
              <w:right w:val="single" w:sz="8" w:space="0" w:color="auto"/>
            </w:tcBorders>
            <w:shd w:val="clear" w:color="auto" w:fill="auto"/>
            <w:noWrap/>
            <w:vAlign w:val="center"/>
            <w:hideMark/>
          </w:tcPr>
          <w:p w14:paraId="4A795B5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00" w:type="dxa"/>
            <w:tcBorders>
              <w:top w:val="nil"/>
              <w:left w:val="nil"/>
              <w:bottom w:val="single" w:sz="8" w:space="0" w:color="auto"/>
              <w:right w:val="single" w:sz="8" w:space="0" w:color="auto"/>
            </w:tcBorders>
            <w:shd w:val="clear" w:color="auto" w:fill="auto"/>
            <w:noWrap/>
            <w:vAlign w:val="center"/>
            <w:hideMark/>
          </w:tcPr>
          <w:p w14:paraId="2CB0F01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720" w:type="dxa"/>
            <w:tcBorders>
              <w:top w:val="nil"/>
              <w:left w:val="nil"/>
              <w:bottom w:val="single" w:sz="8" w:space="0" w:color="auto"/>
              <w:right w:val="single" w:sz="8" w:space="0" w:color="auto"/>
            </w:tcBorders>
            <w:shd w:val="clear" w:color="auto" w:fill="auto"/>
            <w:noWrap/>
            <w:vAlign w:val="center"/>
            <w:hideMark/>
          </w:tcPr>
          <w:p w14:paraId="1AF78F0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2635DB6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bl>
    <w:p w14:paraId="064BFB37" w14:textId="62962326" w:rsidR="0077719C" w:rsidRDefault="0077719C" w:rsidP="00F84901">
      <w:pPr>
        <w:spacing w:line="480" w:lineRule="auto"/>
        <w:outlineLvl w:val="0"/>
        <w:rPr>
          <w:rFonts w:asciiTheme="minorHAnsi" w:hAnsiTheme="minorHAnsi"/>
        </w:rPr>
      </w:pPr>
    </w:p>
    <w:p w14:paraId="0E874241" w14:textId="060763E2" w:rsidR="006745D7" w:rsidRPr="00A658B0" w:rsidRDefault="000A1A22" w:rsidP="00006B09">
      <w:pPr>
        <w:spacing w:line="480" w:lineRule="auto"/>
        <w:rPr>
          <w:rFonts w:asciiTheme="minorHAnsi" w:hAnsiTheme="minorHAnsi"/>
          <w:b/>
        </w:rPr>
      </w:pPr>
      <w:r w:rsidRPr="00A658B0">
        <w:rPr>
          <w:rFonts w:asciiTheme="minorHAnsi" w:hAnsiTheme="minorHAnsi"/>
          <w:b/>
        </w:rPr>
        <w:t>Figure 12</w:t>
      </w:r>
      <w:r w:rsidR="006745D7" w:rsidRPr="00A658B0">
        <w:rPr>
          <w:rFonts w:asciiTheme="minorHAnsi" w:hAnsiTheme="minorHAnsi"/>
          <w:b/>
        </w:rPr>
        <w:t>.</w:t>
      </w:r>
      <w:r w:rsidR="00A658B0">
        <w:rPr>
          <w:rFonts w:asciiTheme="minorHAnsi" w:hAnsiTheme="minorHAnsi"/>
          <w:b/>
        </w:rPr>
        <w:t xml:space="preserve"> </w:t>
      </w:r>
      <w:r w:rsidR="006745D7" w:rsidRPr="00A658B0">
        <w:rPr>
          <w:rFonts w:asciiTheme="minorHAnsi" w:hAnsiTheme="minorHAnsi"/>
          <w:b/>
        </w:rPr>
        <w:t xml:space="preserve"> Group 2/Experimental 2017 Student Support Service Use: Exam 3</w:t>
      </w:r>
    </w:p>
    <w:p w14:paraId="5C7F99C9" w14:textId="0C314BD9" w:rsidR="0077719C" w:rsidRDefault="006745D7" w:rsidP="00006B09">
      <w:pPr>
        <w:spacing w:line="480" w:lineRule="auto"/>
        <w:outlineLvl w:val="0"/>
        <w:rPr>
          <w:rFonts w:asciiTheme="minorHAnsi" w:hAnsiTheme="minorHAnsi"/>
        </w:rPr>
      </w:pPr>
      <w:r>
        <w:rPr>
          <w:rFonts w:asciiTheme="minorHAnsi" w:hAnsiTheme="minorHAnsi"/>
        </w:rPr>
        <w:t>Percentage of Support Service Usage for all responden</w:t>
      </w:r>
      <w:r w:rsidR="00006B09">
        <w:rPr>
          <w:rFonts w:asciiTheme="minorHAnsi" w:hAnsiTheme="minorHAnsi"/>
        </w:rPr>
        <w:t>ts. MCBPs (&lt;80% exam grade) compared to total group and students with exam grade &gt;80%.</w:t>
      </w:r>
    </w:p>
    <w:p w14:paraId="5992367E" w14:textId="081745CB" w:rsidR="006745D7" w:rsidRDefault="006745D7">
      <w:pPr>
        <w:rPr>
          <w:rFonts w:asciiTheme="minorHAnsi" w:hAnsiTheme="minorHAnsi"/>
        </w:rPr>
      </w:pPr>
      <w:r>
        <w:rPr>
          <w:rFonts w:asciiTheme="minorHAnsi" w:hAnsiTheme="minorHAnsi"/>
        </w:rPr>
        <w:br w:type="page"/>
      </w:r>
    </w:p>
    <w:p w14:paraId="7FDD2C52" w14:textId="77777777" w:rsidR="0077719C" w:rsidRDefault="0077719C" w:rsidP="00F84901">
      <w:pPr>
        <w:spacing w:line="480" w:lineRule="auto"/>
        <w:outlineLvl w:val="0"/>
        <w:rPr>
          <w:rFonts w:asciiTheme="minorHAnsi" w:hAnsiTheme="minorHAnsi"/>
        </w:rPr>
      </w:pPr>
    </w:p>
    <w:tbl>
      <w:tblPr>
        <w:tblW w:w="4360" w:type="dxa"/>
        <w:tblLook w:val="04A0" w:firstRow="1" w:lastRow="0" w:firstColumn="1" w:lastColumn="0" w:noHBand="0" w:noVBand="1"/>
      </w:tblPr>
      <w:tblGrid>
        <w:gridCol w:w="1517"/>
        <w:gridCol w:w="816"/>
        <w:gridCol w:w="661"/>
        <w:gridCol w:w="727"/>
        <w:gridCol w:w="616"/>
        <w:gridCol w:w="727"/>
        <w:gridCol w:w="616"/>
      </w:tblGrid>
      <w:tr w:rsidR="0077719C" w:rsidRPr="0077719C" w14:paraId="319DE80B" w14:textId="77777777" w:rsidTr="00AA2D4D">
        <w:trPr>
          <w:trHeight w:val="620"/>
        </w:trPr>
        <w:tc>
          <w:tcPr>
            <w:tcW w:w="13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B0C40FD" w14:textId="7D2BA6FB" w:rsidR="0077719C" w:rsidRPr="008B0226" w:rsidRDefault="008B0226" w:rsidP="0077719C">
            <w:pPr>
              <w:rPr>
                <w:rFonts w:ascii="Cambria" w:hAnsi="Cambria" w:cs="Calibri"/>
                <w:color w:val="000000"/>
                <w:sz w:val="20"/>
                <w:szCs w:val="20"/>
              </w:rPr>
            </w:pPr>
            <w:r>
              <w:rPr>
                <w:rFonts w:ascii="Cambria" w:hAnsi="Cambria" w:cs="Calibri"/>
                <w:color w:val="000000"/>
                <w:sz w:val="20"/>
                <w:szCs w:val="20"/>
              </w:rPr>
              <w:t>Experimental Group</w:t>
            </w:r>
            <w:r w:rsidR="0077719C" w:rsidRPr="008B0226">
              <w:rPr>
                <w:rFonts w:ascii="Cambria" w:hAnsi="Cambria" w:cs="Calibri"/>
                <w:color w:val="000000"/>
                <w:sz w:val="20"/>
                <w:szCs w:val="20"/>
              </w:rPr>
              <w:t xml:space="preserve"> Type of Support</w:t>
            </w:r>
          </w:p>
        </w:tc>
        <w:tc>
          <w:tcPr>
            <w:tcW w:w="480" w:type="dxa"/>
            <w:tcBorders>
              <w:top w:val="single" w:sz="8" w:space="0" w:color="auto"/>
              <w:left w:val="nil"/>
              <w:bottom w:val="single" w:sz="8" w:space="0" w:color="auto"/>
              <w:right w:val="single" w:sz="8" w:space="0" w:color="auto"/>
            </w:tcBorders>
            <w:shd w:val="clear" w:color="auto" w:fill="auto"/>
            <w:vAlign w:val="center"/>
            <w:hideMark/>
          </w:tcPr>
          <w:p w14:paraId="7025DDD5"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TOTAL n=120</w:t>
            </w:r>
          </w:p>
        </w:tc>
        <w:tc>
          <w:tcPr>
            <w:tcW w:w="420" w:type="dxa"/>
            <w:tcBorders>
              <w:top w:val="single" w:sz="8" w:space="0" w:color="auto"/>
              <w:left w:val="nil"/>
              <w:bottom w:val="single" w:sz="8" w:space="0" w:color="auto"/>
              <w:right w:val="single" w:sz="8" w:space="0" w:color="auto"/>
            </w:tcBorders>
            <w:shd w:val="clear" w:color="auto" w:fill="auto"/>
            <w:vAlign w:val="center"/>
            <w:hideMark/>
          </w:tcPr>
          <w:p w14:paraId="77BC2FDC"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Total %</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0984F1F4"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Total &gt;80% n=92</w:t>
            </w:r>
          </w:p>
        </w:tc>
        <w:tc>
          <w:tcPr>
            <w:tcW w:w="400" w:type="dxa"/>
            <w:tcBorders>
              <w:top w:val="single" w:sz="8" w:space="0" w:color="auto"/>
              <w:left w:val="nil"/>
              <w:bottom w:val="single" w:sz="8" w:space="0" w:color="auto"/>
              <w:right w:val="single" w:sz="8" w:space="0" w:color="auto"/>
            </w:tcBorders>
            <w:shd w:val="clear" w:color="auto" w:fill="auto"/>
            <w:vAlign w:val="center"/>
            <w:hideMark/>
          </w:tcPr>
          <w:p w14:paraId="4C42C7D3"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 </w:t>
            </w:r>
          </w:p>
        </w:tc>
        <w:tc>
          <w:tcPr>
            <w:tcW w:w="720" w:type="dxa"/>
            <w:tcBorders>
              <w:top w:val="single" w:sz="8" w:space="0" w:color="auto"/>
              <w:left w:val="nil"/>
              <w:bottom w:val="single" w:sz="8" w:space="0" w:color="auto"/>
              <w:right w:val="single" w:sz="8" w:space="0" w:color="auto"/>
            </w:tcBorders>
            <w:shd w:val="clear" w:color="auto" w:fill="auto"/>
            <w:vAlign w:val="center"/>
            <w:hideMark/>
          </w:tcPr>
          <w:p w14:paraId="38F8CD9C"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Total &lt;80% n=28</w:t>
            </w:r>
          </w:p>
        </w:tc>
        <w:tc>
          <w:tcPr>
            <w:tcW w:w="420" w:type="dxa"/>
            <w:tcBorders>
              <w:top w:val="single" w:sz="8" w:space="0" w:color="auto"/>
              <w:left w:val="nil"/>
              <w:bottom w:val="single" w:sz="8" w:space="0" w:color="auto"/>
              <w:right w:val="single" w:sz="8" w:space="0" w:color="auto"/>
            </w:tcBorders>
            <w:shd w:val="clear" w:color="auto" w:fill="auto"/>
            <w:vAlign w:val="center"/>
            <w:hideMark/>
          </w:tcPr>
          <w:p w14:paraId="3BF498FD"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 </w:t>
            </w:r>
          </w:p>
        </w:tc>
      </w:tr>
      <w:tr w:rsidR="0077719C" w:rsidRPr="0077719C" w14:paraId="2D200359" w14:textId="77777777" w:rsidTr="00AA2D4D">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11DBC870"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peer support</w:t>
            </w:r>
          </w:p>
        </w:tc>
        <w:tc>
          <w:tcPr>
            <w:tcW w:w="480" w:type="dxa"/>
            <w:tcBorders>
              <w:top w:val="nil"/>
              <w:left w:val="nil"/>
              <w:bottom w:val="single" w:sz="8" w:space="0" w:color="auto"/>
              <w:right w:val="single" w:sz="8" w:space="0" w:color="auto"/>
            </w:tcBorders>
            <w:shd w:val="clear" w:color="auto" w:fill="auto"/>
            <w:noWrap/>
            <w:vAlign w:val="center"/>
            <w:hideMark/>
          </w:tcPr>
          <w:p w14:paraId="37A52D6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70</w:t>
            </w:r>
          </w:p>
        </w:tc>
        <w:tc>
          <w:tcPr>
            <w:tcW w:w="420" w:type="dxa"/>
            <w:tcBorders>
              <w:top w:val="nil"/>
              <w:left w:val="nil"/>
              <w:bottom w:val="single" w:sz="8" w:space="0" w:color="auto"/>
              <w:right w:val="single" w:sz="8" w:space="0" w:color="auto"/>
            </w:tcBorders>
            <w:shd w:val="clear" w:color="auto" w:fill="auto"/>
            <w:noWrap/>
            <w:vAlign w:val="center"/>
            <w:hideMark/>
          </w:tcPr>
          <w:p w14:paraId="56CAC10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58%</w:t>
            </w:r>
          </w:p>
        </w:tc>
        <w:tc>
          <w:tcPr>
            <w:tcW w:w="620" w:type="dxa"/>
            <w:tcBorders>
              <w:top w:val="nil"/>
              <w:left w:val="nil"/>
              <w:bottom w:val="single" w:sz="8" w:space="0" w:color="auto"/>
              <w:right w:val="single" w:sz="8" w:space="0" w:color="auto"/>
            </w:tcBorders>
            <w:shd w:val="clear" w:color="auto" w:fill="auto"/>
            <w:noWrap/>
            <w:vAlign w:val="center"/>
            <w:hideMark/>
          </w:tcPr>
          <w:p w14:paraId="3B5BD46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51</w:t>
            </w:r>
          </w:p>
        </w:tc>
        <w:tc>
          <w:tcPr>
            <w:tcW w:w="400" w:type="dxa"/>
            <w:tcBorders>
              <w:top w:val="nil"/>
              <w:left w:val="nil"/>
              <w:bottom w:val="single" w:sz="8" w:space="0" w:color="auto"/>
              <w:right w:val="single" w:sz="8" w:space="0" w:color="auto"/>
            </w:tcBorders>
            <w:shd w:val="clear" w:color="auto" w:fill="auto"/>
            <w:noWrap/>
            <w:vAlign w:val="center"/>
            <w:hideMark/>
          </w:tcPr>
          <w:p w14:paraId="4CF0495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55%</w:t>
            </w:r>
          </w:p>
        </w:tc>
        <w:tc>
          <w:tcPr>
            <w:tcW w:w="720" w:type="dxa"/>
            <w:tcBorders>
              <w:top w:val="nil"/>
              <w:left w:val="nil"/>
              <w:bottom w:val="single" w:sz="8" w:space="0" w:color="auto"/>
              <w:right w:val="single" w:sz="8" w:space="0" w:color="auto"/>
            </w:tcBorders>
            <w:shd w:val="clear" w:color="auto" w:fill="auto"/>
            <w:noWrap/>
            <w:vAlign w:val="center"/>
            <w:hideMark/>
          </w:tcPr>
          <w:p w14:paraId="393B356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19</w:t>
            </w:r>
          </w:p>
        </w:tc>
        <w:tc>
          <w:tcPr>
            <w:tcW w:w="420" w:type="dxa"/>
            <w:tcBorders>
              <w:top w:val="nil"/>
              <w:left w:val="nil"/>
              <w:bottom w:val="single" w:sz="8" w:space="0" w:color="auto"/>
              <w:right w:val="single" w:sz="8" w:space="0" w:color="auto"/>
            </w:tcBorders>
            <w:shd w:val="clear" w:color="auto" w:fill="auto"/>
            <w:noWrap/>
            <w:vAlign w:val="center"/>
            <w:hideMark/>
          </w:tcPr>
          <w:p w14:paraId="2F7B6D6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68%</w:t>
            </w:r>
          </w:p>
        </w:tc>
      </w:tr>
      <w:tr w:rsidR="0077719C" w:rsidRPr="0077719C" w14:paraId="1605FF23" w14:textId="77777777" w:rsidTr="00AA2D4D">
        <w:trPr>
          <w:trHeight w:val="42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402D3065"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advice from upperclassmen</w:t>
            </w:r>
          </w:p>
        </w:tc>
        <w:tc>
          <w:tcPr>
            <w:tcW w:w="480" w:type="dxa"/>
            <w:tcBorders>
              <w:top w:val="nil"/>
              <w:left w:val="nil"/>
              <w:bottom w:val="single" w:sz="8" w:space="0" w:color="auto"/>
              <w:right w:val="single" w:sz="8" w:space="0" w:color="auto"/>
            </w:tcBorders>
            <w:shd w:val="clear" w:color="auto" w:fill="auto"/>
            <w:noWrap/>
            <w:vAlign w:val="center"/>
            <w:hideMark/>
          </w:tcPr>
          <w:p w14:paraId="20A65BF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63</w:t>
            </w:r>
          </w:p>
        </w:tc>
        <w:tc>
          <w:tcPr>
            <w:tcW w:w="420" w:type="dxa"/>
            <w:tcBorders>
              <w:top w:val="nil"/>
              <w:left w:val="nil"/>
              <w:bottom w:val="single" w:sz="8" w:space="0" w:color="auto"/>
              <w:right w:val="single" w:sz="8" w:space="0" w:color="auto"/>
            </w:tcBorders>
            <w:shd w:val="clear" w:color="auto" w:fill="auto"/>
            <w:noWrap/>
            <w:vAlign w:val="center"/>
            <w:hideMark/>
          </w:tcPr>
          <w:p w14:paraId="29232BA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53%</w:t>
            </w:r>
          </w:p>
        </w:tc>
        <w:tc>
          <w:tcPr>
            <w:tcW w:w="620" w:type="dxa"/>
            <w:tcBorders>
              <w:top w:val="nil"/>
              <w:left w:val="nil"/>
              <w:bottom w:val="single" w:sz="8" w:space="0" w:color="auto"/>
              <w:right w:val="single" w:sz="8" w:space="0" w:color="auto"/>
            </w:tcBorders>
            <w:shd w:val="clear" w:color="auto" w:fill="auto"/>
            <w:noWrap/>
            <w:vAlign w:val="center"/>
            <w:hideMark/>
          </w:tcPr>
          <w:p w14:paraId="454EC1D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44</w:t>
            </w:r>
          </w:p>
        </w:tc>
        <w:tc>
          <w:tcPr>
            <w:tcW w:w="400" w:type="dxa"/>
            <w:tcBorders>
              <w:top w:val="nil"/>
              <w:left w:val="nil"/>
              <w:bottom w:val="single" w:sz="8" w:space="0" w:color="auto"/>
              <w:right w:val="single" w:sz="8" w:space="0" w:color="auto"/>
            </w:tcBorders>
            <w:shd w:val="clear" w:color="auto" w:fill="auto"/>
            <w:noWrap/>
            <w:vAlign w:val="center"/>
            <w:hideMark/>
          </w:tcPr>
          <w:p w14:paraId="796E5D7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48%</w:t>
            </w:r>
          </w:p>
        </w:tc>
        <w:tc>
          <w:tcPr>
            <w:tcW w:w="720" w:type="dxa"/>
            <w:tcBorders>
              <w:top w:val="nil"/>
              <w:left w:val="nil"/>
              <w:bottom w:val="single" w:sz="8" w:space="0" w:color="auto"/>
              <w:right w:val="single" w:sz="8" w:space="0" w:color="auto"/>
            </w:tcBorders>
            <w:shd w:val="clear" w:color="auto" w:fill="auto"/>
            <w:noWrap/>
            <w:vAlign w:val="center"/>
            <w:hideMark/>
          </w:tcPr>
          <w:p w14:paraId="1A03B52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19</w:t>
            </w:r>
          </w:p>
        </w:tc>
        <w:tc>
          <w:tcPr>
            <w:tcW w:w="420" w:type="dxa"/>
            <w:tcBorders>
              <w:top w:val="nil"/>
              <w:left w:val="nil"/>
              <w:bottom w:val="single" w:sz="8" w:space="0" w:color="auto"/>
              <w:right w:val="single" w:sz="8" w:space="0" w:color="auto"/>
            </w:tcBorders>
            <w:shd w:val="clear" w:color="auto" w:fill="auto"/>
            <w:noWrap/>
            <w:vAlign w:val="center"/>
            <w:hideMark/>
          </w:tcPr>
          <w:p w14:paraId="1B4A8CBD"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68%</w:t>
            </w:r>
          </w:p>
        </w:tc>
      </w:tr>
      <w:tr w:rsidR="0077719C" w:rsidRPr="0077719C" w14:paraId="6E25E831" w14:textId="77777777" w:rsidTr="00AA2D4D">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7F199856"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family support</w:t>
            </w:r>
          </w:p>
        </w:tc>
        <w:tc>
          <w:tcPr>
            <w:tcW w:w="480" w:type="dxa"/>
            <w:tcBorders>
              <w:top w:val="nil"/>
              <w:left w:val="nil"/>
              <w:bottom w:val="single" w:sz="8" w:space="0" w:color="auto"/>
              <w:right w:val="single" w:sz="8" w:space="0" w:color="auto"/>
            </w:tcBorders>
            <w:shd w:val="clear" w:color="auto" w:fill="auto"/>
            <w:noWrap/>
            <w:vAlign w:val="center"/>
            <w:hideMark/>
          </w:tcPr>
          <w:p w14:paraId="13F6050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68</w:t>
            </w:r>
          </w:p>
        </w:tc>
        <w:tc>
          <w:tcPr>
            <w:tcW w:w="420" w:type="dxa"/>
            <w:tcBorders>
              <w:top w:val="nil"/>
              <w:left w:val="nil"/>
              <w:bottom w:val="single" w:sz="8" w:space="0" w:color="auto"/>
              <w:right w:val="single" w:sz="8" w:space="0" w:color="auto"/>
            </w:tcBorders>
            <w:shd w:val="clear" w:color="auto" w:fill="auto"/>
            <w:noWrap/>
            <w:vAlign w:val="center"/>
            <w:hideMark/>
          </w:tcPr>
          <w:p w14:paraId="602C3CC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57%</w:t>
            </w:r>
          </w:p>
        </w:tc>
        <w:tc>
          <w:tcPr>
            <w:tcW w:w="620" w:type="dxa"/>
            <w:tcBorders>
              <w:top w:val="nil"/>
              <w:left w:val="nil"/>
              <w:bottom w:val="single" w:sz="8" w:space="0" w:color="auto"/>
              <w:right w:val="single" w:sz="8" w:space="0" w:color="auto"/>
            </w:tcBorders>
            <w:shd w:val="clear" w:color="auto" w:fill="auto"/>
            <w:noWrap/>
            <w:vAlign w:val="center"/>
            <w:hideMark/>
          </w:tcPr>
          <w:p w14:paraId="1C23961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52</w:t>
            </w:r>
          </w:p>
        </w:tc>
        <w:tc>
          <w:tcPr>
            <w:tcW w:w="400" w:type="dxa"/>
            <w:tcBorders>
              <w:top w:val="nil"/>
              <w:left w:val="nil"/>
              <w:bottom w:val="single" w:sz="8" w:space="0" w:color="auto"/>
              <w:right w:val="single" w:sz="8" w:space="0" w:color="auto"/>
            </w:tcBorders>
            <w:shd w:val="clear" w:color="auto" w:fill="auto"/>
            <w:noWrap/>
            <w:vAlign w:val="center"/>
            <w:hideMark/>
          </w:tcPr>
          <w:p w14:paraId="1C41283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57%</w:t>
            </w:r>
          </w:p>
        </w:tc>
        <w:tc>
          <w:tcPr>
            <w:tcW w:w="720" w:type="dxa"/>
            <w:tcBorders>
              <w:top w:val="nil"/>
              <w:left w:val="nil"/>
              <w:bottom w:val="single" w:sz="8" w:space="0" w:color="auto"/>
              <w:right w:val="single" w:sz="8" w:space="0" w:color="auto"/>
            </w:tcBorders>
            <w:shd w:val="clear" w:color="auto" w:fill="auto"/>
            <w:noWrap/>
            <w:vAlign w:val="center"/>
            <w:hideMark/>
          </w:tcPr>
          <w:p w14:paraId="0AB0097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16</w:t>
            </w:r>
          </w:p>
        </w:tc>
        <w:tc>
          <w:tcPr>
            <w:tcW w:w="420" w:type="dxa"/>
            <w:tcBorders>
              <w:top w:val="nil"/>
              <w:left w:val="nil"/>
              <w:bottom w:val="single" w:sz="8" w:space="0" w:color="auto"/>
              <w:right w:val="single" w:sz="8" w:space="0" w:color="auto"/>
            </w:tcBorders>
            <w:shd w:val="clear" w:color="auto" w:fill="auto"/>
            <w:noWrap/>
            <w:vAlign w:val="center"/>
            <w:hideMark/>
          </w:tcPr>
          <w:p w14:paraId="1E66F085"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57%</w:t>
            </w:r>
          </w:p>
        </w:tc>
      </w:tr>
      <w:tr w:rsidR="0077719C" w:rsidRPr="0077719C" w14:paraId="10FF22CD" w14:textId="77777777" w:rsidTr="00AA2D4D">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3F49A3C0"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tutoring</w:t>
            </w:r>
          </w:p>
        </w:tc>
        <w:tc>
          <w:tcPr>
            <w:tcW w:w="480" w:type="dxa"/>
            <w:tcBorders>
              <w:top w:val="nil"/>
              <w:left w:val="nil"/>
              <w:bottom w:val="single" w:sz="8" w:space="0" w:color="auto"/>
              <w:right w:val="single" w:sz="8" w:space="0" w:color="auto"/>
            </w:tcBorders>
            <w:shd w:val="clear" w:color="auto" w:fill="auto"/>
            <w:noWrap/>
            <w:vAlign w:val="center"/>
            <w:hideMark/>
          </w:tcPr>
          <w:p w14:paraId="071BD1A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32</w:t>
            </w:r>
          </w:p>
        </w:tc>
        <w:tc>
          <w:tcPr>
            <w:tcW w:w="420" w:type="dxa"/>
            <w:tcBorders>
              <w:top w:val="nil"/>
              <w:left w:val="nil"/>
              <w:bottom w:val="single" w:sz="8" w:space="0" w:color="auto"/>
              <w:right w:val="single" w:sz="8" w:space="0" w:color="auto"/>
            </w:tcBorders>
            <w:shd w:val="clear" w:color="auto" w:fill="auto"/>
            <w:noWrap/>
            <w:vAlign w:val="center"/>
            <w:hideMark/>
          </w:tcPr>
          <w:p w14:paraId="5146791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27%</w:t>
            </w:r>
          </w:p>
        </w:tc>
        <w:tc>
          <w:tcPr>
            <w:tcW w:w="620" w:type="dxa"/>
            <w:tcBorders>
              <w:top w:val="nil"/>
              <w:left w:val="nil"/>
              <w:bottom w:val="single" w:sz="8" w:space="0" w:color="auto"/>
              <w:right w:val="single" w:sz="8" w:space="0" w:color="auto"/>
            </w:tcBorders>
            <w:shd w:val="clear" w:color="auto" w:fill="auto"/>
            <w:noWrap/>
            <w:vAlign w:val="center"/>
            <w:hideMark/>
          </w:tcPr>
          <w:p w14:paraId="179F37A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27</w:t>
            </w:r>
          </w:p>
        </w:tc>
        <w:tc>
          <w:tcPr>
            <w:tcW w:w="400" w:type="dxa"/>
            <w:tcBorders>
              <w:top w:val="nil"/>
              <w:left w:val="nil"/>
              <w:bottom w:val="single" w:sz="8" w:space="0" w:color="auto"/>
              <w:right w:val="single" w:sz="8" w:space="0" w:color="auto"/>
            </w:tcBorders>
            <w:shd w:val="clear" w:color="auto" w:fill="auto"/>
            <w:noWrap/>
            <w:vAlign w:val="center"/>
            <w:hideMark/>
          </w:tcPr>
          <w:p w14:paraId="5226B72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29%</w:t>
            </w:r>
          </w:p>
        </w:tc>
        <w:tc>
          <w:tcPr>
            <w:tcW w:w="720" w:type="dxa"/>
            <w:tcBorders>
              <w:top w:val="nil"/>
              <w:left w:val="nil"/>
              <w:bottom w:val="single" w:sz="8" w:space="0" w:color="auto"/>
              <w:right w:val="single" w:sz="8" w:space="0" w:color="auto"/>
            </w:tcBorders>
            <w:shd w:val="clear" w:color="auto" w:fill="auto"/>
            <w:noWrap/>
            <w:vAlign w:val="center"/>
            <w:hideMark/>
          </w:tcPr>
          <w:p w14:paraId="324DBA9F"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420" w:type="dxa"/>
            <w:tcBorders>
              <w:top w:val="nil"/>
              <w:left w:val="nil"/>
              <w:bottom w:val="single" w:sz="8" w:space="0" w:color="auto"/>
              <w:right w:val="single" w:sz="8" w:space="0" w:color="auto"/>
            </w:tcBorders>
            <w:shd w:val="clear" w:color="auto" w:fill="auto"/>
            <w:noWrap/>
            <w:vAlign w:val="center"/>
            <w:hideMark/>
          </w:tcPr>
          <w:p w14:paraId="6AFD42F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18%</w:t>
            </w:r>
          </w:p>
        </w:tc>
      </w:tr>
      <w:tr w:rsidR="0077719C" w:rsidRPr="0077719C" w14:paraId="21FB488F" w14:textId="77777777" w:rsidTr="00AA2D4D">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26E6CBF2"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student health clinic</w:t>
            </w:r>
          </w:p>
        </w:tc>
        <w:tc>
          <w:tcPr>
            <w:tcW w:w="480" w:type="dxa"/>
            <w:tcBorders>
              <w:top w:val="nil"/>
              <w:left w:val="nil"/>
              <w:bottom w:val="single" w:sz="8" w:space="0" w:color="auto"/>
              <w:right w:val="single" w:sz="8" w:space="0" w:color="auto"/>
            </w:tcBorders>
            <w:shd w:val="clear" w:color="auto" w:fill="auto"/>
            <w:noWrap/>
            <w:vAlign w:val="center"/>
            <w:hideMark/>
          </w:tcPr>
          <w:p w14:paraId="7F2AC29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15</w:t>
            </w:r>
          </w:p>
        </w:tc>
        <w:tc>
          <w:tcPr>
            <w:tcW w:w="420" w:type="dxa"/>
            <w:tcBorders>
              <w:top w:val="nil"/>
              <w:left w:val="nil"/>
              <w:bottom w:val="single" w:sz="8" w:space="0" w:color="auto"/>
              <w:right w:val="single" w:sz="8" w:space="0" w:color="auto"/>
            </w:tcBorders>
            <w:shd w:val="clear" w:color="auto" w:fill="auto"/>
            <w:noWrap/>
            <w:vAlign w:val="center"/>
            <w:hideMark/>
          </w:tcPr>
          <w:p w14:paraId="267876E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13%</w:t>
            </w:r>
          </w:p>
        </w:tc>
        <w:tc>
          <w:tcPr>
            <w:tcW w:w="620" w:type="dxa"/>
            <w:tcBorders>
              <w:top w:val="nil"/>
              <w:left w:val="nil"/>
              <w:bottom w:val="single" w:sz="8" w:space="0" w:color="auto"/>
              <w:right w:val="single" w:sz="8" w:space="0" w:color="auto"/>
            </w:tcBorders>
            <w:shd w:val="clear" w:color="auto" w:fill="auto"/>
            <w:noWrap/>
            <w:vAlign w:val="center"/>
            <w:hideMark/>
          </w:tcPr>
          <w:p w14:paraId="767701A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13</w:t>
            </w:r>
          </w:p>
        </w:tc>
        <w:tc>
          <w:tcPr>
            <w:tcW w:w="400" w:type="dxa"/>
            <w:tcBorders>
              <w:top w:val="nil"/>
              <w:left w:val="nil"/>
              <w:bottom w:val="single" w:sz="8" w:space="0" w:color="auto"/>
              <w:right w:val="single" w:sz="8" w:space="0" w:color="auto"/>
            </w:tcBorders>
            <w:shd w:val="clear" w:color="auto" w:fill="auto"/>
            <w:noWrap/>
            <w:vAlign w:val="center"/>
            <w:hideMark/>
          </w:tcPr>
          <w:p w14:paraId="4E86DC79"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14%</w:t>
            </w:r>
          </w:p>
        </w:tc>
        <w:tc>
          <w:tcPr>
            <w:tcW w:w="720" w:type="dxa"/>
            <w:tcBorders>
              <w:top w:val="nil"/>
              <w:left w:val="nil"/>
              <w:bottom w:val="single" w:sz="8" w:space="0" w:color="auto"/>
              <w:right w:val="single" w:sz="8" w:space="0" w:color="auto"/>
            </w:tcBorders>
            <w:shd w:val="clear" w:color="auto" w:fill="auto"/>
            <w:noWrap/>
            <w:vAlign w:val="center"/>
            <w:hideMark/>
          </w:tcPr>
          <w:p w14:paraId="26C4FD6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420" w:type="dxa"/>
            <w:tcBorders>
              <w:top w:val="nil"/>
              <w:left w:val="nil"/>
              <w:bottom w:val="single" w:sz="8" w:space="0" w:color="auto"/>
              <w:right w:val="single" w:sz="8" w:space="0" w:color="auto"/>
            </w:tcBorders>
            <w:shd w:val="clear" w:color="auto" w:fill="auto"/>
            <w:noWrap/>
            <w:vAlign w:val="center"/>
            <w:hideMark/>
          </w:tcPr>
          <w:p w14:paraId="6E39298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7%</w:t>
            </w:r>
          </w:p>
        </w:tc>
      </w:tr>
      <w:tr w:rsidR="0077719C" w:rsidRPr="0077719C" w14:paraId="0C01A793" w14:textId="77777777" w:rsidTr="00AA2D4D">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401B5D0E"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professional counseling</w:t>
            </w:r>
          </w:p>
        </w:tc>
        <w:tc>
          <w:tcPr>
            <w:tcW w:w="480" w:type="dxa"/>
            <w:tcBorders>
              <w:top w:val="nil"/>
              <w:left w:val="nil"/>
              <w:bottom w:val="single" w:sz="8" w:space="0" w:color="auto"/>
              <w:right w:val="single" w:sz="8" w:space="0" w:color="auto"/>
            </w:tcBorders>
            <w:shd w:val="clear" w:color="auto" w:fill="auto"/>
            <w:noWrap/>
            <w:vAlign w:val="center"/>
            <w:hideMark/>
          </w:tcPr>
          <w:p w14:paraId="74CDCA6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420" w:type="dxa"/>
            <w:tcBorders>
              <w:top w:val="nil"/>
              <w:left w:val="nil"/>
              <w:bottom w:val="single" w:sz="8" w:space="0" w:color="auto"/>
              <w:right w:val="single" w:sz="8" w:space="0" w:color="auto"/>
            </w:tcBorders>
            <w:shd w:val="clear" w:color="auto" w:fill="auto"/>
            <w:noWrap/>
            <w:vAlign w:val="center"/>
            <w:hideMark/>
          </w:tcPr>
          <w:p w14:paraId="15DA0BD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w:t>
            </w:r>
          </w:p>
        </w:tc>
        <w:tc>
          <w:tcPr>
            <w:tcW w:w="620" w:type="dxa"/>
            <w:tcBorders>
              <w:top w:val="nil"/>
              <w:left w:val="nil"/>
              <w:bottom w:val="single" w:sz="8" w:space="0" w:color="auto"/>
              <w:right w:val="single" w:sz="8" w:space="0" w:color="auto"/>
            </w:tcBorders>
            <w:shd w:val="clear" w:color="auto" w:fill="auto"/>
            <w:noWrap/>
            <w:vAlign w:val="center"/>
            <w:hideMark/>
          </w:tcPr>
          <w:p w14:paraId="6903E7ED"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400" w:type="dxa"/>
            <w:tcBorders>
              <w:top w:val="nil"/>
              <w:left w:val="nil"/>
              <w:bottom w:val="single" w:sz="8" w:space="0" w:color="auto"/>
              <w:right w:val="single" w:sz="8" w:space="0" w:color="auto"/>
            </w:tcBorders>
            <w:shd w:val="clear" w:color="auto" w:fill="auto"/>
            <w:noWrap/>
            <w:vAlign w:val="center"/>
            <w:hideMark/>
          </w:tcPr>
          <w:p w14:paraId="55E5663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720" w:type="dxa"/>
            <w:tcBorders>
              <w:top w:val="nil"/>
              <w:left w:val="nil"/>
              <w:bottom w:val="single" w:sz="8" w:space="0" w:color="auto"/>
              <w:right w:val="single" w:sz="8" w:space="0" w:color="auto"/>
            </w:tcBorders>
            <w:shd w:val="clear" w:color="auto" w:fill="auto"/>
            <w:noWrap/>
            <w:vAlign w:val="center"/>
            <w:hideMark/>
          </w:tcPr>
          <w:p w14:paraId="5C8FDE4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420" w:type="dxa"/>
            <w:tcBorders>
              <w:top w:val="nil"/>
              <w:left w:val="nil"/>
              <w:bottom w:val="single" w:sz="8" w:space="0" w:color="auto"/>
              <w:right w:val="single" w:sz="8" w:space="0" w:color="auto"/>
            </w:tcBorders>
            <w:shd w:val="clear" w:color="auto" w:fill="auto"/>
            <w:noWrap/>
            <w:vAlign w:val="center"/>
            <w:hideMark/>
          </w:tcPr>
          <w:p w14:paraId="164FBC9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11%</w:t>
            </w:r>
          </w:p>
        </w:tc>
      </w:tr>
      <w:tr w:rsidR="0077719C" w:rsidRPr="0077719C" w14:paraId="4A0E714B" w14:textId="77777777" w:rsidTr="00AA2D4D">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36865BEA"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online support</w:t>
            </w:r>
          </w:p>
        </w:tc>
        <w:tc>
          <w:tcPr>
            <w:tcW w:w="480" w:type="dxa"/>
            <w:tcBorders>
              <w:top w:val="nil"/>
              <w:left w:val="nil"/>
              <w:bottom w:val="single" w:sz="8" w:space="0" w:color="auto"/>
              <w:right w:val="single" w:sz="8" w:space="0" w:color="auto"/>
            </w:tcBorders>
            <w:shd w:val="clear" w:color="auto" w:fill="auto"/>
            <w:noWrap/>
            <w:vAlign w:val="center"/>
            <w:hideMark/>
          </w:tcPr>
          <w:p w14:paraId="5B80EB9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15</w:t>
            </w:r>
          </w:p>
        </w:tc>
        <w:tc>
          <w:tcPr>
            <w:tcW w:w="420" w:type="dxa"/>
            <w:tcBorders>
              <w:top w:val="nil"/>
              <w:left w:val="nil"/>
              <w:bottom w:val="single" w:sz="8" w:space="0" w:color="auto"/>
              <w:right w:val="single" w:sz="8" w:space="0" w:color="auto"/>
            </w:tcBorders>
            <w:shd w:val="clear" w:color="auto" w:fill="auto"/>
            <w:noWrap/>
            <w:vAlign w:val="center"/>
            <w:hideMark/>
          </w:tcPr>
          <w:p w14:paraId="7BDBA41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13%</w:t>
            </w:r>
          </w:p>
        </w:tc>
        <w:tc>
          <w:tcPr>
            <w:tcW w:w="620" w:type="dxa"/>
            <w:tcBorders>
              <w:top w:val="nil"/>
              <w:left w:val="nil"/>
              <w:bottom w:val="single" w:sz="8" w:space="0" w:color="auto"/>
              <w:right w:val="single" w:sz="8" w:space="0" w:color="auto"/>
            </w:tcBorders>
            <w:shd w:val="clear" w:color="auto" w:fill="auto"/>
            <w:noWrap/>
            <w:vAlign w:val="center"/>
            <w:hideMark/>
          </w:tcPr>
          <w:p w14:paraId="3432560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11</w:t>
            </w:r>
          </w:p>
        </w:tc>
        <w:tc>
          <w:tcPr>
            <w:tcW w:w="400" w:type="dxa"/>
            <w:tcBorders>
              <w:top w:val="nil"/>
              <w:left w:val="nil"/>
              <w:bottom w:val="single" w:sz="8" w:space="0" w:color="auto"/>
              <w:right w:val="single" w:sz="8" w:space="0" w:color="auto"/>
            </w:tcBorders>
            <w:shd w:val="clear" w:color="auto" w:fill="auto"/>
            <w:noWrap/>
            <w:vAlign w:val="center"/>
            <w:hideMark/>
          </w:tcPr>
          <w:p w14:paraId="0A1B1E6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12%</w:t>
            </w:r>
          </w:p>
        </w:tc>
        <w:tc>
          <w:tcPr>
            <w:tcW w:w="720" w:type="dxa"/>
            <w:tcBorders>
              <w:top w:val="nil"/>
              <w:left w:val="nil"/>
              <w:bottom w:val="single" w:sz="8" w:space="0" w:color="auto"/>
              <w:right w:val="single" w:sz="8" w:space="0" w:color="auto"/>
            </w:tcBorders>
            <w:shd w:val="clear" w:color="auto" w:fill="auto"/>
            <w:noWrap/>
            <w:vAlign w:val="center"/>
            <w:hideMark/>
          </w:tcPr>
          <w:p w14:paraId="4D699F9E"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w:t>
            </w:r>
          </w:p>
        </w:tc>
        <w:tc>
          <w:tcPr>
            <w:tcW w:w="420" w:type="dxa"/>
            <w:tcBorders>
              <w:top w:val="nil"/>
              <w:left w:val="nil"/>
              <w:bottom w:val="single" w:sz="8" w:space="0" w:color="auto"/>
              <w:right w:val="single" w:sz="8" w:space="0" w:color="auto"/>
            </w:tcBorders>
            <w:shd w:val="clear" w:color="auto" w:fill="auto"/>
            <w:noWrap/>
            <w:vAlign w:val="center"/>
            <w:hideMark/>
          </w:tcPr>
          <w:p w14:paraId="681D609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14%</w:t>
            </w:r>
          </w:p>
        </w:tc>
      </w:tr>
      <w:tr w:rsidR="0077719C" w:rsidRPr="0077719C" w14:paraId="08013C07" w14:textId="77777777" w:rsidTr="00AA2D4D">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271D2330"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professor office hours</w:t>
            </w:r>
          </w:p>
        </w:tc>
        <w:tc>
          <w:tcPr>
            <w:tcW w:w="480" w:type="dxa"/>
            <w:tcBorders>
              <w:top w:val="nil"/>
              <w:left w:val="nil"/>
              <w:bottom w:val="single" w:sz="8" w:space="0" w:color="auto"/>
              <w:right w:val="single" w:sz="8" w:space="0" w:color="auto"/>
            </w:tcBorders>
            <w:shd w:val="clear" w:color="auto" w:fill="auto"/>
            <w:noWrap/>
            <w:vAlign w:val="center"/>
            <w:hideMark/>
          </w:tcPr>
          <w:p w14:paraId="23DBB33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11</w:t>
            </w:r>
          </w:p>
        </w:tc>
        <w:tc>
          <w:tcPr>
            <w:tcW w:w="420" w:type="dxa"/>
            <w:tcBorders>
              <w:top w:val="nil"/>
              <w:left w:val="nil"/>
              <w:bottom w:val="single" w:sz="8" w:space="0" w:color="auto"/>
              <w:right w:val="single" w:sz="8" w:space="0" w:color="auto"/>
            </w:tcBorders>
            <w:shd w:val="clear" w:color="auto" w:fill="auto"/>
            <w:noWrap/>
            <w:vAlign w:val="center"/>
            <w:hideMark/>
          </w:tcPr>
          <w:p w14:paraId="3E77297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9%</w:t>
            </w:r>
          </w:p>
        </w:tc>
        <w:tc>
          <w:tcPr>
            <w:tcW w:w="620" w:type="dxa"/>
            <w:tcBorders>
              <w:top w:val="nil"/>
              <w:left w:val="nil"/>
              <w:bottom w:val="single" w:sz="8" w:space="0" w:color="auto"/>
              <w:right w:val="single" w:sz="8" w:space="0" w:color="auto"/>
            </w:tcBorders>
            <w:shd w:val="clear" w:color="auto" w:fill="auto"/>
            <w:noWrap/>
            <w:vAlign w:val="center"/>
            <w:hideMark/>
          </w:tcPr>
          <w:p w14:paraId="7C7E5D9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8</w:t>
            </w:r>
          </w:p>
        </w:tc>
        <w:tc>
          <w:tcPr>
            <w:tcW w:w="400" w:type="dxa"/>
            <w:tcBorders>
              <w:top w:val="nil"/>
              <w:left w:val="nil"/>
              <w:bottom w:val="single" w:sz="8" w:space="0" w:color="auto"/>
              <w:right w:val="single" w:sz="8" w:space="0" w:color="auto"/>
            </w:tcBorders>
            <w:shd w:val="clear" w:color="auto" w:fill="auto"/>
            <w:noWrap/>
            <w:vAlign w:val="center"/>
            <w:hideMark/>
          </w:tcPr>
          <w:p w14:paraId="16D9863C"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9%</w:t>
            </w:r>
          </w:p>
        </w:tc>
        <w:tc>
          <w:tcPr>
            <w:tcW w:w="720" w:type="dxa"/>
            <w:tcBorders>
              <w:top w:val="nil"/>
              <w:left w:val="nil"/>
              <w:bottom w:val="single" w:sz="8" w:space="0" w:color="auto"/>
              <w:right w:val="single" w:sz="8" w:space="0" w:color="auto"/>
            </w:tcBorders>
            <w:shd w:val="clear" w:color="auto" w:fill="auto"/>
            <w:noWrap/>
            <w:vAlign w:val="center"/>
            <w:hideMark/>
          </w:tcPr>
          <w:p w14:paraId="31FF629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420" w:type="dxa"/>
            <w:tcBorders>
              <w:top w:val="nil"/>
              <w:left w:val="nil"/>
              <w:bottom w:val="single" w:sz="8" w:space="0" w:color="auto"/>
              <w:right w:val="single" w:sz="8" w:space="0" w:color="auto"/>
            </w:tcBorders>
            <w:shd w:val="clear" w:color="auto" w:fill="auto"/>
            <w:noWrap/>
            <w:vAlign w:val="center"/>
            <w:hideMark/>
          </w:tcPr>
          <w:p w14:paraId="2D754C6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11%</w:t>
            </w:r>
          </w:p>
        </w:tc>
      </w:tr>
      <w:tr w:rsidR="0077719C" w:rsidRPr="0077719C" w14:paraId="0802B66B" w14:textId="77777777" w:rsidTr="00AA2D4D">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326890E4"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other</w:t>
            </w:r>
          </w:p>
        </w:tc>
        <w:tc>
          <w:tcPr>
            <w:tcW w:w="480" w:type="dxa"/>
            <w:tcBorders>
              <w:top w:val="nil"/>
              <w:left w:val="nil"/>
              <w:bottom w:val="single" w:sz="8" w:space="0" w:color="auto"/>
              <w:right w:val="single" w:sz="8" w:space="0" w:color="auto"/>
            </w:tcBorders>
            <w:shd w:val="clear" w:color="auto" w:fill="auto"/>
            <w:noWrap/>
            <w:vAlign w:val="center"/>
            <w:hideMark/>
          </w:tcPr>
          <w:p w14:paraId="708B451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20" w:type="dxa"/>
            <w:tcBorders>
              <w:top w:val="nil"/>
              <w:left w:val="nil"/>
              <w:bottom w:val="single" w:sz="8" w:space="0" w:color="auto"/>
              <w:right w:val="single" w:sz="8" w:space="0" w:color="auto"/>
            </w:tcBorders>
            <w:shd w:val="clear" w:color="auto" w:fill="auto"/>
            <w:noWrap/>
            <w:vAlign w:val="center"/>
            <w:hideMark/>
          </w:tcPr>
          <w:p w14:paraId="29E610B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620" w:type="dxa"/>
            <w:tcBorders>
              <w:top w:val="nil"/>
              <w:left w:val="nil"/>
              <w:bottom w:val="single" w:sz="8" w:space="0" w:color="auto"/>
              <w:right w:val="single" w:sz="8" w:space="0" w:color="auto"/>
            </w:tcBorders>
            <w:shd w:val="clear" w:color="auto" w:fill="auto"/>
            <w:noWrap/>
            <w:vAlign w:val="center"/>
            <w:hideMark/>
          </w:tcPr>
          <w:p w14:paraId="7A1B3D06"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0201108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720" w:type="dxa"/>
            <w:tcBorders>
              <w:top w:val="nil"/>
              <w:left w:val="nil"/>
              <w:bottom w:val="single" w:sz="8" w:space="0" w:color="auto"/>
              <w:right w:val="single" w:sz="8" w:space="0" w:color="auto"/>
            </w:tcBorders>
            <w:shd w:val="clear" w:color="auto" w:fill="auto"/>
            <w:noWrap/>
            <w:vAlign w:val="center"/>
            <w:hideMark/>
          </w:tcPr>
          <w:p w14:paraId="7DE3127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0B48EEED"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r w:rsidR="0077719C" w:rsidRPr="0077719C" w14:paraId="628124EC" w14:textId="77777777" w:rsidTr="00AA2D4D">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6B1CE2D0"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pastoral services</w:t>
            </w:r>
          </w:p>
        </w:tc>
        <w:tc>
          <w:tcPr>
            <w:tcW w:w="480" w:type="dxa"/>
            <w:tcBorders>
              <w:top w:val="nil"/>
              <w:left w:val="nil"/>
              <w:bottom w:val="single" w:sz="8" w:space="0" w:color="auto"/>
              <w:right w:val="single" w:sz="8" w:space="0" w:color="auto"/>
            </w:tcBorders>
            <w:shd w:val="clear" w:color="auto" w:fill="auto"/>
            <w:noWrap/>
            <w:vAlign w:val="center"/>
            <w:hideMark/>
          </w:tcPr>
          <w:p w14:paraId="4E362B6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5</w:t>
            </w:r>
          </w:p>
        </w:tc>
        <w:tc>
          <w:tcPr>
            <w:tcW w:w="420" w:type="dxa"/>
            <w:tcBorders>
              <w:top w:val="nil"/>
              <w:left w:val="nil"/>
              <w:bottom w:val="single" w:sz="8" w:space="0" w:color="auto"/>
              <w:right w:val="single" w:sz="8" w:space="0" w:color="auto"/>
            </w:tcBorders>
            <w:shd w:val="clear" w:color="auto" w:fill="auto"/>
            <w:noWrap/>
            <w:vAlign w:val="center"/>
            <w:hideMark/>
          </w:tcPr>
          <w:p w14:paraId="0F2B6F7A"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4%</w:t>
            </w:r>
          </w:p>
        </w:tc>
        <w:tc>
          <w:tcPr>
            <w:tcW w:w="620" w:type="dxa"/>
            <w:tcBorders>
              <w:top w:val="nil"/>
              <w:left w:val="nil"/>
              <w:bottom w:val="single" w:sz="8" w:space="0" w:color="auto"/>
              <w:right w:val="single" w:sz="8" w:space="0" w:color="auto"/>
            </w:tcBorders>
            <w:shd w:val="clear" w:color="auto" w:fill="auto"/>
            <w:noWrap/>
            <w:vAlign w:val="center"/>
            <w:hideMark/>
          </w:tcPr>
          <w:p w14:paraId="10604E20"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400" w:type="dxa"/>
            <w:tcBorders>
              <w:top w:val="nil"/>
              <w:left w:val="nil"/>
              <w:bottom w:val="single" w:sz="8" w:space="0" w:color="auto"/>
              <w:right w:val="single" w:sz="8" w:space="0" w:color="auto"/>
            </w:tcBorders>
            <w:shd w:val="clear" w:color="auto" w:fill="auto"/>
            <w:noWrap/>
            <w:vAlign w:val="center"/>
            <w:hideMark/>
          </w:tcPr>
          <w:p w14:paraId="59A1DAF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3%</w:t>
            </w:r>
          </w:p>
        </w:tc>
        <w:tc>
          <w:tcPr>
            <w:tcW w:w="720" w:type="dxa"/>
            <w:tcBorders>
              <w:top w:val="nil"/>
              <w:left w:val="nil"/>
              <w:bottom w:val="single" w:sz="8" w:space="0" w:color="auto"/>
              <w:right w:val="single" w:sz="8" w:space="0" w:color="auto"/>
            </w:tcBorders>
            <w:shd w:val="clear" w:color="auto" w:fill="auto"/>
            <w:noWrap/>
            <w:vAlign w:val="center"/>
            <w:hideMark/>
          </w:tcPr>
          <w:p w14:paraId="31594E0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w:t>
            </w:r>
          </w:p>
        </w:tc>
        <w:tc>
          <w:tcPr>
            <w:tcW w:w="420" w:type="dxa"/>
            <w:tcBorders>
              <w:top w:val="nil"/>
              <w:left w:val="nil"/>
              <w:bottom w:val="single" w:sz="8" w:space="0" w:color="auto"/>
              <w:right w:val="single" w:sz="8" w:space="0" w:color="auto"/>
            </w:tcBorders>
            <w:shd w:val="clear" w:color="auto" w:fill="auto"/>
            <w:noWrap/>
            <w:vAlign w:val="center"/>
            <w:hideMark/>
          </w:tcPr>
          <w:p w14:paraId="4A1353C2"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7%</w:t>
            </w:r>
          </w:p>
        </w:tc>
      </w:tr>
      <w:tr w:rsidR="0077719C" w:rsidRPr="0077719C" w14:paraId="2CF44052" w14:textId="77777777" w:rsidTr="00AA2D4D">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0F725DB6"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none</w:t>
            </w:r>
          </w:p>
        </w:tc>
        <w:tc>
          <w:tcPr>
            <w:tcW w:w="480" w:type="dxa"/>
            <w:tcBorders>
              <w:top w:val="nil"/>
              <w:left w:val="nil"/>
              <w:bottom w:val="single" w:sz="8" w:space="0" w:color="auto"/>
              <w:right w:val="single" w:sz="8" w:space="0" w:color="auto"/>
            </w:tcBorders>
            <w:shd w:val="clear" w:color="auto" w:fill="auto"/>
            <w:noWrap/>
            <w:vAlign w:val="center"/>
            <w:hideMark/>
          </w:tcPr>
          <w:p w14:paraId="3181B8C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16</w:t>
            </w:r>
          </w:p>
        </w:tc>
        <w:tc>
          <w:tcPr>
            <w:tcW w:w="420" w:type="dxa"/>
            <w:tcBorders>
              <w:top w:val="nil"/>
              <w:left w:val="nil"/>
              <w:bottom w:val="single" w:sz="8" w:space="0" w:color="auto"/>
              <w:right w:val="single" w:sz="8" w:space="0" w:color="auto"/>
            </w:tcBorders>
            <w:shd w:val="clear" w:color="auto" w:fill="auto"/>
            <w:noWrap/>
            <w:vAlign w:val="center"/>
            <w:hideMark/>
          </w:tcPr>
          <w:p w14:paraId="589A83D5"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13%</w:t>
            </w:r>
          </w:p>
        </w:tc>
        <w:tc>
          <w:tcPr>
            <w:tcW w:w="620" w:type="dxa"/>
            <w:tcBorders>
              <w:top w:val="nil"/>
              <w:left w:val="nil"/>
              <w:bottom w:val="single" w:sz="8" w:space="0" w:color="auto"/>
              <w:right w:val="single" w:sz="8" w:space="0" w:color="auto"/>
            </w:tcBorders>
            <w:shd w:val="clear" w:color="auto" w:fill="auto"/>
            <w:noWrap/>
            <w:vAlign w:val="center"/>
            <w:hideMark/>
          </w:tcPr>
          <w:p w14:paraId="3AC05E8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10</w:t>
            </w:r>
          </w:p>
        </w:tc>
        <w:tc>
          <w:tcPr>
            <w:tcW w:w="400" w:type="dxa"/>
            <w:tcBorders>
              <w:top w:val="nil"/>
              <w:left w:val="nil"/>
              <w:bottom w:val="single" w:sz="8" w:space="0" w:color="auto"/>
              <w:right w:val="single" w:sz="8" w:space="0" w:color="auto"/>
            </w:tcBorders>
            <w:shd w:val="clear" w:color="auto" w:fill="auto"/>
            <w:noWrap/>
            <w:vAlign w:val="center"/>
            <w:hideMark/>
          </w:tcPr>
          <w:p w14:paraId="00F7BE03"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11%</w:t>
            </w:r>
          </w:p>
        </w:tc>
        <w:tc>
          <w:tcPr>
            <w:tcW w:w="720" w:type="dxa"/>
            <w:tcBorders>
              <w:top w:val="nil"/>
              <w:left w:val="nil"/>
              <w:bottom w:val="single" w:sz="8" w:space="0" w:color="auto"/>
              <w:right w:val="single" w:sz="8" w:space="0" w:color="auto"/>
            </w:tcBorders>
            <w:shd w:val="clear" w:color="auto" w:fill="auto"/>
            <w:noWrap/>
            <w:vAlign w:val="center"/>
            <w:hideMark/>
          </w:tcPr>
          <w:p w14:paraId="3B411F7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6</w:t>
            </w:r>
          </w:p>
        </w:tc>
        <w:tc>
          <w:tcPr>
            <w:tcW w:w="420" w:type="dxa"/>
            <w:tcBorders>
              <w:top w:val="nil"/>
              <w:left w:val="nil"/>
              <w:bottom w:val="single" w:sz="8" w:space="0" w:color="auto"/>
              <w:right w:val="single" w:sz="8" w:space="0" w:color="auto"/>
            </w:tcBorders>
            <w:shd w:val="clear" w:color="auto" w:fill="auto"/>
            <w:noWrap/>
            <w:vAlign w:val="center"/>
            <w:hideMark/>
          </w:tcPr>
          <w:p w14:paraId="4C607EFB"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21%</w:t>
            </w:r>
          </w:p>
        </w:tc>
      </w:tr>
      <w:tr w:rsidR="0077719C" w:rsidRPr="0077719C" w14:paraId="44BC8815" w14:textId="77777777" w:rsidTr="00AA2D4D">
        <w:trPr>
          <w:trHeight w:val="340"/>
        </w:trPr>
        <w:tc>
          <w:tcPr>
            <w:tcW w:w="1300" w:type="dxa"/>
            <w:tcBorders>
              <w:top w:val="nil"/>
              <w:left w:val="single" w:sz="8" w:space="0" w:color="auto"/>
              <w:bottom w:val="single" w:sz="8" w:space="0" w:color="auto"/>
              <w:right w:val="single" w:sz="8" w:space="0" w:color="auto"/>
            </w:tcBorders>
            <w:shd w:val="clear" w:color="auto" w:fill="auto"/>
            <w:vAlign w:val="center"/>
            <w:hideMark/>
          </w:tcPr>
          <w:p w14:paraId="31545B2A" w14:textId="77777777" w:rsidR="0077719C" w:rsidRPr="008B0226" w:rsidRDefault="0077719C" w:rsidP="0077719C">
            <w:pPr>
              <w:rPr>
                <w:rFonts w:ascii="Cambria" w:hAnsi="Cambria" w:cs="Calibri"/>
                <w:color w:val="000000"/>
                <w:sz w:val="20"/>
                <w:szCs w:val="20"/>
              </w:rPr>
            </w:pPr>
            <w:r w:rsidRPr="008B0226">
              <w:rPr>
                <w:rFonts w:ascii="Cambria" w:hAnsi="Cambria" w:cs="Calibri"/>
                <w:color w:val="000000"/>
                <w:sz w:val="20"/>
                <w:szCs w:val="20"/>
              </w:rPr>
              <w:t>student services office</w:t>
            </w:r>
          </w:p>
        </w:tc>
        <w:tc>
          <w:tcPr>
            <w:tcW w:w="480" w:type="dxa"/>
            <w:tcBorders>
              <w:top w:val="nil"/>
              <w:left w:val="nil"/>
              <w:bottom w:val="single" w:sz="8" w:space="0" w:color="auto"/>
              <w:right w:val="single" w:sz="8" w:space="0" w:color="auto"/>
            </w:tcBorders>
            <w:shd w:val="clear" w:color="auto" w:fill="auto"/>
            <w:noWrap/>
            <w:vAlign w:val="center"/>
            <w:hideMark/>
          </w:tcPr>
          <w:p w14:paraId="0C3A17C7"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20" w:type="dxa"/>
            <w:tcBorders>
              <w:top w:val="nil"/>
              <w:left w:val="nil"/>
              <w:bottom w:val="single" w:sz="8" w:space="0" w:color="auto"/>
              <w:right w:val="single" w:sz="8" w:space="0" w:color="auto"/>
            </w:tcBorders>
            <w:shd w:val="clear" w:color="auto" w:fill="auto"/>
            <w:noWrap/>
            <w:vAlign w:val="center"/>
            <w:hideMark/>
          </w:tcPr>
          <w:p w14:paraId="2BAEE5A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620" w:type="dxa"/>
            <w:tcBorders>
              <w:top w:val="nil"/>
              <w:left w:val="nil"/>
              <w:bottom w:val="single" w:sz="8" w:space="0" w:color="auto"/>
              <w:right w:val="single" w:sz="8" w:space="0" w:color="auto"/>
            </w:tcBorders>
            <w:shd w:val="clear" w:color="auto" w:fill="auto"/>
            <w:noWrap/>
            <w:vAlign w:val="center"/>
            <w:hideMark/>
          </w:tcPr>
          <w:p w14:paraId="6FAC8ED4"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400" w:type="dxa"/>
            <w:tcBorders>
              <w:top w:val="nil"/>
              <w:left w:val="nil"/>
              <w:bottom w:val="single" w:sz="8" w:space="0" w:color="auto"/>
              <w:right w:val="single" w:sz="8" w:space="0" w:color="auto"/>
            </w:tcBorders>
            <w:shd w:val="clear" w:color="auto" w:fill="auto"/>
            <w:noWrap/>
            <w:vAlign w:val="center"/>
            <w:hideMark/>
          </w:tcPr>
          <w:p w14:paraId="49F05B7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1%</w:t>
            </w:r>
          </w:p>
        </w:tc>
        <w:tc>
          <w:tcPr>
            <w:tcW w:w="720" w:type="dxa"/>
            <w:tcBorders>
              <w:top w:val="nil"/>
              <w:left w:val="nil"/>
              <w:bottom w:val="single" w:sz="8" w:space="0" w:color="auto"/>
              <w:right w:val="single" w:sz="8" w:space="0" w:color="auto"/>
            </w:tcBorders>
            <w:shd w:val="clear" w:color="auto" w:fill="auto"/>
            <w:noWrap/>
            <w:vAlign w:val="center"/>
            <w:hideMark/>
          </w:tcPr>
          <w:p w14:paraId="24F0E4C8"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c>
          <w:tcPr>
            <w:tcW w:w="420" w:type="dxa"/>
            <w:tcBorders>
              <w:top w:val="nil"/>
              <w:left w:val="nil"/>
              <w:bottom w:val="single" w:sz="8" w:space="0" w:color="auto"/>
              <w:right w:val="single" w:sz="8" w:space="0" w:color="auto"/>
            </w:tcBorders>
            <w:shd w:val="clear" w:color="auto" w:fill="auto"/>
            <w:noWrap/>
            <w:vAlign w:val="center"/>
            <w:hideMark/>
          </w:tcPr>
          <w:p w14:paraId="48858141" w14:textId="77777777" w:rsidR="0077719C" w:rsidRPr="008B0226" w:rsidRDefault="0077719C" w:rsidP="0077719C">
            <w:pPr>
              <w:jc w:val="right"/>
              <w:rPr>
                <w:rFonts w:ascii="Cambria" w:hAnsi="Cambria" w:cs="Calibri"/>
                <w:color w:val="000000"/>
                <w:sz w:val="20"/>
                <w:szCs w:val="20"/>
              </w:rPr>
            </w:pPr>
            <w:r w:rsidRPr="008B0226">
              <w:rPr>
                <w:rFonts w:ascii="Cambria" w:hAnsi="Cambria" w:cs="Calibri"/>
                <w:color w:val="000000"/>
                <w:sz w:val="20"/>
                <w:szCs w:val="20"/>
              </w:rPr>
              <w:t>0%</w:t>
            </w:r>
          </w:p>
        </w:tc>
      </w:tr>
    </w:tbl>
    <w:p w14:paraId="0A378018" w14:textId="77777777" w:rsidR="0077719C" w:rsidRDefault="0077719C" w:rsidP="00F84901">
      <w:pPr>
        <w:spacing w:line="480" w:lineRule="auto"/>
        <w:outlineLvl w:val="0"/>
        <w:rPr>
          <w:rFonts w:asciiTheme="minorHAnsi" w:hAnsiTheme="minorHAnsi"/>
        </w:rPr>
      </w:pPr>
    </w:p>
    <w:p w14:paraId="5BE53A1E" w14:textId="77777777" w:rsidR="006745D7" w:rsidRDefault="006745D7" w:rsidP="00F84901">
      <w:pPr>
        <w:spacing w:line="480" w:lineRule="auto"/>
        <w:outlineLvl w:val="0"/>
        <w:rPr>
          <w:rFonts w:asciiTheme="minorHAnsi" w:hAnsiTheme="minorHAnsi"/>
        </w:rPr>
      </w:pPr>
    </w:p>
    <w:p w14:paraId="03F37528" w14:textId="648F8EDF" w:rsidR="006745D7" w:rsidRPr="00A658B0" w:rsidRDefault="000A1A22" w:rsidP="00006B09">
      <w:pPr>
        <w:spacing w:line="480" w:lineRule="auto"/>
        <w:rPr>
          <w:rFonts w:asciiTheme="minorHAnsi" w:hAnsiTheme="minorHAnsi"/>
          <w:b/>
        </w:rPr>
      </w:pPr>
      <w:r w:rsidRPr="00A658B0">
        <w:rPr>
          <w:rFonts w:asciiTheme="minorHAnsi" w:hAnsiTheme="minorHAnsi"/>
          <w:b/>
        </w:rPr>
        <w:t>Figure 13</w:t>
      </w:r>
      <w:r w:rsidR="006745D7" w:rsidRPr="00A658B0">
        <w:rPr>
          <w:rFonts w:asciiTheme="minorHAnsi" w:hAnsiTheme="minorHAnsi"/>
          <w:b/>
        </w:rPr>
        <w:t xml:space="preserve">. </w:t>
      </w:r>
      <w:r w:rsidR="00A658B0">
        <w:rPr>
          <w:rFonts w:asciiTheme="minorHAnsi" w:hAnsiTheme="minorHAnsi"/>
          <w:b/>
        </w:rPr>
        <w:t xml:space="preserve"> </w:t>
      </w:r>
      <w:r w:rsidR="006745D7" w:rsidRPr="00A658B0">
        <w:rPr>
          <w:rFonts w:asciiTheme="minorHAnsi" w:hAnsiTheme="minorHAnsi"/>
          <w:b/>
        </w:rPr>
        <w:t>Group 2/Experimental 2017 Student Support Service Use: Totals</w:t>
      </w:r>
    </w:p>
    <w:p w14:paraId="671E36EE" w14:textId="26170968" w:rsidR="006745D7" w:rsidRPr="00B417BF" w:rsidRDefault="006745D7" w:rsidP="00006B09">
      <w:pPr>
        <w:spacing w:line="480" w:lineRule="auto"/>
        <w:outlineLvl w:val="0"/>
        <w:rPr>
          <w:rFonts w:asciiTheme="minorHAnsi" w:hAnsiTheme="minorHAnsi"/>
        </w:rPr>
        <w:sectPr w:rsidR="006745D7" w:rsidRPr="00B417BF" w:rsidSect="00B30AD0">
          <w:pgSz w:w="12240" w:h="15840"/>
          <w:pgMar w:top="1440" w:right="1584" w:bottom="1440" w:left="2448" w:header="720" w:footer="720" w:gutter="0"/>
          <w:pgNumType w:start="1"/>
          <w:cols w:space="720"/>
          <w:docGrid w:linePitch="360"/>
        </w:sectPr>
      </w:pPr>
      <w:r>
        <w:rPr>
          <w:rFonts w:asciiTheme="minorHAnsi" w:hAnsiTheme="minorHAnsi"/>
        </w:rPr>
        <w:t>Percentage of Support Se</w:t>
      </w:r>
      <w:r w:rsidR="00006B09">
        <w:rPr>
          <w:rFonts w:asciiTheme="minorHAnsi" w:hAnsiTheme="minorHAnsi"/>
        </w:rPr>
        <w:t>rvice Usage for all respondents. MCBPs (&lt;80% exam grade) compared to total group and students with exam grade &gt;80%.</w:t>
      </w:r>
    </w:p>
    <w:p w14:paraId="29EFD76C" w14:textId="77777777" w:rsidR="00F84901" w:rsidRPr="00B417BF" w:rsidRDefault="00F84901" w:rsidP="00F84901">
      <w:pPr>
        <w:rPr>
          <w:rFonts w:asciiTheme="minorHAnsi" w:hAnsiTheme="minorHAnsi"/>
        </w:rPr>
      </w:pPr>
    </w:p>
    <w:tbl>
      <w:tblPr>
        <w:tblW w:w="7472" w:type="dxa"/>
        <w:tblInd w:w="93" w:type="dxa"/>
        <w:tblLook w:val="04A0" w:firstRow="1" w:lastRow="0" w:firstColumn="1" w:lastColumn="0" w:noHBand="0" w:noVBand="1"/>
      </w:tblPr>
      <w:tblGrid>
        <w:gridCol w:w="3100"/>
        <w:gridCol w:w="2612"/>
        <w:gridCol w:w="880"/>
        <w:gridCol w:w="880"/>
      </w:tblGrid>
      <w:tr w:rsidR="00F84901" w:rsidRPr="00B417BF" w14:paraId="7E358BCD" w14:textId="77777777" w:rsidTr="00DA4732">
        <w:trPr>
          <w:trHeight w:val="360"/>
        </w:trPr>
        <w:tc>
          <w:tcPr>
            <w:tcW w:w="3624" w:type="dxa"/>
            <w:tcBorders>
              <w:top w:val="single" w:sz="4" w:space="0" w:color="auto"/>
              <w:left w:val="single" w:sz="4" w:space="0" w:color="auto"/>
              <w:bottom w:val="single" w:sz="4" w:space="0" w:color="auto"/>
              <w:right w:val="nil"/>
            </w:tcBorders>
            <w:shd w:val="clear" w:color="auto" w:fill="auto"/>
            <w:vAlign w:val="bottom"/>
            <w:hideMark/>
          </w:tcPr>
          <w:p w14:paraId="71281FF3" w14:textId="77777777" w:rsidR="00F84901" w:rsidRPr="00B417BF" w:rsidRDefault="00F84901" w:rsidP="00DA4732">
            <w:pPr>
              <w:rPr>
                <w:rFonts w:asciiTheme="minorHAnsi" w:hAnsiTheme="minorHAnsi"/>
                <w:b/>
                <w:bCs/>
                <w:color w:val="000000"/>
                <w:sz w:val="28"/>
                <w:szCs w:val="28"/>
              </w:rPr>
            </w:pPr>
            <w:r w:rsidRPr="00B417BF">
              <w:rPr>
                <w:rFonts w:asciiTheme="minorHAnsi" w:hAnsiTheme="minorHAnsi"/>
                <w:b/>
                <w:bCs/>
                <w:color w:val="000000"/>
                <w:sz w:val="28"/>
                <w:szCs w:val="28"/>
              </w:rPr>
              <w:t>Question</w:t>
            </w:r>
          </w:p>
        </w:tc>
        <w:tc>
          <w:tcPr>
            <w:tcW w:w="2728" w:type="dxa"/>
            <w:tcBorders>
              <w:top w:val="single" w:sz="4" w:space="0" w:color="auto"/>
              <w:left w:val="nil"/>
              <w:bottom w:val="single" w:sz="4" w:space="0" w:color="auto"/>
              <w:right w:val="nil"/>
            </w:tcBorders>
            <w:shd w:val="clear" w:color="auto" w:fill="auto"/>
            <w:vAlign w:val="bottom"/>
            <w:hideMark/>
          </w:tcPr>
          <w:p w14:paraId="2B5EA5B0" w14:textId="77777777" w:rsidR="00F84901" w:rsidRPr="00B417BF" w:rsidRDefault="00F84901" w:rsidP="00DA4732">
            <w:pPr>
              <w:rPr>
                <w:rFonts w:asciiTheme="minorHAnsi" w:hAnsiTheme="minorHAnsi"/>
                <w:b/>
                <w:bCs/>
                <w:color w:val="000000"/>
                <w:sz w:val="28"/>
                <w:szCs w:val="28"/>
              </w:rPr>
            </w:pPr>
            <w:r w:rsidRPr="00B417BF">
              <w:rPr>
                <w:rFonts w:asciiTheme="minorHAnsi" w:hAnsiTheme="minorHAnsi"/>
                <w:b/>
                <w:bCs/>
                <w:color w:val="000000"/>
                <w:sz w:val="28"/>
                <w:szCs w:val="28"/>
              </w:rPr>
              <w:t>Themes</w:t>
            </w:r>
          </w:p>
        </w:tc>
        <w:tc>
          <w:tcPr>
            <w:tcW w:w="880" w:type="dxa"/>
            <w:tcBorders>
              <w:top w:val="single" w:sz="4" w:space="0" w:color="auto"/>
              <w:left w:val="nil"/>
              <w:bottom w:val="single" w:sz="4" w:space="0" w:color="auto"/>
              <w:right w:val="nil"/>
            </w:tcBorders>
            <w:shd w:val="clear" w:color="auto" w:fill="auto"/>
            <w:vAlign w:val="bottom"/>
            <w:hideMark/>
          </w:tcPr>
          <w:p w14:paraId="690726E1" w14:textId="77777777" w:rsidR="00F84901" w:rsidRPr="00B417BF" w:rsidRDefault="00F84901" w:rsidP="00DA4732">
            <w:pPr>
              <w:jc w:val="right"/>
              <w:rPr>
                <w:rFonts w:asciiTheme="minorHAnsi" w:hAnsiTheme="minorHAnsi"/>
                <w:b/>
                <w:bCs/>
                <w:color w:val="000000"/>
                <w:sz w:val="28"/>
                <w:szCs w:val="28"/>
              </w:rPr>
            </w:pPr>
            <w:r w:rsidRPr="00B417BF">
              <w:rPr>
                <w:rFonts w:asciiTheme="minorHAnsi" w:hAnsiTheme="minorHAnsi"/>
                <w:b/>
                <w:bCs/>
                <w:color w:val="000000"/>
                <w:sz w:val="28"/>
                <w:szCs w:val="28"/>
              </w:rPr>
              <w:t>2016</w:t>
            </w:r>
          </w:p>
        </w:tc>
        <w:tc>
          <w:tcPr>
            <w:tcW w:w="240" w:type="dxa"/>
            <w:tcBorders>
              <w:top w:val="single" w:sz="4" w:space="0" w:color="auto"/>
              <w:left w:val="nil"/>
              <w:bottom w:val="single" w:sz="4" w:space="0" w:color="auto"/>
              <w:right w:val="single" w:sz="4" w:space="0" w:color="auto"/>
            </w:tcBorders>
            <w:shd w:val="clear" w:color="auto" w:fill="auto"/>
            <w:vAlign w:val="bottom"/>
            <w:hideMark/>
          </w:tcPr>
          <w:p w14:paraId="526B6CB0" w14:textId="77777777" w:rsidR="00F84901" w:rsidRPr="00B417BF" w:rsidRDefault="00F84901" w:rsidP="00DA4732">
            <w:pPr>
              <w:jc w:val="right"/>
              <w:rPr>
                <w:rFonts w:asciiTheme="minorHAnsi" w:hAnsiTheme="minorHAnsi"/>
                <w:b/>
                <w:bCs/>
                <w:color w:val="000000"/>
                <w:sz w:val="28"/>
                <w:szCs w:val="28"/>
              </w:rPr>
            </w:pPr>
            <w:r w:rsidRPr="00B417BF">
              <w:rPr>
                <w:rFonts w:asciiTheme="minorHAnsi" w:hAnsiTheme="minorHAnsi"/>
                <w:b/>
                <w:bCs/>
                <w:color w:val="000000"/>
                <w:sz w:val="28"/>
                <w:szCs w:val="28"/>
              </w:rPr>
              <w:t>2017</w:t>
            </w:r>
          </w:p>
        </w:tc>
      </w:tr>
      <w:tr w:rsidR="00F84901" w:rsidRPr="00B417BF" w14:paraId="310AF8BB" w14:textId="77777777" w:rsidTr="00DA4732">
        <w:trPr>
          <w:trHeight w:val="500"/>
        </w:trPr>
        <w:tc>
          <w:tcPr>
            <w:tcW w:w="3624" w:type="dxa"/>
            <w:tcBorders>
              <w:top w:val="nil"/>
              <w:left w:val="single" w:sz="4" w:space="0" w:color="auto"/>
              <w:bottom w:val="nil"/>
              <w:right w:val="nil"/>
            </w:tcBorders>
            <w:shd w:val="clear" w:color="auto" w:fill="auto"/>
            <w:vAlign w:val="bottom"/>
            <w:hideMark/>
          </w:tcPr>
          <w:p w14:paraId="67413EF1"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xml:space="preserve">What were positive aspects of the </w:t>
            </w:r>
            <w:r>
              <w:rPr>
                <w:rFonts w:asciiTheme="minorHAnsi" w:hAnsiTheme="minorHAnsi" w:cs="Arial"/>
                <w:b/>
                <w:bCs/>
                <w:color w:val="000000"/>
                <w:sz w:val="20"/>
                <w:szCs w:val="20"/>
              </w:rPr>
              <w:t>Clinical Anatomy</w:t>
            </w:r>
            <w:r w:rsidRPr="00B417BF">
              <w:rPr>
                <w:rFonts w:asciiTheme="minorHAnsi" w:hAnsiTheme="minorHAnsi" w:cs="Arial"/>
                <w:b/>
                <w:bCs/>
                <w:color w:val="000000"/>
                <w:sz w:val="20"/>
                <w:szCs w:val="20"/>
              </w:rPr>
              <w:t xml:space="preserve"> course?</w:t>
            </w:r>
          </w:p>
        </w:tc>
        <w:tc>
          <w:tcPr>
            <w:tcW w:w="2728" w:type="dxa"/>
            <w:tcBorders>
              <w:top w:val="nil"/>
              <w:left w:val="nil"/>
              <w:bottom w:val="nil"/>
              <w:right w:val="nil"/>
            </w:tcBorders>
            <w:shd w:val="clear" w:color="auto" w:fill="auto"/>
            <w:vAlign w:val="bottom"/>
            <w:hideMark/>
          </w:tcPr>
          <w:p w14:paraId="4D188CF9" w14:textId="77777777" w:rsidR="00F84901" w:rsidRPr="00B417BF" w:rsidRDefault="00F84901" w:rsidP="00DA4732">
            <w:pPr>
              <w:rPr>
                <w:rFonts w:asciiTheme="minorHAnsi" w:hAnsiTheme="minorHAnsi"/>
                <w:color w:val="000000"/>
                <w:sz w:val="20"/>
                <w:szCs w:val="20"/>
              </w:rPr>
            </w:pPr>
          </w:p>
        </w:tc>
        <w:tc>
          <w:tcPr>
            <w:tcW w:w="880" w:type="dxa"/>
            <w:tcBorders>
              <w:top w:val="nil"/>
              <w:left w:val="nil"/>
              <w:bottom w:val="nil"/>
              <w:right w:val="nil"/>
            </w:tcBorders>
            <w:shd w:val="clear" w:color="auto" w:fill="auto"/>
            <w:vAlign w:val="bottom"/>
            <w:hideMark/>
          </w:tcPr>
          <w:p w14:paraId="41E51C1A" w14:textId="77777777" w:rsidR="00F84901" w:rsidRPr="00B417BF" w:rsidRDefault="00F84901" w:rsidP="00DA4732">
            <w:pPr>
              <w:rPr>
                <w:rFonts w:asciiTheme="minorHAnsi" w:hAnsiTheme="minorHAnsi"/>
                <w:color w:val="000000"/>
                <w:sz w:val="20"/>
                <w:szCs w:val="20"/>
              </w:rPr>
            </w:pPr>
          </w:p>
        </w:tc>
        <w:tc>
          <w:tcPr>
            <w:tcW w:w="240" w:type="dxa"/>
            <w:tcBorders>
              <w:top w:val="nil"/>
              <w:left w:val="nil"/>
              <w:bottom w:val="nil"/>
              <w:right w:val="single" w:sz="4" w:space="0" w:color="auto"/>
            </w:tcBorders>
            <w:shd w:val="clear" w:color="auto" w:fill="auto"/>
            <w:vAlign w:val="bottom"/>
            <w:hideMark/>
          </w:tcPr>
          <w:p w14:paraId="0D73DDA7"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 </w:t>
            </w:r>
          </w:p>
        </w:tc>
      </w:tr>
      <w:tr w:rsidR="00F84901" w:rsidRPr="00B417BF" w14:paraId="137CB644"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CF4E618"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2A2BD720"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Teaching assistants</w:t>
            </w:r>
          </w:p>
        </w:tc>
        <w:tc>
          <w:tcPr>
            <w:tcW w:w="880" w:type="dxa"/>
            <w:tcBorders>
              <w:top w:val="nil"/>
              <w:left w:val="nil"/>
              <w:bottom w:val="nil"/>
              <w:right w:val="nil"/>
            </w:tcBorders>
            <w:shd w:val="clear" w:color="auto" w:fill="auto"/>
            <w:vAlign w:val="bottom"/>
            <w:hideMark/>
          </w:tcPr>
          <w:p w14:paraId="6EE8A72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10</w:t>
            </w:r>
          </w:p>
        </w:tc>
        <w:tc>
          <w:tcPr>
            <w:tcW w:w="240" w:type="dxa"/>
            <w:tcBorders>
              <w:top w:val="nil"/>
              <w:left w:val="nil"/>
              <w:bottom w:val="nil"/>
              <w:right w:val="single" w:sz="4" w:space="0" w:color="auto"/>
            </w:tcBorders>
            <w:shd w:val="clear" w:color="auto" w:fill="auto"/>
            <w:vAlign w:val="bottom"/>
            <w:hideMark/>
          </w:tcPr>
          <w:p w14:paraId="6E60D29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7CDB3786"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32691177"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03CFD601"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professors' knowledge</w:t>
            </w:r>
          </w:p>
        </w:tc>
        <w:tc>
          <w:tcPr>
            <w:tcW w:w="880" w:type="dxa"/>
            <w:tcBorders>
              <w:top w:val="nil"/>
              <w:left w:val="nil"/>
              <w:bottom w:val="nil"/>
              <w:right w:val="nil"/>
            </w:tcBorders>
            <w:shd w:val="clear" w:color="auto" w:fill="auto"/>
            <w:vAlign w:val="bottom"/>
            <w:hideMark/>
          </w:tcPr>
          <w:p w14:paraId="57519AA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c>
          <w:tcPr>
            <w:tcW w:w="240" w:type="dxa"/>
            <w:tcBorders>
              <w:top w:val="nil"/>
              <w:left w:val="nil"/>
              <w:bottom w:val="nil"/>
              <w:right w:val="single" w:sz="4" w:space="0" w:color="auto"/>
            </w:tcBorders>
            <w:shd w:val="clear" w:color="auto" w:fill="auto"/>
            <w:vAlign w:val="bottom"/>
            <w:hideMark/>
          </w:tcPr>
          <w:p w14:paraId="70A81FDC"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3BF599E8"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0EE1295"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484B9E31"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cadaver lab use</w:t>
            </w:r>
          </w:p>
        </w:tc>
        <w:tc>
          <w:tcPr>
            <w:tcW w:w="880" w:type="dxa"/>
            <w:tcBorders>
              <w:top w:val="nil"/>
              <w:left w:val="nil"/>
              <w:bottom w:val="nil"/>
              <w:right w:val="nil"/>
            </w:tcBorders>
            <w:shd w:val="clear" w:color="auto" w:fill="auto"/>
            <w:vAlign w:val="bottom"/>
            <w:hideMark/>
          </w:tcPr>
          <w:p w14:paraId="1800A342"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7</w:t>
            </w:r>
          </w:p>
        </w:tc>
        <w:tc>
          <w:tcPr>
            <w:tcW w:w="240" w:type="dxa"/>
            <w:tcBorders>
              <w:top w:val="nil"/>
              <w:left w:val="nil"/>
              <w:bottom w:val="nil"/>
              <w:right w:val="single" w:sz="4" w:space="0" w:color="auto"/>
            </w:tcBorders>
            <w:shd w:val="clear" w:color="auto" w:fill="auto"/>
            <w:vAlign w:val="bottom"/>
            <w:hideMark/>
          </w:tcPr>
          <w:p w14:paraId="6B83D7AB"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6</w:t>
            </w:r>
          </w:p>
        </w:tc>
      </w:tr>
      <w:tr w:rsidR="00F84901" w:rsidRPr="00B417BF" w14:paraId="1F4D9C18"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581E2A94"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18544CAE"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slides/lecture materials</w:t>
            </w:r>
          </w:p>
        </w:tc>
        <w:tc>
          <w:tcPr>
            <w:tcW w:w="880" w:type="dxa"/>
            <w:tcBorders>
              <w:top w:val="nil"/>
              <w:left w:val="nil"/>
              <w:bottom w:val="nil"/>
              <w:right w:val="nil"/>
            </w:tcBorders>
            <w:shd w:val="clear" w:color="auto" w:fill="auto"/>
            <w:vAlign w:val="bottom"/>
            <w:hideMark/>
          </w:tcPr>
          <w:p w14:paraId="750E6BA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4545BC17"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r>
      <w:tr w:rsidR="00F84901" w:rsidRPr="00B417BF" w14:paraId="1AFE9452"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7F6A011B"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20B97873"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help succeeding</w:t>
            </w:r>
          </w:p>
        </w:tc>
        <w:tc>
          <w:tcPr>
            <w:tcW w:w="880" w:type="dxa"/>
            <w:tcBorders>
              <w:top w:val="nil"/>
              <w:left w:val="nil"/>
              <w:bottom w:val="nil"/>
              <w:right w:val="nil"/>
            </w:tcBorders>
            <w:shd w:val="clear" w:color="auto" w:fill="auto"/>
            <w:vAlign w:val="bottom"/>
            <w:hideMark/>
          </w:tcPr>
          <w:p w14:paraId="064E8F3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0ED84C94"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r>
      <w:tr w:rsidR="00F84901" w:rsidRPr="00B417BF" w14:paraId="381BEE96"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338CDD5D"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3E150EE1"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supplemental resources</w:t>
            </w:r>
          </w:p>
        </w:tc>
        <w:tc>
          <w:tcPr>
            <w:tcW w:w="880" w:type="dxa"/>
            <w:tcBorders>
              <w:top w:val="nil"/>
              <w:left w:val="nil"/>
              <w:bottom w:val="nil"/>
              <w:right w:val="nil"/>
            </w:tcBorders>
            <w:shd w:val="clear" w:color="auto" w:fill="auto"/>
            <w:vAlign w:val="bottom"/>
            <w:hideMark/>
          </w:tcPr>
          <w:p w14:paraId="48E89C4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hideMark/>
          </w:tcPr>
          <w:p w14:paraId="1EBF9DF8"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r>
      <w:tr w:rsidR="00F84901" w:rsidRPr="00B417BF" w14:paraId="5880791A"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229CD2E0"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7552A1CE"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caring faculty</w:t>
            </w:r>
          </w:p>
        </w:tc>
        <w:tc>
          <w:tcPr>
            <w:tcW w:w="880" w:type="dxa"/>
            <w:tcBorders>
              <w:top w:val="nil"/>
              <w:left w:val="nil"/>
              <w:bottom w:val="nil"/>
              <w:right w:val="nil"/>
            </w:tcBorders>
            <w:shd w:val="clear" w:color="auto" w:fill="auto"/>
            <w:vAlign w:val="bottom"/>
            <w:hideMark/>
          </w:tcPr>
          <w:p w14:paraId="7E165225"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395A4E74"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4692A970"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53B2C6CA"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0C812640"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accessible faculty</w:t>
            </w:r>
          </w:p>
        </w:tc>
        <w:tc>
          <w:tcPr>
            <w:tcW w:w="880" w:type="dxa"/>
            <w:tcBorders>
              <w:top w:val="nil"/>
              <w:left w:val="nil"/>
              <w:bottom w:val="nil"/>
              <w:right w:val="nil"/>
            </w:tcBorders>
            <w:shd w:val="clear" w:color="auto" w:fill="auto"/>
            <w:vAlign w:val="bottom"/>
            <w:hideMark/>
          </w:tcPr>
          <w:p w14:paraId="51A52A2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48502B1C"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r>
      <w:tr w:rsidR="00F84901" w:rsidRPr="00B417BF" w14:paraId="7760FDBE"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037B067B"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How did these things help your learning?</w:t>
            </w:r>
          </w:p>
        </w:tc>
        <w:tc>
          <w:tcPr>
            <w:tcW w:w="2728" w:type="dxa"/>
            <w:tcBorders>
              <w:top w:val="nil"/>
              <w:left w:val="nil"/>
              <w:bottom w:val="nil"/>
              <w:right w:val="nil"/>
            </w:tcBorders>
            <w:shd w:val="clear" w:color="auto" w:fill="auto"/>
            <w:vAlign w:val="bottom"/>
            <w:hideMark/>
          </w:tcPr>
          <w:p w14:paraId="21B45987" w14:textId="77777777" w:rsidR="00F84901" w:rsidRPr="00B417BF" w:rsidRDefault="00F84901" w:rsidP="00DA4732">
            <w:pPr>
              <w:rPr>
                <w:rFonts w:asciiTheme="minorHAnsi" w:hAnsiTheme="minorHAnsi"/>
                <w:color w:val="000000"/>
                <w:sz w:val="20"/>
                <w:szCs w:val="20"/>
              </w:rPr>
            </w:pPr>
          </w:p>
        </w:tc>
        <w:tc>
          <w:tcPr>
            <w:tcW w:w="880" w:type="dxa"/>
            <w:tcBorders>
              <w:top w:val="nil"/>
              <w:left w:val="nil"/>
              <w:bottom w:val="nil"/>
              <w:right w:val="nil"/>
            </w:tcBorders>
            <w:shd w:val="clear" w:color="auto" w:fill="auto"/>
            <w:vAlign w:val="bottom"/>
            <w:hideMark/>
          </w:tcPr>
          <w:p w14:paraId="1EDB5667" w14:textId="77777777" w:rsidR="00F84901" w:rsidRPr="00B417BF" w:rsidRDefault="00F84901" w:rsidP="00DA4732">
            <w:pPr>
              <w:rPr>
                <w:rFonts w:asciiTheme="minorHAnsi" w:hAnsiTheme="minorHAnsi"/>
                <w:color w:val="000000"/>
                <w:sz w:val="20"/>
                <w:szCs w:val="20"/>
              </w:rPr>
            </w:pPr>
          </w:p>
        </w:tc>
        <w:tc>
          <w:tcPr>
            <w:tcW w:w="240" w:type="dxa"/>
            <w:tcBorders>
              <w:top w:val="nil"/>
              <w:left w:val="nil"/>
              <w:bottom w:val="nil"/>
              <w:right w:val="single" w:sz="4" w:space="0" w:color="auto"/>
            </w:tcBorders>
            <w:shd w:val="clear" w:color="auto" w:fill="auto"/>
            <w:vAlign w:val="bottom"/>
            <w:hideMark/>
          </w:tcPr>
          <w:p w14:paraId="5F8E7666"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 </w:t>
            </w:r>
          </w:p>
        </w:tc>
      </w:tr>
      <w:tr w:rsidR="00F84901" w:rsidRPr="00B417BF" w14:paraId="7EB0FAEF"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5EF3684B"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3AF4F244" w14:textId="77777777" w:rsidR="00F84901" w:rsidRPr="00B417BF" w:rsidRDefault="00F84901" w:rsidP="00DA4732">
            <w:pPr>
              <w:spacing w:line="276" w:lineRule="auto"/>
              <w:rPr>
                <w:rFonts w:asciiTheme="minorHAnsi" w:hAnsiTheme="minorHAnsi"/>
                <w:color w:val="000000"/>
                <w:sz w:val="20"/>
                <w:szCs w:val="20"/>
              </w:rPr>
            </w:pPr>
            <w:r w:rsidRPr="00B417BF">
              <w:rPr>
                <w:rFonts w:asciiTheme="minorHAnsi" w:hAnsiTheme="minorHAnsi"/>
                <w:color w:val="000000"/>
                <w:sz w:val="20"/>
                <w:szCs w:val="20"/>
              </w:rPr>
              <w:t>willingness/availability</w:t>
            </w:r>
          </w:p>
        </w:tc>
        <w:tc>
          <w:tcPr>
            <w:tcW w:w="880" w:type="dxa"/>
            <w:tcBorders>
              <w:top w:val="nil"/>
              <w:left w:val="nil"/>
              <w:bottom w:val="nil"/>
              <w:right w:val="nil"/>
            </w:tcBorders>
            <w:shd w:val="clear" w:color="auto" w:fill="auto"/>
            <w:vAlign w:val="bottom"/>
            <w:hideMark/>
          </w:tcPr>
          <w:p w14:paraId="61FEFF8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6</w:t>
            </w:r>
          </w:p>
        </w:tc>
        <w:tc>
          <w:tcPr>
            <w:tcW w:w="240" w:type="dxa"/>
            <w:tcBorders>
              <w:top w:val="nil"/>
              <w:left w:val="nil"/>
              <w:bottom w:val="nil"/>
              <w:right w:val="single" w:sz="4" w:space="0" w:color="auto"/>
            </w:tcBorders>
            <w:shd w:val="clear" w:color="auto" w:fill="auto"/>
            <w:vAlign w:val="bottom"/>
            <w:hideMark/>
          </w:tcPr>
          <w:p w14:paraId="0E9ED72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r>
      <w:tr w:rsidR="00F84901" w:rsidRPr="00B417BF" w14:paraId="371DBDB5" w14:textId="77777777" w:rsidTr="00DA4732">
        <w:trPr>
          <w:trHeight w:val="300"/>
        </w:trPr>
        <w:tc>
          <w:tcPr>
            <w:tcW w:w="3624" w:type="dxa"/>
            <w:tcBorders>
              <w:top w:val="nil"/>
              <w:left w:val="single" w:sz="4" w:space="0" w:color="auto"/>
              <w:bottom w:val="nil"/>
              <w:right w:val="nil"/>
            </w:tcBorders>
            <w:shd w:val="clear" w:color="auto" w:fill="auto"/>
            <w:vAlign w:val="bottom"/>
          </w:tcPr>
          <w:p w14:paraId="6697A81F" w14:textId="77777777" w:rsidR="00F84901" w:rsidRPr="00B417BF" w:rsidRDefault="00F84901" w:rsidP="00DA4732">
            <w:pPr>
              <w:rPr>
                <w:rFonts w:asciiTheme="minorHAnsi" w:hAnsiTheme="minorHAnsi"/>
                <w:b/>
                <w:bCs/>
                <w:color w:val="000000"/>
                <w:sz w:val="20"/>
                <w:szCs w:val="20"/>
              </w:rPr>
            </w:pPr>
          </w:p>
        </w:tc>
        <w:tc>
          <w:tcPr>
            <w:tcW w:w="2728" w:type="dxa"/>
            <w:tcBorders>
              <w:top w:val="nil"/>
              <w:left w:val="nil"/>
              <w:bottom w:val="nil"/>
              <w:right w:val="nil"/>
            </w:tcBorders>
            <w:shd w:val="clear" w:color="auto" w:fill="auto"/>
            <w:vAlign w:val="bottom"/>
          </w:tcPr>
          <w:p w14:paraId="63198C7E"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positive environment/support</w:t>
            </w:r>
          </w:p>
        </w:tc>
        <w:tc>
          <w:tcPr>
            <w:tcW w:w="880" w:type="dxa"/>
            <w:tcBorders>
              <w:top w:val="nil"/>
              <w:left w:val="nil"/>
              <w:bottom w:val="nil"/>
              <w:right w:val="nil"/>
            </w:tcBorders>
            <w:shd w:val="clear" w:color="auto" w:fill="auto"/>
            <w:vAlign w:val="bottom"/>
          </w:tcPr>
          <w:p w14:paraId="662FB8C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6</w:t>
            </w:r>
          </w:p>
        </w:tc>
        <w:tc>
          <w:tcPr>
            <w:tcW w:w="240" w:type="dxa"/>
            <w:tcBorders>
              <w:top w:val="nil"/>
              <w:left w:val="nil"/>
              <w:bottom w:val="nil"/>
              <w:right w:val="single" w:sz="4" w:space="0" w:color="auto"/>
            </w:tcBorders>
            <w:shd w:val="clear" w:color="auto" w:fill="auto"/>
            <w:vAlign w:val="bottom"/>
          </w:tcPr>
          <w:p w14:paraId="4FD19A6A"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r>
      <w:tr w:rsidR="00F84901" w:rsidRPr="00B417BF" w14:paraId="43414D38"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B03A37F"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25A3F157"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improved understanding</w:t>
            </w:r>
          </w:p>
        </w:tc>
        <w:tc>
          <w:tcPr>
            <w:tcW w:w="880" w:type="dxa"/>
            <w:tcBorders>
              <w:top w:val="nil"/>
              <w:left w:val="nil"/>
              <w:bottom w:val="nil"/>
              <w:right w:val="nil"/>
            </w:tcBorders>
            <w:shd w:val="clear" w:color="auto" w:fill="auto"/>
            <w:vAlign w:val="bottom"/>
            <w:hideMark/>
          </w:tcPr>
          <w:p w14:paraId="1D6E64E8"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2F21EB01"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r>
      <w:tr w:rsidR="00F84901" w:rsidRPr="00B417BF" w14:paraId="2C448E9A"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3B3C3E9A"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113A6AF2"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approachable faculty</w:t>
            </w:r>
          </w:p>
        </w:tc>
        <w:tc>
          <w:tcPr>
            <w:tcW w:w="880" w:type="dxa"/>
            <w:tcBorders>
              <w:top w:val="nil"/>
              <w:left w:val="nil"/>
              <w:bottom w:val="nil"/>
              <w:right w:val="nil"/>
            </w:tcBorders>
            <w:shd w:val="clear" w:color="auto" w:fill="auto"/>
            <w:vAlign w:val="bottom"/>
            <w:hideMark/>
          </w:tcPr>
          <w:p w14:paraId="092586F5"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7FB70B97"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7FCFF06D"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5D1F6F67"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1A01AADF"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cadaver/lab experience</w:t>
            </w:r>
          </w:p>
        </w:tc>
        <w:tc>
          <w:tcPr>
            <w:tcW w:w="880" w:type="dxa"/>
            <w:tcBorders>
              <w:top w:val="nil"/>
              <w:left w:val="nil"/>
              <w:bottom w:val="nil"/>
              <w:right w:val="nil"/>
            </w:tcBorders>
            <w:shd w:val="clear" w:color="auto" w:fill="auto"/>
            <w:vAlign w:val="bottom"/>
            <w:hideMark/>
          </w:tcPr>
          <w:p w14:paraId="4D04E86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6</w:t>
            </w:r>
          </w:p>
        </w:tc>
        <w:tc>
          <w:tcPr>
            <w:tcW w:w="240" w:type="dxa"/>
            <w:tcBorders>
              <w:top w:val="nil"/>
              <w:left w:val="nil"/>
              <w:bottom w:val="nil"/>
              <w:right w:val="single" w:sz="4" w:space="0" w:color="auto"/>
            </w:tcBorders>
            <w:shd w:val="clear" w:color="auto" w:fill="auto"/>
            <w:vAlign w:val="bottom"/>
            <w:hideMark/>
          </w:tcPr>
          <w:p w14:paraId="50559F5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r>
      <w:tr w:rsidR="00F84901" w:rsidRPr="00B417BF" w14:paraId="0B3364EB"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67477B88"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3C5B0D03"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answered questions</w:t>
            </w:r>
          </w:p>
        </w:tc>
        <w:tc>
          <w:tcPr>
            <w:tcW w:w="880" w:type="dxa"/>
            <w:tcBorders>
              <w:top w:val="nil"/>
              <w:left w:val="nil"/>
              <w:bottom w:val="nil"/>
              <w:right w:val="nil"/>
            </w:tcBorders>
            <w:shd w:val="clear" w:color="auto" w:fill="auto"/>
            <w:vAlign w:val="bottom"/>
            <w:hideMark/>
          </w:tcPr>
          <w:p w14:paraId="0C0F088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c>
          <w:tcPr>
            <w:tcW w:w="240" w:type="dxa"/>
            <w:tcBorders>
              <w:top w:val="nil"/>
              <w:left w:val="nil"/>
              <w:bottom w:val="nil"/>
              <w:right w:val="single" w:sz="4" w:space="0" w:color="auto"/>
            </w:tcBorders>
            <w:shd w:val="clear" w:color="auto" w:fill="auto"/>
            <w:vAlign w:val="bottom"/>
            <w:hideMark/>
          </w:tcPr>
          <w:p w14:paraId="37C7E89B"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5227A02F"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4DB34058"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70B859EA"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class was scheduled well</w:t>
            </w:r>
          </w:p>
        </w:tc>
        <w:tc>
          <w:tcPr>
            <w:tcW w:w="880" w:type="dxa"/>
            <w:tcBorders>
              <w:top w:val="nil"/>
              <w:left w:val="nil"/>
              <w:bottom w:val="nil"/>
              <w:right w:val="nil"/>
            </w:tcBorders>
            <w:shd w:val="clear" w:color="auto" w:fill="auto"/>
            <w:vAlign w:val="bottom"/>
            <w:hideMark/>
          </w:tcPr>
          <w:p w14:paraId="6B5E6010"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1E9841F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43AED934"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553903CA"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075338A0"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supplemental resources</w:t>
            </w:r>
          </w:p>
        </w:tc>
        <w:tc>
          <w:tcPr>
            <w:tcW w:w="880" w:type="dxa"/>
            <w:tcBorders>
              <w:top w:val="nil"/>
              <w:left w:val="nil"/>
              <w:bottom w:val="nil"/>
              <w:right w:val="nil"/>
            </w:tcBorders>
            <w:shd w:val="clear" w:color="auto" w:fill="auto"/>
            <w:vAlign w:val="bottom"/>
            <w:hideMark/>
          </w:tcPr>
          <w:p w14:paraId="1EAFF63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5F867121"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6</w:t>
            </w:r>
          </w:p>
        </w:tc>
      </w:tr>
      <w:tr w:rsidR="00F84901" w:rsidRPr="00B417BF" w14:paraId="0B8DAFCE"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25CF6E0B"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21BD60C8"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facilitated deep learning</w:t>
            </w:r>
          </w:p>
        </w:tc>
        <w:tc>
          <w:tcPr>
            <w:tcW w:w="880" w:type="dxa"/>
            <w:tcBorders>
              <w:top w:val="nil"/>
              <w:left w:val="nil"/>
              <w:bottom w:val="nil"/>
              <w:right w:val="nil"/>
            </w:tcBorders>
            <w:shd w:val="clear" w:color="auto" w:fill="auto"/>
            <w:vAlign w:val="bottom"/>
            <w:hideMark/>
          </w:tcPr>
          <w:p w14:paraId="7936A8C0"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40F4D49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r>
      <w:tr w:rsidR="00F84901" w:rsidRPr="00B417BF" w14:paraId="250C32D3"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559E35B8"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317FC36A"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help from teaching assistants</w:t>
            </w:r>
          </w:p>
        </w:tc>
        <w:tc>
          <w:tcPr>
            <w:tcW w:w="880" w:type="dxa"/>
            <w:tcBorders>
              <w:top w:val="nil"/>
              <w:left w:val="nil"/>
              <w:bottom w:val="nil"/>
              <w:right w:val="nil"/>
            </w:tcBorders>
            <w:shd w:val="clear" w:color="auto" w:fill="auto"/>
            <w:vAlign w:val="bottom"/>
            <w:hideMark/>
          </w:tcPr>
          <w:p w14:paraId="0D787EB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62A31291"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75F8D8B9" w14:textId="77777777" w:rsidTr="00DA4732">
        <w:trPr>
          <w:trHeight w:val="300"/>
        </w:trPr>
        <w:tc>
          <w:tcPr>
            <w:tcW w:w="3624" w:type="dxa"/>
            <w:tcBorders>
              <w:top w:val="nil"/>
              <w:left w:val="single" w:sz="4" w:space="0" w:color="auto"/>
              <w:bottom w:val="nil"/>
              <w:right w:val="nil"/>
            </w:tcBorders>
            <w:shd w:val="clear" w:color="auto" w:fill="auto"/>
            <w:vAlign w:val="bottom"/>
          </w:tcPr>
          <w:p w14:paraId="60067C93" w14:textId="77777777" w:rsidR="00F84901" w:rsidRPr="00B417BF" w:rsidRDefault="00F84901" w:rsidP="00DA4732">
            <w:pPr>
              <w:rPr>
                <w:rFonts w:asciiTheme="minorHAnsi" w:hAnsiTheme="minorHAnsi"/>
                <w:b/>
                <w:bCs/>
                <w:color w:val="000000"/>
                <w:sz w:val="20"/>
                <w:szCs w:val="20"/>
              </w:rPr>
            </w:pPr>
          </w:p>
        </w:tc>
        <w:tc>
          <w:tcPr>
            <w:tcW w:w="2728" w:type="dxa"/>
            <w:tcBorders>
              <w:top w:val="nil"/>
              <w:left w:val="nil"/>
              <w:bottom w:val="nil"/>
              <w:right w:val="nil"/>
            </w:tcBorders>
            <w:shd w:val="clear" w:color="auto" w:fill="auto"/>
            <w:vAlign w:val="bottom"/>
          </w:tcPr>
          <w:p w14:paraId="73E60EE2"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understanding</w:t>
            </w:r>
          </w:p>
        </w:tc>
        <w:tc>
          <w:tcPr>
            <w:tcW w:w="880" w:type="dxa"/>
            <w:tcBorders>
              <w:top w:val="nil"/>
              <w:left w:val="nil"/>
              <w:bottom w:val="nil"/>
              <w:right w:val="nil"/>
            </w:tcBorders>
            <w:shd w:val="clear" w:color="auto" w:fill="auto"/>
            <w:vAlign w:val="bottom"/>
          </w:tcPr>
          <w:p w14:paraId="5BD5DB20"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c>
          <w:tcPr>
            <w:tcW w:w="240" w:type="dxa"/>
            <w:tcBorders>
              <w:top w:val="nil"/>
              <w:left w:val="nil"/>
              <w:bottom w:val="nil"/>
              <w:right w:val="single" w:sz="4" w:space="0" w:color="auto"/>
            </w:tcBorders>
            <w:shd w:val="clear" w:color="auto" w:fill="auto"/>
            <w:vAlign w:val="bottom"/>
          </w:tcPr>
          <w:p w14:paraId="3644518A"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r>
      <w:tr w:rsidR="00F84901" w:rsidRPr="00B417BF" w14:paraId="07AF7264"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669F16E2"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What aspects impeded your learning?</w:t>
            </w:r>
          </w:p>
        </w:tc>
        <w:tc>
          <w:tcPr>
            <w:tcW w:w="2728" w:type="dxa"/>
            <w:tcBorders>
              <w:top w:val="nil"/>
              <w:left w:val="nil"/>
              <w:bottom w:val="nil"/>
              <w:right w:val="nil"/>
            </w:tcBorders>
            <w:shd w:val="clear" w:color="auto" w:fill="auto"/>
            <w:vAlign w:val="bottom"/>
            <w:hideMark/>
          </w:tcPr>
          <w:p w14:paraId="003DC8AD" w14:textId="77777777" w:rsidR="00F84901" w:rsidRPr="00B417BF" w:rsidRDefault="00F84901" w:rsidP="00DA4732">
            <w:pPr>
              <w:rPr>
                <w:rFonts w:asciiTheme="minorHAnsi" w:hAnsiTheme="minorHAnsi"/>
                <w:color w:val="000000"/>
                <w:sz w:val="20"/>
                <w:szCs w:val="20"/>
              </w:rPr>
            </w:pPr>
          </w:p>
        </w:tc>
        <w:tc>
          <w:tcPr>
            <w:tcW w:w="880" w:type="dxa"/>
            <w:tcBorders>
              <w:top w:val="nil"/>
              <w:left w:val="nil"/>
              <w:bottom w:val="nil"/>
              <w:right w:val="nil"/>
            </w:tcBorders>
            <w:shd w:val="clear" w:color="auto" w:fill="auto"/>
            <w:vAlign w:val="bottom"/>
            <w:hideMark/>
          </w:tcPr>
          <w:p w14:paraId="5D484FE4" w14:textId="77777777" w:rsidR="00F84901" w:rsidRPr="00B417BF" w:rsidRDefault="00F84901" w:rsidP="00DA4732">
            <w:pPr>
              <w:rPr>
                <w:rFonts w:asciiTheme="minorHAnsi" w:hAnsiTheme="minorHAnsi"/>
                <w:color w:val="000000"/>
                <w:sz w:val="20"/>
                <w:szCs w:val="20"/>
              </w:rPr>
            </w:pPr>
          </w:p>
        </w:tc>
        <w:tc>
          <w:tcPr>
            <w:tcW w:w="240" w:type="dxa"/>
            <w:tcBorders>
              <w:top w:val="nil"/>
              <w:left w:val="nil"/>
              <w:bottom w:val="nil"/>
              <w:right w:val="single" w:sz="4" w:space="0" w:color="auto"/>
            </w:tcBorders>
            <w:shd w:val="clear" w:color="auto" w:fill="auto"/>
            <w:vAlign w:val="bottom"/>
            <w:hideMark/>
          </w:tcPr>
          <w:p w14:paraId="3A2DBCC4"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 </w:t>
            </w:r>
          </w:p>
        </w:tc>
      </w:tr>
      <w:tr w:rsidR="00F84901" w:rsidRPr="00B417BF" w14:paraId="2D91207C"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70C408DE"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2B9522BD"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problems with facilities</w:t>
            </w:r>
          </w:p>
        </w:tc>
        <w:tc>
          <w:tcPr>
            <w:tcW w:w="880" w:type="dxa"/>
            <w:tcBorders>
              <w:top w:val="nil"/>
              <w:left w:val="nil"/>
              <w:bottom w:val="nil"/>
              <w:right w:val="nil"/>
            </w:tcBorders>
            <w:shd w:val="clear" w:color="auto" w:fill="auto"/>
            <w:vAlign w:val="bottom"/>
            <w:hideMark/>
          </w:tcPr>
          <w:p w14:paraId="13626A54"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4195DECC"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59867A8F"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33980FDC"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6BA54A74"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different lecturers</w:t>
            </w:r>
          </w:p>
        </w:tc>
        <w:tc>
          <w:tcPr>
            <w:tcW w:w="880" w:type="dxa"/>
            <w:tcBorders>
              <w:top w:val="nil"/>
              <w:left w:val="nil"/>
              <w:bottom w:val="nil"/>
              <w:right w:val="nil"/>
            </w:tcBorders>
            <w:shd w:val="clear" w:color="auto" w:fill="auto"/>
            <w:vAlign w:val="bottom"/>
            <w:hideMark/>
          </w:tcPr>
          <w:p w14:paraId="3F2634A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hideMark/>
          </w:tcPr>
          <w:p w14:paraId="37BFF0D2"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r>
      <w:tr w:rsidR="00F84901" w:rsidRPr="00B417BF" w14:paraId="49884401"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1718AABA"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285A4ED4"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inconsistent/confusing information</w:t>
            </w:r>
          </w:p>
        </w:tc>
        <w:tc>
          <w:tcPr>
            <w:tcW w:w="880" w:type="dxa"/>
            <w:tcBorders>
              <w:top w:val="nil"/>
              <w:left w:val="nil"/>
              <w:bottom w:val="nil"/>
              <w:right w:val="nil"/>
            </w:tcBorders>
            <w:shd w:val="clear" w:color="auto" w:fill="auto"/>
            <w:hideMark/>
          </w:tcPr>
          <w:p w14:paraId="2B8EE9C4"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c>
          <w:tcPr>
            <w:tcW w:w="240" w:type="dxa"/>
            <w:tcBorders>
              <w:top w:val="nil"/>
              <w:left w:val="nil"/>
              <w:bottom w:val="nil"/>
              <w:right w:val="single" w:sz="4" w:space="0" w:color="auto"/>
            </w:tcBorders>
            <w:shd w:val="clear" w:color="auto" w:fill="auto"/>
            <w:hideMark/>
          </w:tcPr>
          <w:p w14:paraId="24AADA5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r>
      <w:tr w:rsidR="00F84901" w:rsidRPr="00B417BF" w14:paraId="25AF9F7F"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BA5BDDF"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7071CFE0"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amount of material in short time</w:t>
            </w:r>
          </w:p>
        </w:tc>
        <w:tc>
          <w:tcPr>
            <w:tcW w:w="880" w:type="dxa"/>
            <w:tcBorders>
              <w:top w:val="nil"/>
              <w:left w:val="nil"/>
              <w:bottom w:val="nil"/>
              <w:right w:val="nil"/>
            </w:tcBorders>
            <w:shd w:val="clear" w:color="auto" w:fill="auto"/>
            <w:hideMark/>
          </w:tcPr>
          <w:p w14:paraId="5940C99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6</w:t>
            </w:r>
          </w:p>
        </w:tc>
        <w:tc>
          <w:tcPr>
            <w:tcW w:w="240" w:type="dxa"/>
            <w:tcBorders>
              <w:top w:val="nil"/>
              <w:left w:val="nil"/>
              <w:bottom w:val="nil"/>
              <w:right w:val="single" w:sz="4" w:space="0" w:color="auto"/>
            </w:tcBorders>
            <w:shd w:val="clear" w:color="auto" w:fill="auto"/>
            <w:hideMark/>
          </w:tcPr>
          <w:p w14:paraId="2582CAE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r>
      <w:tr w:rsidR="00F84901" w:rsidRPr="00B417BF" w14:paraId="422DBBB4"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5D8683DB"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0C7D55A8"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lack of assistance</w:t>
            </w:r>
          </w:p>
        </w:tc>
        <w:tc>
          <w:tcPr>
            <w:tcW w:w="880" w:type="dxa"/>
            <w:tcBorders>
              <w:top w:val="nil"/>
              <w:left w:val="nil"/>
              <w:bottom w:val="nil"/>
              <w:right w:val="nil"/>
            </w:tcBorders>
            <w:shd w:val="clear" w:color="auto" w:fill="auto"/>
            <w:vAlign w:val="bottom"/>
            <w:hideMark/>
          </w:tcPr>
          <w:p w14:paraId="3F4BD37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5AFD4ADC"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4BD6B282"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6F86C3CD"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20128064"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group dynamics in lab</w:t>
            </w:r>
          </w:p>
        </w:tc>
        <w:tc>
          <w:tcPr>
            <w:tcW w:w="880" w:type="dxa"/>
            <w:tcBorders>
              <w:top w:val="nil"/>
              <w:left w:val="nil"/>
              <w:bottom w:val="nil"/>
              <w:right w:val="nil"/>
            </w:tcBorders>
            <w:shd w:val="clear" w:color="auto" w:fill="auto"/>
            <w:vAlign w:val="bottom"/>
            <w:hideMark/>
          </w:tcPr>
          <w:p w14:paraId="00D44BFB"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6B7392E1"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r>
      <w:tr w:rsidR="00F84901" w:rsidRPr="00B417BF" w14:paraId="0D810C97"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68AF27B"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1B851694"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lack of study skills</w:t>
            </w:r>
          </w:p>
        </w:tc>
        <w:tc>
          <w:tcPr>
            <w:tcW w:w="880" w:type="dxa"/>
            <w:tcBorders>
              <w:top w:val="nil"/>
              <w:left w:val="nil"/>
              <w:bottom w:val="nil"/>
              <w:right w:val="nil"/>
            </w:tcBorders>
            <w:shd w:val="clear" w:color="auto" w:fill="auto"/>
            <w:vAlign w:val="bottom"/>
            <w:hideMark/>
          </w:tcPr>
          <w:p w14:paraId="5BBFE097"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6B17DCD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714C9F79"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2ACCAB8A"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08DD86D5"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stress</w:t>
            </w:r>
          </w:p>
        </w:tc>
        <w:tc>
          <w:tcPr>
            <w:tcW w:w="880" w:type="dxa"/>
            <w:tcBorders>
              <w:top w:val="nil"/>
              <w:left w:val="nil"/>
              <w:bottom w:val="nil"/>
              <w:right w:val="nil"/>
            </w:tcBorders>
            <w:shd w:val="clear" w:color="auto" w:fill="auto"/>
            <w:vAlign w:val="bottom"/>
            <w:hideMark/>
          </w:tcPr>
          <w:p w14:paraId="358A479C"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14EA084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r>
      <w:tr w:rsidR="00F84901" w:rsidRPr="00B417BF" w14:paraId="6CCF6828"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238EE5B0"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3C0E46D0"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exam difficulty</w:t>
            </w:r>
          </w:p>
        </w:tc>
        <w:tc>
          <w:tcPr>
            <w:tcW w:w="880" w:type="dxa"/>
            <w:tcBorders>
              <w:top w:val="nil"/>
              <w:left w:val="nil"/>
              <w:bottom w:val="nil"/>
              <w:right w:val="nil"/>
            </w:tcBorders>
            <w:shd w:val="clear" w:color="auto" w:fill="auto"/>
            <w:vAlign w:val="bottom"/>
            <w:hideMark/>
          </w:tcPr>
          <w:p w14:paraId="0ABF640B"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6B6DC29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58C6AEB6"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6BDBBB0B"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67A38037"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needed outside resources</w:t>
            </w:r>
          </w:p>
        </w:tc>
        <w:tc>
          <w:tcPr>
            <w:tcW w:w="880" w:type="dxa"/>
            <w:tcBorders>
              <w:top w:val="nil"/>
              <w:left w:val="nil"/>
              <w:bottom w:val="nil"/>
              <w:right w:val="nil"/>
            </w:tcBorders>
            <w:shd w:val="clear" w:color="auto" w:fill="auto"/>
            <w:vAlign w:val="bottom"/>
            <w:hideMark/>
          </w:tcPr>
          <w:p w14:paraId="067ABB7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2D776767"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52FDF707" w14:textId="77777777" w:rsidTr="00DA4732">
        <w:trPr>
          <w:trHeight w:val="300"/>
        </w:trPr>
        <w:tc>
          <w:tcPr>
            <w:tcW w:w="3624" w:type="dxa"/>
            <w:tcBorders>
              <w:top w:val="nil"/>
              <w:left w:val="single" w:sz="4" w:space="0" w:color="auto"/>
              <w:bottom w:val="nil"/>
              <w:right w:val="nil"/>
            </w:tcBorders>
            <w:shd w:val="clear" w:color="auto" w:fill="auto"/>
            <w:vAlign w:val="bottom"/>
          </w:tcPr>
          <w:p w14:paraId="59296338" w14:textId="77777777" w:rsidR="00F84901" w:rsidRPr="00B417BF" w:rsidRDefault="00F84901" w:rsidP="00DA4732">
            <w:pPr>
              <w:rPr>
                <w:rFonts w:asciiTheme="minorHAnsi" w:hAnsiTheme="minorHAnsi"/>
                <w:b/>
                <w:bCs/>
                <w:color w:val="000000"/>
                <w:sz w:val="20"/>
                <w:szCs w:val="20"/>
              </w:rPr>
            </w:pPr>
          </w:p>
        </w:tc>
        <w:tc>
          <w:tcPr>
            <w:tcW w:w="2728" w:type="dxa"/>
            <w:tcBorders>
              <w:top w:val="nil"/>
              <w:left w:val="nil"/>
              <w:bottom w:val="nil"/>
              <w:right w:val="nil"/>
            </w:tcBorders>
            <w:shd w:val="clear" w:color="auto" w:fill="auto"/>
            <w:vAlign w:val="bottom"/>
          </w:tcPr>
          <w:p w14:paraId="23D032CA"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cognitive overload</w:t>
            </w:r>
          </w:p>
        </w:tc>
        <w:tc>
          <w:tcPr>
            <w:tcW w:w="880" w:type="dxa"/>
            <w:tcBorders>
              <w:top w:val="nil"/>
              <w:left w:val="nil"/>
              <w:bottom w:val="nil"/>
              <w:right w:val="nil"/>
            </w:tcBorders>
            <w:shd w:val="clear" w:color="auto" w:fill="auto"/>
            <w:vAlign w:val="bottom"/>
          </w:tcPr>
          <w:p w14:paraId="053921E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tcPr>
          <w:p w14:paraId="7BD5C546"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2025D91B"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73FAB742"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74555882"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none</w:t>
            </w:r>
          </w:p>
        </w:tc>
        <w:tc>
          <w:tcPr>
            <w:tcW w:w="880" w:type="dxa"/>
            <w:tcBorders>
              <w:top w:val="nil"/>
              <w:left w:val="nil"/>
              <w:bottom w:val="nil"/>
              <w:right w:val="nil"/>
            </w:tcBorders>
            <w:shd w:val="clear" w:color="auto" w:fill="auto"/>
            <w:vAlign w:val="bottom"/>
            <w:hideMark/>
          </w:tcPr>
          <w:p w14:paraId="0931650C"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46FE2D8A"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61F0A659"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6706AFB5"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In what ways?</w:t>
            </w:r>
          </w:p>
        </w:tc>
        <w:tc>
          <w:tcPr>
            <w:tcW w:w="2728" w:type="dxa"/>
            <w:tcBorders>
              <w:top w:val="nil"/>
              <w:left w:val="nil"/>
              <w:bottom w:val="nil"/>
              <w:right w:val="nil"/>
            </w:tcBorders>
            <w:shd w:val="clear" w:color="auto" w:fill="auto"/>
            <w:vAlign w:val="bottom"/>
            <w:hideMark/>
          </w:tcPr>
          <w:p w14:paraId="068F96DD" w14:textId="77777777" w:rsidR="00F84901" w:rsidRPr="00B417BF" w:rsidRDefault="00F84901" w:rsidP="00DA4732">
            <w:pPr>
              <w:rPr>
                <w:rFonts w:asciiTheme="minorHAnsi" w:hAnsiTheme="minorHAnsi"/>
                <w:color w:val="000000"/>
                <w:sz w:val="20"/>
                <w:szCs w:val="20"/>
              </w:rPr>
            </w:pPr>
          </w:p>
        </w:tc>
        <w:tc>
          <w:tcPr>
            <w:tcW w:w="880" w:type="dxa"/>
            <w:tcBorders>
              <w:top w:val="nil"/>
              <w:left w:val="nil"/>
              <w:bottom w:val="nil"/>
              <w:right w:val="nil"/>
            </w:tcBorders>
            <w:shd w:val="clear" w:color="auto" w:fill="auto"/>
            <w:vAlign w:val="bottom"/>
            <w:hideMark/>
          </w:tcPr>
          <w:p w14:paraId="4D9B432C" w14:textId="77777777" w:rsidR="00F84901" w:rsidRPr="00B417BF" w:rsidRDefault="00F84901" w:rsidP="00DA4732">
            <w:pPr>
              <w:rPr>
                <w:rFonts w:asciiTheme="minorHAnsi" w:hAnsiTheme="minorHAnsi"/>
                <w:color w:val="000000"/>
                <w:sz w:val="20"/>
                <w:szCs w:val="20"/>
              </w:rPr>
            </w:pPr>
          </w:p>
        </w:tc>
        <w:tc>
          <w:tcPr>
            <w:tcW w:w="240" w:type="dxa"/>
            <w:tcBorders>
              <w:top w:val="nil"/>
              <w:left w:val="nil"/>
              <w:bottom w:val="nil"/>
              <w:right w:val="single" w:sz="4" w:space="0" w:color="auto"/>
            </w:tcBorders>
            <w:shd w:val="clear" w:color="auto" w:fill="auto"/>
            <w:vAlign w:val="bottom"/>
            <w:hideMark/>
          </w:tcPr>
          <w:p w14:paraId="586CD33D"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 </w:t>
            </w:r>
          </w:p>
        </w:tc>
      </w:tr>
      <w:tr w:rsidR="00F84901" w:rsidRPr="00B417BF" w14:paraId="7F816A64"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682A8058"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418A8BE8"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not enough time</w:t>
            </w:r>
          </w:p>
        </w:tc>
        <w:tc>
          <w:tcPr>
            <w:tcW w:w="880" w:type="dxa"/>
            <w:tcBorders>
              <w:top w:val="nil"/>
              <w:left w:val="nil"/>
              <w:bottom w:val="nil"/>
              <w:right w:val="nil"/>
            </w:tcBorders>
            <w:shd w:val="clear" w:color="auto" w:fill="auto"/>
            <w:vAlign w:val="bottom"/>
            <w:hideMark/>
          </w:tcPr>
          <w:p w14:paraId="7B26183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7F7D2856"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00E5A46E"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22DB87F9"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lastRenderedPageBreak/>
              <w:t> </w:t>
            </w:r>
          </w:p>
        </w:tc>
        <w:tc>
          <w:tcPr>
            <w:tcW w:w="2728" w:type="dxa"/>
            <w:tcBorders>
              <w:top w:val="nil"/>
              <w:left w:val="nil"/>
              <w:bottom w:val="nil"/>
              <w:right w:val="nil"/>
            </w:tcBorders>
            <w:shd w:val="clear" w:color="auto" w:fill="auto"/>
            <w:vAlign w:val="bottom"/>
            <w:hideMark/>
          </w:tcPr>
          <w:p w14:paraId="5AFC28DB"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classroom/facilities</w:t>
            </w:r>
          </w:p>
        </w:tc>
        <w:tc>
          <w:tcPr>
            <w:tcW w:w="880" w:type="dxa"/>
            <w:tcBorders>
              <w:top w:val="nil"/>
              <w:left w:val="nil"/>
              <w:bottom w:val="nil"/>
              <w:right w:val="nil"/>
            </w:tcBorders>
            <w:shd w:val="clear" w:color="auto" w:fill="auto"/>
            <w:vAlign w:val="bottom"/>
            <w:hideMark/>
          </w:tcPr>
          <w:p w14:paraId="16B84BC1"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373ED7B2"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7B246456"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4E1BE7F"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6355B9E5"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confusion of material</w:t>
            </w:r>
          </w:p>
        </w:tc>
        <w:tc>
          <w:tcPr>
            <w:tcW w:w="880" w:type="dxa"/>
            <w:tcBorders>
              <w:top w:val="nil"/>
              <w:left w:val="nil"/>
              <w:bottom w:val="nil"/>
              <w:right w:val="nil"/>
            </w:tcBorders>
            <w:shd w:val="clear" w:color="auto" w:fill="auto"/>
            <w:vAlign w:val="bottom"/>
            <w:hideMark/>
          </w:tcPr>
          <w:p w14:paraId="6AC96E86"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4CA1ED96"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r>
      <w:tr w:rsidR="00F84901" w:rsidRPr="00B417BF" w14:paraId="19D49C13"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3E2A3712"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748F82E1"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amount of material/cognitive load</w:t>
            </w:r>
          </w:p>
        </w:tc>
        <w:tc>
          <w:tcPr>
            <w:tcW w:w="880" w:type="dxa"/>
            <w:tcBorders>
              <w:top w:val="nil"/>
              <w:left w:val="nil"/>
              <w:bottom w:val="nil"/>
              <w:right w:val="nil"/>
            </w:tcBorders>
            <w:shd w:val="clear" w:color="auto" w:fill="auto"/>
            <w:vAlign w:val="bottom"/>
            <w:hideMark/>
          </w:tcPr>
          <w:p w14:paraId="409CEDAC"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5F56A3B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66A564DE"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C743589"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613677D3"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lack of dissection instruction</w:t>
            </w:r>
          </w:p>
        </w:tc>
        <w:tc>
          <w:tcPr>
            <w:tcW w:w="880" w:type="dxa"/>
            <w:tcBorders>
              <w:top w:val="nil"/>
              <w:left w:val="nil"/>
              <w:bottom w:val="nil"/>
              <w:right w:val="nil"/>
            </w:tcBorders>
            <w:shd w:val="clear" w:color="auto" w:fill="auto"/>
            <w:vAlign w:val="bottom"/>
            <w:hideMark/>
          </w:tcPr>
          <w:p w14:paraId="019FB631"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hideMark/>
          </w:tcPr>
          <w:p w14:paraId="671D35CA"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r>
      <w:tr w:rsidR="00F84901" w:rsidRPr="00B417BF" w14:paraId="35C2D16E" w14:textId="77777777" w:rsidTr="00DA4732">
        <w:trPr>
          <w:trHeight w:val="480"/>
        </w:trPr>
        <w:tc>
          <w:tcPr>
            <w:tcW w:w="3624" w:type="dxa"/>
            <w:tcBorders>
              <w:top w:val="nil"/>
              <w:left w:val="single" w:sz="4" w:space="0" w:color="auto"/>
              <w:bottom w:val="nil"/>
              <w:right w:val="nil"/>
            </w:tcBorders>
            <w:shd w:val="clear" w:color="auto" w:fill="auto"/>
            <w:vAlign w:val="center"/>
            <w:hideMark/>
          </w:tcPr>
          <w:p w14:paraId="721B7FD2"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xml:space="preserve">Did you receive the final grade in </w:t>
            </w:r>
            <w:r>
              <w:rPr>
                <w:rFonts w:asciiTheme="minorHAnsi" w:hAnsiTheme="minorHAnsi" w:cs="Arial"/>
                <w:b/>
                <w:bCs/>
                <w:color w:val="000000"/>
                <w:sz w:val="20"/>
                <w:szCs w:val="20"/>
              </w:rPr>
              <w:t>Clinical Anatomy</w:t>
            </w:r>
            <w:r w:rsidRPr="00B417BF">
              <w:rPr>
                <w:rFonts w:asciiTheme="minorHAnsi" w:hAnsiTheme="minorHAnsi" w:cs="Arial"/>
                <w:b/>
                <w:bCs/>
                <w:color w:val="000000"/>
                <w:sz w:val="20"/>
                <w:szCs w:val="20"/>
              </w:rPr>
              <w:t xml:space="preserve"> that you expected?</w:t>
            </w:r>
          </w:p>
        </w:tc>
        <w:tc>
          <w:tcPr>
            <w:tcW w:w="2728" w:type="dxa"/>
            <w:tcBorders>
              <w:top w:val="nil"/>
              <w:left w:val="nil"/>
              <w:bottom w:val="nil"/>
              <w:right w:val="nil"/>
            </w:tcBorders>
            <w:shd w:val="clear" w:color="auto" w:fill="auto"/>
            <w:vAlign w:val="bottom"/>
            <w:hideMark/>
          </w:tcPr>
          <w:p w14:paraId="2403A010" w14:textId="77777777" w:rsidR="00F84901" w:rsidRPr="00B417BF" w:rsidRDefault="00F84901" w:rsidP="00DA4732">
            <w:pPr>
              <w:rPr>
                <w:rFonts w:asciiTheme="minorHAnsi" w:hAnsiTheme="minorHAnsi"/>
                <w:color w:val="000000"/>
                <w:sz w:val="20"/>
                <w:szCs w:val="20"/>
              </w:rPr>
            </w:pPr>
          </w:p>
        </w:tc>
        <w:tc>
          <w:tcPr>
            <w:tcW w:w="880" w:type="dxa"/>
            <w:tcBorders>
              <w:top w:val="nil"/>
              <w:left w:val="nil"/>
              <w:bottom w:val="nil"/>
              <w:right w:val="nil"/>
            </w:tcBorders>
            <w:shd w:val="clear" w:color="auto" w:fill="auto"/>
            <w:vAlign w:val="bottom"/>
            <w:hideMark/>
          </w:tcPr>
          <w:p w14:paraId="3A205A8F" w14:textId="77777777" w:rsidR="00F84901" w:rsidRPr="00B417BF" w:rsidRDefault="00F84901" w:rsidP="00DA4732">
            <w:pPr>
              <w:rPr>
                <w:rFonts w:asciiTheme="minorHAnsi" w:hAnsiTheme="minorHAnsi"/>
                <w:color w:val="000000"/>
                <w:sz w:val="20"/>
                <w:szCs w:val="20"/>
              </w:rPr>
            </w:pPr>
          </w:p>
        </w:tc>
        <w:tc>
          <w:tcPr>
            <w:tcW w:w="240" w:type="dxa"/>
            <w:tcBorders>
              <w:top w:val="nil"/>
              <w:left w:val="nil"/>
              <w:bottom w:val="nil"/>
              <w:right w:val="single" w:sz="4" w:space="0" w:color="auto"/>
            </w:tcBorders>
            <w:shd w:val="clear" w:color="auto" w:fill="auto"/>
            <w:vAlign w:val="bottom"/>
            <w:hideMark/>
          </w:tcPr>
          <w:p w14:paraId="063EE423"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 </w:t>
            </w:r>
          </w:p>
        </w:tc>
      </w:tr>
      <w:tr w:rsidR="00F84901" w:rsidRPr="00B417BF" w14:paraId="3E72A056"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DE94414"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48E561F2"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yes</w:t>
            </w:r>
          </w:p>
        </w:tc>
        <w:tc>
          <w:tcPr>
            <w:tcW w:w="880" w:type="dxa"/>
            <w:tcBorders>
              <w:top w:val="nil"/>
              <w:left w:val="nil"/>
              <w:bottom w:val="nil"/>
              <w:right w:val="nil"/>
            </w:tcBorders>
            <w:shd w:val="clear" w:color="auto" w:fill="auto"/>
            <w:vAlign w:val="bottom"/>
            <w:hideMark/>
          </w:tcPr>
          <w:p w14:paraId="22EB60F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16</w:t>
            </w:r>
          </w:p>
        </w:tc>
        <w:tc>
          <w:tcPr>
            <w:tcW w:w="240" w:type="dxa"/>
            <w:tcBorders>
              <w:top w:val="nil"/>
              <w:left w:val="nil"/>
              <w:bottom w:val="nil"/>
              <w:right w:val="single" w:sz="4" w:space="0" w:color="auto"/>
            </w:tcBorders>
            <w:shd w:val="clear" w:color="auto" w:fill="auto"/>
            <w:vAlign w:val="bottom"/>
            <w:hideMark/>
          </w:tcPr>
          <w:p w14:paraId="3AF4050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15</w:t>
            </w:r>
          </w:p>
        </w:tc>
      </w:tr>
      <w:tr w:rsidR="00F84901" w:rsidRPr="00B417BF" w14:paraId="77D53EDA"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4E7DCA33"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4AC2E0E4"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no</w:t>
            </w:r>
          </w:p>
        </w:tc>
        <w:tc>
          <w:tcPr>
            <w:tcW w:w="880" w:type="dxa"/>
            <w:tcBorders>
              <w:top w:val="nil"/>
              <w:left w:val="nil"/>
              <w:bottom w:val="nil"/>
              <w:right w:val="nil"/>
            </w:tcBorders>
            <w:shd w:val="clear" w:color="auto" w:fill="auto"/>
            <w:vAlign w:val="bottom"/>
            <w:hideMark/>
          </w:tcPr>
          <w:p w14:paraId="313A66EB"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c>
          <w:tcPr>
            <w:tcW w:w="240" w:type="dxa"/>
            <w:tcBorders>
              <w:top w:val="nil"/>
              <w:left w:val="nil"/>
              <w:bottom w:val="nil"/>
              <w:right w:val="single" w:sz="4" w:space="0" w:color="auto"/>
            </w:tcBorders>
            <w:shd w:val="clear" w:color="auto" w:fill="auto"/>
            <w:vAlign w:val="bottom"/>
            <w:hideMark/>
          </w:tcPr>
          <w:p w14:paraId="288B01EA"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r>
      <w:tr w:rsidR="00F84901" w:rsidRPr="00B417BF" w14:paraId="73BA1887"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4AD93106"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Why did you not?</w:t>
            </w:r>
          </w:p>
        </w:tc>
        <w:tc>
          <w:tcPr>
            <w:tcW w:w="2728" w:type="dxa"/>
            <w:tcBorders>
              <w:top w:val="nil"/>
              <w:left w:val="nil"/>
              <w:bottom w:val="nil"/>
              <w:right w:val="nil"/>
            </w:tcBorders>
            <w:shd w:val="clear" w:color="auto" w:fill="auto"/>
            <w:vAlign w:val="bottom"/>
            <w:hideMark/>
          </w:tcPr>
          <w:p w14:paraId="093A8887" w14:textId="77777777" w:rsidR="00F84901" w:rsidRPr="00B417BF" w:rsidRDefault="00F84901" w:rsidP="00DA4732">
            <w:pPr>
              <w:rPr>
                <w:rFonts w:asciiTheme="minorHAnsi" w:hAnsiTheme="minorHAnsi"/>
                <w:color w:val="000000"/>
                <w:sz w:val="20"/>
                <w:szCs w:val="20"/>
              </w:rPr>
            </w:pPr>
          </w:p>
        </w:tc>
        <w:tc>
          <w:tcPr>
            <w:tcW w:w="880" w:type="dxa"/>
            <w:tcBorders>
              <w:top w:val="nil"/>
              <w:left w:val="nil"/>
              <w:bottom w:val="nil"/>
              <w:right w:val="nil"/>
            </w:tcBorders>
            <w:shd w:val="clear" w:color="auto" w:fill="auto"/>
            <w:vAlign w:val="bottom"/>
            <w:hideMark/>
          </w:tcPr>
          <w:p w14:paraId="25945240" w14:textId="77777777" w:rsidR="00F84901" w:rsidRPr="00B417BF" w:rsidRDefault="00F84901" w:rsidP="00DA4732">
            <w:pPr>
              <w:rPr>
                <w:rFonts w:asciiTheme="minorHAnsi" w:hAnsiTheme="minorHAnsi"/>
                <w:color w:val="000000"/>
                <w:sz w:val="20"/>
                <w:szCs w:val="20"/>
              </w:rPr>
            </w:pPr>
          </w:p>
        </w:tc>
        <w:tc>
          <w:tcPr>
            <w:tcW w:w="240" w:type="dxa"/>
            <w:tcBorders>
              <w:top w:val="nil"/>
              <w:left w:val="nil"/>
              <w:bottom w:val="nil"/>
              <w:right w:val="single" w:sz="4" w:space="0" w:color="auto"/>
            </w:tcBorders>
            <w:shd w:val="clear" w:color="auto" w:fill="auto"/>
            <w:vAlign w:val="bottom"/>
            <w:hideMark/>
          </w:tcPr>
          <w:p w14:paraId="4624255C"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 </w:t>
            </w:r>
          </w:p>
        </w:tc>
      </w:tr>
      <w:tr w:rsidR="00F84901" w:rsidRPr="00B417BF" w14:paraId="121D20E8"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454BF8A4"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0E8E8053"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poor study skills early</w:t>
            </w:r>
          </w:p>
        </w:tc>
        <w:tc>
          <w:tcPr>
            <w:tcW w:w="880" w:type="dxa"/>
            <w:tcBorders>
              <w:top w:val="nil"/>
              <w:left w:val="nil"/>
              <w:bottom w:val="nil"/>
              <w:right w:val="nil"/>
            </w:tcBorders>
            <w:shd w:val="clear" w:color="auto" w:fill="auto"/>
            <w:vAlign w:val="bottom"/>
            <w:hideMark/>
          </w:tcPr>
          <w:p w14:paraId="0BDDB457"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535C2C52"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383762C3"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28412F7"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1FD8476D"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earned higher grade</w:t>
            </w:r>
          </w:p>
        </w:tc>
        <w:tc>
          <w:tcPr>
            <w:tcW w:w="880" w:type="dxa"/>
            <w:tcBorders>
              <w:top w:val="nil"/>
              <w:left w:val="nil"/>
              <w:bottom w:val="nil"/>
              <w:right w:val="nil"/>
            </w:tcBorders>
            <w:shd w:val="clear" w:color="auto" w:fill="auto"/>
            <w:vAlign w:val="bottom"/>
            <w:hideMark/>
          </w:tcPr>
          <w:p w14:paraId="4738F532"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6F234C6A"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r>
      <w:tr w:rsidR="00F84901" w:rsidRPr="00B417BF" w14:paraId="0FC01E23"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3FD4AE2E"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5D2ADE4B"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summative exam performance</w:t>
            </w:r>
          </w:p>
        </w:tc>
        <w:tc>
          <w:tcPr>
            <w:tcW w:w="880" w:type="dxa"/>
            <w:tcBorders>
              <w:top w:val="nil"/>
              <w:left w:val="nil"/>
              <w:bottom w:val="nil"/>
              <w:right w:val="nil"/>
            </w:tcBorders>
            <w:shd w:val="clear" w:color="auto" w:fill="auto"/>
            <w:vAlign w:val="bottom"/>
            <w:hideMark/>
          </w:tcPr>
          <w:p w14:paraId="509EDD4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799CCF0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r>
      <w:tr w:rsidR="00F84901" w:rsidRPr="00B417BF" w14:paraId="1F44C684"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5850D44B"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2FED2833"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family emergency</w:t>
            </w:r>
          </w:p>
        </w:tc>
        <w:tc>
          <w:tcPr>
            <w:tcW w:w="880" w:type="dxa"/>
            <w:tcBorders>
              <w:top w:val="nil"/>
              <w:left w:val="nil"/>
              <w:bottom w:val="nil"/>
              <w:right w:val="nil"/>
            </w:tcBorders>
            <w:shd w:val="clear" w:color="auto" w:fill="auto"/>
            <w:vAlign w:val="bottom"/>
            <w:hideMark/>
          </w:tcPr>
          <w:p w14:paraId="382BF608"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098A7204"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5D2A73E1" w14:textId="77777777" w:rsidTr="00DA4732">
        <w:trPr>
          <w:trHeight w:val="480"/>
        </w:trPr>
        <w:tc>
          <w:tcPr>
            <w:tcW w:w="3624" w:type="dxa"/>
            <w:tcBorders>
              <w:top w:val="nil"/>
              <w:left w:val="single" w:sz="4" w:space="0" w:color="auto"/>
              <w:bottom w:val="nil"/>
              <w:right w:val="nil"/>
            </w:tcBorders>
            <w:shd w:val="clear" w:color="auto" w:fill="auto"/>
            <w:vAlign w:val="center"/>
            <w:hideMark/>
          </w:tcPr>
          <w:p w14:paraId="2C807F3C"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How did the instructors support your learning the material?</w:t>
            </w:r>
          </w:p>
        </w:tc>
        <w:tc>
          <w:tcPr>
            <w:tcW w:w="2728" w:type="dxa"/>
            <w:tcBorders>
              <w:top w:val="nil"/>
              <w:left w:val="nil"/>
              <w:bottom w:val="nil"/>
              <w:right w:val="nil"/>
            </w:tcBorders>
            <w:shd w:val="clear" w:color="auto" w:fill="auto"/>
            <w:vAlign w:val="bottom"/>
            <w:hideMark/>
          </w:tcPr>
          <w:p w14:paraId="589DECFF" w14:textId="77777777" w:rsidR="00F84901" w:rsidRPr="00B417BF" w:rsidRDefault="00F84901" w:rsidP="00DA4732">
            <w:pPr>
              <w:rPr>
                <w:rFonts w:asciiTheme="minorHAnsi" w:hAnsiTheme="minorHAnsi"/>
                <w:color w:val="000000"/>
                <w:sz w:val="20"/>
                <w:szCs w:val="20"/>
              </w:rPr>
            </w:pPr>
          </w:p>
        </w:tc>
        <w:tc>
          <w:tcPr>
            <w:tcW w:w="880" w:type="dxa"/>
            <w:tcBorders>
              <w:top w:val="nil"/>
              <w:left w:val="nil"/>
              <w:bottom w:val="nil"/>
              <w:right w:val="nil"/>
            </w:tcBorders>
            <w:shd w:val="clear" w:color="auto" w:fill="auto"/>
            <w:vAlign w:val="bottom"/>
            <w:hideMark/>
          </w:tcPr>
          <w:p w14:paraId="3D99E86D" w14:textId="77777777" w:rsidR="00F84901" w:rsidRPr="00B417BF" w:rsidRDefault="00F84901" w:rsidP="00DA4732">
            <w:pPr>
              <w:rPr>
                <w:rFonts w:asciiTheme="minorHAnsi" w:hAnsiTheme="minorHAnsi"/>
                <w:color w:val="000000"/>
                <w:sz w:val="20"/>
                <w:szCs w:val="20"/>
              </w:rPr>
            </w:pPr>
          </w:p>
        </w:tc>
        <w:tc>
          <w:tcPr>
            <w:tcW w:w="240" w:type="dxa"/>
            <w:tcBorders>
              <w:top w:val="nil"/>
              <w:left w:val="nil"/>
              <w:bottom w:val="nil"/>
              <w:right w:val="single" w:sz="4" w:space="0" w:color="auto"/>
            </w:tcBorders>
            <w:shd w:val="clear" w:color="auto" w:fill="auto"/>
            <w:vAlign w:val="bottom"/>
            <w:hideMark/>
          </w:tcPr>
          <w:p w14:paraId="547665C1"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 </w:t>
            </w:r>
          </w:p>
        </w:tc>
      </w:tr>
      <w:tr w:rsidR="00F84901" w:rsidRPr="00B417BF" w14:paraId="027E8DBC"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40AC659D"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w:t>
            </w:r>
          </w:p>
        </w:tc>
        <w:tc>
          <w:tcPr>
            <w:tcW w:w="2728" w:type="dxa"/>
            <w:tcBorders>
              <w:top w:val="nil"/>
              <w:left w:val="nil"/>
              <w:bottom w:val="nil"/>
              <w:right w:val="nil"/>
            </w:tcBorders>
            <w:shd w:val="clear" w:color="auto" w:fill="auto"/>
            <w:vAlign w:val="bottom"/>
            <w:hideMark/>
          </w:tcPr>
          <w:p w14:paraId="30C320F0"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caring attitudes</w:t>
            </w:r>
          </w:p>
        </w:tc>
        <w:tc>
          <w:tcPr>
            <w:tcW w:w="880" w:type="dxa"/>
            <w:tcBorders>
              <w:top w:val="nil"/>
              <w:left w:val="nil"/>
              <w:bottom w:val="nil"/>
              <w:right w:val="nil"/>
            </w:tcBorders>
            <w:shd w:val="clear" w:color="auto" w:fill="auto"/>
            <w:vAlign w:val="bottom"/>
            <w:hideMark/>
          </w:tcPr>
          <w:p w14:paraId="48D3560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6E9919C5"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6CB04377"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4C101FD1"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w:t>
            </w:r>
          </w:p>
        </w:tc>
        <w:tc>
          <w:tcPr>
            <w:tcW w:w="2728" w:type="dxa"/>
            <w:tcBorders>
              <w:top w:val="nil"/>
              <w:left w:val="nil"/>
              <w:bottom w:val="nil"/>
              <w:right w:val="nil"/>
            </w:tcBorders>
            <w:shd w:val="clear" w:color="auto" w:fill="auto"/>
            <w:vAlign w:val="bottom"/>
            <w:hideMark/>
          </w:tcPr>
          <w:p w14:paraId="21A16973"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supported learning</w:t>
            </w:r>
          </w:p>
        </w:tc>
        <w:tc>
          <w:tcPr>
            <w:tcW w:w="880" w:type="dxa"/>
            <w:tcBorders>
              <w:top w:val="nil"/>
              <w:left w:val="nil"/>
              <w:bottom w:val="nil"/>
              <w:right w:val="nil"/>
            </w:tcBorders>
            <w:shd w:val="clear" w:color="auto" w:fill="auto"/>
            <w:vAlign w:val="bottom"/>
            <w:hideMark/>
          </w:tcPr>
          <w:p w14:paraId="4857270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528252D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4D858161"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41190BC4"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78E52874"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provided outside materials</w:t>
            </w:r>
          </w:p>
        </w:tc>
        <w:tc>
          <w:tcPr>
            <w:tcW w:w="880" w:type="dxa"/>
            <w:tcBorders>
              <w:top w:val="nil"/>
              <w:left w:val="nil"/>
              <w:bottom w:val="nil"/>
              <w:right w:val="nil"/>
            </w:tcBorders>
            <w:shd w:val="clear" w:color="auto" w:fill="auto"/>
            <w:vAlign w:val="bottom"/>
            <w:hideMark/>
          </w:tcPr>
          <w:p w14:paraId="0A4DEA92"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c>
          <w:tcPr>
            <w:tcW w:w="240" w:type="dxa"/>
            <w:tcBorders>
              <w:top w:val="nil"/>
              <w:left w:val="nil"/>
              <w:bottom w:val="nil"/>
              <w:right w:val="single" w:sz="4" w:space="0" w:color="auto"/>
            </w:tcBorders>
            <w:shd w:val="clear" w:color="auto" w:fill="auto"/>
            <w:vAlign w:val="bottom"/>
            <w:hideMark/>
          </w:tcPr>
          <w:p w14:paraId="6A2CA366"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58FE15B4"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15C153B6"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34B52F0E"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professor accessibility</w:t>
            </w:r>
          </w:p>
        </w:tc>
        <w:tc>
          <w:tcPr>
            <w:tcW w:w="880" w:type="dxa"/>
            <w:tcBorders>
              <w:top w:val="nil"/>
              <w:left w:val="nil"/>
              <w:bottom w:val="nil"/>
              <w:right w:val="nil"/>
            </w:tcBorders>
            <w:shd w:val="clear" w:color="auto" w:fill="auto"/>
            <w:vAlign w:val="bottom"/>
            <w:hideMark/>
          </w:tcPr>
          <w:p w14:paraId="25DAFFE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10</w:t>
            </w:r>
          </w:p>
        </w:tc>
        <w:tc>
          <w:tcPr>
            <w:tcW w:w="240" w:type="dxa"/>
            <w:tcBorders>
              <w:top w:val="nil"/>
              <w:left w:val="nil"/>
              <w:bottom w:val="nil"/>
              <w:right w:val="single" w:sz="4" w:space="0" w:color="auto"/>
            </w:tcBorders>
            <w:shd w:val="clear" w:color="auto" w:fill="auto"/>
            <w:vAlign w:val="bottom"/>
            <w:hideMark/>
          </w:tcPr>
          <w:p w14:paraId="5D99311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6</w:t>
            </w:r>
          </w:p>
        </w:tc>
      </w:tr>
      <w:tr w:rsidR="00F84901" w:rsidRPr="00B417BF" w14:paraId="0255CE78"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26937102"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016332AC"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different instructors</w:t>
            </w:r>
          </w:p>
        </w:tc>
        <w:tc>
          <w:tcPr>
            <w:tcW w:w="880" w:type="dxa"/>
            <w:tcBorders>
              <w:top w:val="nil"/>
              <w:left w:val="nil"/>
              <w:bottom w:val="nil"/>
              <w:right w:val="nil"/>
            </w:tcBorders>
            <w:shd w:val="clear" w:color="auto" w:fill="auto"/>
            <w:vAlign w:val="bottom"/>
            <w:hideMark/>
          </w:tcPr>
          <w:p w14:paraId="559B94E6"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hideMark/>
          </w:tcPr>
          <w:p w14:paraId="4CAC200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r>
      <w:tr w:rsidR="00F84901" w:rsidRPr="00B417BF" w14:paraId="5C8DBE29"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30DE72DD"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60E954A3"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supplemental lecture aides/reviews</w:t>
            </w:r>
          </w:p>
        </w:tc>
        <w:tc>
          <w:tcPr>
            <w:tcW w:w="880" w:type="dxa"/>
            <w:tcBorders>
              <w:top w:val="nil"/>
              <w:left w:val="nil"/>
              <w:bottom w:val="nil"/>
              <w:right w:val="nil"/>
            </w:tcBorders>
            <w:shd w:val="clear" w:color="auto" w:fill="auto"/>
            <w:vAlign w:val="bottom"/>
            <w:hideMark/>
          </w:tcPr>
          <w:p w14:paraId="7260E59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c>
          <w:tcPr>
            <w:tcW w:w="240" w:type="dxa"/>
            <w:tcBorders>
              <w:top w:val="nil"/>
              <w:left w:val="nil"/>
              <w:bottom w:val="nil"/>
              <w:right w:val="single" w:sz="4" w:space="0" w:color="auto"/>
            </w:tcBorders>
            <w:shd w:val="clear" w:color="auto" w:fill="auto"/>
            <w:vAlign w:val="bottom"/>
            <w:hideMark/>
          </w:tcPr>
          <w:p w14:paraId="0A543BFB"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r>
      <w:tr w:rsidR="00F84901" w:rsidRPr="00B417BF" w14:paraId="2B374656"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44C50AA7"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563687C0"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willingness to spend time</w:t>
            </w:r>
          </w:p>
        </w:tc>
        <w:tc>
          <w:tcPr>
            <w:tcW w:w="880" w:type="dxa"/>
            <w:tcBorders>
              <w:top w:val="nil"/>
              <w:left w:val="nil"/>
              <w:bottom w:val="nil"/>
              <w:right w:val="nil"/>
            </w:tcBorders>
            <w:shd w:val="clear" w:color="auto" w:fill="auto"/>
            <w:vAlign w:val="bottom"/>
            <w:hideMark/>
          </w:tcPr>
          <w:p w14:paraId="0502BDD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5539F34A"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6E7BD666" w14:textId="77777777" w:rsidTr="00DA4732">
        <w:trPr>
          <w:trHeight w:val="500"/>
        </w:trPr>
        <w:tc>
          <w:tcPr>
            <w:tcW w:w="3624" w:type="dxa"/>
            <w:tcBorders>
              <w:top w:val="nil"/>
              <w:left w:val="single" w:sz="4" w:space="0" w:color="auto"/>
              <w:bottom w:val="nil"/>
              <w:right w:val="nil"/>
            </w:tcBorders>
            <w:shd w:val="clear" w:color="auto" w:fill="auto"/>
            <w:vAlign w:val="bottom"/>
            <w:hideMark/>
          </w:tcPr>
          <w:p w14:paraId="02920CAA"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xml:space="preserve">What kind of support or strategies did you use to cope with the stress of the summer semester? </w:t>
            </w:r>
          </w:p>
        </w:tc>
        <w:tc>
          <w:tcPr>
            <w:tcW w:w="2728" w:type="dxa"/>
            <w:tcBorders>
              <w:top w:val="nil"/>
              <w:left w:val="nil"/>
              <w:bottom w:val="nil"/>
              <w:right w:val="nil"/>
            </w:tcBorders>
            <w:shd w:val="clear" w:color="auto" w:fill="auto"/>
            <w:vAlign w:val="bottom"/>
            <w:hideMark/>
          </w:tcPr>
          <w:p w14:paraId="37FC8ACF" w14:textId="77777777" w:rsidR="00F84901" w:rsidRPr="00B417BF" w:rsidRDefault="00F84901" w:rsidP="00DA4732">
            <w:pPr>
              <w:rPr>
                <w:rFonts w:asciiTheme="minorHAnsi" w:hAnsiTheme="minorHAnsi"/>
                <w:color w:val="000000"/>
                <w:sz w:val="20"/>
                <w:szCs w:val="20"/>
              </w:rPr>
            </w:pPr>
          </w:p>
        </w:tc>
        <w:tc>
          <w:tcPr>
            <w:tcW w:w="880" w:type="dxa"/>
            <w:tcBorders>
              <w:top w:val="nil"/>
              <w:left w:val="nil"/>
              <w:bottom w:val="nil"/>
              <w:right w:val="nil"/>
            </w:tcBorders>
            <w:shd w:val="clear" w:color="auto" w:fill="auto"/>
            <w:vAlign w:val="bottom"/>
            <w:hideMark/>
          </w:tcPr>
          <w:p w14:paraId="6E65F1C1" w14:textId="77777777" w:rsidR="00F84901" w:rsidRPr="00B417BF" w:rsidRDefault="00F84901" w:rsidP="00DA4732">
            <w:pPr>
              <w:rPr>
                <w:rFonts w:asciiTheme="minorHAnsi" w:hAnsiTheme="minorHAnsi"/>
                <w:color w:val="000000"/>
                <w:sz w:val="20"/>
                <w:szCs w:val="20"/>
              </w:rPr>
            </w:pPr>
          </w:p>
        </w:tc>
        <w:tc>
          <w:tcPr>
            <w:tcW w:w="240" w:type="dxa"/>
            <w:tcBorders>
              <w:top w:val="nil"/>
              <w:left w:val="nil"/>
              <w:bottom w:val="nil"/>
              <w:right w:val="single" w:sz="4" w:space="0" w:color="auto"/>
            </w:tcBorders>
            <w:shd w:val="clear" w:color="auto" w:fill="auto"/>
            <w:vAlign w:val="bottom"/>
            <w:hideMark/>
          </w:tcPr>
          <w:p w14:paraId="57F85FB0"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 </w:t>
            </w:r>
          </w:p>
        </w:tc>
      </w:tr>
      <w:tr w:rsidR="00F84901" w:rsidRPr="00B417BF" w14:paraId="1370FF0F"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1FDD03BD"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7CE526B9"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friends</w:t>
            </w:r>
          </w:p>
        </w:tc>
        <w:tc>
          <w:tcPr>
            <w:tcW w:w="880" w:type="dxa"/>
            <w:tcBorders>
              <w:top w:val="nil"/>
              <w:left w:val="nil"/>
              <w:bottom w:val="nil"/>
              <w:right w:val="nil"/>
            </w:tcBorders>
            <w:shd w:val="clear" w:color="auto" w:fill="auto"/>
            <w:vAlign w:val="bottom"/>
            <w:hideMark/>
          </w:tcPr>
          <w:p w14:paraId="7E0B88D4"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9</w:t>
            </w:r>
          </w:p>
        </w:tc>
        <w:tc>
          <w:tcPr>
            <w:tcW w:w="240" w:type="dxa"/>
            <w:tcBorders>
              <w:top w:val="nil"/>
              <w:left w:val="nil"/>
              <w:bottom w:val="nil"/>
              <w:right w:val="single" w:sz="4" w:space="0" w:color="auto"/>
            </w:tcBorders>
            <w:shd w:val="clear" w:color="auto" w:fill="auto"/>
            <w:vAlign w:val="bottom"/>
            <w:hideMark/>
          </w:tcPr>
          <w:p w14:paraId="1B8D368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8</w:t>
            </w:r>
          </w:p>
        </w:tc>
      </w:tr>
      <w:tr w:rsidR="00F84901" w:rsidRPr="00B417BF" w14:paraId="042BB2AB"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70F59027"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17A820BB"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family</w:t>
            </w:r>
          </w:p>
        </w:tc>
        <w:tc>
          <w:tcPr>
            <w:tcW w:w="880" w:type="dxa"/>
            <w:tcBorders>
              <w:top w:val="nil"/>
              <w:left w:val="nil"/>
              <w:bottom w:val="nil"/>
              <w:right w:val="nil"/>
            </w:tcBorders>
            <w:shd w:val="clear" w:color="auto" w:fill="auto"/>
            <w:vAlign w:val="bottom"/>
            <w:hideMark/>
          </w:tcPr>
          <w:p w14:paraId="27FC6374"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13</w:t>
            </w:r>
          </w:p>
        </w:tc>
        <w:tc>
          <w:tcPr>
            <w:tcW w:w="240" w:type="dxa"/>
            <w:tcBorders>
              <w:top w:val="nil"/>
              <w:left w:val="nil"/>
              <w:bottom w:val="nil"/>
              <w:right w:val="single" w:sz="4" w:space="0" w:color="auto"/>
            </w:tcBorders>
            <w:shd w:val="clear" w:color="auto" w:fill="auto"/>
            <w:vAlign w:val="bottom"/>
            <w:hideMark/>
          </w:tcPr>
          <w:p w14:paraId="1880117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7</w:t>
            </w:r>
          </w:p>
        </w:tc>
      </w:tr>
      <w:tr w:rsidR="00F84901" w:rsidRPr="00B417BF" w14:paraId="50EF6DB7"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1B71FDD3"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7F2347DD"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peers</w:t>
            </w:r>
          </w:p>
        </w:tc>
        <w:tc>
          <w:tcPr>
            <w:tcW w:w="880" w:type="dxa"/>
            <w:tcBorders>
              <w:top w:val="nil"/>
              <w:left w:val="nil"/>
              <w:bottom w:val="nil"/>
              <w:right w:val="nil"/>
            </w:tcBorders>
            <w:shd w:val="clear" w:color="auto" w:fill="auto"/>
            <w:vAlign w:val="bottom"/>
            <w:hideMark/>
          </w:tcPr>
          <w:p w14:paraId="0788DCA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c>
          <w:tcPr>
            <w:tcW w:w="240" w:type="dxa"/>
            <w:tcBorders>
              <w:top w:val="nil"/>
              <w:left w:val="nil"/>
              <w:bottom w:val="nil"/>
              <w:right w:val="single" w:sz="4" w:space="0" w:color="auto"/>
            </w:tcBorders>
            <w:shd w:val="clear" w:color="auto" w:fill="auto"/>
            <w:vAlign w:val="bottom"/>
            <w:hideMark/>
          </w:tcPr>
          <w:p w14:paraId="2886A83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r>
      <w:tr w:rsidR="00F84901" w:rsidRPr="00B417BF" w14:paraId="584065F5"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C50E05F"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15BC5CA7"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tutoring</w:t>
            </w:r>
          </w:p>
        </w:tc>
        <w:tc>
          <w:tcPr>
            <w:tcW w:w="880" w:type="dxa"/>
            <w:tcBorders>
              <w:top w:val="nil"/>
              <w:left w:val="nil"/>
              <w:bottom w:val="nil"/>
              <w:right w:val="nil"/>
            </w:tcBorders>
            <w:shd w:val="clear" w:color="auto" w:fill="auto"/>
            <w:vAlign w:val="bottom"/>
            <w:hideMark/>
          </w:tcPr>
          <w:p w14:paraId="763B38B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58FC0B0A"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r>
      <w:tr w:rsidR="00F84901" w:rsidRPr="00B417BF" w14:paraId="150BC430"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3994545A"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0A74CD33"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counseling</w:t>
            </w:r>
          </w:p>
        </w:tc>
        <w:tc>
          <w:tcPr>
            <w:tcW w:w="880" w:type="dxa"/>
            <w:tcBorders>
              <w:top w:val="nil"/>
              <w:left w:val="nil"/>
              <w:bottom w:val="nil"/>
              <w:right w:val="nil"/>
            </w:tcBorders>
            <w:shd w:val="clear" w:color="auto" w:fill="auto"/>
            <w:vAlign w:val="bottom"/>
            <w:hideMark/>
          </w:tcPr>
          <w:p w14:paraId="3DF0E276"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5D2CA6E7"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39F50492"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7F7217DC"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570A5C7D"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exercise</w:t>
            </w:r>
          </w:p>
        </w:tc>
        <w:tc>
          <w:tcPr>
            <w:tcW w:w="880" w:type="dxa"/>
            <w:tcBorders>
              <w:top w:val="nil"/>
              <w:left w:val="nil"/>
              <w:bottom w:val="nil"/>
              <w:right w:val="nil"/>
            </w:tcBorders>
            <w:shd w:val="clear" w:color="auto" w:fill="auto"/>
            <w:vAlign w:val="bottom"/>
            <w:hideMark/>
          </w:tcPr>
          <w:p w14:paraId="438B1422"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hideMark/>
          </w:tcPr>
          <w:p w14:paraId="49902555"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0D284BBF"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7BD34F3"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00A514F0"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study groups</w:t>
            </w:r>
          </w:p>
        </w:tc>
        <w:tc>
          <w:tcPr>
            <w:tcW w:w="880" w:type="dxa"/>
            <w:tcBorders>
              <w:top w:val="nil"/>
              <w:left w:val="nil"/>
              <w:bottom w:val="nil"/>
              <w:right w:val="nil"/>
            </w:tcBorders>
            <w:shd w:val="clear" w:color="auto" w:fill="auto"/>
            <w:vAlign w:val="bottom"/>
            <w:hideMark/>
          </w:tcPr>
          <w:p w14:paraId="5820F9A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hideMark/>
          </w:tcPr>
          <w:p w14:paraId="04174E6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2C687FBC"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5DEE8EF0"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23EE8201"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TA/faculty</w:t>
            </w:r>
          </w:p>
        </w:tc>
        <w:tc>
          <w:tcPr>
            <w:tcW w:w="880" w:type="dxa"/>
            <w:tcBorders>
              <w:top w:val="nil"/>
              <w:left w:val="nil"/>
              <w:bottom w:val="nil"/>
              <w:right w:val="nil"/>
            </w:tcBorders>
            <w:shd w:val="clear" w:color="auto" w:fill="auto"/>
            <w:vAlign w:val="bottom"/>
            <w:hideMark/>
          </w:tcPr>
          <w:p w14:paraId="0FFE1AA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hideMark/>
          </w:tcPr>
          <w:p w14:paraId="2251850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1AF99F0C"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3FF91940"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524A90CE"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healthcare</w:t>
            </w:r>
          </w:p>
        </w:tc>
        <w:tc>
          <w:tcPr>
            <w:tcW w:w="880" w:type="dxa"/>
            <w:tcBorders>
              <w:top w:val="nil"/>
              <w:left w:val="nil"/>
              <w:bottom w:val="nil"/>
              <w:right w:val="nil"/>
            </w:tcBorders>
            <w:shd w:val="clear" w:color="auto" w:fill="auto"/>
            <w:vAlign w:val="bottom"/>
            <w:hideMark/>
          </w:tcPr>
          <w:p w14:paraId="11A1FF8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0ED4F64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013647E0"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7557563D"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32945BEB"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church/faith</w:t>
            </w:r>
          </w:p>
        </w:tc>
        <w:tc>
          <w:tcPr>
            <w:tcW w:w="880" w:type="dxa"/>
            <w:tcBorders>
              <w:top w:val="nil"/>
              <w:left w:val="nil"/>
              <w:bottom w:val="nil"/>
              <w:right w:val="nil"/>
            </w:tcBorders>
            <w:shd w:val="clear" w:color="auto" w:fill="auto"/>
            <w:vAlign w:val="bottom"/>
            <w:hideMark/>
          </w:tcPr>
          <w:p w14:paraId="009726A8"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41B2BE2B"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16E538D5"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1A70098F"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572B7ABB"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help in the home</w:t>
            </w:r>
          </w:p>
        </w:tc>
        <w:tc>
          <w:tcPr>
            <w:tcW w:w="880" w:type="dxa"/>
            <w:tcBorders>
              <w:top w:val="nil"/>
              <w:left w:val="nil"/>
              <w:bottom w:val="nil"/>
              <w:right w:val="nil"/>
            </w:tcBorders>
            <w:shd w:val="clear" w:color="auto" w:fill="auto"/>
            <w:vAlign w:val="bottom"/>
            <w:hideMark/>
          </w:tcPr>
          <w:p w14:paraId="3A103DB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hideMark/>
          </w:tcPr>
          <w:p w14:paraId="1C1CC604"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65B563D9"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72C211C0"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1A2FF2CE"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relaxation/study breaks</w:t>
            </w:r>
          </w:p>
        </w:tc>
        <w:tc>
          <w:tcPr>
            <w:tcW w:w="880" w:type="dxa"/>
            <w:tcBorders>
              <w:top w:val="nil"/>
              <w:left w:val="nil"/>
              <w:bottom w:val="nil"/>
              <w:right w:val="nil"/>
            </w:tcBorders>
            <w:shd w:val="clear" w:color="auto" w:fill="auto"/>
            <w:vAlign w:val="bottom"/>
            <w:hideMark/>
          </w:tcPr>
          <w:p w14:paraId="3C828CA6"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c>
          <w:tcPr>
            <w:tcW w:w="240" w:type="dxa"/>
            <w:tcBorders>
              <w:top w:val="nil"/>
              <w:left w:val="nil"/>
              <w:bottom w:val="nil"/>
              <w:right w:val="single" w:sz="4" w:space="0" w:color="auto"/>
            </w:tcBorders>
            <w:shd w:val="clear" w:color="auto" w:fill="auto"/>
            <w:vAlign w:val="bottom"/>
            <w:hideMark/>
          </w:tcPr>
          <w:p w14:paraId="775A7E8A"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5B87FC5B"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7AC47570"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5DDA4252"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none</w:t>
            </w:r>
          </w:p>
        </w:tc>
        <w:tc>
          <w:tcPr>
            <w:tcW w:w="880" w:type="dxa"/>
            <w:tcBorders>
              <w:top w:val="nil"/>
              <w:left w:val="nil"/>
              <w:bottom w:val="nil"/>
              <w:right w:val="nil"/>
            </w:tcBorders>
            <w:shd w:val="clear" w:color="auto" w:fill="auto"/>
            <w:vAlign w:val="bottom"/>
            <w:hideMark/>
          </w:tcPr>
          <w:p w14:paraId="192F2EB7"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hideMark/>
          </w:tcPr>
          <w:p w14:paraId="421FDDA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68684D14" w14:textId="77777777" w:rsidTr="00DA4732">
        <w:trPr>
          <w:trHeight w:val="500"/>
        </w:trPr>
        <w:tc>
          <w:tcPr>
            <w:tcW w:w="3624" w:type="dxa"/>
            <w:tcBorders>
              <w:top w:val="nil"/>
              <w:left w:val="single" w:sz="4" w:space="0" w:color="auto"/>
              <w:bottom w:val="nil"/>
              <w:right w:val="nil"/>
            </w:tcBorders>
            <w:shd w:val="clear" w:color="auto" w:fill="auto"/>
            <w:vAlign w:val="bottom"/>
            <w:hideMark/>
          </w:tcPr>
          <w:p w14:paraId="0AE905FB"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lastRenderedPageBreak/>
              <w:t>Will you change the type of support system you have for the next semester?</w:t>
            </w:r>
          </w:p>
        </w:tc>
        <w:tc>
          <w:tcPr>
            <w:tcW w:w="2728" w:type="dxa"/>
            <w:tcBorders>
              <w:top w:val="nil"/>
              <w:left w:val="nil"/>
              <w:bottom w:val="nil"/>
              <w:right w:val="nil"/>
            </w:tcBorders>
            <w:shd w:val="clear" w:color="auto" w:fill="auto"/>
            <w:vAlign w:val="bottom"/>
            <w:hideMark/>
          </w:tcPr>
          <w:p w14:paraId="28971646" w14:textId="77777777" w:rsidR="00F84901" w:rsidRPr="00B417BF" w:rsidRDefault="00F84901" w:rsidP="00DA4732">
            <w:pPr>
              <w:rPr>
                <w:rFonts w:asciiTheme="minorHAnsi" w:hAnsiTheme="minorHAnsi"/>
                <w:color w:val="000000"/>
                <w:sz w:val="20"/>
                <w:szCs w:val="20"/>
              </w:rPr>
            </w:pPr>
          </w:p>
        </w:tc>
        <w:tc>
          <w:tcPr>
            <w:tcW w:w="880" w:type="dxa"/>
            <w:tcBorders>
              <w:top w:val="nil"/>
              <w:left w:val="nil"/>
              <w:bottom w:val="nil"/>
              <w:right w:val="nil"/>
            </w:tcBorders>
            <w:shd w:val="clear" w:color="auto" w:fill="auto"/>
            <w:vAlign w:val="bottom"/>
            <w:hideMark/>
          </w:tcPr>
          <w:p w14:paraId="473E35B9" w14:textId="77777777" w:rsidR="00F84901" w:rsidRPr="00B417BF" w:rsidRDefault="00F84901" w:rsidP="00DA4732">
            <w:pPr>
              <w:rPr>
                <w:rFonts w:asciiTheme="minorHAnsi" w:hAnsiTheme="minorHAnsi"/>
                <w:color w:val="000000"/>
                <w:sz w:val="20"/>
                <w:szCs w:val="20"/>
              </w:rPr>
            </w:pPr>
          </w:p>
        </w:tc>
        <w:tc>
          <w:tcPr>
            <w:tcW w:w="240" w:type="dxa"/>
            <w:tcBorders>
              <w:top w:val="nil"/>
              <w:left w:val="nil"/>
              <w:bottom w:val="nil"/>
              <w:right w:val="single" w:sz="4" w:space="0" w:color="auto"/>
            </w:tcBorders>
            <w:shd w:val="clear" w:color="auto" w:fill="auto"/>
            <w:vAlign w:val="bottom"/>
            <w:hideMark/>
          </w:tcPr>
          <w:p w14:paraId="389FE02F"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 </w:t>
            </w:r>
          </w:p>
        </w:tc>
      </w:tr>
      <w:tr w:rsidR="00F84901" w:rsidRPr="00B417BF" w14:paraId="2D161671"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461E896"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3B2480AF"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yes</w:t>
            </w:r>
          </w:p>
        </w:tc>
        <w:tc>
          <w:tcPr>
            <w:tcW w:w="880" w:type="dxa"/>
            <w:tcBorders>
              <w:top w:val="nil"/>
              <w:left w:val="nil"/>
              <w:bottom w:val="nil"/>
              <w:right w:val="nil"/>
            </w:tcBorders>
            <w:shd w:val="clear" w:color="auto" w:fill="auto"/>
            <w:vAlign w:val="bottom"/>
            <w:hideMark/>
          </w:tcPr>
          <w:p w14:paraId="02698A47"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25EA6AF6"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r>
      <w:tr w:rsidR="00F84901" w:rsidRPr="00B417BF" w14:paraId="7D83B8B5"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4367CAF0"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7FE12383"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no</w:t>
            </w:r>
          </w:p>
        </w:tc>
        <w:tc>
          <w:tcPr>
            <w:tcW w:w="880" w:type="dxa"/>
            <w:tcBorders>
              <w:top w:val="nil"/>
              <w:left w:val="nil"/>
              <w:bottom w:val="nil"/>
              <w:right w:val="nil"/>
            </w:tcBorders>
            <w:shd w:val="clear" w:color="auto" w:fill="auto"/>
            <w:vAlign w:val="bottom"/>
            <w:hideMark/>
          </w:tcPr>
          <w:p w14:paraId="7B1C5FFB"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19</w:t>
            </w:r>
          </w:p>
        </w:tc>
        <w:tc>
          <w:tcPr>
            <w:tcW w:w="240" w:type="dxa"/>
            <w:tcBorders>
              <w:top w:val="nil"/>
              <w:left w:val="nil"/>
              <w:bottom w:val="nil"/>
              <w:right w:val="single" w:sz="4" w:space="0" w:color="auto"/>
            </w:tcBorders>
            <w:shd w:val="clear" w:color="auto" w:fill="auto"/>
            <w:vAlign w:val="bottom"/>
            <w:hideMark/>
          </w:tcPr>
          <w:p w14:paraId="0A9B2915"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22</w:t>
            </w:r>
          </w:p>
        </w:tc>
      </w:tr>
      <w:tr w:rsidR="00F84901" w:rsidRPr="00B417BF" w14:paraId="0B2456E3"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4151ECCB"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What made your support strategy successful?</w:t>
            </w:r>
          </w:p>
        </w:tc>
        <w:tc>
          <w:tcPr>
            <w:tcW w:w="2728" w:type="dxa"/>
            <w:tcBorders>
              <w:top w:val="nil"/>
              <w:left w:val="nil"/>
              <w:bottom w:val="nil"/>
              <w:right w:val="nil"/>
            </w:tcBorders>
            <w:shd w:val="clear" w:color="auto" w:fill="auto"/>
            <w:vAlign w:val="bottom"/>
            <w:hideMark/>
          </w:tcPr>
          <w:p w14:paraId="7EF5F717" w14:textId="77777777" w:rsidR="00F84901" w:rsidRPr="00B417BF" w:rsidRDefault="00F84901" w:rsidP="00DA4732">
            <w:pPr>
              <w:rPr>
                <w:rFonts w:asciiTheme="minorHAnsi" w:hAnsiTheme="minorHAnsi"/>
                <w:color w:val="000000"/>
                <w:sz w:val="20"/>
                <w:szCs w:val="20"/>
              </w:rPr>
            </w:pPr>
          </w:p>
        </w:tc>
        <w:tc>
          <w:tcPr>
            <w:tcW w:w="880" w:type="dxa"/>
            <w:tcBorders>
              <w:top w:val="nil"/>
              <w:left w:val="nil"/>
              <w:bottom w:val="nil"/>
              <w:right w:val="nil"/>
            </w:tcBorders>
            <w:shd w:val="clear" w:color="auto" w:fill="auto"/>
            <w:vAlign w:val="bottom"/>
            <w:hideMark/>
          </w:tcPr>
          <w:p w14:paraId="3D153B45" w14:textId="77777777" w:rsidR="00F84901" w:rsidRPr="00B417BF" w:rsidRDefault="00F84901" w:rsidP="00DA4732">
            <w:pPr>
              <w:rPr>
                <w:rFonts w:asciiTheme="minorHAnsi" w:hAnsiTheme="minorHAnsi"/>
                <w:color w:val="000000"/>
                <w:sz w:val="20"/>
                <w:szCs w:val="20"/>
              </w:rPr>
            </w:pPr>
          </w:p>
        </w:tc>
        <w:tc>
          <w:tcPr>
            <w:tcW w:w="240" w:type="dxa"/>
            <w:tcBorders>
              <w:top w:val="nil"/>
              <w:left w:val="nil"/>
              <w:bottom w:val="nil"/>
              <w:right w:val="single" w:sz="4" w:space="0" w:color="auto"/>
            </w:tcBorders>
            <w:shd w:val="clear" w:color="auto" w:fill="auto"/>
            <w:vAlign w:val="bottom"/>
            <w:hideMark/>
          </w:tcPr>
          <w:p w14:paraId="728FA11A"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 </w:t>
            </w:r>
          </w:p>
        </w:tc>
      </w:tr>
      <w:tr w:rsidR="00F84901" w:rsidRPr="00B417BF" w14:paraId="3FDBD71D"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0C26006F"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w:t>
            </w:r>
          </w:p>
        </w:tc>
        <w:tc>
          <w:tcPr>
            <w:tcW w:w="2728" w:type="dxa"/>
            <w:tcBorders>
              <w:top w:val="nil"/>
              <w:left w:val="nil"/>
              <w:bottom w:val="nil"/>
              <w:right w:val="nil"/>
            </w:tcBorders>
            <w:shd w:val="clear" w:color="auto" w:fill="auto"/>
            <w:vAlign w:val="bottom"/>
            <w:hideMark/>
          </w:tcPr>
          <w:p w14:paraId="28EB5E1E"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had someone to verbalize to</w:t>
            </w:r>
          </w:p>
        </w:tc>
        <w:tc>
          <w:tcPr>
            <w:tcW w:w="880" w:type="dxa"/>
            <w:tcBorders>
              <w:top w:val="nil"/>
              <w:left w:val="nil"/>
              <w:bottom w:val="nil"/>
              <w:right w:val="nil"/>
            </w:tcBorders>
            <w:shd w:val="clear" w:color="auto" w:fill="auto"/>
            <w:vAlign w:val="bottom"/>
            <w:hideMark/>
          </w:tcPr>
          <w:p w14:paraId="68867CCA"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c>
          <w:tcPr>
            <w:tcW w:w="240" w:type="dxa"/>
            <w:tcBorders>
              <w:top w:val="nil"/>
              <w:left w:val="nil"/>
              <w:bottom w:val="nil"/>
              <w:right w:val="single" w:sz="4" w:space="0" w:color="auto"/>
            </w:tcBorders>
            <w:shd w:val="clear" w:color="auto" w:fill="auto"/>
            <w:vAlign w:val="bottom"/>
            <w:hideMark/>
          </w:tcPr>
          <w:p w14:paraId="0A6E2DB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6043BFCC"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6FD83804"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w:t>
            </w:r>
          </w:p>
        </w:tc>
        <w:tc>
          <w:tcPr>
            <w:tcW w:w="2728" w:type="dxa"/>
            <w:tcBorders>
              <w:top w:val="nil"/>
              <w:left w:val="nil"/>
              <w:bottom w:val="nil"/>
              <w:right w:val="nil"/>
            </w:tcBorders>
            <w:shd w:val="clear" w:color="auto" w:fill="auto"/>
            <w:vAlign w:val="bottom"/>
            <w:hideMark/>
          </w:tcPr>
          <w:p w14:paraId="54E9F267"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had peers in same situation</w:t>
            </w:r>
          </w:p>
        </w:tc>
        <w:tc>
          <w:tcPr>
            <w:tcW w:w="880" w:type="dxa"/>
            <w:tcBorders>
              <w:top w:val="nil"/>
              <w:left w:val="nil"/>
              <w:bottom w:val="nil"/>
              <w:right w:val="nil"/>
            </w:tcBorders>
            <w:shd w:val="clear" w:color="auto" w:fill="auto"/>
            <w:vAlign w:val="bottom"/>
            <w:hideMark/>
          </w:tcPr>
          <w:p w14:paraId="2E054A7C"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1C07548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532A25FB"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2221EAC0"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w:t>
            </w:r>
          </w:p>
        </w:tc>
        <w:tc>
          <w:tcPr>
            <w:tcW w:w="2728" w:type="dxa"/>
            <w:tcBorders>
              <w:top w:val="nil"/>
              <w:left w:val="nil"/>
              <w:bottom w:val="nil"/>
              <w:right w:val="nil"/>
            </w:tcBorders>
            <w:shd w:val="clear" w:color="auto" w:fill="auto"/>
            <w:vAlign w:val="bottom"/>
            <w:hideMark/>
          </w:tcPr>
          <w:p w14:paraId="0A3781F9"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helped at home</w:t>
            </w:r>
          </w:p>
        </w:tc>
        <w:tc>
          <w:tcPr>
            <w:tcW w:w="880" w:type="dxa"/>
            <w:tcBorders>
              <w:top w:val="nil"/>
              <w:left w:val="nil"/>
              <w:bottom w:val="nil"/>
              <w:right w:val="nil"/>
            </w:tcBorders>
            <w:shd w:val="clear" w:color="auto" w:fill="auto"/>
            <w:vAlign w:val="bottom"/>
            <w:hideMark/>
          </w:tcPr>
          <w:p w14:paraId="0E81E61B"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2865599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18BB092C"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12FFF643"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w:t>
            </w:r>
          </w:p>
        </w:tc>
        <w:tc>
          <w:tcPr>
            <w:tcW w:w="2728" w:type="dxa"/>
            <w:tcBorders>
              <w:top w:val="nil"/>
              <w:left w:val="nil"/>
              <w:bottom w:val="nil"/>
              <w:right w:val="nil"/>
            </w:tcBorders>
            <w:shd w:val="clear" w:color="auto" w:fill="auto"/>
            <w:vAlign w:val="bottom"/>
            <w:hideMark/>
          </w:tcPr>
          <w:p w14:paraId="00972749"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had support</w:t>
            </w:r>
          </w:p>
        </w:tc>
        <w:tc>
          <w:tcPr>
            <w:tcW w:w="880" w:type="dxa"/>
            <w:tcBorders>
              <w:top w:val="nil"/>
              <w:left w:val="nil"/>
              <w:bottom w:val="nil"/>
              <w:right w:val="nil"/>
            </w:tcBorders>
            <w:shd w:val="clear" w:color="auto" w:fill="auto"/>
            <w:vAlign w:val="bottom"/>
            <w:hideMark/>
          </w:tcPr>
          <w:p w14:paraId="41CABED0"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hideMark/>
          </w:tcPr>
          <w:p w14:paraId="1A06FA3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1BD7EE9F"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5A5B9EFF"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w:t>
            </w:r>
          </w:p>
        </w:tc>
        <w:tc>
          <w:tcPr>
            <w:tcW w:w="2728" w:type="dxa"/>
            <w:tcBorders>
              <w:top w:val="nil"/>
              <w:left w:val="nil"/>
              <w:bottom w:val="nil"/>
              <w:right w:val="nil"/>
            </w:tcBorders>
            <w:shd w:val="clear" w:color="auto" w:fill="auto"/>
            <w:vAlign w:val="bottom"/>
            <w:hideMark/>
          </w:tcPr>
          <w:p w14:paraId="07EF7774"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relaxed/lower stress</w:t>
            </w:r>
          </w:p>
        </w:tc>
        <w:tc>
          <w:tcPr>
            <w:tcW w:w="880" w:type="dxa"/>
            <w:tcBorders>
              <w:top w:val="nil"/>
              <w:left w:val="nil"/>
              <w:bottom w:val="nil"/>
              <w:right w:val="nil"/>
            </w:tcBorders>
            <w:shd w:val="clear" w:color="auto" w:fill="auto"/>
            <w:vAlign w:val="bottom"/>
            <w:hideMark/>
          </w:tcPr>
          <w:p w14:paraId="08C65651"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3BEA053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2ABCE286"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45EA0E19"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w:t>
            </w:r>
          </w:p>
        </w:tc>
        <w:tc>
          <w:tcPr>
            <w:tcW w:w="2728" w:type="dxa"/>
            <w:tcBorders>
              <w:top w:val="nil"/>
              <w:left w:val="nil"/>
              <w:bottom w:val="nil"/>
              <w:right w:val="nil"/>
            </w:tcBorders>
            <w:shd w:val="clear" w:color="auto" w:fill="auto"/>
            <w:vAlign w:val="bottom"/>
            <w:hideMark/>
          </w:tcPr>
          <w:p w14:paraId="3F2BA1BC"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family support</w:t>
            </w:r>
          </w:p>
        </w:tc>
        <w:tc>
          <w:tcPr>
            <w:tcW w:w="880" w:type="dxa"/>
            <w:tcBorders>
              <w:top w:val="nil"/>
              <w:left w:val="nil"/>
              <w:bottom w:val="nil"/>
              <w:right w:val="nil"/>
            </w:tcBorders>
            <w:shd w:val="clear" w:color="auto" w:fill="auto"/>
            <w:vAlign w:val="bottom"/>
            <w:hideMark/>
          </w:tcPr>
          <w:p w14:paraId="07E87C2C"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7CF0536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6</w:t>
            </w:r>
          </w:p>
        </w:tc>
      </w:tr>
      <w:tr w:rsidR="00F84901" w:rsidRPr="00B417BF" w14:paraId="284BCA4D"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2B4B006E"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w:t>
            </w:r>
          </w:p>
        </w:tc>
        <w:tc>
          <w:tcPr>
            <w:tcW w:w="2728" w:type="dxa"/>
            <w:tcBorders>
              <w:top w:val="nil"/>
              <w:left w:val="nil"/>
              <w:bottom w:val="nil"/>
              <w:right w:val="nil"/>
            </w:tcBorders>
            <w:shd w:val="clear" w:color="auto" w:fill="auto"/>
            <w:vAlign w:val="bottom"/>
            <w:hideMark/>
          </w:tcPr>
          <w:p w14:paraId="775C35F4"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breaks/time away</w:t>
            </w:r>
          </w:p>
        </w:tc>
        <w:tc>
          <w:tcPr>
            <w:tcW w:w="880" w:type="dxa"/>
            <w:tcBorders>
              <w:top w:val="nil"/>
              <w:left w:val="nil"/>
              <w:bottom w:val="nil"/>
              <w:right w:val="nil"/>
            </w:tcBorders>
            <w:shd w:val="clear" w:color="auto" w:fill="auto"/>
            <w:vAlign w:val="bottom"/>
            <w:hideMark/>
          </w:tcPr>
          <w:p w14:paraId="278EC21C"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2AB97860"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r>
      <w:tr w:rsidR="00F84901" w:rsidRPr="00B417BF" w14:paraId="742EC65B" w14:textId="77777777" w:rsidTr="00DA4732">
        <w:trPr>
          <w:trHeight w:val="300"/>
        </w:trPr>
        <w:tc>
          <w:tcPr>
            <w:tcW w:w="3624" w:type="dxa"/>
            <w:tcBorders>
              <w:top w:val="nil"/>
              <w:left w:val="single" w:sz="4" w:space="0" w:color="auto"/>
              <w:bottom w:val="nil"/>
              <w:right w:val="nil"/>
            </w:tcBorders>
            <w:shd w:val="clear" w:color="auto" w:fill="auto"/>
            <w:vAlign w:val="center"/>
          </w:tcPr>
          <w:p w14:paraId="7E9CB420" w14:textId="77777777" w:rsidR="00F84901" w:rsidRPr="00B417BF" w:rsidRDefault="00F84901" w:rsidP="00DA4732">
            <w:pPr>
              <w:rPr>
                <w:rFonts w:asciiTheme="minorHAnsi" w:hAnsiTheme="minorHAnsi" w:cs="Arial"/>
                <w:b/>
                <w:bCs/>
                <w:color w:val="000000"/>
                <w:sz w:val="20"/>
                <w:szCs w:val="20"/>
              </w:rPr>
            </w:pPr>
          </w:p>
        </w:tc>
        <w:tc>
          <w:tcPr>
            <w:tcW w:w="2728" w:type="dxa"/>
            <w:tcBorders>
              <w:top w:val="nil"/>
              <w:left w:val="nil"/>
              <w:bottom w:val="nil"/>
              <w:right w:val="nil"/>
            </w:tcBorders>
            <w:shd w:val="clear" w:color="auto" w:fill="auto"/>
            <w:vAlign w:val="bottom"/>
          </w:tcPr>
          <w:p w14:paraId="5CB72CC1"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prioritized</w:t>
            </w:r>
          </w:p>
        </w:tc>
        <w:tc>
          <w:tcPr>
            <w:tcW w:w="880" w:type="dxa"/>
            <w:tcBorders>
              <w:top w:val="nil"/>
              <w:left w:val="nil"/>
              <w:bottom w:val="nil"/>
              <w:right w:val="nil"/>
            </w:tcBorders>
            <w:shd w:val="clear" w:color="auto" w:fill="auto"/>
            <w:vAlign w:val="bottom"/>
          </w:tcPr>
          <w:p w14:paraId="7A3CCF2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tcPr>
          <w:p w14:paraId="09E3688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60F26B1B" w14:textId="77777777" w:rsidTr="00DA4732">
        <w:trPr>
          <w:trHeight w:val="300"/>
        </w:trPr>
        <w:tc>
          <w:tcPr>
            <w:tcW w:w="3624" w:type="dxa"/>
            <w:tcBorders>
              <w:top w:val="nil"/>
              <w:left w:val="single" w:sz="4" w:space="0" w:color="auto"/>
              <w:bottom w:val="nil"/>
              <w:right w:val="nil"/>
            </w:tcBorders>
            <w:shd w:val="clear" w:color="auto" w:fill="auto"/>
            <w:vAlign w:val="center"/>
            <w:hideMark/>
          </w:tcPr>
          <w:p w14:paraId="417C88CB"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w:t>
            </w:r>
          </w:p>
        </w:tc>
        <w:tc>
          <w:tcPr>
            <w:tcW w:w="2728" w:type="dxa"/>
            <w:tcBorders>
              <w:top w:val="nil"/>
              <w:left w:val="nil"/>
              <w:bottom w:val="nil"/>
              <w:right w:val="nil"/>
            </w:tcBorders>
            <w:shd w:val="clear" w:color="auto" w:fill="auto"/>
            <w:vAlign w:val="bottom"/>
            <w:hideMark/>
          </w:tcPr>
          <w:p w14:paraId="6198B7C6"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had friends</w:t>
            </w:r>
          </w:p>
        </w:tc>
        <w:tc>
          <w:tcPr>
            <w:tcW w:w="880" w:type="dxa"/>
            <w:tcBorders>
              <w:top w:val="nil"/>
              <w:left w:val="nil"/>
              <w:bottom w:val="nil"/>
              <w:right w:val="nil"/>
            </w:tcBorders>
            <w:shd w:val="clear" w:color="auto" w:fill="auto"/>
            <w:vAlign w:val="bottom"/>
            <w:hideMark/>
          </w:tcPr>
          <w:p w14:paraId="3ACF1394"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352ED6C7"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16069445"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4F03CA57"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5F765C25"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it's not working</w:t>
            </w:r>
          </w:p>
        </w:tc>
        <w:tc>
          <w:tcPr>
            <w:tcW w:w="880" w:type="dxa"/>
            <w:tcBorders>
              <w:top w:val="nil"/>
              <w:left w:val="nil"/>
              <w:bottom w:val="nil"/>
              <w:right w:val="nil"/>
            </w:tcBorders>
            <w:shd w:val="clear" w:color="auto" w:fill="auto"/>
            <w:vAlign w:val="bottom"/>
            <w:hideMark/>
          </w:tcPr>
          <w:p w14:paraId="5AB9F0E6"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2A5B9241"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0A9A9DDE"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1572C794"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In what ways?</w:t>
            </w:r>
          </w:p>
        </w:tc>
        <w:tc>
          <w:tcPr>
            <w:tcW w:w="2728" w:type="dxa"/>
            <w:tcBorders>
              <w:top w:val="nil"/>
              <w:left w:val="nil"/>
              <w:bottom w:val="nil"/>
              <w:right w:val="nil"/>
            </w:tcBorders>
            <w:shd w:val="clear" w:color="auto" w:fill="auto"/>
            <w:vAlign w:val="bottom"/>
            <w:hideMark/>
          </w:tcPr>
          <w:p w14:paraId="6F5F2831" w14:textId="77777777" w:rsidR="00F84901" w:rsidRPr="00B417BF" w:rsidRDefault="00F84901" w:rsidP="00DA4732">
            <w:pPr>
              <w:rPr>
                <w:rFonts w:asciiTheme="minorHAnsi" w:hAnsiTheme="minorHAnsi"/>
                <w:color w:val="000000"/>
                <w:sz w:val="20"/>
                <w:szCs w:val="20"/>
              </w:rPr>
            </w:pPr>
          </w:p>
        </w:tc>
        <w:tc>
          <w:tcPr>
            <w:tcW w:w="880" w:type="dxa"/>
            <w:tcBorders>
              <w:top w:val="nil"/>
              <w:left w:val="nil"/>
              <w:bottom w:val="nil"/>
              <w:right w:val="nil"/>
            </w:tcBorders>
            <w:shd w:val="clear" w:color="auto" w:fill="auto"/>
            <w:vAlign w:val="bottom"/>
            <w:hideMark/>
          </w:tcPr>
          <w:p w14:paraId="3095DF2E" w14:textId="77777777" w:rsidR="00F84901" w:rsidRPr="00B417BF" w:rsidRDefault="00F84901" w:rsidP="00DA4732">
            <w:pPr>
              <w:rPr>
                <w:rFonts w:asciiTheme="minorHAnsi" w:hAnsiTheme="minorHAnsi"/>
                <w:color w:val="000000"/>
                <w:sz w:val="20"/>
                <w:szCs w:val="20"/>
              </w:rPr>
            </w:pPr>
          </w:p>
        </w:tc>
        <w:tc>
          <w:tcPr>
            <w:tcW w:w="240" w:type="dxa"/>
            <w:tcBorders>
              <w:top w:val="nil"/>
              <w:left w:val="nil"/>
              <w:bottom w:val="nil"/>
              <w:right w:val="single" w:sz="4" w:space="0" w:color="auto"/>
            </w:tcBorders>
            <w:shd w:val="clear" w:color="auto" w:fill="auto"/>
            <w:vAlign w:val="bottom"/>
            <w:hideMark/>
          </w:tcPr>
          <w:p w14:paraId="009FB976"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 </w:t>
            </w:r>
          </w:p>
        </w:tc>
      </w:tr>
      <w:tr w:rsidR="00F84901" w:rsidRPr="00B417BF" w14:paraId="094E5084"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68A6F163"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678760F4"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caretaking</w:t>
            </w:r>
          </w:p>
        </w:tc>
        <w:tc>
          <w:tcPr>
            <w:tcW w:w="880" w:type="dxa"/>
            <w:tcBorders>
              <w:top w:val="nil"/>
              <w:left w:val="nil"/>
              <w:bottom w:val="nil"/>
              <w:right w:val="nil"/>
            </w:tcBorders>
            <w:shd w:val="clear" w:color="auto" w:fill="auto"/>
            <w:vAlign w:val="bottom"/>
            <w:hideMark/>
          </w:tcPr>
          <w:p w14:paraId="4F9F6E12"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324E84E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409318F8" w14:textId="77777777" w:rsidTr="00DA4732">
        <w:trPr>
          <w:trHeight w:val="300"/>
        </w:trPr>
        <w:tc>
          <w:tcPr>
            <w:tcW w:w="3624" w:type="dxa"/>
            <w:tcBorders>
              <w:top w:val="nil"/>
              <w:left w:val="single" w:sz="4" w:space="0" w:color="auto"/>
              <w:bottom w:val="nil"/>
              <w:right w:val="nil"/>
            </w:tcBorders>
            <w:shd w:val="clear" w:color="auto" w:fill="auto"/>
            <w:vAlign w:val="bottom"/>
          </w:tcPr>
          <w:p w14:paraId="1C739852" w14:textId="77777777" w:rsidR="00F84901" w:rsidRPr="00B417BF" w:rsidRDefault="00F84901" w:rsidP="00DA4732">
            <w:pPr>
              <w:rPr>
                <w:rFonts w:asciiTheme="minorHAnsi" w:hAnsiTheme="minorHAnsi"/>
                <w:b/>
                <w:bCs/>
                <w:color w:val="000000"/>
                <w:sz w:val="20"/>
                <w:szCs w:val="20"/>
              </w:rPr>
            </w:pPr>
          </w:p>
        </w:tc>
        <w:tc>
          <w:tcPr>
            <w:tcW w:w="2728" w:type="dxa"/>
            <w:tcBorders>
              <w:top w:val="nil"/>
              <w:left w:val="nil"/>
              <w:bottom w:val="nil"/>
              <w:right w:val="nil"/>
            </w:tcBorders>
            <w:shd w:val="clear" w:color="auto" w:fill="auto"/>
            <w:vAlign w:val="bottom"/>
          </w:tcPr>
          <w:p w14:paraId="19A73664"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kept focus/consistent</w:t>
            </w:r>
          </w:p>
        </w:tc>
        <w:tc>
          <w:tcPr>
            <w:tcW w:w="880" w:type="dxa"/>
            <w:tcBorders>
              <w:top w:val="nil"/>
              <w:left w:val="nil"/>
              <w:bottom w:val="nil"/>
              <w:right w:val="nil"/>
            </w:tcBorders>
            <w:shd w:val="clear" w:color="auto" w:fill="auto"/>
            <w:vAlign w:val="bottom"/>
          </w:tcPr>
          <w:p w14:paraId="3EDE616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tcPr>
          <w:p w14:paraId="744CC79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r>
      <w:tr w:rsidR="00F84901" w:rsidRPr="00B417BF" w14:paraId="59DAF286" w14:textId="77777777" w:rsidTr="00DA4732">
        <w:trPr>
          <w:trHeight w:val="300"/>
        </w:trPr>
        <w:tc>
          <w:tcPr>
            <w:tcW w:w="3624" w:type="dxa"/>
            <w:tcBorders>
              <w:top w:val="nil"/>
              <w:left w:val="single" w:sz="4" w:space="0" w:color="auto"/>
              <w:bottom w:val="nil"/>
              <w:right w:val="nil"/>
            </w:tcBorders>
            <w:shd w:val="clear" w:color="auto" w:fill="auto"/>
            <w:vAlign w:val="bottom"/>
          </w:tcPr>
          <w:p w14:paraId="6631C5D2" w14:textId="77777777" w:rsidR="00F84901" w:rsidRPr="00B417BF" w:rsidRDefault="00F84901" w:rsidP="00DA4732">
            <w:pPr>
              <w:rPr>
                <w:rFonts w:asciiTheme="minorHAnsi" w:hAnsiTheme="minorHAnsi"/>
                <w:b/>
                <w:bCs/>
                <w:color w:val="000000"/>
                <w:sz w:val="20"/>
                <w:szCs w:val="20"/>
              </w:rPr>
            </w:pPr>
          </w:p>
        </w:tc>
        <w:tc>
          <w:tcPr>
            <w:tcW w:w="2728" w:type="dxa"/>
            <w:tcBorders>
              <w:top w:val="nil"/>
              <w:left w:val="nil"/>
              <w:bottom w:val="nil"/>
              <w:right w:val="nil"/>
            </w:tcBorders>
            <w:shd w:val="clear" w:color="auto" w:fill="auto"/>
            <w:vAlign w:val="bottom"/>
          </w:tcPr>
          <w:p w14:paraId="1E7F006D"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understanding</w:t>
            </w:r>
          </w:p>
        </w:tc>
        <w:tc>
          <w:tcPr>
            <w:tcW w:w="880" w:type="dxa"/>
            <w:tcBorders>
              <w:top w:val="nil"/>
              <w:left w:val="nil"/>
              <w:bottom w:val="nil"/>
              <w:right w:val="nil"/>
            </w:tcBorders>
            <w:shd w:val="clear" w:color="auto" w:fill="auto"/>
            <w:vAlign w:val="bottom"/>
          </w:tcPr>
          <w:p w14:paraId="0940281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tcPr>
          <w:p w14:paraId="7D4EFA08"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5D78467F"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3F96F4FE"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1D4186D9"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able to depend on</w:t>
            </w:r>
          </w:p>
        </w:tc>
        <w:tc>
          <w:tcPr>
            <w:tcW w:w="880" w:type="dxa"/>
            <w:tcBorders>
              <w:top w:val="nil"/>
              <w:left w:val="nil"/>
              <w:bottom w:val="nil"/>
              <w:right w:val="nil"/>
            </w:tcBorders>
            <w:shd w:val="clear" w:color="auto" w:fill="auto"/>
            <w:vAlign w:val="bottom"/>
            <w:hideMark/>
          </w:tcPr>
          <w:p w14:paraId="75DEECC0"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042D6B41"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540F8A46"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6A356494"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1D6077EE"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new study strategies</w:t>
            </w:r>
          </w:p>
        </w:tc>
        <w:tc>
          <w:tcPr>
            <w:tcW w:w="880" w:type="dxa"/>
            <w:tcBorders>
              <w:top w:val="nil"/>
              <w:left w:val="nil"/>
              <w:bottom w:val="nil"/>
              <w:right w:val="nil"/>
            </w:tcBorders>
            <w:shd w:val="clear" w:color="auto" w:fill="auto"/>
            <w:vAlign w:val="bottom"/>
            <w:hideMark/>
          </w:tcPr>
          <w:p w14:paraId="18E5AA1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3DBB433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4BFD787C"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733876B8"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582F6222"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not feeling alone</w:t>
            </w:r>
          </w:p>
        </w:tc>
        <w:tc>
          <w:tcPr>
            <w:tcW w:w="880" w:type="dxa"/>
            <w:tcBorders>
              <w:top w:val="nil"/>
              <w:left w:val="nil"/>
              <w:bottom w:val="nil"/>
              <w:right w:val="nil"/>
            </w:tcBorders>
            <w:shd w:val="clear" w:color="auto" w:fill="auto"/>
            <w:vAlign w:val="bottom"/>
            <w:hideMark/>
          </w:tcPr>
          <w:p w14:paraId="2CD4A4C5"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74C1DB0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42DC1271"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56040323"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72F94A9A"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able to structure study time</w:t>
            </w:r>
          </w:p>
        </w:tc>
        <w:tc>
          <w:tcPr>
            <w:tcW w:w="880" w:type="dxa"/>
            <w:tcBorders>
              <w:top w:val="nil"/>
              <w:left w:val="nil"/>
              <w:bottom w:val="nil"/>
              <w:right w:val="nil"/>
            </w:tcBorders>
            <w:shd w:val="clear" w:color="auto" w:fill="auto"/>
            <w:vAlign w:val="bottom"/>
            <w:hideMark/>
          </w:tcPr>
          <w:p w14:paraId="60AFDD92"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hideMark/>
          </w:tcPr>
          <w:p w14:paraId="55D40BF8"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0D5449E7"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FBC61BB"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48FDECE5"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provided distraction</w:t>
            </w:r>
          </w:p>
        </w:tc>
        <w:tc>
          <w:tcPr>
            <w:tcW w:w="880" w:type="dxa"/>
            <w:tcBorders>
              <w:top w:val="nil"/>
              <w:left w:val="nil"/>
              <w:bottom w:val="nil"/>
              <w:right w:val="nil"/>
            </w:tcBorders>
            <w:shd w:val="clear" w:color="auto" w:fill="auto"/>
            <w:vAlign w:val="bottom"/>
            <w:hideMark/>
          </w:tcPr>
          <w:p w14:paraId="5075DC3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548F023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r>
      <w:tr w:rsidR="00F84901" w:rsidRPr="00B417BF" w14:paraId="575CBE06"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75A3E18E"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2B10FF18"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motivation/ encouragement</w:t>
            </w:r>
          </w:p>
        </w:tc>
        <w:tc>
          <w:tcPr>
            <w:tcW w:w="880" w:type="dxa"/>
            <w:tcBorders>
              <w:top w:val="nil"/>
              <w:left w:val="nil"/>
              <w:bottom w:val="nil"/>
              <w:right w:val="nil"/>
            </w:tcBorders>
            <w:shd w:val="clear" w:color="auto" w:fill="auto"/>
            <w:vAlign w:val="bottom"/>
            <w:hideMark/>
          </w:tcPr>
          <w:p w14:paraId="461714F5"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7E8BE1A7"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161F8320" w14:textId="77777777" w:rsidTr="00DA4732">
        <w:trPr>
          <w:trHeight w:val="480"/>
        </w:trPr>
        <w:tc>
          <w:tcPr>
            <w:tcW w:w="3624" w:type="dxa"/>
            <w:tcBorders>
              <w:top w:val="nil"/>
              <w:left w:val="single" w:sz="4" w:space="0" w:color="auto"/>
              <w:bottom w:val="nil"/>
              <w:right w:val="nil"/>
            </w:tcBorders>
            <w:shd w:val="clear" w:color="auto" w:fill="auto"/>
            <w:vAlign w:val="center"/>
            <w:hideMark/>
          </w:tcPr>
          <w:p w14:paraId="1BF2DDD9"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xml:space="preserve">How did your previous college background effect your readiness for </w:t>
            </w:r>
            <w:r>
              <w:rPr>
                <w:rFonts w:asciiTheme="minorHAnsi" w:hAnsiTheme="minorHAnsi" w:cs="Arial"/>
                <w:b/>
                <w:bCs/>
                <w:color w:val="000000"/>
                <w:sz w:val="20"/>
                <w:szCs w:val="20"/>
              </w:rPr>
              <w:t>Clinical Anatomy</w:t>
            </w:r>
            <w:r w:rsidRPr="00B417BF">
              <w:rPr>
                <w:rFonts w:asciiTheme="minorHAnsi" w:hAnsiTheme="minorHAnsi" w:cs="Arial"/>
                <w:b/>
                <w:bCs/>
                <w:color w:val="000000"/>
                <w:sz w:val="20"/>
                <w:szCs w:val="20"/>
              </w:rPr>
              <w:t>? </w:t>
            </w:r>
          </w:p>
        </w:tc>
        <w:tc>
          <w:tcPr>
            <w:tcW w:w="2728" w:type="dxa"/>
            <w:tcBorders>
              <w:top w:val="nil"/>
              <w:left w:val="nil"/>
              <w:bottom w:val="nil"/>
              <w:right w:val="nil"/>
            </w:tcBorders>
            <w:shd w:val="clear" w:color="auto" w:fill="auto"/>
            <w:vAlign w:val="bottom"/>
            <w:hideMark/>
          </w:tcPr>
          <w:p w14:paraId="4F35965D" w14:textId="77777777" w:rsidR="00F84901" w:rsidRPr="00B417BF" w:rsidRDefault="00F84901" w:rsidP="00DA4732">
            <w:pPr>
              <w:rPr>
                <w:rFonts w:asciiTheme="minorHAnsi" w:hAnsiTheme="minorHAnsi"/>
                <w:color w:val="000000"/>
                <w:sz w:val="20"/>
                <w:szCs w:val="20"/>
              </w:rPr>
            </w:pPr>
          </w:p>
        </w:tc>
        <w:tc>
          <w:tcPr>
            <w:tcW w:w="880" w:type="dxa"/>
            <w:tcBorders>
              <w:top w:val="nil"/>
              <w:left w:val="nil"/>
              <w:bottom w:val="nil"/>
              <w:right w:val="nil"/>
            </w:tcBorders>
            <w:shd w:val="clear" w:color="auto" w:fill="auto"/>
            <w:vAlign w:val="bottom"/>
            <w:hideMark/>
          </w:tcPr>
          <w:p w14:paraId="55D64108" w14:textId="77777777" w:rsidR="00F84901" w:rsidRPr="00B417BF" w:rsidRDefault="00F84901" w:rsidP="00DA4732">
            <w:pPr>
              <w:rPr>
                <w:rFonts w:asciiTheme="minorHAnsi" w:hAnsiTheme="minorHAnsi"/>
                <w:color w:val="000000"/>
                <w:sz w:val="20"/>
                <w:szCs w:val="20"/>
              </w:rPr>
            </w:pPr>
          </w:p>
        </w:tc>
        <w:tc>
          <w:tcPr>
            <w:tcW w:w="240" w:type="dxa"/>
            <w:tcBorders>
              <w:top w:val="nil"/>
              <w:left w:val="nil"/>
              <w:bottom w:val="nil"/>
              <w:right w:val="single" w:sz="4" w:space="0" w:color="auto"/>
            </w:tcBorders>
            <w:shd w:val="clear" w:color="auto" w:fill="auto"/>
            <w:vAlign w:val="bottom"/>
            <w:hideMark/>
          </w:tcPr>
          <w:p w14:paraId="1789A22E"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 </w:t>
            </w:r>
          </w:p>
        </w:tc>
      </w:tr>
      <w:tr w:rsidR="00F84901" w:rsidRPr="00B417BF" w14:paraId="273AFC4D"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51F60FE2"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67CC1FD9"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had anatomy &amp; did not help</w:t>
            </w:r>
          </w:p>
        </w:tc>
        <w:tc>
          <w:tcPr>
            <w:tcW w:w="880" w:type="dxa"/>
            <w:tcBorders>
              <w:top w:val="nil"/>
              <w:left w:val="nil"/>
              <w:bottom w:val="nil"/>
              <w:right w:val="nil"/>
            </w:tcBorders>
            <w:shd w:val="clear" w:color="auto" w:fill="auto"/>
            <w:vAlign w:val="bottom"/>
            <w:hideMark/>
          </w:tcPr>
          <w:p w14:paraId="1CEEC45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6</w:t>
            </w:r>
          </w:p>
        </w:tc>
        <w:tc>
          <w:tcPr>
            <w:tcW w:w="240" w:type="dxa"/>
            <w:tcBorders>
              <w:top w:val="nil"/>
              <w:left w:val="nil"/>
              <w:bottom w:val="nil"/>
              <w:right w:val="single" w:sz="4" w:space="0" w:color="auto"/>
            </w:tcBorders>
            <w:shd w:val="clear" w:color="auto" w:fill="auto"/>
            <w:vAlign w:val="bottom"/>
            <w:hideMark/>
          </w:tcPr>
          <w:p w14:paraId="0EEFF948"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7</w:t>
            </w:r>
          </w:p>
        </w:tc>
      </w:tr>
      <w:tr w:rsidR="00F84901" w:rsidRPr="00B417BF" w14:paraId="00C143EB"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1CEDD1D8"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6A9803F6"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was not prepared</w:t>
            </w:r>
          </w:p>
        </w:tc>
        <w:tc>
          <w:tcPr>
            <w:tcW w:w="880" w:type="dxa"/>
            <w:tcBorders>
              <w:top w:val="nil"/>
              <w:left w:val="nil"/>
              <w:bottom w:val="nil"/>
              <w:right w:val="nil"/>
            </w:tcBorders>
            <w:shd w:val="clear" w:color="auto" w:fill="auto"/>
            <w:vAlign w:val="bottom"/>
            <w:hideMark/>
          </w:tcPr>
          <w:p w14:paraId="64DCF2EB"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c>
          <w:tcPr>
            <w:tcW w:w="240" w:type="dxa"/>
            <w:tcBorders>
              <w:top w:val="nil"/>
              <w:left w:val="nil"/>
              <w:bottom w:val="nil"/>
              <w:right w:val="single" w:sz="4" w:space="0" w:color="auto"/>
            </w:tcBorders>
            <w:shd w:val="clear" w:color="auto" w:fill="auto"/>
            <w:vAlign w:val="bottom"/>
            <w:hideMark/>
          </w:tcPr>
          <w:p w14:paraId="0B60198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26677D5C"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11572DFE"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588C35C6"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had anatomy &amp; helped</w:t>
            </w:r>
          </w:p>
        </w:tc>
        <w:tc>
          <w:tcPr>
            <w:tcW w:w="880" w:type="dxa"/>
            <w:tcBorders>
              <w:top w:val="nil"/>
              <w:left w:val="nil"/>
              <w:bottom w:val="nil"/>
              <w:right w:val="nil"/>
            </w:tcBorders>
            <w:shd w:val="clear" w:color="auto" w:fill="auto"/>
            <w:vAlign w:val="bottom"/>
            <w:hideMark/>
          </w:tcPr>
          <w:p w14:paraId="15F7E3BB"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c>
          <w:tcPr>
            <w:tcW w:w="240" w:type="dxa"/>
            <w:tcBorders>
              <w:top w:val="nil"/>
              <w:left w:val="nil"/>
              <w:bottom w:val="nil"/>
              <w:right w:val="single" w:sz="4" w:space="0" w:color="auto"/>
            </w:tcBorders>
            <w:shd w:val="clear" w:color="auto" w:fill="auto"/>
            <w:vAlign w:val="bottom"/>
            <w:hideMark/>
          </w:tcPr>
          <w:p w14:paraId="61E84337"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5100E328"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6B40E6DF"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33E5D88C"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more prepared</w:t>
            </w:r>
          </w:p>
        </w:tc>
        <w:tc>
          <w:tcPr>
            <w:tcW w:w="880" w:type="dxa"/>
            <w:tcBorders>
              <w:top w:val="nil"/>
              <w:left w:val="nil"/>
              <w:bottom w:val="nil"/>
              <w:right w:val="nil"/>
            </w:tcBorders>
            <w:shd w:val="clear" w:color="auto" w:fill="auto"/>
            <w:vAlign w:val="bottom"/>
            <w:hideMark/>
          </w:tcPr>
          <w:p w14:paraId="13B13D1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c>
          <w:tcPr>
            <w:tcW w:w="240" w:type="dxa"/>
            <w:tcBorders>
              <w:top w:val="nil"/>
              <w:left w:val="nil"/>
              <w:bottom w:val="nil"/>
              <w:right w:val="single" w:sz="4" w:space="0" w:color="auto"/>
            </w:tcBorders>
            <w:shd w:val="clear" w:color="auto" w:fill="auto"/>
            <w:vAlign w:val="bottom"/>
            <w:hideMark/>
          </w:tcPr>
          <w:p w14:paraId="11825B9A"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35EA3516"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2A1768EC"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5F20F515"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rigor of undergrad</w:t>
            </w:r>
          </w:p>
        </w:tc>
        <w:tc>
          <w:tcPr>
            <w:tcW w:w="880" w:type="dxa"/>
            <w:tcBorders>
              <w:top w:val="nil"/>
              <w:left w:val="nil"/>
              <w:bottom w:val="nil"/>
              <w:right w:val="nil"/>
            </w:tcBorders>
            <w:shd w:val="clear" w:color="auto" w:fill="auto"/>
            <w:vAlign w:val="bottom"/>
            <w:hideMark/>
          </w:tcPr>
          <w:p w14:paraId="0E670E2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2297D59A"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4A49AFF5"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7503530C"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1B95ED32"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similar coursework</w:t>
            </w:r>
          </w:p>
        </w:tc>
        <w:tc>
          <w:tcPr>
            <w:tcW w:w="880" w:type="dxa"/>
            <w:tcBorders>
              <w:top w:val="nil"/>
              <w:left w:val="nil"/>
              <w:bottom w:val="nil"/>
              <w:right w:val="nil"/>
            </w:tcBorders>
            <w:shd w:val="clear" w:color="auto" w:fill="auto"/>
            <w:vAlign w:val="bottom"/>
            <w:hideMark/>
          </w:tcPr>
          <w:p w14:paraId="61B95820"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c>
          <w:tcPr>
            <w:tcW w:w="240" w:type="dxa"/>
            <w:tcBorders>
              <w:top w:val="nil"/>
              <w:left w:val="nil"/>
              <w:bottom w:val="nil"/>
              <w:right w:val="single" w:sz="4" w:space="0" w:color="auto"/>
            </w:tcBorders>
            <w:shd w:val="clear" w:color="auto" w:fill="auto"/>
            <w:vAlign w:val="bottom"/>
            <w:hideMark/>
          </w:tcPr>
          <w:p w14:paraId="1E76AFF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r>
      <w:tr w:rsidR="00F84901" w:rsidRPr="00B417BF" w14:paraId="69317F04"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7F0354E"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2539A902"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had professor before</w:t>
            </w:r>
          </w:p>
        </w:tc>
        <w:tc>
          <w:tcPr>
            <w:tcW w:w="880" w:type="dxa"/>
            <w:tcBorders>
              <w:top w:val="nil"/>
              <w:left w:val="nil"/>
              <w:bottom w:val="nil"/>
              <w:right w:val="nil"/>
            </w:tcBorders>
            <w:shd w:val="clear" w:color="auto" w:fill="auto"/>
            <w:vAlign w:val="bottom"/>
            <w:hideMark/>
          </w:tcPr>
          <w:p w14:paraId="301589F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hideMark/>
          </w:tcPr>
          <w:p w14:paraId="455BAE10"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4AFD2FEA"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2AE2A92D"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5480EC54"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study skills/strategies</w:t>
            </w:r>
          </w:p>
        </w:tc>
        <w:tc>
          <w:tcPr>
            <w:tcW w:w="880" w:type="dxa"/>
            <w:tcBorders>
              <w:top w:val="nil"/>
              <w:left w:val="nil"/>
              <w:bottom w:val="nil"/>
              <w:right w:val="nil"/>
            </w:tcBorders>
            <w:shd w:val="clear" w:color="auto" w:fill="auto"/>
            <w:vAlign w:val="bottom"/>
            <w:hideMark/>
          </w:tcPr>
          <w:p w14:paraId="70F72934"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54F4B629"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r>
      <w:tr w:rsidR="00F84901" w:rsidRPr="00B417BF" w14:paraId="431DD0DD"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6E2408DC"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7774CC7D"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familiar with material</w:t>
            </w:r>
          </w:p>
        </w:tc>
        <w:tc>
          <w:tcPr>
            <w:tcW w:w="880" w:type="dxa"/>
            <w:tcBorders>
              <w:top w:val="nil"/>
              <w:left w:val="nil"/>
              <w:bottom w:val="nil"/>
              <w:right w:val="nil"/>
            </w:tcBorders>
            <w:shd w:val="clear" w:color="auto" w:fill="auto"/>
            <w:vAlign w:val="bottom"/>
            <w:hideMark/>
          </w:tcPr>
          <w:p w14:paraId="56D5DF41"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65E2A697"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7</w:t>
            </w:r>
          </w:p>
        </w:tc>
      </w:tr>
      <w:tr w:rsidR="00F84901" w:rsidRPr="00B417BF" w14:paraId="4DD7F698"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69E2783D"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302BA0B7"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had previous anatomy</w:t>
            </w:r>
          </w:p>
        </w:tc>
        <w:tc>
          <w:tcPr>
            <w:tcW w:w="880" w:type="dxa"/>
            <w:tcBorders>
              <w:top w:val="nil"/>
              <w:left w:val="nil"/>
              <w:bottom w:val="nil"/>
              <w:right w:val="nil"/>
            </w:tcBorders>
            <w:shd w:val="clear" w:color="auto" w:fill="auto"/>
            <w:vAlign w:val="bottom"/>
            <w:hideMark/>
          </w:tcPr>
          <w:p w14:paraId="14C15D2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13</w:t>
            </w:r>
          </w:p>
        </w:tc>
        <w:tc>
          <w:tcPr>
            <w:tcW w:w="240" w:type="dxa"/>
            <w:tcBorders>
              <w:top w:val="nil"/>
              <w:left w:val="nil"/>
              <w:bottom w:val="nil"/>
              <w:right w:val="single" w:sz="4" w:space="0" w:color="auto"/>
            </w:tcBorders>
            <w:shd w:val="clear" w:color="auto" w:fill="auto"/>
            <w:vAlign w:val="bottom"/>
            <w:hideMark/>
          </w:tcPr>
          <w:p w14:paraId="5920793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8</w:t>
            </w:r>
          </w:p>
        </w:tc>
      </w:tr>
      <w:tr w:rsidR="00F84901" w:rsidRPr="00B417BF" w14:paraId="302EE168" w14:textId="77777777" w:rsidTr="00DA4732">
        <w:trPr>
          <w:trHeight w:val="500"/>
        </w:trPr>
        <w:tc>
          <w:tcPr>
            <w:tcW w:w="3624" w:type="dxa"/>
            <w:tcBorders>
              <w:top w:val="nil"/>
              <w:left w:val="single" w:sz="4" w:space="0" w:color="auto"/>
              <w:bottom w:val="nil"/>
              <w:right w:val="nil"/>
            </w:tcBorders>
            <w:shd w:val="clear" w:color="auto" w:fill="auto"/>
            <w:vAlign w:val="bottom"/>
            <w:hideMark/>
          </w:tcPr>
          <w:p w14:paraId="711C1276" w14:textId="77777777" w:rsidR="00F84901" w:rsidRPr="00B417BF" w:rsidRDefault="00F84901" w:rsidP="00DA4732">
            <w:pPr>
              <w:rPr>
                <w:rFonts w:asciiTheme="minorHAnsi" w:hAnsiTheme="minorHAnsi" w:cs="Arial"/>
                <w:b/>
                <w:bCs/>
                <w:color w:val="000000"/>
                <w:sz w:val="20"/>
                <w:szCs w:val="20"/>
              </w:rPr>
            </w:pPr>
            <w:r w:rsidRPr="00B417BF">
              <w:rPr>
                <w:rFonts w:asciiTheme="minorHAnsi" w:hAnsiTheme="minorHAnsi" w:cs="Arial"/>
                <w:b/>
                <w:bCs/>
                <w:color w:val="000000"/>
                <w:sz w:val="20"/>
                <w:szCs w:val="20"/>
              </w:rPr>
              <w:t xml:space="preserve">How could your experience in </w:t>
            </w:r>
            <w:r>
              <w:rPr>
                <w:rFonts w:asciiTheme="minorHAnsi" w:hAnsiTheme="minorHAnsi" w:cs="Arial"/>
                <w:b/>
                <w:bCs/>
                <w:color w:val="000000"/>
                <w:sz w:val="20"/>
                <w:szCs w:val="20"/>
              </w:rPr>
              <w:t>Clinical Anatomy</w:t>
            </w:r>
            <w:r w:rsidRPr="00B417BF">
              <w:rPr>
                <w:rFonts w:asciiTheme="minorHAnsi" w:hAnsiTheme="minorHAnsi" w:cs="Arial"/>
                <w:b/>
                <w:bCs/>
                <w:color w:val="000000"/>
                <w:sz w:val="20"/>
                <w:szCs w:val="20"/>
              </w:rPr>
              <w:t xml:space="preserve"> be improved to help your learning?</w:t>
            </w:r>
          </w:p>
        </w:tc>
        <w:tc>
          <w:tcPr>
            <w:tcW w:w="2728" w:type="dxa"/>
            <w:tcBorders>
              <w:top w:val="nil"/>
              <w:left w:val="nil"/>
              <w:bottom w:val="nil"/>
              <w:right w:val="nil"/>
            </w:tcBorders>
            <w:shd w:val="clear" w:color="auto" w:fill="auto"/>
            <w:vAlign w:val="bottom"/>
            <w:hideMark/>
          </w:tcPr>
          <w:p w14:paraId="5CFD32A0" w14:textId="77777777" w:rsidR="00F84901" w:rsidRPr="00B417BF" w:rsidRDefault="00F84901" w:rsidP="00DA4732">
            <w:pPr>
              <w:rPr>
                <w:rFonts w:asciiTheme="minorHAnsi" w:hAnsiTheme="minorHAnsi"/>
                <w:color w:val="000000"/>
                <w:sz w:val="20"/>
                <w:szCs w:val="20"/>
              </w:rPr>
            </w:pPr>
          </w:p>
        </w:tc>
        <w:tc>
          <w:tcPr>
            <w:tcW w:w="880" w:type="dxa"/>
            <w:tcBorders>
              <w:top w:val="nil"/>
              <w:left w:val="nil"/>
              <w:bottom w:val="nil"/>
              <w:right w:val="nil"/>
            </w:tcBorders>
            <w:shd w:val="clear" w:color="auto" w:fill="auto"/>
            <w:vAlign w:val="bottom"/>
            <w:hideMark/>
          </w:tcPr>
          <w:p w14:paraId="788C0468" w14:textId="77777777" w:rsidR="00F84901" w:rsidRPr="00B417BF" w:rsidRDefault="00F84901" w:rsidP="00DA4732">
            <w:pPr>
              <w:rPr>
                <w:rFonts w:asciiTheme="minorHAnsi" w:hAnsiTheme="minorHAnsi"/>
                <w:color w:val="000000"/>
                <w:sz w:val="20"/>
                <w:szCs w:val="20"/>
              </w:rPr>
            </w:pPr>
          </w:p>
        </w:tc>
        <w:tc>
          <w:tcPr>
            <w:tcW w:w="240" w:type="dxa"/>
            <w:tcBorders>
              <w:top w:val="nil"/>
              <w:left w:val="nil"/>
              <w:bottom w:val="nil"/>
              <w:right w:val="single" w:sz="4" w:space="0" w:color="auto"/>
            </w:tcBorders>
            <w:shd w:val="clear" w:color="auto" w:fill="auto"/>
            <w:vAlign w:val="bottom"/>
            <w:hideMark/>
          </w:tcPr>
          <w:p w14:paraId="2E91F348"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 </w:t>
            </w:r>
          </w:p>
        </w:tc>
      </w:tr>
      <w:tr w:rsidR="00F84901" w:rsidRPr="00B417BF" w14:paraId="328F5321"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118A1ADE"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lastRenderedPageBreak/>
              <w:t> </w:t>
            </w:r>
          </w:p>
        </w:tc>
        <w:tc>
          <w:tcPr>
            <w:tcW w:w="2728" w:type="dxa"/>
            <w:tcBorders>
              <w:top w:val="nil"/>
              <w:left w:val="nil"/>
              <w:bottom w:val="nil"/>
              <w:right w:val="nil"/>
            </w:tcBorders>
            <w:shd w:val="clear" w:color="auto" w:fill="auto"/>
            <w:vAlign w:val="bottom"/>
            <w:hideMark/>
          </w:tcPr>
          <w:p w14:paraId="7A356015"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be a longer course</w:t>
            </w:r>
          </w:p>
        </w:tc>
        <w:tc>
          <w:tcPr>
            <w:tcW w:w="880" w:type="dxa"/>
            <w:tcBorders>
              <w:top w:val="nil"/>
              <w:left w:val="nil"/>
              <w:bottom w:val="nil"/>
              <w:right w:val="nil"/>
            </w:tcBorders>
            <w:shd w:val="clear" w:color="auto" w:fill="auto"/>
            <w:vAlign w:val="bottom"/>
            <w:hideMark/>
          </w:tcPr>
          <w:p w14:paraId="6CB3F0A0"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4E2312A6"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28137C8C"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3F74F740"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053E1910"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organize lecture materials</w:t>
            </w:r>
          </w:p>
        </w:tc>
        <w:tc>
          <w:tcPr>
            <w:tcW w:w="880" w:type="dxa"/>
            <w:tcBorders>
              <w:top w:val="nil"/>
              <w:left w:val="nil"/>
              <w:bottom w:val="nil"/>
              <w:right w:val="nil"/>
            </w:tcBorders>
            <w:shd w:val="clear" w:color="auto" w:fill="auto"/>
            <w:vAlign w:val="bottom"/>
            <w:hideMark/>
          </w:tcPr>
          <w:p w14:paraId="3A5420E0"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487E15B4"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202AE63E"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0E9DDEC1"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5977480F"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improve test/quiz questions</w:t>
            </w:r>
          </w:p>
        </w:tc>
        <w:tc>
          <w:tcPr>
            <w:tcW w:w="880" w:type="dxa"/>
            <w:tcBorders>
              <w:top w:val="nil"/>
              <w:left w:val="nil"/>
              <w:bottom w:val="nil"/>
              <w:right w:val="nil"/>
            </w:tcBorders>
            <w:shd w:val="clear" w:color="auto" w:fill="auto"/>
            <w:vAlign w:val="bottom"/>
            <w:hideMark/>
          </w:tcPr>
          <w:p w14:paraId="50145F42"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389751D3"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4</w:t>
            </w:r>
          </w:p>
        </w:tc>
      </w:tr>
      <w:tr w:rsidR="00F84901" w:rsidRPr="00B417BF" w14:paraId="733D8FB7"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28CFA327"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40B2E5B6"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practice questions</w:t>
            </w:r>
          </w:p>
        </w:tc>
        <w:tc>
          <w:tcPr>
            <w:tcW w:w="880" w:type="dxa"/>
            <w:tcBorders>
              <w:top w:val="nil"/>
              <w:left w:val="nil"/>
              <w:bottom w:val="nil"/>
              <w:right w:val="nil"/>
            </w:tcBorders>
            <w:shd w:val="clear" w:color="auto" w:fill="auto"/>
            <w:vAlign w:val="bottom"/>
            <w:hideMark/>
          </w:tcPr>
          <w:p w14:paraId="2A234917"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c>
          <w:tcPr>
            <w:tcW w:w="240" w:type="dxa"/>
            <w:tcBorders>
              <w:top w:val="nil"/>
              <w:left w:val="nil"/>
              <w:bottom w:val="nil"/>
              <w:right w:val="single" w:sz="4" w:space="0" w:color="auto"/>
            </w:tcBorders>
            <w:shd w:val="clear" w:color="auto" w:fill="auto"/>
            <w:vAlign w:val="bottom"/>
            <w:hideMark/>
          </w:tcPr>
          <w:p w14:paraId="26B7C642"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1</w:t>
            </w:r>
          </w:p>
        </w:tc>
      </w:tr>
      <w:tr w:rsidR="00F84901" w:rsidRPr="00B417BF" w14:paraId="262FCFC8"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1BBF5319"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15E3A40D"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change study strategies</w:t>
            </w:r>
          </w:p>
        </w:tc>
        <w:tc>
          <w:tcPr>
            <w:tcW w:w="880" w:type="dxa"/>
            <w:tcBorders>
              <w:top w:val="nil"/>
              <w:left w:val="nil"/>
              <w:bottom w:val="nil"/>
              <w:right w:val="nil"/>
            </w:tcBorders>
            <w:shd w:val="clear" w:color="auto" w:fill="auto"/>
            <w:vAlign w:val="bottom"/>
            <w:hideMark/>
          </w:tcPr>
          <w:p w14:paraId="59194284"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391999D8"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4243AB0E"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1342FD1B"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0BF4B94C"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facility environment</w:t>
            </w:r>
          </w:p>
        </w:tc>
        <w:tc>
          <w:tcPr>
            <w:tcW w:w="880" w:type="dxa"/>
            <w:tcBorders>
              <w:top w:val="nil"/>
              <w:left w:val="nil"/>
              <w:bottom w:val="nil"/>
              <w:right w:val="nil"/>
            </w:tcBorders>
            <w:shd w:val="clear" w:color="auto" w:fill="auto"/>
            <w:vAlign w:val="bottom"/>
            <w:hideMark/>
          </w:tcPr>
          <w:p w14:paraId="46754CD6"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c>
          <w:tcPr>
            <w:tcW w:w="240" w:type="dxa"/>
            <w:tcBorders>
              <w:top w:val="nil"/>
              <w:left w:val="nil"/>
              <w:bottom w:val="nil"/>
              <w:right w:val="single" w:sz="4" w:space="0" w:color="auto"/>
            </w:tcBorders>
            <w:shd w:val="clear" w:color="auto" w:fill="auto"/>
            <w:vAlign w:val="bottom"/>
            <w:hideMark/>
          </w:tcPr>
          <w:p w14:paraId="1D117860"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53A6F671"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39060A0F"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37BCB059"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dissection/lab policy enforcement</w:t>
            </w:r>
          </w:p>
        </w:tc>
        <w:tc>
          <w:tcPr>
            <w:tcW w:w="880" w:type="dxa"/>
            <w:tcBorders>
              <w:top w:val="nil"/>
              <w:left w:val="nil"/>
              <w:bottom w:val="nil"/>
              <w:right w:val="nil"/>
            </w:tcBorders>
            <w:shd w:val="clear" w:color="auto" w:fill="auto"/>
            <w:vAlign w:val="bottom"/>
            <w:hideMark/>
          </w:tcPr>
          <w:p w14:paraId="5CC62A6F"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c>
          <w:tcPr>
            <w:tcW w:w="240" w:type="dxa"/>
            <w:tcBorders>
              <w:top w:val="nil"/>
              <w:left w:val="nil"/>
              <w:bottom w:val="nil"/>
              <w:right w:val="single" w:sz="4" w:space="0" w:color="auto"/>
            </w:tcBorders>
            <w:shd w:val="clear" w:color="auto" w:fill="auto"/>
            <w:vAlign w:val="bottom"/>
            <w:hideMark/>
          </w:tcPr>
          <w:p w14:paraId="3956D7F0"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r w:rsidR="00F84901" w:rsidRPr="00B417BF" w14:paraId="6781EF7A" w14:textId="77777777" w:rsidTr="00DA4732">
        <w:trPr>
          <w:trHeight w:val="300"/>
        </w:trPr>
        <w:tc>
          <w:tcPr>
            <w:tcW w:w="3624" w:type="dxa"/>
            <w:tcBorders>
              <w:top w:val="nil"/>
              <w:left w:val="single" w:sz="4" w:space="0" w:color="auto"/>
              <w:bottom w:val="nil"/>
              <w:right w:val="nil"/>
            </w:tcBorders>
            <w:shd w:val="clear" w:color="auto" w:fill="auto"/>
            <w:vAlign w:val="bottom"/>
            <w:hideMark/>
          </w:tcPr>
          <w:p w14:paraId="4749283D"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nil"/>
              <w:right w:val="nil"/>
            </w:tcBorders>
            <w:shd w:val="clear" w:color="auto" w:fill="auto"/>
            <w:vAlign w:val="bottom"/>
            <w:hideMark/>
          </w:tcPr>
          <w:p w14:paraId="5C99882C"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clarification of learning material</w:t>
            </w:r>
          </w:p>
        </w:tc>
        <w:tc>
          <w:tcPr>
            <w:tcW w:w="880" w:type="dxa"/>
            <w:tcBorders>
              <w:top w:val="nil"/>
              <w:left w:val="nil"/>
              <w:bottom w:val="nil"/>
              <w:right w:val="nil"/>
            </w:tcBorders>
            <w:shd w:val="clear" w:color="auto" w:fill="auto"/>
            <w:vAlign w:val="bottom"/>
            <w:hideMark/>
          </w:tcPr>
          <w:p w14:paraId="0909DBED"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3</w:t>
            </w:r>
          </w:p>
        </w:tc>
        <w:tc>
          <w:tcPr>
            <w:tcW w:w="240" w:type="dxa"/>
            <w:tcBorders>
              <w:top w:val="nil"/>
              <w:left w:val="nil"/>
              <w:bottom w:val="nil"/>
              <w:right w:val="single" w:sz="4" w:space="0" w:color="auto"/>
            </w:tcBorders>
            <w:shd w:val="clear" w:color="auto" w:fill="auto"/>
            <w:vAlign w:val="bottom"/>
            <w:hideMark/>
          </w:tcPr>
          <w:p w14:paraId="5A46C1B4"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0</w:t>
            </w:r>
          </w:p>
        </w:tc>
      </w:tr>
      <w:tr w:rsidR="00F84901" w:rsidRPr="00B417BF" w14:paraId="7A747C73" w14:textId="77777777" w:rsidTr="00DA4732">
        <w:trPr>
          <w:trHeight w:val="300"/>
        </w:trPr>
        <w:tc>
          <w:tcPr>
            <w:tcW w:w="3624" w:type="dxa"/>
            <w:tcBorders>
              <w:top w:val="nil"/>
              <w:left w:val="single" w:sz="4" w:space="0" w:color="auto"/>
              <w:bottom w:val="single" w:sz="4" w:space="0" w:color="auto"/>
              <w:right w:val="nil"/>
            </w:tcBorders>
            <w:shd w:val="clear" w:color="auto" w:fill="auto"/>
            <w:vAlign w:val="bottom"/>
            <w:hideMark/>
          </w:tcPr>
          <w:p w14:paraId="7ECD1A65" w14:textId="77777777" w:rsidR="00F84901" w:rsidRPr="00B417BF" w:rsidRDefault="00F84901" w:rsidP="00DA4732">
            <w:pPr>
              <w:rPr>
                <w:rFonts w:asciiTheme="minorHAnsi" w:hAnsiTheme="minorHAnsi"/>
                <w:b/>
                <w:bCs/>
                <w:color w:val="000000"/>
                <w:sz w:val="20"/>
                <w:szCs w:val="20"/>
              </w:rPr>
            </w:pPr>
            <w:r w:rsidRPr="00B417BF">
              <w:rPr>
                <w:rFonts w:asciiTheme="minorHAnsi" w:hAnsiTheme="minorHAnsi"/>
                <w:b/>
                <w:bCs/>
                <w:color w:val="000000"/>
                <w:sz w:val="20"/>
                <w:szCs w:val="20"/>
              </w:rPr>
              <w:t> </w:t>
            </w:r>
          </w:p>
        </w:tc>
        <w:tc>
          <w:tcPr>
            <w:tcW w:w="2728" w:type="dxa"/>
            <w:tcBorders>
              <w:top w:val="nil"/>
              <w:left w:val="nil"/>
              <w:bottom w:val="single" w:sz="4" w:space="0" w:color="auto"/>
              <w:right w:val="nil"/>
            </w:tcBorders>
            <w:shd w:val="clear" w:color="auto" w:fill="auto"/>
            <w:vAlign w:val="bottom"/>
            <w:hideMark/>
          </w:tcPr>
          <w:p w14:paraId="1D7A974B" w14:textId="77777777" w:rsidR="00F84901" w:rsidRPr="00B417BF" w:rsidRDefault="00F84901" w:rsidP="00DA4732">
            <w:pPr>
              <w:rPr>
                <w:rFonts w:asciiTheme="minorHAnsi" w:hAnsiTheme="minorHAnsi"/>
                <w:color w:val="000000"/>
                <w:sz w:val="20"/>
                <w:szCs w:val="20"/>
              </w:rPr>
            </w:pPr>
            <w:r w:rsidRPr="00B417BF">
              <w:rPr>
                <w:rFonts w:asciiTheme="minorHAnsi" w:hAnsiTheme="minorHAnsi"/>
                <w:color w:val="000000"/>
                <w:sz w:val="20"/>
                <w:szCs w:val="20"/>
              </w:rPr>
              <w:t>none</w:t>
            </w:r>
          </w:p>
        </w:tc>
        <w:tc>
          <w:tcPr>
            <w:tcW w:w="880" w:type="dxa"/>
            <w:tcBorders>
              <w:top w:val="nil"/>
              <w:left w:val="nil"/>
              <w:bottom w:val="single" w:sz="4" w:space="0" w:color="auto"/>
              <w:right w:val="nil"/>
            </w:tcBorders>
            <w:shd w:val="clear" w:color="auto" w:fill="auto"/>
            <w:vAlign w:val="bottom"/>
            <w:hideMark/>
          </w:tcPr>
          <w:p w14:paraId="030AE2CE"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5</w:t>
            </w:r>
          </w:p>
        </w:tc>
        <w:tc>
          <w:tcPr>
            <w:tcW w:w="240" w:type="dxa"/>
            <w:tcBorders>
              <w:top w:val="nil"/>
              <w:left w:val="nil"/>
              <w:bottom w:val="single" w:sz="4" w:space="0" w:color="auto"/>
              <w:right w:val="single" w:sz="4" w:space="0" w:color="auto"/>
            </w:tcBorders>
            <w:shd w:val="clear" w:color="auto" w:fill="auto"/>
            <w:vAlign w:val="bottom"/>
            <w:hideMark/>
          </w:tcPr>
          <w:p w14:paraId="53ABA20C" w14:textId="77777777" w:rsidR="00F84901" w:rsidRPr="00B417BF" w:rsidRDefault="00F84901" w:rsidP="00DA4732">
            <w:pPr>
              <w:jc w:val="right"/>
              <w:rPr>
                <w:rFonts w:asciiTheme="minorHAnsi" w:hAnsiTheme="minorHAnsi"/>
                <w:color w:val="000000"/>
                <w:sz w:val="20"/>
                <w:szCs w:val="20"/>
              </w:rPr>
            </w:pPr>
            <w:r w:rsidRPr="00B417BF">
              <w:rPr>
                <w:rFonts w:asciiTheme="minorHAnsi" w:hAnsiTheme="minorHAnsi"/>
                <w:color w:val="000000"/>
                <w:sz w:val="20"/>
                <w:szCs w:val="20"/>
              </w:rPr>
              <w:t>2</w:t>
            </w:r>
          </w:p>
        </w:tc>
      </w:tr>
    </w:tbl>
    <w:p w14:paraId="61D753AB" w14:textId="77777777" w:rsidR="00F84901" w:rsidRPr="00B417BF" w:rsidRDefault="00F84901" w:rsidP="00F84901">
      <w:pPr>
        <w:spacing w:line="480" w:lineRule="auto"/>
        <w:rPr>
          <w:rFonts w:asciiTheme="minorHAnsi" w:hAnsiTheme="minorHAnsi"/>
        </w:rPr>
      </w:pPr>
    </w:p>
    <w:p w14:paraId="1CB1A5C2" w14:textId="77777777" w:rsidR="00F84901" w:rsidRPr="00B417BF" w:rsidRDefault="00F84901" w:rsidP="00F84901">
      <w:pPr>
        <w:spacing w:line="480" w:lineRule="auto"/>
        <w:rPr>
          <w:rFonts w:asciiTheme="minorHAnsi" w:hAnsiTheme="minorHAnsi"/>
        </w:rPr>
      </w:pPr>
    </w:p>
    <w:p w14:paraId="5E6890CF" w14:textId="77777777" w:rsidR="00B462BF" w:rsidRDefault="000A1A22" w:rsidP="00F84901">
      <w:pPr>
        <w:spacing w:line="480" w:lineRule="auto"/>
        <w:rPr>
          <w:rFonts w:asciiTheme="minorHAnsi" w:hAnsiTheme="minorHAnsi"/>
          <w:b/>
        </w:rPr>
      </w:pPr>
      <w:r w:rsidRPr="00B462BF">
        <w:rPr>
          <w:rFonts w:asciiTheme="minorHAnsi" w:hAnsiTheme="minorHAnsi"/>
          <w:b/>
        </w:rPr>
        <w:t>Figure 14</w:t>
      </w:r>
      <w:r w:rsidR="00F84901" w:rsidRPr="00B462BF">
        <w:rPr>
          <w:rFonts w:asciiTheme="minorHAnsi" w:hAnsiTheme="minorHAnsi"/>
          <w:b/>
        </w:rPr>
        <w:t>.  End of Course Qualitative Questionnaire Responses</w:t>
      </w:r>
      <w:r w:rsidR="00B462BF">
        <w:rPr>
          <w:rFonts w:asciiTheme="minorHAnsi" w:hAnsiTheme="minorHAnsi"/>
          <w:b/>
        </w:rPr>
        <w:t>: Frequency of T</w:t>
      </w:r>
      <w:r w:rsidR="0024305A" w:rsidRPr="00B462BF">
        <w:rPr>
          <w:rFonts w:asciiTheme="minorHAnsi" w:hAnsiTheme="minorHAnsi"/>
          <w:b/>
        </w:rPr>
        <w:t xml:space="preserve">hemes. </w:t>
      </w:r>
    </w:p>
    <w:p w14:paraId="6630C6C3" w14:textId="1E2BFD6B" w:rsidR="00F84901" w:rsidRDefault="00303D4C" w:rsidP="00F84901">
      <w:pPr>
        <w:spacing w:line="480" w:lineRule="auto"/>
        <w:rPr>
          <w:rFonts w:asciiTheme="minorHAnsi" w:hAnsiTheme="minorHAnsi"/>
        </w:rPr>
      </w:pPr>
      <w:r>
        <w:rPr>
          <w:rFonts w:asciiTheme="minorHAnsi" w:hAnsiTheme="minorHAnsi"/>
        </w:rPr>
        <w:t>2016 Control group n=22.  2017 E</w:t>
      </w:r>
      <w:r w:rsidR="0024305A">
        <w:rPr>
          <w:rFonts w:asciiTheme="minorHAnsi" w:hAnsiTheme="minorHAnsi"/>
        </w:rPr>
        <w:t>xperimental group n=23.</w:t>
      </w:r>
    </w:p>
    <w:p w14:paraId="78460506" w14:textId="77D60FF4" w:rsidR="00F84901" w:rsidRPr="00B417BF" w:rsidRDefault="00F84901" w:rsidP="00F84901">
      <w:pPr>
        <w:spacing w:line="480" w:lineRule="auto"/>
        <w:rPr>
          <w:rFonts w:asciiTheme="minorHAnsi" w:hAnsiTheme="minorHAnsi"/>
        </w:rPr>
      </w:pPr>
      <w:r>
        <w:rPr>
          <w:rFonts w:asciiTheme="minorHAnsi" w:hAnsiTheme="minorHAnsi"/>
        </w:rPr>
        <w:t xml:space="preserve">Manually triangulated themes </w:t>
      </w:r>
      <w:r w:rsidR="0024305A">
        <w:rPr>
          <w:rFonts w:asciiTheme="minorHAnsi" w:hAnsiTheme="minorHAnsi"/>
        </w:rPr>
        <w:t xml:space="preserve">were </w:t>
      </w:r>
      <w:r>
        <w:rPr>
          <w:rFonts w:asciiTheme="minorHAnsi" w:hAnsiTheme="minorHAnsi"/>
        </w:rPr>
        <w:t>t</w:t>
      </w:r>
      <w:r w:rsidR="001529D7">
        <w:rPr>
          <w:rFonts w:asciiTheme="minorHAnsi" w:hAnsiTheme="minorHAnsi"/>
        </w:rPr>
        <w:t xml:space="preserve">otaled for each question. </w:t>
      </w:r>
      <w:r w:rsidR="00AF0066">
        <w:rPr>
          <w:rFonts w:asciiTheme="minorHAnsi" w:hAnsiTheme="minorHAnsi"/>
        </w:rPr>
        <w:t xml:space="preserve">Overall results between groups were similar.  2017 experimental group did </w:t>
      </w:r>
      <w:r w:rsidR="0024305A">
        <w:rPr>
          <w:rFonts w:asciiTheme="minorHAnsi" w:hAnsiTheme="minorHAnsi"/>
        </w:rPr>
        <w:t>report</w:t>
      </w:r>
      <w:r w:rsidR="00AF0066">
        <w:rPr>
          <w:rFonts w:asciiTheme="minorHAnsi" w:hAnsiTheme="minorHAnsi"/>
        </w:rPr>
        <w:t xml:space="preserve"> terms of “stress” and “exam difficulty” as impediments to learning more than the 2016 control group.  </w:t>
      </w:r>
      <w:r w:rsidR="0024305A">
        <w:rPr>
          <w:rFonts w:asciiTheme="minorHAnsi" w:hAnsiTheme="minorHAnsi"/>
        </w:rPr>
        <w:t xml:space="preserve">The experimental group also reported more help from family and friends in the home then the control group.  </w:t>
      </w:r>
    </w:p>
    <w:p w14:paraId="313B9D62" w14:textId="77777777" w:rsidR="00F84901" w:rsidRPr="00B417BF" w:rsidRDefault="00F84901" w:rsidP="00F84901">
      <w:pPr>
        <w:rPr>
          <w:rFonts w:asciiTheme="minorHAnsi" w:hAnsiTheme="minorHAnsi"/>
        </w:rPr>
      </w:pPr>
      <w:r w:rsidRPr="00B417BF">
        <w:rPr>
          <w:rFonts w:asciiTheme="minorHAnsi" w:hAnsiTheme="minorHAnsi"/>
        </w:rPr>
        <w:br w:type="page"/>
      </w:r>
    </w:p>
    <w:p w14:paraId="37C4DE55" w14:textId="4509C46A" w:rsidR="00285F58" w:rsidRPr="00B417BF" w:rsidRDefault="006A2099">
      <w:pPr>
        <w:rPr>
          <w:rFonts w:asciiTheme="minorHAnsi" w:hAnsiTheme="minorHAnsi"/>
        </w:rPr>
      </w:pPr>
      <w:r>
        <w:rPr>
          <w:rFonts w:asciiTheme="minorHAnsi" w:hAnsiTheme="minorHAnsi"/>
        </w:rPr>
        <w:lastRenderedPageBreak/>
        <w:t>Appendix B1</w:t>
      </w:r>
    </w:p>
    <w:p w14:paraId="36B4B33A" w14:textId="313059DD" w:rsidR="00285F58" w:rsidRPr="000D0BEC" w:rsidRDefault="00285F58" w:rsidP="00285F58">
      <w:pPr>
        <w:pStyle w:val="NormalWeb"/>
        <w:rPr>
          <w:rFonts w:asciiTheme="minorHAnsi" w:hAnsiTheme="minorHAnsi"/>
          <w:color w:val="000000" w:themeColor="text1"/>
          <w:sz w:val="20"/>
          <w:szCs w:val="20"/>
        </w:rPr>
      </w:pPr>
      <w:r w:rsidRPr="000D0BEC">
        <w:rPr>
          <w:rFonts w:asciiTheme="minorHAnsi" w:hAnsiTheme="minorHAnsi"/>
          <w:color w:val="000000" w:themeColor="text1"/>
          <w:sz w:val="20"/>
          <w:szCs w:val="20"/>
        </w:rPr>
        <w:t>Brief COPE</w:t>
      </w:r>
    </w:p>
    <w:p w14:paraId="4D4C9521" w14:textId="77777777" w:rsidR="00285F58" w:rsidRPr="000D0BEC" w:rsidRDefault="00285F58" w:rsidP="00285F58">
      <w:pPr>
        <w:pStyle w:val="NormalWeb"/>
        <w:rPr>
          <w:rFonts w:asciiTheme="minorHAnsi" w:hAnsiTheme="minorHAnsi"/>
          <w:color w:val="000000" w:themeColor="text1"/>
          <w:sz w:val="20"/>
          <w:szCs w:val="20"/>
        </w:rPr>
      </w:pPr>
      <w:r w:rsidRPr="000D0BEC">
        <w:rPr>
          <w:rFonts w:asciiTheme="minorHAnsi" w:hAnsiTheme="minorHAnsi"/>
          <w:color w:val="000000" w:themeColor="text1"/>
          <w:sz w:val="20"/>
          <w:szCs w:val="20"/>
        </w:rPr>
        <w:t>These items deal with ways you've been coping with the stress in your life since you found out you were going to have to have this operation.  There are many ways to try to deal with problems.  These items ask what you've been doing to cope with this one.  Obviously, different people deal with things in different ways, but I'm interested in how you've tried to deal with it.  Each item says something about a particular way of coping.  I want to know to what extent you've been doing what the item says.  How much or how frequently.  Don't answer on the basis of whether it seems to be working or not—just whether or not you're doing it.  Use these response choices.  Try to rate each item separately in your mind from the others.  Make your answers as true FOR YOU as you can.</w:t>
      </w:r>
      <w:r w:rsidRPr="000D0BEC">
        <w:rPr>
          <w:rStyle w:val="apple-converted-space"/>
          <w:rFonts w:asciiTheme="minorHAnsi" w:hAnsiTheme="minorHAnsi"/>
          <w:color w:val="000000" w:themeColor="text1"/>
          <w:sz w:val="20"/>
          <w:szCs w:val="20"/>
        </w:rPr>
        <w:t> </w:t>
      </w:r>
    </w:p>
    <w:p w14:paraId="0E0203C2" w14:textId="77777777" w:rsidR="00285F58" w:rsidRPr="000D0BEC" w:rsidRDefault="00285F58" w:rsidP="00285F58">
      <w:pPr>
        <w:pStyle w:val="NormalWeb"/>
        <w:rPr>
          <w:rFonts w:asciiTheme="minorHAnsi" w:hAnsiTheme="minorHAnsi"/>
          <w:color w:val="000000" w:themeColor="text1"/>
          <w:sz w:val="20"/>
          <w:szCs w:val="20"/>
        </w:rPr>
      </w:pPr>
      <w:r w:rsidRPr="000D0BEC">
        <w:rPr>
          <w:rFonts w:asciiTheme="minorHAnsi" w:hAnsiTheme="minorHAnsi"/>
          <w:color w:val="000000" w:themeColor="text1"/>
          <w:sz w:val="20"/>
          <w:szCs w:val="20"/>
        </w:rPr>
        <w:t> 1 = I haven't been doing this at all</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 2 = I've been doing this a little bit</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 3 = I've been doing this a medium amount</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 4 = I've been doing this a lot</w:t>
      </w:r>
    </w:p>
    <w:p w14:paraId="7E56EB1C" w14:textId="5D3CBC0E" w:rsidR="00285F58" w:rsidRPr="000D0BEC" w:rsidRDefault="00285F58" w:rsidP="00285F58">
      <w:pPr>
        <w:pStyle w:val="NormalWeb"/>
        <w:rPr>
          <w:rFonts w:asciiTheme="minorHAnsi" w:hAnsiTheme="minorHAnsi"/>
          <w:color w:val="000000" w:themeColor="text1"/>
          <w:sz w:val="20"/>
          <w:szCs w:val="20"/>
        </w:rPr>
      </w:pPr>
      <w:r w:rsidRPr="000D0BEC">
        <w:rPr>
          <w:rFonts w:asciiTheme="minorHAnsi" w:hAnsiTheme="minorHAnsi"/>
          <w:color w:val="000000" w:themeColor="text1"/>
          <w:sz w:val="20"/>
          <w:szCs w:val="20"/>
        </w:rPr>
        <w:t>1.  I've been turning to work or other activities to take my mind off things.</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2.  I've been concentrating my efforts on doing something about the situation I'm in.</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3.  I've been saying to myself "this isn't real.".</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4.  I've been using alcohol or other drugs to make myself feel better.</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5.  I've been getting emotional support from others.</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6.  I've been giving up trying to deal with it.</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7.  I've been taking action to try to make the situation better.</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8.  I've been refusing to believe that it has happened.</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9.  I've been saying things to let my unpleasant feelings escape.</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10.  I’ve been getting help and advice from other people.</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11.  I've been using alcohol or other drugs to help me get through it.</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12.  I've been trying to see it in a different light, to make it seem more positive.</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13.  I’ve been criticizing myself.</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14.  I've been trying to come up with a strategy about what to do.</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15.  I've been getting comfort and understanding from someone.</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16.  I've been giving up the attempt to cope.</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17.  I've been looking for something good in what is happening.</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18.  I've been making jokes about it.</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19.  I've been doing something to think about it less, such as going to movies,</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 watching TV, reading, daydreaming, sleeping, or shopping.</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20.  I've been accepting the reality of the fact that it has happened.</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21.  I've been expressing my negative feelings.</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22.  I've been trying to find comfort in my religion or spiritual beliefs.</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23.  I’ve been trying to get advice or help from other people about what to do.</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24.  I've been learning to live with it.</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25.  I've been thinking hard about what steps to take.</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26.  I’ve been blaming myself for things that happened.</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27.  I've been praying or meditating.</w:t>
      </w:r>
      <w:r w:rsidRPr="000D0BEC">
        <w:rPr>
          <w:rStyle w:val="apple-converted-space"/>
          <w:rFonts w:asciiTheme="minorHAnsi" w:hAnsiTheme="minorHAnsi"/>
          <w:color w:val="000000" w:themeColor="text1"/>
          <w:sz w:val="20"/>
          <w:szCs w:val="20"/>
        </w:rPr>
        <w:t> </w:t>
      </w:r>
      <w:r w:rsidRPr="000D0BEC">
        <w:rPr>
          <w:rFonts w:asciiTheme="minorHAnsi" w:hAnsiTheme="minorHAnsi"/>
          <w:color w:val="000000" w:themeColor="text1"/>
          <w:sz w:val="20"/>
          <w:szCs w:val="20"/>
        </w:rPr>
        <w:br/>
        <w:t>28.  I've been making fun of the situation.</w:t>
      </w:r>
    </w:p>
    <w:p w14:paraId="7E075F84" w14:textId="7C2AA857" w:rsidR="00FE4BAA" w:rsidRPr="000D0BEC" w:rsidRDefault="00FE4BAA" w:rsidP="00285F58">
      <w:pPr>
        <w:pStyle w:val="NormalWeb"/>
        <w:rPr>
          <w:rFonts w:asciiTheme="minorHAnsi" w:hAnsiTheme="minorHAnsi"/>
          <w:color w:val="000000" w:themeColor="text1"/>
          <w:sz w:val="20"/>
          <w:szCs w:val="20"/>
        </w:rPr>
      </w:pPr>
    </w:p>
    <w:p w14:paraId="0B891868" w14:textId="77777777" w:rsidR="00FE4BAA" w:rsidRPr="000D0BEC" w:rsidRDefault="00FE4BAA" w:rsidP="00285F58">
      <w:pPr>
        <w:pStyle w:val="NormalWeb"/>
        <w:rPr>
          <w:rFonts w:asciiTheme="minorHAnsi" w:hAnsiTheme="minorHAnsi"/>
          <w:color w:val="000000" w:themeColor="text1"/>
          <w:sz w:val="20"/>
          <w:szCs w:val="20"/>
        </w:rPr>
      </w:pPr>
    </w:p>
    <w:p w14:paraId="38B4E2F3" w14:textId="77777777" w:rsidR="00FE4BAA" w:rsidRPr="000D0BEC" w:rsidRDefault="00FE4BAA" w:rsidP="00FE4BAA">
      <w:pPr>
        <w:spacing w:before="100" w:beforeAutospacing="1" w:after="100" w:afterAutospacing="1"/>
        <w:rPr>
          <w:rFonts w:asciiTheme="minorHAnsi" w:hAnsiTheme="minorHAnsi"/>
          <w:color w:val="000000" w:themeColor="text1"/>
          <w:sz w:val="20"/>
          <w:szCs w:val="20"/>
        </w:rPr>
      </w:pPr>
      <w:r w:rsidRPr="000D0BEC">
        <w:rPr>
          <w:rFonts w:asciiTheme="minorHAnsi" w:hAnsiTheme="minorHAnsi"/>
          <w:color w:val="000000" w:themeColor="text1"/>
          <w:sz w:val="20"/>
          <w:szCs w:val="20"/>
        </w:rPr>
        <w:lastRenderedPageBreak/>
        <w:t>Scales are computed as follows (with no reversals of coding):</w:t>
      </w:r>
    </w:p>
    <w:p w14:paraId="0E73665D" w14:textId="77777777" w:rsidR="00FE4BAA" w:rsidRPr="000D0BEC" w:rsidRDefault="00FE4BAA" w:rsidP="00FE4BAA">
      <w:pPr>
        <w:spacing w:before="100" w:beforeAutospacing="1" w:after="100" w:afterAutospacing="1"/>
        <w:rPr>
          <w:rFonts w:asciiTheme="minorHAnsi" w:hAnsiTheme="minorHAnsi"/>
          <w:color w:val="000000" w:themeColor="text1"/>
          <w:sz w:val="20"/>
          <w:szCs w:val="20"/>
        </w:rPr>
      </w:pPr>
      <w:r w:rsidRPr="000D0BEC">
        <w:rPr>
          <w:rFonts w:asciiTheme="minorHAnsi" w:hAnsiTheme="minorHAnsi"/>
          <w:color w:val="000000" w:themeColor="text1"/>
          <w:sz w:val="20"/>
          <w:szCs w:val="20"/>
        </w:rPr>
        <w:t>Self-distraction, items 1 and 19 </w:t>
      </w:r>
      <w:r w:rsidRPr="000D0BEC">
        <w:rPr>
          <w:rFonts w:asciiTheme="minorHAnsi" w:hAnsiTheme="minorHAnsi"/>
          <w:color w:val="000000" w:themeColor="text1"/>
          <w:sz w:val="20"/>
          <w:szCs w:val="20"/>
        </w:rPr>
        <w:br/>
        <w:t>Active coping, items 2 and 7 </w:t>
      </w:r>
      <w:r w:rsidRPr="000D0BEC">
        <w:rPr>
          <w:rFonts w:asciiTheme="minorHAnsi" w:hAnsiTheme="minorHAnsi"/>
          <w:color w:val="000000" w:themeColor="text1"/>
          <w:sz w:val="20"/>
          <w:szCs w:val="20"/>
        </w:rPr>
        <w:br/>
        <w:t>Denial, items 3 and 8 </w:t>
      </w:r>
      <w:r w:rsidRPr="000D0BEC">
        <w:rPr>
          <w:rFonts w:asciiTheme="minorHAnsi" w:hAnsiTheme="minorHAnsi"/>
          <w:color w:val="000000" w:themeColor="text1"/>
          <w:sz w:val="20"/>
          <w:szCs w:val="20"/>
        </w:rPr>
        <w:br/>
        <w:t>Substance use, items 4 and 11 </w:t>
      </w:r>
      <w:r w:rsidRPr="000D0BEC">
        <w:rPr>
          <w:rFonts w:asciiTheme="minorHAnsi" w:hAnsiTheme="minorHAnsi"/>
          <w:color w:val="000000" w:themeColor="text1"/>
          <w:sz w:val="20"/>
          <w:szCs w:val="20"/>
        </w:rPr>
        <w:br/>
        <w:t>Use of emotional support, items 5 and 15 </w:t>
      </w:r>
      <w:r w:rsidRPr="000D0BEC">
        <w:rPr>
          <w:rFonts w:asciiTheme="minorHAnsi" w:hAnsiTheme="minorHAnsi"/>
          <w:color w:val="000000" w:themeColor="text1"/>
          <w:sz w:val="20"/>
          <w:szCs w:val="20"/>
        </w:rPr>
        <w:br/>
        <w:t>Use of instrumental support, items 10 and 23 </w:t>
      </w:r>
      <w:r w:rsidRPr="000D0BEC">
        <w:rPr>
          <w:rFonts w:asciiTheme="minorHAnsi" w:hAnsiTheme="minorHAnsi"/>
          <w:color w:val="000000" w:themeColor="text1"/>
          <w:sz w:val="20"/>
          <w:szCs w:val="20"/>
        </w:rPr>
        <w:br/>
        <w:t>Behavioral disengagement, items 6 and 16 </w:t>
      </w:r>
      <w:r w:rsidRPr="000D0BEC">
        <w:rPr>
          <w:rFonts w:asciiTheme="minorHAnsi" w:hAnsiTheme="minorHAnsi"/>
          <w:color w:val="000000" w:themeColor="text1"/>
          <w:sz w:val="20"/>
          <w:szCs w:val="20"/>
        </w:rPr>
        <w:br/>
        <w:t>Venting, items 9 and 21 </w:t>
      </w:r>
      <w:r w:rsidRPr="000D0BEC">
        <w:rPr>
          <w:rFonts w:asciiTheme="minorHAnsi" w:hAnsiTheme="minorHAnsi"/>
          <w:color w:val="000000" w:themeColor="text1"/>
          <w:sz w:val="20"/>
          <w:szCs w:val="20"/>
        </w:rPr>
        <w:br/>
        <w:t>Positive reframing, items 12 and 17 </w:t>
      </w:r>
      <w:r w:rsidRPr="000D0BEC">
        <w:rPr>
          <w:rFonts w:asciiTheme="minorHAnsi" w:hAnsiTheme="minorHAnsi"/>
          <w:color w:val="000000" w:themeColor="text1"/>
          <w:sz w:val="20"/>
          <w:szCs w:val="20"/>
        </w:rPr>
        <w:br/>
        <w:t>Planning, items 14 and 25 </w:t>
      </w:r>
      <w:r w:rsidRPr="000D0BEC">
        <w:rPr>
          <w:rFonts w:asciiTheme="minorHAnsi" w:hAnsiTheme="minorHAnsi"/>
          <w:color w:val="000000" w:themeColor="text1"/>
          <w:sz w:val="20"/>
          <w:szCs w:val="20"/>
        </w:rPr>
        <w:br/>
        <w:t>Humor, items 18 and 28 </w:t>
      </w:r>
      <w:r w:rsidRPr="000D0BEC">
        <w:rPr>
          <w:rFonts w:asciiTheme="minorHAnsi" w:hAnsiTheme="minorHAnsi"/>
          <w:color w:val="000000" w:themeColor="text1"/>
          <w:sz w:val="20"/>
          <w:szCs w:val="20"/>
        </w:rPr>
        <w:br/>
        <w:t>Acceptance, items 20 and 24 </w:t>
      </w:r>
      <w:r w:rsidRPr="000D0BEC">
        <w:rPr>
          <w:rFonts w:asciiTheme="minorHAnsi" w:hAnsiTheme="minorHAnsi"/>
          <w:color w:val="000000" w:themeColor="text1"/>
          <w:sz w:val="20"/>
          <w:szCs w:val="20"/>
        </w:rPr>
        <w:br/>
        <w:t>Religion, items 22 and 27 </w:t>
      </w:r>
      <w:r w:rsidRPr="000D0BEC">
        <w:rPr>
          <w:rFonts w:asciiTheme="minorHAnsi" w:hAnsiTheme="minorHAnsi"/>
          <w:color w:val="000000" w:themeColor="text1"/>
          <w:sz w:val="20"/>
          <w:szCs w:val="20"/>
        </w:rPr>
        <w:br/>
        <w:t>Self-blame, items 13 and 26 </w:t>
      </w:r>
      <w:r w:rsidRPr="000D0BEC">
        <w:rPr>
          <w:rFonts w:asciiTheme="minorHAnsi" w:hAnsiTheme="minorHAnsi"/>
          <w:color w:val="000000" w:themeColor="text1"/>
          <w:sz w:val="20"/>
          <w:szCs w:val="20"/>
        </w:rPr>
        <w:br/>
        <w:t> </w:t>
      </w:r>
    </w:p>
    <w:p w14:paraId="678695DE" w14:textId="77777777" w:rsidR="00285F58" w:rsidRPr="00B417BF" w:rsidRDefault="00285F58" w:rsidP="00285F58">
      <w:pPr>
        <w:rPr>
          <w:rFonts w:asciiTheme="minorHAnsi" w:hAnsiTheme="minorHAnsi"/>
        </w:rPr>
      </w:pPr>
    </w:p>
    <w:p w14:paraId="3BC1B803" w14:textId="77777777" w:rsidR="00FD384E" w:rsidRPr="00B417BF" w:rsidRDefault="00FD384E">
      <w:pPr>
        <w:rPr>
          <w:rFonts w:asciiTheme="minorHAnsi" w:hAnsiTheme="minorHAnsi"/>
        </w:rPr>
      </w:pPr>
      <w:r w:rsidRPr="00B417BF">
        <w:rPr>
          <w:rFonts w:asciiTheme="minorHAnsi" w:hAnsiTheme="minorHAnsi"/>
        </w:rPr>
        <w:br w:type="page"/>
      </w:r>
    </w:p>
    <w:p w14:paraId="0C6B12FD" w14:textId="77777777" w:rsidR="00640B54" w:rsidRDefault="00640B54" w:rsidP="00640B54"/>
    <w:p w14:paraId="02C434CD" w14:textId="5F611189" w:rsidR="00640B54" w:rsidRDefault="00640B54" w:rsidP="00640B54">
      <w:r w:rsidRPr="00CC3083">
        <w:rPr>
          <w:noProof/>
          <w14:textOutline w14:w="9525" w14:cap="rnd" w14:cmpd="sng" w14:algn="ctr">
            <w14:solidFill>
              <w14:schemeClr w14:val="accent1"/>
            </w14:solidFill>
            <w14:prstDash w14:val="solid"/>
            <w14:bevel/>
          </w14:textOutline>
        </w:rPr>
        <w:drawing>
          <wp:anchor distT="0" distB="0" distL="114300" distR="114300" simplePos="0" relativeHeight="251667456" behindDoc="0" locked="0" layoutInCell="1" allowOverlap="1" wp14:anchorId="719C54AF" wp14:editId="1569AB46">
            <wp:simplePos x="0" y="0"/>
            <wp:positionH relativeFrom="margin">
              <wp:posOffset>0</wp:posOffset>
            </wp:positionH>
            <wp:positionV relativeFrom="page">
              <wp:posOffset>1593850</wp:posOffset>
            </wp:positionV>
            <wp:extent cx="5257165" cy="6865620"/>
            <wp:effectExtent l="0" t="0" r="0" b="0"/>
            <wp:wrapThrough wrapText="bothSides">
              <wp:wrapPolygon edited="0">
                <wp:start x="574" y="400"/>
                <wp:lineTo x="574" y="679"/>
                <wp:lineTo x="7879" y="1119"/>
                <wp:lineTo x="522" y="1119"/>
                <wp:lineTo x="522" y="20297"/>
                <wp:lineTo x="626" y="20457"/>
                <wp:lineTo x="887" y="20537"/>
                <wp:lineTo x="19985" y="20537"/>
                <wp:lineTo x="20768" y="20457"/>
                <wp:lineTo x="21029" y="20417"/>
                <wp:lineTo x="21133" y="1159"/>
                <wp:lineTo x="20716" y="1119"/>
                <wp:lineTo x="13097" y="1119"/>
                <wp:lineTo x="21029" y="639"/>
                <wp:lineTo x="21029" y="400"/>
                <wp:lineTo x="574" y="400"/>
              </wp:wrapPolygon>
            </wp:wrapThrough>
            <wp:docPr id="15" name="Picture 4" descr="/Users/jht/Dropbox/Amy PHD/human structure COPE survey 1.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Users/jht/Dropbox/Amy PHD/human structure COPE survey 1.pdf"/>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7165" cy="686562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Appendix </w:t>
      </w:r>
      <w:r w:rsidR="006A2099">
        <w:t>B</w:t>
      </w:r>
      <w:r>
        <w:t>2. Online Brief</w:t>
      </w:r>
      <w:r w:rsidR="006A2099">
        <w:t xml:space="preserve"> </w:t>
      </w:r>
      <w:r>
        <w:t>COPE Survey</w:t>
      </w:r>
      <w:r>
        <w:br w:type="page"/>
      </w:r>
    </w:p>
    <w:p w14:paraId="3C2A5B7D" w14:textId="77777777" w:rsidR="00640B54" w:rsidRDefault="00640B54" w:rsidP="00640B54"/>
    <w:p w14:paraId="40049B09" w14:textId="77777777" w:rsidR="00640B54" w:rsidRDefault="00640B54" w:rsidP="00640B54">
      <w:r>
        <w:rPr>
          <w:noProof/>
        </w:rPr>
        <w:drawing>
          <wp:anchor distT="0" distB="0" distL="114300" distR="114300" simplePos="0" relativeHeight="251666432" behindDoc="0" locked="0" layoutInCell="1" allowOverlap="1" wp14:anchorId="11DC4CE9" wp14:editId="4B7F4E20">
            <wp:simplePos x="0" y="0"/>
            <wp:positionH relativeFrom="margin">
              <wp:posOffset>0</wp:posOffset>
            </wp:positionH>
            <wp:positionV relativeFrom="page">
              <wp:posOffset>1593850</wp:posOffset>
            </wp:positionV>
            <wp:extent cx="5257165" cy="6866890"/>
            <wp:effectExtent l="0" t="0" r="0" b="0"/>
            <wp:wrapThrough wrapText="bothSides">
              <wp:wrapPolygon edited="0">
                <wp:start x="574" y="399"/>
                <wp:lineTo x="574" y="679"/>
                <wp:lineTo x="7879" y="1119"/>
                <wp:lineTo x="522" y="1119"/>
                <wp:lineTo x="522" y="20294"/>
                <wp:lineTo x="626" y="20453"/>
                <wp:lineTo x="887" y="20533"/>
                <wp:lineTo x="19985" y="20533"/>
                <wp:lineTo x="20768" y="20453"/>
                <wp:lineTo x="21029" y="20414"/>
                <wp:lineTo x="21133" y="1158"/>
                <wp:lineTo x="20716" y="1119"/>
                <wp:lineTo x="13097" y="1119"/>
                <wp:lineTo x="21029" y="639"/>
                <wp:lineTo x="21029" y="399"/>
                <wp:lineTo x="574" y="399"/>
              </wp:wrapPolygon>
            </wp:wrapThrough>
            <wp:docPr id="12" name="Picture 12" descr="/Users/jht/Dropbox/Amy PHD/human structure COPE survey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jht/Dropbox/Amy PHD/human structure COPE survey 2.pdf"/>
                    <pic:cNvPicPr preferRelativeResize="0">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57165" cy="686689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0BBC83D6" w14:textId="77777777" w:rsidR="00640B54" w:rsidRDefault="00640B54" w:rsidP="00640B54"/>
    <w:p w14:paraId="5A1A5ADE" w14:textId="77777777" w:rsidR="00640B54" w:rsidRDefault="00640B54" w:rsidP="00640B54"/>
    <w:p w14:paraId="401CE458" w14:textId="77777777" w:rsidR="00640B54" w:rsidRDefault="00640B54" w:rsidP="00640B54">
      <w:r>
        <w:rPr>
          <w:noProof/>
        </w:rPr>
        <w:drawing>
          <wp:anchor distT="0" distB="0" distL="114300" distR="114300" simplePos="0" relativeHeight="251668480" behindDoc="0" locked="0" layoutInCell="1" allowOverlap="1" wp14:anchorId="6DE50667" wp14:editId="06338306">
            <wp:simplePos x="0" y="0"/>
            <wp:positionH relativeFrom="margin">
              <wp:posOffset>5715</wp:posOffset>
            </wp:positionH>
            <wp:positionV relativeFrom="page">
              <wp:posOffset>1492885</wp:posOffset>
            </wp:positionV>
            <wp:extent cx="5251450" cy="6866890"/>
            <wp:effectExtent l="0" t="0" r="0" b="0"/>
            <wp:wrapSquare wrapText="bothSides"/>
            <wp:docPr id="3" name="Picture 3" descr="/Users/jht/Dropbox/Amy PHD/human structure COPE survey 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jht/Dropbox/Amy PHD/human structure COPE survey 3.pdf"/>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51450" cy="6866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70DAD0" w14:textId="77777777" w:rsidR="00640B54" w:rsidRDefault="00640B54" w:rsidP="00640B54"/>
    <w:p w14:paraId="1787250C" w14:textId="77777777" w:rsidR="00640B54" w:rsidRDefault="00640B54" w:rsidP="00640B54">
      <w:r>
        <w:br w:type="page"/>
      </w:r>
    </w:p>
    <w:p w14:paraId="36A4FBC7" w14:textId="77777777" w:rsidR="00640B54" w:rsidRDefault="00640B54" w:rsidP="00640B54"/>
    <w:p w14:paraId="725BC088" w14:textId="77777777" w:rsidR="00640B54" w:rsidRDefault="00640B54" w:rsidP="00640B54">
      <w:r>
        <w:rPr>
          <w:noProof/>
        </w:rPr>
        <w:drawing>
          <wp:anchor distT="0" distB="0" distL="114300" distR="114300" simplePos="0" relativeHeight="251669504" behindDoc="0" locked="0" layoutInCell="1" allowOverlap="1" wp14:anchorId="01363C59" wp14:editId="18B5DA88">
            <wp:simplePos x="0" y="0"/>
            <wp:positionH relativeFrom="margin">
              <wp:posOffset>-635</wp:posOffset>
            </wp:positionH>
            <wp:positionV relativeFrom="page">
              <wp:posOffset>1485265</wp:posOffset>
            </wp:positionV>
            <wp:extent cx="5251450" cy="6866890"/>
            <wp:effectExtent l="0" t="0" r="0" b="0"/>
            <wp:wrapThrough wrapText="bothSides">
              <wp:wrapPolygon edited="0">
                <wp:start x="575" y="399"/>
                <wp:lineTo x="575" y="679"/>
                <wp:lineTo x="7888" y="1119"/>
                <wp:lineTo x="522" y="1119"/>
                <wp:lineTo x="522" y="20294"/>
                <wp:lineTo x="627" y="20453"/>
                <wp:lineTo x="888" y="20533"/>
                <wp:lineTo x="19955" y="20533"/>
                <wp:lineTo x="20790" y="20453"/>
                <wp:lineTo x="21052" y="20414"/>
                <wp:lineTo x="21156" y="1158"/>
                <wp:lineTo x="20738" y="1119"/>
                <wp:lineTo x="13111" y="1119"/>
                <wp:lineTo x="21052" y="639"/>
                <wp:lineTo x="21052" y="399"/>
                <wp:lineTo x="575" y="399"/>
              </wp:wrapPolygon>
            </wp:wrapThrough>
            <wp:docPr id="13" name="Picture 13" descr="/Users/jht/Dropbox/Amy PHD/human structure COPE survey 4.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Users/jht/Dropbox/Amy PHD/human structure COPE survey 4.pdf"/>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51450" cy="686689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44F606EF" w14:textId="77777777" w:rsidR="00640B54" w:rsidRDefault="00640B54" w:rsidP="00640B54"/>
    <w:p w14:paraId="2D74DD76" w14:textId="77777777" w:rsidR="00640B54" w:rsidRDefault="00640B54" w:rsidP="00640B54">
      <w:r>
        <w:rPr>
          <w:noProof/>
        </w:rPr>
        <w:drawing>
          <wp:anchor distT="0" distB="0" distL="114300" distR="114300" simplePos="0" relativeHeight="251665408" behindDoc="0" locked="0" layoutInCell="1" allowOverlap="1" wp14:anchorId="138D4FBA" wp14:editId="2F385A04">
            <wp:simplePos x="0" y="0"/>
            <wp:positionH relativeFrom="margin">
              <wp:posOffset>5715</wp:posOffset>
            </wp:positionH>
            <wp:positionV relativeFrom="page">
              <wp:posOffset>1593850</wp:posOffset>
            </wp:positionV>
            <wp:extent cx="5251450" cy="6866890"/>
            <wp:effectExtent l="0" t="0" r="0" b="0"/>
            <wp:wrapThrough wrapText="bothSides">
              <wp:wrapPolygon edited="0">
                <wp:start x="575" y="399"/>
                <wp:lineTo x="575" y="679"/>
                <wp:lineTo x="7888" y="1119"/>
                <wp:lineTo x="522" y="1119"/>
                <wp:lineTo x="522" y="20294"/>
                <wp:lineTo x="627" y="20453"/>
                <wp:lineTo x="888" y="20533"/>
                <wp:lineTo x="20007" y="20533"/>
                <wp:lineTo x="20790" y="20453"/>
                <wp:lineTo x="21052" y="20414"/>
                <wp:lineTo x="21156" y="1158"/>
                <wp:lineTo x="20738" y="1119"/>
                <wp:lineTo x="13111" y="1119"/>
                <wp:lineTo x="21052" y="639"/>
                <wp:lineTo x="21052" y="399"/>
                <wp:lineTo x="575" y="399"/>
              </wp:wrapPolygon>
            </wp:wrapThrough>
            <wp:docPr id="14" name="Picture 14" descr="/Users/jht/Dropbox/Amy PHD/human structure COPE survey 5.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Users/jht/Dropbox/Amy PHD/human structure COPE survey 5.pdf"/>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51450" cy="686689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7760BB26" w14:textId="77777777" w:rsidR="00640B54" w:rsidRDefault="00640B54" w:rsidP="00640B54"/>
    <w:p w14:paraId="54F8A55A" w14:textId="77777777" w:rsidR="00640B54" w:rsidRDefault="00640B54" w:rsidP="00640B54">
      <w:r>
        <w:rPr>
          <w:noProof/>
        </w:rPr>
        <w:drawing>
          <wp:anchor distT="0" distB="0" distL="114300" distR="114300" simplePos="0" relativeHeight="251664384" behindDoc="0" locked="0" layoutInCell="1" allowOverlap="1" wp14:anchorId="1FE21991" wp14:editId="3FFBA428">
            <wp:simplePos x="0" y="0"/>
            <wp:positionH relativeFrom="margin">
              <wp:posOffset>0</wp:posOffset>
            </wp:positionH>
            <wp:positionV relativeFrom="page">
              <wp:posOffset>1593850</wp:posOffset>
            </wp:positionV>
            <wp:extent cx="5257165" cy="6866890"/>
            <wp:effectExtent l="0" t="0" r="0" b="0"/>
            <wp:wrapThrough wrapText="bothSides">
              <wp:wrapPolygon edited="0">
                <wp:start x="574" y="399"/>
                <wp:lineTo x="574" y="679"/>
                <wp:lineTo x="7879" y="1119"/>
                <wp:lineTo x="522" y="1119"/>
                <wp:lineTo x="522" y="20294"/>
                <wp:lineTo x="626" y="20453"/>
                <wp:lineTo x="887" y="20533"/>
                <wp:lineTo x="19933" y="20533"/>
                <wp:lineTo x="20768" y="20453"/>
                <wp:lineTo x="21029" y="20414"/>
                <wp:lineTo x="21133" y="1158"/>
                <wp:lineTo x="20716" y="1119"/>
                <wp:lineTo x="13097" y="1119"/>
                <wp:lineTo x="21029" y="639"/>
                <wp:lineTo x="21029" y="399"/>
                <wp:lineTo x="574" y="399"/>
              </wp:wrapPolygon>
            </wp:wrapThrough>
            <wp:docPr id="16" name="Picture 16" descr="/Users/jht/Dropbox/Amy PHD/human structure COPE survey 6.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Users/jht/Dropbox/Amy PHD/human structure COPE survey 6.pdf"/>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57165" cy="686689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61EC53F8" w14:textId="77777777" w:rsidR="00640B54" w:rsidRDefault="00640B54" w:rsidP="00640B54"/>
    <w:p w14:paraId="425E4EF9" w14:textId="77777777" w:rsidR="00640B54" w:rsidRDefault="00640B54" w:rsidP="00640B54">
      <w:r>
        <w:rPr>
          <w:noProof/>
        </w:rPr>
        <w:drawing>
          <wp:anchor distT="0" distB="0" distL="114300" distR="114300" simplePos="0" relativeHeight="251663360" behindDoc="0" locked="0" layoutInCell="1" allowOverlap="1" wp14:anchorId="33D577DF" wp14:editId="1F64865F">
            <wp:simplePos x="0" y="0"/>
            <wp:positionH relativeFrom="margin">
              <wp:posOffset>5715</wp:posOffset>
            </wp:positionH>
            <wp:positionV relativeFrom="page">
              <wp:posOffset>1593850</wp:posOffset>
            </wp:positionV>
            <wp:extent cx="5251450" cy="6866890"/>
            <wp:effectExtent l="0" t="0" r="0" b="0"/>
            <wp:wrapThrough wrapText="bothSides">
              <wp:wrapPolygon edited="0">
                <wp:start x="575" y="399"/>
                <wp:lineTo x="575" y="679"/>
                <wp:lineTo x="7888" y="1119"/>
                <wp:lineTo x="522" y="1119"/>
                <wp:lineTo x="522" y="20294"/>
                <wp:lineTo x="627" y="20453"/>
                <wp:lineTo x="888" y="20533"/>
                <wp:lineTo x="20007" y="20533"/>
                <wp:lineTo x="20790" y="20453"/>
                <wp:lineTo x="21052" y="20414"/>
                <wp:lineTo x="21156" y="1158"/>
                <wp:lineTo x="20738" y="1119"/>
                <wp:lineTo x="13111" y="1119"/>
                <wp:lineTo x="21052" y="639"/>
                <wp:lineTo x="21052" y="399"/>
                <wp:lineTo x="575" y="399"/>
              </wp:wrapPolygon>
            </wp:wrapThrough>
            <wp:docPr id="17" name="Picture 17" descr="/Users/jht/Dropbox/Amy PHD/human structure COPE survey 7.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Users/jht/Dropbox/Amy PHD/human structure COPE survey 7.pdf"/>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51450" cy="686689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3708864B" w14:textId="77777777" w:rsidR="00640B54" w:rsidRDefault="00640B54" w:rsidP="00640B54"/>
    <w:p w14:paraId="5D14AAEF" w14:textId="77777777" w:rsidR="00640B54" w:rsidRDefault="00640B54" w:rsidP="00640B54">
      <w:r>
        <w:rPr>
          <w:noProof/>
        </w:rPr>
        <w:drawing>
          <wp:anchor distT="0" distB="0" distL="114300" distR="114300" simplePos="0" relativeHeight="251662336" behindDoc="0" locked="0" layoutInCell="1" allowOverlap="1" wp14:anchorId="6E83B49D" wp14:editId="4DB4DD86">
            <wp:simplePos x="0" y="0"/>
            <wp:positionH relativeFrom="margin">
              <wp:posOffset>5715</wp:posOffset>
            </wp:positionH>
            <wp:positionV relativeFrom="page">
              <wp:posOffset>1593850</wp:posOffset>
            </wp:positionV>
            <wp:extent cx="5251450" cy="6866890"/>
            <wp:effectExtent l="0" t="0" r="0" b="0"/>
            <wp:wrapThrough wrapText="bothSides">
              <wp:wrapPolygon edited="0">
                <wp:start x="575" y="399"/>
                <wp:lineTo x="575" y="679"/>
                <wp:lineTo x="7888" y="1119"/>
                <wp:lineTo x="522" y="1119"/>
                <wp:lineTo x="522" y="20294"/>
                <wp:lineTo x="627" y="20453"/>
                <wp:lineTo x="888" y="20533"/>
                <wp:lineTo x="19955" y="20533"/>
                <wp:lineTo x="20790" y="20453"/>
                <wp:lineTo x="21052" y="20414"/>
                <wp:lineTo x="21156" y="1158"/>
                <wp:lineTo x="20738" y="1119"/>
                <wp:lineTo x="13111" y="1119"/>
                <wp:lineTo x="21052" y="639"/>
                <wp:lineTo x="21052" y="399"/>
                <wp:lineTo x="575" y="399"/>
              </wp:wrapPolygon>
            </wp:wrapThrough>
            <wp:docPr id="8" name="Picture 8" descr="/Users/jht/Dropbox/Amy PHD/human structure COPE survey 8.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Users/jht/Dropbox/Amy PHD/human structure COPE survey 8.pdf"/>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51450" cy="686689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7CEE7BCC" w14:textId="77777777" w:rsidR="00640B54" w:rsidRDefault="00640B54" w:rsidP="00640B54"/>
    <w:p w14:paraId="64102D4E" w14:textId="77777777" w:rsidR="00640B54" w:rsidRDefault="00640B54" w:rsidP="00640B54">
      <w:r>
        <w:rPr>
          <w:noProof/>
        </w:rPr>
        <w:drawing>
          <wp:anchor distT="0" distB="0" distL="114300" distR="114300" simplePos="0" relativeHeight="251661312" behindDoc="0" locked="0" layoutInCell="1" allowOverlap="1" wp14:anchorId="2EA34C80" wp14:editId="49BA96C7">
            <wp:simplePos x="0" y="0"/>
            <wp:positionH relativeFrom="margin">
              <wp:posOffset>5715</wp:posOffset>
            </wp:positionH>
            <wp:positionV relativeFrom="page">
              <wp:posOffset>1593850</wp:posOffset>
            </wp:positionV>
            <wp:extent cx="5251450" cy="6866890"/>
            <wp:effectExtent l="0" t="0" r="0" b="0"/>
            <wp:wrapThrough wrapText="bothSides">
              <wp:wrapPolygon edited="0">
                <wp:start x="575" y="399"/>
                <wp:lineTo x="575" y="679"/>
                <wp:lineTo x="7888" y="1119"/>
                <wp:lineTo x="522" y="1119"/>
                <wp:lineTo x="522" y="20294"/>
                <wp:lineTo x="627" y="20453"/>
                <wp:lineTo x="888" y="20533"/>
                <wp:lineTo x="19955" y="20533"/>
                <wp:lineTo x="20790" y="20453"/>
                <wp:lineTo x="21052" y="20414"/>
                <wp:lineTo x="21156" y="1158"/>
                <wp:lineTo x="20738" y="1119"/>
                <wp:lineTo x="13111" y="1119"/>
                <wp:lineTo x="21052" y="639"/>
                <wp:lineTo x="21052" y="399"/>
                <wp:lineTo x="575" y="399"/>
              </wp:wrapPolygon>
            </wp:wrapThrough>
            <wp:docPr id="18" name="Picture 18" descr="/Users/jht/Dropbox/Amy PHD/human structure COPE survey 9.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Users/jht/Dropbox/Amy PHD/human structure COPE survey 9.pdf"/>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51450" cy="686689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5BA6EE43" w14:textId="77777777" w:rsidR="00640B54" w:rsidRDefault="00640B54" w:rsidP="00640B54"/>
    <w:p w14:paraId="2E0F73E1" w14:textId="77777777" w:rsidR="00640B54" w:rsidRDefault="00640B54" w:rsidP="00640B54">
      <w:r>
        <w:rPr>
          <w:noProof/>
        </w:rPr>
        <w:drawing>
          <wp:anchor distT="0" distB="0" distL="114300" distR="114300" simplePos="0" relativeHeight="251660288" behindDoc="0" locked="0" layoutInCell="1" allowOverlap="1" wp14:anchorId="163726B0" wp14:editId="5CD3F1F9">
            <wp:simplePos x="0" y="0"/>
            <wp:positionH relativeFrom="margin">
              <wp:posOffset>5715</wp:posOffset>
            </wp:positionH>
            <wp:positionV relativeFrom="page">
              <wp:posOffset>1593850</wp:posOffset>
            </wp:positionV>
            <wp:extent cx="5251450" cy="6866890"/>
            <wp:effectExtent l="0" t="0" r="0" b="0"/>
            <wp:wrapThrough wrapText="bothSides">
              <wp:wrapPolygon edited="0">
                <wp:start x="575" y="399"/>
                <wp:lineTo x="575" y="679"/>
                <wp:lineTo x="7888" y="1119"/>
                <wp:lineTo x="522" y="1119"/>
                <wp:lineTo x="522" y="20294"/>
                <wp:lineTo x="627" y="20453"/>
                <wp:lineTo x="888" y="20533"/>
                <wp:lineTo x="19850" y="20533"/>
                <wp:lineTo x="20790" y="20453"/>
                <wp:lineTo x="21052" y="20414"/>
                <wp:lineTo x="21156" y="1158"/>
                <wp:lineTo x="20738" y="1119"/>
                <wp:lineTo x="13111" y="1119"/>
                <wp:lineTo x="21052" y="639"/>
                <wp:lineTo x="21052" y="399"/>
                <wp:lineTo x="575" y="399"/>
              </wp:wrapPolygon>
            </wp:wrapThrough>
            <wp:docPr id="10" name="Picture 10" descr="/Users/jht/Dropbox/Amy PHD/human structure COPE survey 10.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Users/jht/Dropbox/Amy PHD/human structure COPE survey 10.pdf"/>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51450" cy="686689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21DD5C07" w14:textId="77777777" w:rsidR="00640B54" w:rsidRDefault="00640B54" w:rsidP="00640B54">
      <w:r>
        <w:rPr>
          <w:noProof/>
        </w:rPr>
        <w:lastRenderedPageBreak/>
        <w:drawing>
          <wp:anchor distT="0" distB="0" distL="114300" distR="114300" simplePos="0" relativeHeight="251659264" behindDoc="0" locked="0" layoutInCell="1" allowOverlap="1" wp14:anchorId="49F6B499" wp14:editId="187B34F1">
            <wp:simplePos x="0" y="0"/>
            <wp:positionH relativeFrom="margin">
              <wp:posOffset>-2517</wp:posOffset>
            </wp:positionH>
            <wp:positionV relativeFrom="page">
              <wp:align>center</wp:align>
            </wp:positionV>
            <wp:extent cx="5257800" cy="6867144"/>
            <wp:effectExtent l="0" t="0" r="0" b="0"/>
            <wp:wrapNone/>
            <wp:docPr id="11" name="Picture 11" descr="/Users/jht/Dropbox/Amy PHD/human structure COPE survey 11.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Users/jht/Dropbox/Amy PHD/human structure COPE survey 11.pdf"/>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57800" cy="68671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20317D" w14:textId="77777777" w:rsidR="00640B54" w:rsidRPr="0075727C" w:rsidRDefault="00640B54" w:rsidP="00640B54"/>
    <w:p w14:paraId="2217640D" w14:textId="77777777" w:rsidR="00640B54" w:rsidRPr="0075727C" w:rsidRDefault="00640B54" w:rsidP="00640B54"/>
    <w:p w14:paraId="7665FFD1" w14:textId="77777777" w:rsidR="00640B54" w:rsidRPr="0075727C" w:rsidRDefault="00640B54" w:rsidP="00640B54"/>
    <w:p w14:paraId="4213DE80" w14:textId="77777777" w:rsidR="00640B54" w:rsidRPr="0075727C" w:rsidRDefault="00640B54" w:rsidP="00640B54"/>
    <w:p w14:paraId="0F4BABCB" w14:textId="77777777" w:rsidR="00640B54" w:rsidRPr="0075727C" w:rsidRDefault="00640B54" w:rsidP="00640B54"/>
    <w:p w14:paraId="650A55AC" w14:textId="77777777" w:rsidR="00640B54" w:rsidRPr="0075727C" w:rsidRDefault="00640B54" w:rsidP="00640B54"/>
    <w:p w14:paraId="588599E6" w14:textId="77777777" w:rsidR="00640B54" w:rsidRPr="0075727C" w:rsidRDefault="00640B54" w:rsidP="00640B54"/>
    <w:p w14:paraId="186DF468" w14:textId="77777777" w:rsidR="00640B54" w:rsidRPr="0075727C" w:rsidRDefault="00640B54" w:rsidP="00640B54"/>
    <w:p w14:paraId="4D460A2E" w14:textId="77777777" w:rsidR="00640B54" w:rsidRPr="0075727C" w:rsidRDefault="00640B54" w:rsidP="00640B54"/>
    <w:p w14:paraId="13015CBB" w14:textId="77777777" w:rsidR="00640B54" w:rsidRPr="0075727C" w:rsidRDefault="00640B54" w:rsidP="00640B54"/>
    <w:p w14:paraId="364F397E" w14:textId="77777777" w:rsidR="00640B54" w:rsidRPr="0075727C" w:rsidRDefault="00640B54" w:rsidP="00640B54"/>
    <w:p w14:paraId="185D5C29" w14:textId="77777777" w:rsidR="00640B54" w:rsidRPr="0075727C" w:rsidRDefault="00640B54" w:rsidP="00640B54"/>
    <w:p w14:paraId="50A54C03" w14:textId="77777777" w:rsidR="00640B54" w:rsidRPr="0075727C" w:rsidRDefault="00640B54" w:rsidP="00640B54"/>
    <w:p w14:paraId="7061F4FD" w14:textId="77777777" w:rsidR="00640B54" w:rsidRPr="0075727C" w:rsidRDefault="00640B54" w:rsidP="00640B54"/>
    <w:p w14:paraId="79008F4F" w14:textId="77777777" w:rsidR="00640B54" w:rsidRPr="0075727C" w:rsidRDefault="00640B54" w:rsidP="00640B54"/>
    <w:p w14:paraId="2586BE37" w14:textId="77777777" w:rsidR="00640B54" w:rsidRPr="0075727C" w:rsidRDefault="00640B54" w:rsidP="00640B54"/>
    <w:p w14:paraId="3D3C08D7" w14:textId="77777777" w:rsidR="00640B54" w:rsidRPr="0075727C" w:rsidRDefault="00640B54" w:rsidP="00640B54"/>
    <w:p w14:paraId="432BF72C" w14:textId="77777777" w:rsidR="00640B54" w:rsidRPr="0075727C" w:rsidRDefault="00640B54" w:rsidP="00640B54"/>
    <w:p w14:paraId="08B62F60" w14:textId="77777777" w:rsidR="00640B54" w:rsidRPr="0075727C" w:rsidRDefault="00640B54" w:rsidP="00640B54"/>
    <w:p w14:paraId="504427ED" w14:textId="77777777" w:rsidR="00640B54" w:rsidRPr="0075727C" w:rsidRDefault="00640B54" w:rsidP="00640B54"/>
    <w:p w14:paraId="61BC95D3" w14:textId="77777777" w:rsidR="00640B54" w:rsidRPr="0075727C" w:rsidRDefault="00640B54" w:rsidP="00640B54"/>
    <w:p w14:paraId="1ACC9A9E" w14:textId="77777777" w:rsidR="00640B54" w:rsidRPr="0075727C" w:rsidRDefault="00640B54" w:rsidP="00640B54"/>
    <w:p w14:paraId="36546682" w14:textId="77777777" w:rsidR="00640B54" w:rsidRPr="0075727C" w:rsidRDefault="00640B54" w:rsidP="00640B54"/>
    <w:p w14:paraId="5EED4B29" w14:textId="77777777" w:rsidR="00640B54" w:rsidRPr="0075727C" w:rsidRDefault="00640B54" w:rsidP="00640B54"/>
    <w:p w14:paraId="50695E1A" w14:textId="77777777" w:rsidR="00640B54" w:rsidRPr="0075727C" w:rsidRDefault="00640B54" w:rsidP="00640B54"/>
    <w:p w14:paraId="754BEF19" w14:textId="77777777" w:rsidR="00640B54" w:rsidRPr="0075727C" w:rsidRDefault="00640B54" w:rsidP="00640B54"/>
    <w:p w14:paraId="7D20823F" w14:textId="77777777" w:rsidR="00640B54" w:rsidRPr="0075727C" w:rsidRDefault="00640B54" w:rsidP="00640B54"/>
    <w:p w14:paraId="6331A7F1" w14:textId="77777777" w:rsidR="00640B54" w:rsidRPr="0075727C" w:rsidRDefault="00640B54" w:rsidP="00640B54"/>
    <w:p w14:paraId="0304A88A" w14:textId="77777777" w:rsidR="00640B54" w:rsidRPr="0075727C" w:rsidRDefault="00640B54" w:rsidP="00640B54"/>
    <w:p w14:paraId="64C25D65" w14:textId="77777777" w:rsidR="00640B54" w:rsidRPr="0075727C" w:rsidRDefault="00640B54" w:rsidP="00640B54"/>
    <w:p w14:paraId="0F85CC6E" w14:textId="77777777" w:rsidR="00640B54" w:rsidRPr="0075727C" w:rsidRDefault="00640B54" w:rsidP="00640B54"/>
    <w:p w14:paraId="1B004F30" w14:textId="77777777" w:rsidR="00640B54" w:rsidRPr="0075727C" w:rsidRDefault="00640B54" w:rsidP="00640B54"/>
    <w:p w14:paraId="75EA92E4" w14:textId="77777777" w:rsidR="00640B54" w:rsidRPr="0075727C" w:rsidRDefault="00640B54" w:rsidP="00640B54"/>
    <w:p w14:paraId="43122658" w14:textId="77777777" w:rsidR="00640B54" w:rsidRPr="0075727C" w:rsidRDefault="00640B54" w:rsidP="00640B54"/>
    <w:p w14:paraId="2A55DF01" w14:textId="77777777" w:rsidR="00640B54" w:rsidRPr="0075727C" w:rsidRDefault="00640B54" w:rsidP="00640B54"/>
    <w:p w14:paraId="3B58E575" w14:textId="77777777" w:rsidR="00640B54" w:rsidRPr="0075727C" w:rsidRDefault="00640B54" w:rsidP="00640B54"/>
    <w:p w14:paraId="5C6786E7" w14:textId="77777777" w:rsidR="00640B54" w:rsidRPr="0075727C" w:rsidRDefault="00640B54" w:rsidP="00640B54"/>
    <w:p w14:paraId="0AAF3E1D" w14:textId="77777777" w:rsidR="00640B54" w:rsidRPr="0075727C" w:rsidRDefault="00640B54" w:rsidP="00640B54"/>
    <w:p w14:paraId="7FEE8B1D" w14:textId="77777777" w:rsidR="00640B54" w:rsidRPr="0075727C" w:rsidRDefault="00640B54" w:rsidP="00640B54"/>
    <w:p w14:paraId="7D5BDAA8" w14:textId="77777777" w:rsidR="00640B54" w:rsidRPr="0075727C" w:rsidRDefault="00640B54" w:rsidP="00640B54"/>
    <w:p w14:paraId="47E05A70" w14:textId="77777777" w:rsidR="00640B54" w:rsidRDefault="00640B54" w:rsidP="00640B54"/>
    <w:p w14:paraId="04FA5AD3" w14:textId="77777777" w:rsidR="00640B54" w:rsidRDefault="00640B54" w:rsidP="00640B54">
      <w:pPr>
        <w:tabs>
          <w:tab w:val="left" w:pos="1149"/>
        </w:tabs>
      </w:pPr>
      <w:r>
        <w:tab/>
      </w:r>
    </w:p>
    <w:p w14:paraId="137B05DB" w14:textId="77777777" w:rsidR="00640B54" w:rsidRDefault="00640B54" w:rsidP="00640B54">
      <w:r>
        <w:br w:type="page"/>
      </w:r>
    </w:p>
    <w:p w14:paraId="016C9AA3" w14:textId="7F2DE1A0" w:rsidR="003365EA" w:rsidRDefault="003365EA"/>
    <w:p w14:paraId="3E751337" w14:textId="16DB0FDA" w:rsidR="003365EA" w:rsidRDefault="003365EA"/>
    <w:p w14:paraId="03AA4889" w14:textId="06FA8644" w:rsidR="00285F58" w:rsidRPr="00B417BF" w:rsidRDefault="00285F58">
      <w:pPr>
        <w:rPr>
          <w:rFonts w:asciiTheme="minorHAnsi" w:hAnsiTheme="minorHAnsi"/>
        </w:rPr>
      </w:pPr>
    </w:p>
    <w:p w14:paraId="20476F68" w14:textId="29EAA64A" w:rsidR="00AD27C4" w:rsidRDefault="00AD27C4" w:rsidP="00AD27C4">
      <w:pPr>
        <w:rPr>
          <w:rFonts w:asciiTheme="minorHAnsi" w:hAnsiTheme="minorHAnsi"/>
        </w:rPr>
      </w:pPr>
      <w:r>
        <w:rPr>
          <w:rFonts w:asciiTheme="minorHAnsi" w:hAnsiTheme="minorHAnsi"/>
        </w:rPr>
        <w:t xml:space="preserve">Appendix </w:t>
      </w:r>
      <w:r w:rsidR="006A2099">
        <w:rPr>
          <w:rFonts w:asciiTheme="minorHAnsi" w:hAnsiTheme="minorHAnsi"/>
        </w:rPr>
        <w:t>B</w:t>
      </w:r>
      <w:r>
        <w:rPr>
          <w:rFonts w:asciiTheme="minorHAnsi" w:hAnsiTheme="minorHAnsi"/>
        </w:rPr>
        <w:t>3. After Course Online Survey:</w:t>
      </w:r>
    </w:p>
    <w:p w14:paraId="67F1FF13" w14:textId="20B3F208" w:rsidR="00AD27C4" w:rsidRDefault="00AD27C4" w:rsidP="00AD27C4">
      <w:r>
        <w:rPr>
          <w:noProof/>
        </w:rPr>
        <w:drawing>
          <wp:anchor distT="0" distB="0" distL="114300" distR="114300" simplePos="0" relativeHeight="251680768" behindDoc="0" locked="0" layoutInCell="1" allowOverlap="1" wp14:anchorId="71E055E6" wp14:editId="0C524224">
            <wp:simplePos x="0" y="0"/>
            <wp:positionH relativeFrom="column">
              <wp:posOffset>114300</wp:posOffset>
            </wp:positionH>
            <wp:positionV relativeFrom="paragraph">
              <wp:posOffset>191679</wp:posOffset>
            </wp:positionV>
            <wp:extent cx="5142865" cy="6858000"/>
            <wp:effectExtent l="0" t="0" r="0" b="0"/>
            <wp:wrapThrough wrapText="bothSides">
              <wp:wrapPolygon edited="0">
                <wp:start x="533" y="400"/>
                <wp:lineTo x="533" y="680"/>
                <wp:lineTo x="7841" y="1120"/>
                <wp:lineTo x="533" y="1120"/>
                <wp:lineTo x="533" y="20320"/>
                <wp:lineTo x="640" y="20440"/>
                <wp:lineTo x="853" y="20520"/>
                <wp:lineTo x="20109" y="20520"/>
                <wp:lineTo x="21069" y="20400"/>
                <wp:lineTo x="21123" y="1160"/>
                <wp:lineTo x="20696" y="1120"/>
                <wp:lineTo x="13068" y="1120"/>
                <wp:lineTo x="21016" y="640"/>
                <wp:lineTo x="21016" y="400"/>
                <wp:lineTo x="533" y="400"/>
              </wp:wrapPolygon>
            </wp:wrapThrough>
            <wp:docPr id="20" name="Picture 2" descr="/Users/jht/Dropbox/Amy PHD/After course survey version 2 1.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sers/jht/Dropbox/Amy PHD/After course survey version 2 1.pdf"/>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42865" cy="685800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rPr>
        <w:br w:type="page"/>
      </w:r>
    </w:p>
    <w:p w14:paraId="49D35D62" w14:textId="77777777" w:rsidR="00AD27C4" w:rsidRDefault="00AD27C4" w:rsidP="00AD27C4">
      <w:r>
        <w:rPr>
          <w:noProof/>
        </w:rPr>
        <w:lastRenderedPageBreak/>
        <w:drawing>
          <wp:anchor distT="0" distB="0" distL="114300" distR="114300" simplePos="0" relativeHeight="251681792" behindDoc="0" locked="0" layoutInCell="1" allowOverlap="1" wp14:anchorId="78329099" wp14:editId="46E2461A">
            <wp:simplePos x="0" y="0"/>
            <wp:positionH relativeFrom="column">
              <wp:posOffset>0</wp:posOffset>
            </wp:positionH>
            <wp:positionV relativeFrom="paragraph">
              <wp:posOffset>0</wp:posOffset>
            </wp:positionV>
            <wp:extent cx="5303520" cy="6866890"/>
            <wp:effectExtent l="0" t="0" r="0" b="0"/>
            <wp:wrapThrough wrapText="bothSides">
              <wp:wrapPolygon edited="0">
                <wp:start x="569" y="399"/>
                <wp:lineTo x="569" y="679"/>
                <wp:lineTo x="7914" y="1119"/>
                <wp:lineTo x="517" y="1119"/>
                <wp:lineTo x="517" y="20294"/>
                <wp:lineTo x="621" y="20453"/>
                <wp:lineTo x="879" y="20533"/>
                <wp:lineTo x="20069" y="20533"/>
                <wp:lineTo x="21103" y="20414"/>
                <wp:lineTo x="21155" y="1158"/>
                <wp:lineTo x="20638" y="1119"/>
                <wp:lineTo x="13086" y="1119"/>
                <wp:lineTo x="21000" y="639"/>
                <wp:lineTo x="21000" y="399"/>
                <wp:lineTo x="569" y="399"/>
              </wp:wrapPolygon>
            </wp:wrapThrough>
            <wp:docPr id="19" name="Picture 3" descr="/Users/jht/Dropbox/Amy PHD/After course survey version 2 2.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sers/jht/Dropbox/Amy PHD/After course survey version 2 2.pdf"/>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03520" cy="6866890"/>
                    </a:xfrm>
                    <a:prstGeom prst="rect">
                      <a:avLst/>
                    </a:prstGeom>
                    <a:noFill/>
                  </pic:spPr>
                </pic:pic>
              </a:graphicData>
            </a:graphic>
            <wp14:sizeRelH relativeFrom="page">
              <wp14:pctWidth>0</wp14:pctWidth>
            </wp14:sizeRelH>
            <wp14:sizeRelV relativeFrom="page">
              <wp14:pctHeight>0</wp14:pctHeight>
            </wp14:sizeRelV>
          </wp:anchor>
        </w:drawing>
      </w:r>
    </w:p>
    <w:p w14:paraId="4CB25E81" w14:textId="77777777" w:rsidR="00AD27C4" w:rsidRDefault="00AD27C4" w:rsidP="00AD27C4">
      <w:r>
        <w:br w:type="page"/>
      </w:r>
    </w:p>
    <w:p w14:paraId="6E951275" w14:textId="77777777" w:rsidR="00BA4672" w:rsidRDefault="00BA4672">
      <w:pPr>
        <w:rPr>
          <w:rFonts w:asciiTheme="minorHAnsi" w:hAnsiTheme="minorHAnsi"/>
        </w:rPr>
      </w:pPr>
    </w:p>
    <w:p w14:paraId="3D1D4B93" w14:textId="533B855D" w:rsidR="00BA4672" w:rsidRDefault="00BA4672" w:rsidP="00BA4672"/>
    <w:p w14:paraId="27E92A22" w14:textId="77777777" w:rsidR="00BA4672" w:rsidRDefault="00BA4672" w:rsidP="00BA4672">
      <w:r>
        <w:rPr>
          <w:noProof/>
        </w:rPr>
        <w:drawing>
          <wp:anchor distT="0" distB="0" distL="114300" distR="114300" simplePos="0" relativeHeight="251674624" behindDoc="0" locked="0" layoutInCell="1" allowOverlap="1" wp14:anchorId="00BAD622" wp14:editId="1AB58290">
            <wp:simplePos x="0" y="0"/>
            <wp:positionH relativeFrom="margin">
              <wp:align>center</wp:align>
            </wp:positionH>
            <wp:positionV relativeFrom="page">
              <wp:align>center</wp:align>
            </wp:positionV>
            <wp:extent cx="5303520" cy="6867144"/>
            <wp:effectExtent l="0" t="0" r="0" b="0"/>
            <wp:wrapThrough wrapText="bothSides">
              <wp:wrapPolygon edited="0">
                <wp:start x="569" y="399"/>
                <wp:lineTo x="569" y="679"/>
                <wp:lineTo x="7914" y="1119"/>
                <wp:lineTo x="517" y="1119"/>
                <wp:lineTo x="517" y="20294"/>
                <wp:lineTo x="621" y="20453"/>
                <wp:lineTo x="879" y="20533"/>
                <wp:lineTo x="20069" y="20533"/>
                <wp:lineTo x="21103" y="20414"/>
                <wp:lineTo x="21155" y="1158"/>
                <wp:lineTo x="20741" y="1119"/>
                <wp:lineTo x="13086" y="1119"/>
                <wp:lineTo x="21000" y="639"/>
                <wp:lineTo x="21000" y="399"/>
                <wp:lineTo x="569" y="399"/>
              </wp:wrapPolygon>
            </wp:wrapThrough>
            <wp:docPr id="21" name="Picture 21" descr="/Users/jht/Dropbox/Amy PHD/After course survey version 2 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jht/Dropbox/Amy PHD/After course survey version 2 3.pd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03520" cy="6867144"/>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37022B20" w14:textId="77777777" w:rsidR="00BA4672" w:rsidRDefault="00BA4672" w:rsidP="00BA4672">
      <w:r>
        <w:rPr>
          <w:noProof/>
        </w:rPr>
        <w:lastRenderedPageBreak/>
        <w:drawing>
          <wp:anchor distT="0" distB="0" distL="114300" distR="114300" simplePos="0" relativeHeight="251675648" behindDoc="0" locked="0" layoutInCell="1" allowOverlap="1" wp14:anchorId="405E883C" wp14:editId="059D3470">
            <wp:simplePos x="0" y="0"/>
            <wp:positionH relativeFrom="column">
              <wp:posOffset>0</wp:posOffset>
            </wp:positionH>
            <wp:positionV relativeFrom="paragraph">
              <wp:posOffset>0</wp:posOffset>
            </wp:positionV>
            <wp:extent cx="5303520" cy="6866890"/>
            <wp:effectExtent l="0" t="0" r="0" b="0"/>
            <wp:wrapThrough wrapText="bothSides">
              <wp:wrapPolygon edited="0">
                <wp:start x="569" y="399"/>
                <wp:lineTo x="569" y="679"/>
                <wp:lineTo x="7914" y="1119"/>
                <wp:lineTo x="517" y="1119"/>
                <wp:lineTo x="517" y="20294"/>
                <wp:lineTo x="621" y="20453"/>
                <wp:lineTo x="879" y="20533"/>
                <wp:lineTo x="20069" y="20533"/>
                <wp:lineTo x="21103" y="20414"/>
                <wp:lineTo x="21155" y="1158"/>
                <wp:lineTo x="20638" y="1119"/>
                <wp:lineTo x="13086" y="1119"/>
                <wp:lineTo x="21000" y="639"/>
                <wp:lineTo x="21000" y="399"/>
                <wp:lineTo x="569" y="399"/>
              </wp:wrapPolygon>
            </wp:wrapThrough>
            <wp:docPr id="22" name="Picture 4" descr="/Users/jht/Dropbox/Amy PHD/After course survey version 2 4.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Users/jht/Dropbox/Amy PHD/After course survey version 2 4.pdf"/>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03520" cy="6866890"/>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693D3D1E" w14:textId="77777777" w:rsidR="00BA4672" w:rsidRDefault="00BA4672" w:rsidP="00BA4672">
      <w:r>
        <w:rPr>
          <w:noProof/>
        </w:rPr>
        <w:lastRenderedPageBreak/>
        <w:drawing>
          <wp:anchor distT="0" distB="0" distL="114300" distR="114300" simplePos="0" relativeHeight="251676672" behindDoc="0" locked="0" layoutInCell="1" allowOverlap="1" wp14:anchorId="7AF1652E" wp14:editId="19C39444">
            <wp:simplePos x="0" y="0"/>
            <wp:positionH relativeFrom="margin">
              <wp:align>center</wp:align>
            </wp:positionH>
            <wp:positionV relativeFrom="page">
              <wp:align>center</wp:align>
            </wp:positionV>
            <wp:extent cx="5303520" cy="6867144"/>
            <wp:effectExtent l="0" t="0" r="0" b="0"/>
            <wp:wrapThrough wrapText="bothSides">
              <wp:wrapPolygon edited="0">
                <wp:start x="569" y="399"/>
                <wp:lineTo x="569" y="679"/>
                <wp:lineTo x="7914" y="1119"/>
                <wp:lineTo x="517" y="1119"/>
                <wp:lineTo x="517" y="20294"/>
                <wp:lineTo x="621" y="20453"/>
                <wp:lineTo x="879" y="20533"/>
                <wp:lineTo x="20069" y="20533"/>
                <wp:lineTo x="21103" y="20414"/>
                <wp:lineTo x="21155" y="1158"/>
                <wp:lineTo x="20638" y="1119"/>
                <wp:lineTo x="13086" y="1119"/>
                <wp:lineTo x="21000" y="639"/>
                <wp:lineTo x="21000" y="399"/>
                <wp:lineTo x="569" y="399"/>
              </wp:wrapPolygon>
            </wp:wrapThrough>
            <wp:docPr id="23" name="Picture 5" descr="/Users/jht/Dropbox/Amy PHD/After course survey version 2 5.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Users/jht/Dropbox/Amy PHD/After course survey version 2 5.pdf"/>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03520" cy="6867144"/>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6D5EA793" w14:textId="77777777" w:rsidR="00BA4672" w:rsidRDefault="00BA4672" w:rsidP="00BA4672">
      <w:r>
        <w:rPr>
          <w:noProof/>
        </w:rPr>
        <w:lastRenderedPageBreak/>
        <w:drawing>
          <wp:anchor distT="0" distB="0" distL="114300" distR="114300" simplePos="0" relativeHeight="251677696" behindDoc="0" locked="0" layoutInCell="1" allowOverlap="1" wp14:anchorId="7F1BC699" wp14:editId="679EC9E0">
            <wp:simplePos x="0" y="0"/>
            <wp:positionH relativeFrom="column">
              <wp:posOffset>0</wp:posOffset>
            </wp:positionH>
            <wp:positionV relativeFrom="paragraph">
              <wp:posOffset>0</wp:posOffset>
            </wp:positionV>
            <wp:extent cx="5303520" cy="6866890"/>
            <wp:effectExtent l="0" t="0" r="0" b="0"/>
            <wp:wrapThrough wrapText="bothSides">
              <wp:wrapPolygon edited="0">
                <wp:start x="569" y="399"/>
                <wp:lineTo x="569" y="679"/>
                <wp:lineTo x="7914" y="1119"/>
                <wp:lineTo x="517" y="1119"/>
                <wp:lineTo x="517" y="20294"/>
                <wp:lineTo x="621" y="20453"/>
                <wp:lineTo x="879" y="20533"/>
                <wp:lineTo x="20069" y="20533"/>
                <wp:lineTo x="21103" y="20414"/>
                <wp:lineTo x="21155" y="1158"/>
                <wp:lineTo x="20741" y="1119"/>
                <wp:lineTo x="13086" y="1119"/>
                <wp:lineTo x="21000" y="639"/>
                <wp:lineTo x="21000" y="399"/>
                <wp:lineTo x="569" y="399"/>
              </wp:wrapPolygon>
            </wp:wrapThrough>
            <wp:docPr id="24" name="Picture 5" descr="/Users/jht/Dropbox/Amy PHD/After course survey version 2 6.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Users/jht/Dropbox/Amy PHD/After course survey version 2 6.pdf"/>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03520" cy="6866890"/>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6645FAC8" w14:textId="77653278" w:rsidR="00BA4672" w:rsidRDefault="00BA4672">
      <w:pPr>
        <w:rPr>
          <w:rFonts w:asciiTheme="minorHAnsi" w:hAnsiTheme="minorHAnsi"/>
        </w:rPr>
      </w:pPr>
      <w:r>
        <w:rPr>
          <w:noProof/>
        </w:rPr>
        <w:lastRenderedPageBreak/>
        <w:drawing>
          <wp:anchor distT="0" distB="0" distL="114300" distR="114300" simplePos="0" relativeHeight="251678720" behindDoc="0" locked="0" layoutInCell="1" allowOverlap="1" wp14:anchorId="51B37E99" wp14:editId="6E0CA6D2">
            <wp:simplePos x="0" y="0"/>
            <wp:positionH relativeFrom="margin">
              <wp:posOffset>0</wp:posOffset>
            </wp:positionH>
            <wp:positionV relativeFrom="page">
              <wp:posOffset>1099185</wp:posOffset>
            </wp:positionV>
            <wp:extent cx="5303520" cy="6867144"/>
            <wp:effectExtent l="0" t="0" r="0" b="0"/>
            <wp:wrapThrough wrapText="bothSides">
              <wp:wrapPolygon edited="0">
                <wp:start x="569" y="399"/>
                <wp:lineTo x="569" y="679"/>
                <wp:lineTo x="7914" y="1119"/>
                <wp:lineTo x="517" y="1119"/>
                <wp:lineTo x="517" y="2237"/>
                <wp:lineTo x="3362" y="2397"/>
                <wp:lineTo x="10810" y="2397"/>
                <wp:lineTo x="10810" y="19655"/>
                <wp:lineTo x="517" y="20254"/>
                <wp:lineTo x="517" y="20414"/>
                <wp:lineTo x="879" y="20533"/>
                <wp:lineTo x="20069" y="20533"/>
                <wp:lineTo x="21103" y="20414"/>
                <wp:lineTo x="21103" y="20254"/>
                <wp:lineTo x="10759" y="19655"/>
                <wp:lineTo x="10810" y="2397"/>
                <wp:lineTo x="18259" y="2397"/>
                <wp:lineTo x="21103" y="2237"/>
                <wp:lineTo x="21155" y="1158"/>
                <wp:lineTo x="20638" y="1119"/>
                <wp:lineTo x="13086" y="1119"/>
                <wp:lineTo x="21000" y="639"/>
                <wp:lineTo x="21000" y="399"/>
                <wp:lineTo x="569" y="399"/>
              </wp:wrapPolygon>
            </wp:wrapThrough>
            <wp:docPr id="25" name="Picture 7" descr="/Users/jht/Dropbox/Amy PHD/After course survey version 2 7.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Users/jht/Dropbox/Amy PHD/After course survey version 2 7.pdf"/>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03520" cy="6867144"/>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5E67F089" w14:textId="29FA1F7A" w:rsidR="00BA4672" w:rsidRDefault="003828F4" w:rsidP="00BA4672">
      <w:r>
        <w:lastRenderedPageBreak/>
        <w:t xml:space="preserve">Appendix </w:t>
      </w:r>
      <w:r w:rsidR="006A2099">
        <w:t>B</w:t>
      </w:r>
      <w:r>
        <w:t>4: Student Support Service List provided to experimental group</w:t>
      </w:r>
    </w:p>
    <w:p w14:paraId="43D1A846" w14:textId="77777777" w:rsidR="003828F4" w:rsidRDefault="003828F4" w:rsidP="00F91598">
      <w:pPr>
        <w:pStyle w:val="NormalWeb"/>
        <w:spacing w:before="0" w:beforeAutospacing="0" w:after="0" w:afterAutospacing="0"/>
        <w:ind w:left="720"/>
        <w:rPr>
          <w:rFonts w:asciiTheme="minorHAnsi" w:hAnsiTheme="minorHAnsi"/>
          <w:sz w:val="28"/>
          <w:szCs w:val="28"/>
        </w:rPr>
      </w:pPr>
    </w:p>
    <w:p w14:paraId="4B6B3CDE" w14:textId="77777777" w:rsidR="003828F4" w:rsidRDefault="003828F4" w:rsidP="00F91598">
      <w:pPr>
        <w:pStyle w:val="NormalWeb"/>
        <w:spacing w:before="0" w:beforeAutospacing="0" w:after="0" w:afterAutospacing="0"/>
        <w:ind w:left="720"/>
        <w:rPr>
          <w:rFonts w:asciiTheme="minorHAnsi" w:hAnsiTheme="minorHAnsi"/>
          <w:sz w:val="28"/>
          <w:szCs w:val="28"/>
        </w:rPr>
      </w:pPr>
    </w:p>
    <w:p w14:paraId="4726C3BB" w14:textId="5D3167E2" w:rsidR="003828F4" w:rsidRDefault="003828F4" w:rsidP="00F91598">
      <w:pPr>
        <w:pStyle w:val="NormalWeb"/>
        <w:spacing w:before="0" w:beforeAutospacing="0" w:after="0" w:afterAutospacing="0"/>
        <w:ind w:left="720"/>
        <w:rPr>
          <w:rFonts w:asciiTheme="minorHAnsi" w:hAnsiTheme="minorHAnsi"/>
          <w:sz w:val="28"/>
          <w:szCs w:val="28"/>
        </w:rPr>
      </w:pPr>
      <w:r>
        <w:rPr>
          <w:rFonts w:asciiTheme="minorHAnsi" w:hAnsiTheme="minorHAnsi"/>
          <w:sz w:val="28"/>
          <w:szCs w:val="28"/>
        </w:rPr>
        <w:t>The following is a list of support services available to you as a student.   Please do not hesitate to use these at any time.</w:t>
      </w:r>
    </w:p>
    <w:p w14:paraId="352FB31A" w14:textId="77777777" w:rsidR="003828F4" w:rsidRDefault="003828F4" w:rsidP="00F91598">
      <w:pPr>
        <w:pStyle w:val="NormalWeb"/>
        <w:spacing w:before="0" w:beforeAutospacing="0" w:after="0" w:afterAutospacing="0"/>
        <w:ind w:left="720"/>
        <w:rPr>
          <w:rFonts w:asciiTheme="minorHAnsi" w:hAnsiTheme="minorHAnsi"/>
          <w:sz w:val="28"/>
          <w:szCs w:val="28"/>
        </w:rPr>
      </w:pPr>
    </w:p>
    <w:p w14:paraId="01F6C1F1" w14:textId="77777777" w:rsidR="003828F4" w:rsidRDefault="003828F4" w:rsidP="00F91598">
      <w:pPr>
        <w:pStyle w:val="NormalWeb"/>
        <w:spacing w:before="0" w:beforeAutospacing="0" w:after="0" w:afterAutospacing="0"/>
        <w:ind w:left="720"/>
        <w:jc w:val="center"/>
        <w:rPr>
          <w:rFonts w:asciiTheme="minorHAnsi" w:hAnsiTheme="minorHAnsi"/>
          <w:sz w:val="28"/>
          <w:szCs w:val="28"/>
        </w:rPr>
      </w:pPr>
      <w:r w:rsidRPr="006A3738">
        <w:rPr>
          <w:rFonts w:asciiTheme="minorHAnsi" w:hAnsiTheme="minorHAnsi"/>
          <w:sz w:val="28"/>
          <w:szCs w:val="28"/>
        </w:rPr>
        <w:t>Student Services on OU Norman and OUHSC campuses</w:t>
      </w:r>
    </w:p>
    <w:p w14:paraId="727AF7B1" w14:textId="77777777" w:rsidR="003828F4" w:rsidRPr="006A3738" w:rsidRDefault="003828F4" w:rsidP="00F91598">
      <w:pPr>
        <w:pStyle w:val="NormalWeb"/>
        <w:spacing w:before="0" w:beforeAutospacing="0" w:after="0" w:afterAutospacing="0"/>
        <w:jc w:val="center"/>
        <w:rPr>
          <w:rFonts w:asciiTheme="minorHAnsi" w:hAnsiTheme="minorHAnsi" w:cs="Arial"/>
          <w:b/>
          <w:bCs/>
          <w:color w:val="444444"/>
          <w:sz w:val="28"/>
          <w:szCs w:val="28"/>
        </w:rPr>
      </w:pPr>
    </w:p>
    <w:p w14:paraId="727D2388" w14:textId="77777777" w:rsidR="003828F4" w:rsidRPr="006A3738" w:rsidRDefault="003828F4" w:rsidP="003828F4">
      <w:pPr>
        <w:pStyle w:val="ListParagraph"/>
        <w:numPr>
          <w:ilvl w:val="0"/>
          <w:numId w:val="20"/>
        </w:numPr>
        <w:rPr>
          <w:sz w:val="20"/>
          <w:szCs w:val="20"/>
        </w:rPr>
      </w:pPr>
      <w:r w:rsidRPr="006A3738">
        <w:rPr>
          <w:rFonts w:cs="Arial"/>
          <w:b/>
          <w:bCs/>
          <w:color w:val="444444"/>
          <w:sz w:val="20"/>
          <w:szCs w:val="20"/>
        </w:rPr>
        <w:t>OU Advocates</w:t>
      </w:r>
      <w:r w:rsidRPr="006A3738">
        <w:rPr>
          <w:rStyle w:val="apple-converted-space"/>
          <w:rFonts w:cs="Arial"/>
          <w:color w:val="444444"/>
          <w:sz w:val="20"/>
          <w:szCs w:val="20"/>
        </w:rPr>
        <w:t> </w:t>
      </w:r>
      <w:r w:rsidRPr="006A3738">
        <w:rPr>
          <w:rFonts w:cs="Arial"/>
          <w:color w:val="444444"/>
          <w:sz w:val="20"/>
          <w:szCs w:val="20"/>
        </w:rPr>
        <w:t xml:space="preserve">- Dial 911 (on campus) or (405) 615-0013 (off campus or by cell) and ask for OU Advocates regarding sexual assault issues. </w:t>
      </w:r>
    </w:p>
    <w:p w14:paraId="45C90E45" w14:textId="77777777" w:rsidR="003828F4" w:rsidRPr="006A3738" w:rsidRDefault="003828F4" w:rsidP="00F91598">
      <w:pPr>
        <w:pStyle w:val="ListParagraph"/>
        <w:ind w:left="0"/>
        <w:rPr>
          <w:sz w:val="20"/>
          <w:szCs w:val="20"/>
        </w:rPr>
      </w:pPr>
    </w:p>
    <w:p w14:paraId="4D353C44" w14:textId="77777777" w:rsidR="003828F4" w:rsidRPr="008F4690" w:rsidRDefault="003828F4" w:rsidP="003828F4">
      <w:pPr>
        <w:pStyle w:val="ListParagraph"/>
        <w:numPr>
          <w:ilvl w:val="0"/>
          <w:numId w:val="20"/>
        </w:numPr>
        <w:rPr>
          <w:b/>
          <w:sz w:val="20"/>
          <w:szCs w:val="20"/>
        </w:rPr>
      </w:pPr>
      <w:r w:rsidRPr="008F4690">
        <w:rPr>
          <w:b/>
          <w:sz w:val="20"/>
          <w:szCs w:val="20"/>
        </w:rPr>
        <w:t>OUHSC counseling services</w:t>
      </w:r>
    </w:p>
    <w:p w14:paraId="0E55D652" w14:textId="77777777" w:rsidR="003828F4" w:rsidRPr="006A3738" w:rsidRDefault="003828F4" w:rsidP="00F91598">
      <w:pPr>
        <w:pStyle w:val="NormalWeb"/>
        <w:spacing w:before="0" w:beforeAutospacing="0" w:after="150" w:afterAutospacing="0"/>
        <w:ind w:left="720"/>
        <w:rPr>
          <w:rFonts w:asciiTheme="minorHAnsi" w:hAnsiTheme="minorHAnsi" w:cs="Arial"/>
          <w:color w:val="444444"/>
        </w:rPr>
      </w:pPr>
      <w:r w:rsidRPr="006A3738">
        <w:rPr>
          <w:rFonts w:asciiTheme="minorHAnsi" w:hAnsiTheme="minorHAnsi" w:cs="Arial"/>
          <w:color w:val="555555"/>
        </w:rPr>
        <w:t>Student Counseling Services </w:t>
      </w:r>
      <w:r w:rsidRPr="006A3738">
        <w:rPr>
          <w:rFonts w:asciiTheme="minorHAnsi" w:hAnsiTheme="minorHAnsi" w:cs="Arial"/>
          <w:color w:val="555555"/>
        </w:rPr>
        <w:br/>
        <w:t>David L. Boren Student Union, Suite 300 </w:t>
      </w:r>
      <w:r w:rsidRPr="006A3738">
        <w:rPr>
          <w:rFonts w:asciiTheme="minorHAnsi" w:hAnsiTheme="minorHAnsi" w:cs="Arial"/>
          <w:color w:val="555555"/>
        </w:rPr>
        <w:br/>
        <w:t>Phone: (405) 271-7336 </w:t>
      </w:r>
      <w:r w:rsidRPr="006A3738">
        <w:rPr>
          <w:rFonts w:asciiTheme="minorHAnsi" w:hAnsiTheme="minorHAnsi" w:cs="Arial"/>
          <w:color w:val="555555"/>
        </w:rPr>
        <w:br/>
        <w:t>Toll-Free: (8</w:t>
      </w:r>
      <w:r>
        <w:rPr>
          <w:rFonts w:asciiTheme="minorHAnsi" w:hAnsiTheme="minorHAnsi" w:cs="Arial"/>
          <w:color w:val="555555"/>
        </w:rPr>
        <w:t>77) 577-5655 </w:t>
      </w:r>
      <w:r>
        <w:rPr>
          <w:rFonts w:asciiTheme="minorHAnsi" w:hAnsiTheme="minorHAnsi" w:cs="Arial"/>
          <w:color w:val="555555"/>
        </w:rPr>
        <w:br/>
        <w:t>Email: Counselors@ouhsc.</w:t>
      </w:r>
      <w:r w:rsidRPr="006A3738">
        <w:rPr>
          <w:rFonts w:asciiTheme="minorHAnsi" w:hAnsiTheme="minorHAnsi" w:cs="Arial"/>
          <w:color w:val="555555"/>
        </w:rPr>
        <w:t>edu </w:t>
      </w:r>
    </w:p>
    <w:p w14:paraId="0E0BC48F" w14:textId="77777777" w:rsidR="003828F4" w:rsidRPr="006A3738" w:rsidRDefault="003828F4" w:rsidP="003828F4">
      <w:pPr>
        <w:pStyle w:val="NormalWeb"/>
        <w:numPr>
          <w:ilvl w:val="0"/>
          <w:numId w:val="20"/>
        </w:numPr>
        <w:spacing w:before="0" w:beforeAutospacing="0" w:after="150" w:afterAutospacing="0"/>
        <w:rPr>
          <w:rFonts w:asciiTheme="minorHAnsi" w:hAnsiTheme="minorHAnsi" w:cs="Arial"/>
          <w:color w:val="444444"/>
        </w:rPr>
      </w:pPr>
      <w:r w:rsidRPr="006A3738">
        <w:rPr>
          <w:rFonts w:asciiTheme="minorHAnsi" w:hAnsiTheme="minorHAnsi" w:cs="Arial"/>
          <w:color w:val="444444"/>
        </w:rPr>
        <w:t>Please visit the</w:t>
      </w:r>
      <w:r w:rsidRPr="006A3738">
        <w:rPr>
          <w:rStyle w:val="apple-converted-space"/>
          <w:rFonts w:asciiTheme="minorHAnsi" w:hAnsiTheme="minorHAnsi" w:cs="Arial"/>
          <w:color w:val="444444"/>
        </w:rPr>
        <w:t> </w:t>
      </w:r>
      <w:hyperlink r:id="rId44" w:tgtFrame="_blank" w:history="1">
        <w:r w:rsidRPr="006A3738">
          <w:rPr>
            <w:rStyle w:val="Hyperlink"/>
            <w:rFonts w:asciiTheme="minorHAnsi" w:hAnsiTheme="minorHAnsi" w:cs="Arial"/>
            <w:color w:val="257EB3"/>
          </w:rPr>
          <w:t>OUPD website</w:t>
        </w:r>
      </w:hyperlink>
      <w:r w:rsidRPr="006A3738">
        <w:rPr>
          <w:rStyle w:val="apple-converted-space"/>
          <w:rFonts w:asciiTheme="minorHAnsi" w:hAnsiTheme="minorHAnsi" w:cs="Arial"/>
          <w:color w:val="444444"/>
        </w:rPr>
        <w:t> </w:t>
      </w:r>
      <w:r w:rsidRPr="006A3738">
        <w:rPr>
          <w:rFonts w:asciiTheme="minorHAnsi" w:hAnsiTheme="minorHAnsi" w:cs="Arial"/>
          <w:color w:val="444444"/>
        </w:rPr>
        <w:t>for additional on and off campus emergency numbers.</w:t>
      </w:r>
    </w:p>
    <w:p w14:paraId="74806156" w14:textId="77777777" w:rsidR="003828F4" w:rsidRPr="008F4690" w:rsidRDefault="003828F4" w:rsidP="003828F4">
      <w:pPr>
        <w:pStyle w:val="ListParagraph"/>
        <w:numPr>
          <w:ilvl w:val="0"/>
          <w:numId w:val="20"/>
        </w:numPr>
        <w:rPr>
          <w:b/>
          <w:sz w:val="20"/>
          <w:szCs w:val="20"/>
        </w:rPr>
      </w:pPr>
      <w:r w:rsidRPr="008F4690">
        <w:rPr>
          <w:b/>
          <w:sz w:val="20"/>
          <w:szCs w:val="20"/>
        </w:rPr>
        <w:t>Department of Disability Concerns</w:t>
      </w:r>
    </w:p>
    <w:p w14:paraId="7C2313B4" w14:textId="77777777" w:rsidR="003828F4" w:rsidRPr="006A3738" w:rsidRDefault="003828F4" w:rsidP="00F91598">
      <w:pPr>
        <w:pStyle w:val="ListParagraph"/>
        <w:spacing w:after="150"/>
        <w:rPr>
          <w:rFonts w:cs="Times New Roman"/>
          <w:color w:val="000000" w:themeColor="text1"/>
          <w:sz w:val="20"/>
          <w:szCs w:val="20"/>
        </w:rPr>
      </w:pPr>
      <w:r w:rsidRPr="006A3738">
        <w:rPr>
          <w:rFonts w:cs="Times New Roman"/>
          <w:bCs/>
          <w:color w:val="000000" w:themeColor="text1"/>
          <w:sz w:val="20"/>
          <w:szCs w:val="20"/>
        </w:rPr>
        <w:t>Chelle' Guttery, Ph.D., Director</w:t>
      </w:r>
    </w:p>
    <w:p w14:paraId="68B7DD25" w14:textId="77777777" w:rsidR="003828F4" w:rsidRPr="006A3738" w:rsidRDefault="003828F4" w:rsidP="00F91598">
      <w:pPr>
        <w:pStyle w:val="ListParagraph"/>
        <w:spacing w:after="150"/>
        <w:rPr>
          <w:rFonts w:cs="Times New Roman"/>
          <w:color w:val="000000" w:themeColor="text1"/>
          <w:sz w:val="20"/>
          <w:szCs w:val="20"/>
        </w:rPr>
      </w:pPr>
      <w:r w:rsidRPr="006A3738">
        <w:rPr>
          <w:rFonts w:cs="Times New Roman"/>
          <w:bCs/>
          <w:color w:val="000000" w:themeColor="text1"/>
          <w:sz w:val="20"/>
          <w:szCs w:val="20"/>
        </w:rPr>
        <w:t>730 College Avenue - University Community Center</w:t>
      </w:r>
    </w:p>
    <w:p w14:paraId="70ABBEE9" w14:textId="77777777" w:rsidR="003828F4" w:rsidRPr="006A3738" w:rsidRDefault="003828F4" w:rsidP="00F91598">
      <w:pPr>
        <w:pStyle w:val="ListParagraph"/>
        <w:spacing w:after="150"/>
        <w:rPr>
          <w:rFonts w:cs="Times New Roman"/>
          <w:color w:val="000000" w:themeColor="text1"/>
          <w:sz w:val="20"/>
          <w:szCs w:val="20"/>
        </w:rPr>
      </w:pPr>
      <w:r w:rsidRPr="006A3738">
        <w:rPr>
          <w:rFonts w:cs="Times New Roman"/>
          <w:bCs/>
          <w:color w:val="000000" w:themeColor="text1"/>
          <w:sz w:val="20"/>
          <w:szCs w:val="20"/>
        </w:rPr>
        <w:t>Norman, OK  73019</w:t>
      </w:r>
    </w:p>
    <w:p w14:paraId="07C7F51F" w14:textId="77777777" w:rsidR="003828F4" w:rsidRPr="006A3738" w:rsidRDefault="003828F4" w:rsidP="00F91598">
      <w:pPr>
        <w:pStyle w:val="ListParagraph"/>
        <w:spacing w:after="150"/>
        <w:rPr>
          <w:rFonts w:cs="Times New Roman"/>
          <w:color w:val="000000" w:themeColor="text1"/>
          <w:sz w:val="20"/>
          <w:szCs w:val="20"/>
        </w:rPr>
      </w:pPr>
      <w:r w:rsidRPr="006A3738">
        <w:rPr>
          <w:rFonts w:cs="Times New Roman"/>
          <w:bCs/>
          <w:color w:val="000000" w:themeColor="text1"/>
          <w:sz w:val="20"/>
          <w:szCs w:val="20"/>
        </w:rPr>
        <w:t>(405) 325-3852 (Voice) - (405) 217-3494 (VP)</w:t>
      </w:r>
    </w:p>
    <w:p w14:paraId="1D135F22" w14:textId="77777777" w:rsidR="003828F4" w:rsidRPr="006A3738" w:rsidRDefault="003828F4" w:rsidP="00F91598">
      <w:pPr>
        <w:pStyle w:val="ListParagraph"/>
        <w:spacing w:after="150"/>
        <w:rPr>
          <w:rFonts w:cs="Times New Roman"/>
          <w:color w:val="000000" w:themeColor="text1"/>
          <w:sz w:val="20"/>
          <w:szCs w:val="20"/>
        </w:rPr>
      </w:pPr>
      <w:r w:rsidRPr="006A3738">
        <w:rPr>
          <w:rFonts w:cs="Times New Roman"/>
          <w:bCs/>
          <w:color w:val="000000" w:themeColor="text1"/>
          <w:sz w:val="20"/>
          <w:szCs w:val="20"/>
        </w:rPr>
        <w:t>(405) 325-4491 (Fax)</w:t>
      </w:r>
    </w:p>
    <w:p w14:paraId="0B357006" w14:textId="77777777" w:rsidR="003828F4" w:rsidRDefault="003828F4" w:rsidP="00F91598">
      <w:pPr>
        <w:pStyle w:val="ListParagraph"/>
        <w:spacing w:after="150"/>
        <w:rPr>
          <w:rStyle w:val="Hyperlink"/>
          <w:rFonts w:cs="Times New Roman"/>
          <w:bCs/>
          <w:color w:val="000000" w:themeColor="text1"/>
          <w:sz w:val="20"/>
          <w:szCs w:val="20"/>
        </w:rPr>
      </w:pPr>
      <w:r w:rsidRPr="006A3738">
        <w:rPr>
          <w:rFonts w:cs="Times New Roman"/>
          <w:bCs/>
          <w:color w:val="000000" w:themeColor="text1"/>
          <w:sz w:val="20"/>
          <w:szCs w:val="20"/>
        </w:rPr>
        <w:t xml:space="preserve">Email:  </w:t>
      </w:r>
      <w:hyperlink r:id="rId45" w:history="1">
        <w:r w:rsidRPr="006A3738">
          <w:rPr>
            <w:rStyle w:val="Hyperlink"/>
            <w:rFonts w:cs="Times New Roman"/>
            <w:bCs/>
            <w:color w:val="000000" w:themeColor="text1"/>
            <w:sz w:val="20"/>
            <w:szCs w:val="20"/>
          </w:rPr>
          <w:t>drc@ou.edu</w:t>
        </w:r>
      </w:hyperlink>
    </w:p>
    <w:p w14:paraId="1C175366" w14:textId="77777777" w:rsidR="003828F4" w:rsidRDefault="003828F4" w:rsidP="00F91598">
      <w:pPr>
        <w:pStyle w:val="ListParagraph"/>
        <w:spacing w:after="150"/>
        <w:ind w:left="0"/>
        <w:rPr>
          <w:rStyle w:val="Hyperlink"/>
          <w:rFonts w:cs="Times New Roman"/>
          <w:bCs/>
          <w:color w:val="000000" w:themeColor="text1"/>
          <w:sz w:val="20"/>
          <w:szCs w:val="20"/>
        </w:rPr>
      </w:pPr>
    </w:p>
    <w:p w14:paraId="45E732E4" w14:textId="77777777" w:rsidR="003828F4" w:rsidRPr="008F4690" w:rsidRDefault="003828F4" w:rsidP="003828F4">
      <w:pPr>
        <w:pStyle w:val="ListParagraph"/>
        <w:numPr>
          <w:ilvl w:val="0"/>
          <w:numId w:val="20"/>
        </w:numPr>
        <w:spacing w:after="150"/>
        <w:rPr>
          <w:rFonts w:cs="Arial"/>
          <w:b/>
          <w:color w:val="555555"/>
          <w:sz w:val="20"/>
          <w:szCs w:val="20"/>
        </w:rPr>
      </w:pPr>
      <w:r w:rsidRPr="008F4690">
        <w:rPr>
          <w:rFonts w:cs="Times New Roman"/>
          <w:b/>
          <w:bCs/>
          <w:color w:val="444444"/>
          <w:sz w:val="20"/>
          <w:szCs w:val="20"/>
        </w:rPr>
        <w:t>Sooners Helping Sooner HSC</w:t>
      </w:r>
      <w:r w:rsidRPr="008F4690">
        <w:rPr>
          <w:rFonts w:cs="Arial"/>
          <w:b/>
          <w:bCs/>
          <w:color w:val="555555"/>
          <w:sz w:val="20"/>
          <w:szCs w:val="20"/>
          <w:bdr w:val="none" w:sz="0" w:space="0" w:color="auto" w:frame="1"/>
        </w:rPr>
        <w:t xml:space="preserve"> </w:t>
      </w:r>
    </w:p>
    <w:p w14:paraId="51982F91" w14:textId="77777777" w:rsidR="003828F4" w:rsidRPr="006A3738" w:rsidRDefault="003828F4" w:rsidP="00F91598">
      <w:pPr>
        <w:pStyle w:val="ListParagraph"/>
        <w:spacing w:after="150"/>
        <w:rPr>
          <w:rFonts w:cs="Times New Roman"/>
          <w:bCs/>
          <w:color w:val="000000" w:themeColor="text1"/>
          <w:sz w:val="20"/>
          <w:szCs w:val="20"/>
          <w:u w:val="single"/>
        </w:rPr>
      </w:pPr>
      <w:r w:rsidRPr="006A3738">
        <w:rPr>
          <w:rFonts w:cs="Arial"/>
          <w:color w:val="555555"/>
          <w:sz w:val="20"/>
          <w:szCs w:val="20"/>
        </w:rPr>
        <w:t>Kate Stanton</w:t>
      </w:r>
      <w:r w:rsidRPr="006A3738">
        <w:rPr>
          <w:rFonts w:cs="Arial"/>
          <w:color w:val="555555"/>
          <w:sz w:val="20"/>
          <w:szCs w:val="20"/>
        </w:rPr>
        <w:br/>
        <w:t>Executive Director, HSC Student Affairs</w:t>
      </w:r>
      <w:r w:rsidRPr="006A3738">
        <w:rPr>
          <w:rFonts w:cs="Arial"/>
          <w:color w:val="555555"/>
          <w:sz w:val="20"/>
          <w:szCs w:val="20"/>
        </w:rPr>
        <w:br/>
        <w:t>(405) 271-2416</w:t>
      </w:r>
      <w:r w:rsidRPr="006A3738">
        <w:rPr>
          <w:rFonts w:cs="Arial"/>
          <w:color w:val="555555"/>
          <w:sz w:val="20"/>
          <w:szCs w:val="20"/>
        </w:rPr>
        <w:br/>
        <w:t>kate-stanton@ouhsc.edu</w:t>
      </w:r>
    </w:p>
    <w:p w14:paraId="5665A63D" w14:textId="77777777" w:rsidR="003828F4" w:rsidRPr="006A3738" w:rsidRDefault="003828F4" w:rsidP="00F91598">
      <w:pPr>
        <w:pStyle w:val="ListParagraph"/>
        <w:spacing w:after="150"/>
        <w:textAlignment w:val="baseline"/>
        <w:rPr>
          <w:rFonts w:cs="Arial"/>
          <w:color w:val="555555"/>
          <w:sz w:val="20"/>
          <w:szCs w:val="20"/>
        </w:rPr>
      </w:pPr>
      <w:r w:rsidRPr="006A3738">
        <w:rPr>
          <w:rFonts w:cs="Arial"/>
          <w:color w:val="555555"/>
          <w:sz w:val="20"/>
          <w:szCs w:val="20"/>
        </w:rPr>
        <w:t>Sarah Bramlett</w:t>
      </w:r>
      <w:r w:rsidRPr="006A3738">
        <w:rPr>
          <w:rFonts w:cs="Arial"/>
          <w:color w:val="555555"/>
          <w:sz w:val="20"/>
          <w:szCs w:val="20"/>
        </w:rPr>
        <w:br/>
        <w:t>Coordinator, Leadership Development Programs</w:t>
      </w:r>
      <w:r w:rsidRPr="006A3738">
        <w:rPr>
          <w:rFonts w:cs="Arial"/>
          <w:color w:val="555555"/>
          <w:sz w:val="20"/>
          <w:szCs w:val="20"/>
        </w:rPr>
        <w:br/>
        <w:t>(405) 271-2416</w:t>
      </w:r>
      <w:r w:rsidRPr="006A3738">
        <w:rPr>
          <w:rFonts w:cs="Arial"/>
          <w:color w:val="555555"/>
          <w:sz w:val="20"/>
          <w:szCs w:val="20"/>
        </w:rPr>
        <w:br/>
      </w:r>
      <w:hyperlink r:id="rId46" w:history="1">
        <w:r w:rsidRPr="006A3738">
          <w:rPr>
            <w:rStyle w:val="Hyperlink"/>
            <w:rFonts w:cs="Arial"/>
            <w:sz w:val="20"/>
            <w:szCs w:val="20"/>
          </w:rPr>
          <w:t>sarah-bramlett@ouhsc.edu</w:t>
        </w:r>
      </w:hyperlink>
    </w:p>
    <w:p w14:paraId="14A766D4" w14:textId="77777777" w:rsidR="003828F4" w:rsidRPr="006A3738" w:rsidRDefault="003828F4" w:rsidP="00F91598">
      <w:pPr>
        <w:pStyle w:val="ListParagraph"/>
        <w:spacing w:after="150"/>
        <w:ind w:left="0"/>
        <w:textAlignment w:val="baseline"/>
        <w:rPr>
          <w:rFonts w:cs="Arial"/>
          <w:color w:val="555555"/>
          <w:sz w:val="20"/>
          <w:szCs w:val="20"/>
        </w:rPr>
      </w:pPr>
    </w:p>
    <w:p w14:paraId="75207F5F" w14:textId="77777777" w:rsidR="003828F4" w:rsidRPr="006A3738" w:rsidRDefault="003828F4" w:rsidP="003828F4">
      <w:pPr>
        <w:pStyle w:val="ListParagraph"/>
        <w:numPr>
          <w:ilvl w:val="0"/>
          <w:numId w:val="20"/>
        </w:numPr>
        <w:spacing w:after="150"/>
        <w:textAlignment w:val="baseline"/>
        <w:rPr>
          <w:rFonts w:cs="Arial"/>
          <w:color w:val="444444"/>
          <w:sz w:val="20"/>
          <w:szCs w:val="20"/>
        </w:rPr>
      </w:pPr>
      <w:r w:rsidRPr="006A3738">
        <w:rPr>
          <w:rFonts w:cs="Arial"/>
          <w:b/>
          <w:bCs/>
          <w:color w:val="444444"/>
          <w:sz w:val="20"/>
          <w:szCs w:val="20"/>
        </w:rPr>
        <w:t>National Hopeline Network</w:t>
      </w:r>
      <w:r w:rsidRPr="006A3738">
        <w:rPr>
          <w:rStyle w:val="apple-converted-space"/>
          <w:rFonts w:cs="Arial"/>
          <w:b/>
          <w:bCs/>
          <w:color w:val="444444"/>
          <w:sz w:val="20"/>
          <w:szCs w:val="20"/>
        </w:rPr>
        <w:t> </w:t>
      </w:r>
      <w:r w:rsidRPr="006A3738">
        <w:rPr>
          <w:rFonts w:cs="Arial"/>
          <w:color w:val="444444"/>
          <w:sz w:val="20"/>
          <w:szCs w:val="20"/>
        </w:rPr>
        <w:t>- Suicide prevention, awareness, and education. 1-800-SUICIDE (1-800-784-2433) or 1-800-442-HOPE (1-800-442-4673). Available 24 hours a day 7 days a week</w:t>
      </w:r>
    </w:p>
    <w:p w14:paraId="7AC34DBA" w14:textId="77777777" w:rsidR="003828F4" w:rsidRPr="006A3738" w:rsidRDefault="003828F4" w:rsidP="003828F4">
      <w:pPr>
        <w:pStyle w:val="NormalWeb"/>
        <w:numPr>
          <w:ilvl w:val="0"/>
          <w:numId w:val="20"/>
        </w:numPr>
        <w:spacing w:before="0" w:beforeAutospacing="0" w:after="150" w:afterAutospacing="0"/>
        <w:rPr>
          <w:rFonts w:asciiTheme="minorHAnsi" w:hAnsiTheme="minorHAnsi" w:cs="Arial"/>
          <w:color w:val="444444"/>
        </w:rPr>
      </w:pPr>
      <w:r w:rsidRPr="006A3738">
        <w:rPr>
          <w:rFonts w:asciiTheme="minorHAnsi" w:hAnsiTheme="minorHAnsi" w:cs="Arial"/>
          <w:b/>
          <w:bCs/>
          <w:color w:val="444444"/>
        </w:rPr>
        <w:t>National Suicide Prevention Lifeline</w:t>
      </w:r>
      <w:r w:rsidRPr="006A3738">
        <w:rPr>
          <w:rStyle w:val="apple-converted-space"/>
          <w:rFonts w:asciiTheme="minorHAnsi" w:hAnsiTheme="minorHAnsi" w:cs="Arial"/>
          <w:color w:val="444444"/>
        </w:rPr>
        <w:t> </w:t>
      </w:r>
      <w:r w:rsidRPr="006A3738">
        <w:rPr>
          <w:rFonts w:asciiTheme="minorHAnsi" w:hAnsiTheme="minorHAnsi" w:cs="Arial"/>
          <w:color w:val="444444"/>
        </w:rPr>
        <w:t>- 1-800-273-TALK (1-800-273-8255).</w:t>
      </w:r>
    </w:p>
    <w:p w14:paraId="3189E044" w14:textId="77777777" w:rsidR="003828F4" w:rsidRPr="008F4690" w:rsidRDefault="003828F4" w:rsidP="003828F4">
      <w:pPr>
        <w:pStyle w:val="NormalWeb"/>
        <w:numPr>
          <w:ilvl w:val="0"/>
          <w:numId w:val="20"/>
        </w:numPr>
        <w:spacing w:before="0" w:beforeAutospacing="0" w:after="0" w:afterAutospacing="0"/>
        <w:rPr>
          <w:rFonts w:asciiTheme="minorHAnsi" w:hAnsiTheme="minorHAnsi" w:cs="Arial"/>
          <w:b/>
          <w:color w:val="444444"/>
        </w:rPr>
      </w:pPr>
      <w:r w:rsidRPr="008F4690">
        <w:rPr>
          <w:rFonts w:asciiTheme="minorHAnsi" w:hAnsiTheme="minorHAnsi" w:cs="Arial"/>
          <w:b/>
          <w:caps/>
          <w:color w:val="5E5144"/>
        </w:rPr>
        <w:t>EMERGENCY SERVICES OR HOSPITALIZATION:</w:t>
      </w:r>
    </w:p>
    <w:p w14:paraId="116D68BF" w14:textId="77777777" w:rsidR="003828F4" w:rsidRPr="006A3738" w:rsidRDefault="004104FB" w:rsidP="00F91598">
      <w:pPr>
        <w:pStyle w:val="NormalWeb"/>
        <w:spacing w:before="0" w:beforeAutospacing="0" w:after="0" w:afterAutospacing="0"/>
        <w:ind w:left="720"/>
        <w:rPr>
          <w:rFonts w:asciiTheme="minorHAnsi" w:hAnsiTheme="minorHAnsi" w:cs="Arial"/>
          <w:color w:val="444444"/>
        </w:rPr>
      </w:pPr>
      <w:hyperlink r:id="rId47" w:history="1">
        <w:r w:rsidR="003828F4" w:rsidRPr="006A3738">
          <w:rPr>
            <w:rStyle w:val="Hyperlink"/>
            <w:rFonts w:asciiTheme="minorHAnsi" w:hAnsiTheme="minorHAnsi" w:cs="Arial"/>
            <w:color w:val="257EB3"/>
          </w:rPr>
          <w:t>Red Rock Behavioral Health Crisis Unit</w:t>
        </w:r>
      </w:hyperlink>
      <w:r w:rsidR="003828F4" w:rsidRPr="006A3738">
        <w:rPr>
          <w:rStyle w:val="apple-converted-space"/>
          <w:rFonts w:asciiTheme="minorHAnsi" w:hAnsiTheme="minorHAnsi" w:cs="Arial"/>
          <w:color w:val="444444"/>
        </w:rPr>
        <w:t> </w:t>
      </w:r>
      <w:r w:rsidR="003828F4" w:rsidRPr="006A3738">
        <w:rPr>
          <w:rFonts w:asciiTheme="minorHAnsi" w:hAnsiTheme="minorHAnsi" w:cs="Arial"/>
          <w:color w:val="444444"/>
        </w:rPr>
        <w:t>(Norman) -  405-573-6466</w:t>
      </w:r>
    </w:p>
    <w:p w14:paraId="2D582B46" w14:textId="77777777" w:rsidR="003828F4" w:rsidRPr="008F4690" w:rsidRDefault="003828F4" w:rsidP="00F91598">
      <w:pPr>
        <w:pStyle w:val="ListParagraph"/>
        <w:rPr>
          <w:rFonts w:eastAsia="Times New Roman" w:cs="Arial"/>
          <w:color w:val="444444"/>
          <w:sz w:val="20"/>
          <w:szCs w:val="20"/>
        </w:rPr>
      </w:pPr>
      <w:r w:rsidRPr="008F4690">
        <w:rPr>
          <w:rFonts w:eastAsia="Times New Roman" w:cs="Arial"/>
          <w:color w:val="444444"/>
          <w:sz w:val="20"/>
          <w:szCs w:val="20"/>
        </w:rPr>
        <w:t>Norman Regional Behavioral Health -  405-307-5555</w:t>
      </w:r>
    </w:p>
    <w:p w14:paraId="2A80E5A3" w14:textId="77777777" w:rsidR="003828F4" w:rsidRPr="008F4690" w:rsidRDefault="003828F4" w:rsidP="00F91598">
      <w:pPr>
        <w:rPr>
          <w:rFonts w:cs="Arial"/>
          <w:color w:val="444444"/>
          <w:sz w:val="20"/>
          <w:szCs w:val="20"/>
        </w:rPr>
      </w:pPr>
    </w:p>
    <w:p w14:paraId="2DF66373" w14:textId="77777777" w:rsidR="003828F4" w:rsidRPr="008F4690" w:rsidRDefault="003828F4" w:rsidP="003828F4">
      <w:pPr>
        <w:pStyle w:val="ListParagraph"/>
        <w:numPr>
          <w:ilvl w:val="0"/>
          <w:numId w:val="20"/>
        </w:numPr>
        <w:spacing w:after="150"/>
        <w:textAlignment w:val="baseline"/>
        <w:rPr>
          <w:rFonts w:cs="Arial"/>
          <w:b/>
          <w:color w:val="555555"/>
          <w:sz w:val="20"/>
          <w:szCs w:val="20"/>
        </w:rPr>
      </w:pPr>
      <w:r w:rsidRPr="008F4690">
        <w:rPr>
          <w:rFonts w:cs="Arial"/>
          <w:b/>
          <w:color w:val="555555"/>
          <w:sz w:val="20"/>
          <w:szCs w:val="20"/>
        </w:rPr>
        <w:t xml:space="preserve">Writing Center: </w:t>
      </w:r>
    </w:p>
    <w:p w14:paraId="60520652" w14:textId="77777777" w:rsidR="003828F4" w:rsidRPr="006A3738" w:rsidRDefault="003828F4" w:rsidP="00F91598">
      <w:pPr>
        <w:pStyle w:val="ListParagraph"/>
        <w:spacing w:after="150"/>
        <w:textAlignment w:val="baseline"/>
        <w:rPr>
          <w:rFonts w:cs="Arial"/>
          <w:color w:val="555555"/>
          <w:sz w:val="20"/>
          <w:szCs w:val="20"/>
        </w:rPr>
      </w:pPr>
      <w:r w:rsidRPr="006A3738">
        <w:rPr>
          <w:rFonts w:cs="Arial"/>
          <w:color w:val="555555"/>
          <w:sz w:val="20"/>
          <w:szCs w:val="20"/>
        </w:rPr>
        <w:lastRenderedPageBreak/>
        <w:t>Mary Carter, Ph.D.</w:t>
      </w:r>
      <w:r w:rsidRPr="006A3738">
        <w:rPr>
          <w:rFonts w:cs="Arial"/>
          <w:color w:val="555555"/>
          <w:sz w:val="20"/>
          <w:szCs w:val="20"/>
        </w:rPr>
        <w:br/>
        <w:t>Coordinator, HSC Writing Center</w:t>
      </w:r>
      <w:r w:rsidRPr="006A3738">
        <w:rPr>
          <w:rFonts w:cs="Arial"/>
          <w:color w:val="555555"/>
          <w:sz w:val="20"/>
          <w:szCs w:val="20"/>
        </w:rPr>
        <w:br/>
        <w:t>David L. Boren Student Unio</w:t>
      </w:r>
      <w:r>
        <w:rPr>
          <w:rFonts w:cs="Arial"/>
          <w:color w:val="555555"/>
          <w:sz w:val="20"/>
          <w:szCs w:val="20"/>
        </w:rPr>
        <w:t>n, Room 214</w:t>
      </w:r>
      <w:r>
        <w:rPr>
          <w:rFonts w:cs="Arial"/>
          <w:color w:val="555555"/>
          <w:sz w:val="20"/>
          <w:szCs w:val="20"/>
        </w:rPr>
        <w:br/>
        <w:t>(405) 271-2416</w:t>
      </w:r>
      <w:r>
        <w:rPr>
          <w:rFonts w:cs="Arial"/>
          <w:color w:val="555555"/>
          <w:sz w:val="20"/>
          <w:szCs w:val="20"/>
        </w:rPr>
        <w:br/>
        <w:t>mary.carter@ouhsc.</w:t>
      </w:r>
      <w:r w:rsidRPr="006A3738">
        <w:rPr>
          <w:rFonts w:cs="Arial"/>
          <w:color w:val="555555"/>
          <w:sz w:val="20"/>
          <w:szCs w:val="20"/>
        </w:rPr>
        <w:t>edu</w:t>
      </w:r>
    </w:p>
    <w:p w14:paraId="45C965EF" w14:textId="77777777" w:rsidR="003828F4" w:rsidRPr="006A3738" w:rsidRDefault="003828F4" w:rsidP="00F91598">
      <w:pPr>
        <w:pStyle w:val="ListParagraph"/>
        <w:ind w:left="0"/>
        <w:rPr>
          <w:sz w:val="20"/>
          <w:szCs w:val="20"/>
        </w:rPr>
      </w:pPr>
    </w:p>
    <w:p w14:paraId="5A585C1D" w14:textId="77777777" w:rsidR="003828F4" w:rsidRPr="008F4690" w:rsidRDefault="003828F4" w:rsidP="003828F4">
      <w:pPr>
        <w:pStyle w:val="ListParagraph"/>
        <w:numPr>
          <w:ilvl w:val="0"/>
          <w:numId w:val="20"/>
        </w:numPr>
        <w:rPr>
          <w:b/>
          <w:sz w:val="20"/>
          <w:szCs w:val="20"/>
        </w:rPr>
      </w:pPr>
      <w:r w:rsidRPr="008F4690">
        <w:rPr>
          <w:b/>
          <w:sz w:val="20"/>
          <w:szCs w:val="20"/>
        </w:rPr>
        <w:t xml:space="preserve">Student Health Clinics </w:t>
      </w:r>
    </w:p>
    <w:p w14:paraId="0AD299A8" w14:textId="77777777" w:rsidR="003828F4" w:rsidRPr="006A3738" w:rsidRDefault="003828F4" w:rsidP="00F91598">
      <w:pPr>
        <w:pStyle w:val="ListParagraph"/>
        <w:textAlignment w:val="baseline"/>
        <w:rPr>
          <w:rFonts w:cs="Arial"/>
          <w:color w:val="555555"/>
          <w:sz w:val="20"/>
          <w:szCs w:val="20"/>
        </w:rPr>
      </w:pPr>
      <w:r w:rsidRPr="006A3738">
        <w:rPr>
          <w:rFonts w:cs="Arial"/>
          <w:b/>
          <w:bCs/>
          <w:color w:val="555555"/>
          <w:sz w:val="20"/>
          <w:szCs w:val="20"/>
          <w:bdr w:val="none" w:sz="0" w:space="0" w:color="auto" w:frame="1"/>
        </w:rPr>
        <w:t>OUHSC</w:t>
      </w:r>
      <w:r>
        <w:rPr>
          <w:rFonts w:cs="Arial"/>
          <w:b/>
          <w:bCs/>
          <w:color w:val="555555"/>
          <w:sz w:val="20"/>
          <w:szCs w:val="20"/>
          <w:bdr w:val="none" w:sz="0" w:space="0" w:color="auto" w:frame="1"/>
        </w:rPr>
        <w:t xml:space="preserve"> HEALTH I</w:t>
      </w:r>
      <w:r w:rsidRPr="006A3738">
        <w:rPr>
          <w:rFonts w:cs="Arial"/>
          <w:b/>
          <w:bCs/>
          <w:color w:val="555555"/>
          <w:sz w:val="20"/>
          <w:szCs w:val="20"/>
          <w:bdr w:val="none" w:sz="0" w:space="0" w:color="auto" w:frame="1"/>
        </w:rPr>
        <w:t>F YOU NEED TO MAKE AN APPOINTMENT:</w:t>
      </w:r>
    </w:p>
    <w:p w14:paraId="4C5D82B2" w14:textId="77777777" w:rsidR="003828F4" w:rsidRDefault="003828F4" w:rsidP="00F91598">
      <w:pPr>
        <w:pStyle w:val="ListParagraph"/>
        <w:textAlignment w:val="baseline"/>
        <w:rPr>
          <w:rFonts w:eastAsia="Times New Roman" w:cs="Arial"/>
          <w:color w:val="555555"/>
          <w:sz w:val="20"/>
          <w:szCs w:val="20"/>
        </w:rPr>
      </w:pPr>
      <w:r w:rsidRPr="008F4690">
        <w:rPr>
          <w:rFonts w:eastAsia="Times New Roman" w:cs="Arial"/>
          <w:color w:val="555555"/>
          <w:sz w:val="20"/>
          <w:szCs w:val="20"/>
        </w:rPr>
        <w:t>Call (405) 271-2577</w:t>
      </w:r>
    </w:p>
    <w:p w14:paraId="3A6BB723" w14:textId="77777777" w:rsidR="003828F4" w:rsidRPr="008F4690" w:rsidRDefault="003828F4" w:rsidP="00F91598">
      <w:pPr>
        <w:pStyle w:val="ListParagraph"/>
        <w:textAlignment w:val="baseline"/>
        <w:rPr>
          <w:rFonts w:eastAsia="Times New Roman" w:cs="Arial"/>
          <w:color w:val="555555"/>
          <w:sz w:val="20"/>
          <w:szCs w:val="20"/>
        </w:rPr>
      </w:pPr>
      <w:r w:rsidRPr="008F4690">
        <w:rPr>
          <w:rFonts w:eastAsia="Times New Roman" w:cs="Arial"/>
          <w:color w:val="555555"/>
          <w:sz w:val="20"/>
          <w:szCs w:val="20"/>
        </w:rPr>
        <w:t>Appointments must be made for a visit.</w:t>
      </w:r>
    </w:p>
    <w:p w14:paraId="515D96B3" w14:textId="77777777" w:rsidR="003828F4" w:rsidRPr="008F4690" w:rsidRDefault="003828F4" w:rsidP="00F91598">
      <w:pPr>
        <w:pStyle w:val="ListParagraph"/>
        <w:textAlignment w:val="baseline"/>
        <w:rPr>
          <w:rFonts w:eastAsia="Times New Roman" w:cs="Arial"/>
          <w:color w:val="555555"/>
          <w:sz w:val="20"/>
          <w:szCs w:val="20"/>
        </w:rPr>
      </w:pPr>
      <w:r w:rsidRPr="008F4690">
        <w:rPr>
          <w:rFonts w:eastAsia="Times New Roman" w:cs="Arial"/>
          <w:color w:val="555555"/>
          <w:sz w:val="20"/>
          <w:szCs w:val="20"/>
        </w:rPr>
        <w:t>Same-day appointments are available for illnesses, injuries, etc.</w:t>
      </w:r>
    </w:p>
    <w:p w14:paraId="0E6B3AD4" w14:textId="77777777" w:rsidR="003828F4" w:rsidRPr="008F4690" w:rsidRDefault="003828F4" w:rsidP="00F91598">
      <w:pPr>
        <w:pStyle w:val="ListParagraph"/>
        <w:textAlignment w:val="baseline"/>
        <w:rPr>
          <w:rFonts w:eastAsia="Times New Roman" w:cs="Arial"/>
          <w:color w:val="555555"/>
          <w:sz w:val="20"/>
          <w:szCs w:val="20"/>
        </w:rPr>
      </w:pPr>
      <w:r w:rsidRPr="008F4690">
        <w:rPr>
          <w:rFonts w:eastAsia="Times New Roman" w:cs="Arial"/>
          <w:color w:val="555555"/>
          <w:sz w:val="20"/>
          <w:szCs w:val="20"/>
        </w:rPr>
        <w:t>Remember your student ID and insurance card (must show at each visit!).</w:t>
      </w:r>
    </w:p>
    <w:p w14:paraId="42BC9CC6" w14:textId="77777777" w:rsidR="003828F4" w:rsidRPr="006A3738" w:rsidRDefault="003828F4" w:rsidP="00F91598">
      <w:pPr>
        <w:pStyle w:val="ListParagraph"/>
        <w:ind w:left="0"/>
        <w:rPr>
          <w:sz w:val="20"/>
          <w:szCs w:val="20"/>
        </w:rPr>
      </w:pPr>
    </w:p>
    <w:p w14:paraId="58D735E3" w14:textId="77777777" w:rsidR="003828F4" w:rsidRPr="008F4690" w:rsidRDefault="003828F4" w:rsidP="003828F4">
      <w:pPr>
        <w:pStyle w:val="ListParagraph"/>
        <w:numPr>
          <w:ilvl w:val="0"/>
          <w:numId w:val="20"/>
        </w:numPr>
        <w:rPr>
          <w:b/>
          <w:sz w:val="20"/>
          <w:szCs w:val="20"/>
        </w:rPr>
      </w:pPr>
      <w:r w:rsidRPr="008F4690">
        <w:rPr>
          <w:b/>
          <w:sz w:val="20"/>
          <w:szCs w:val="20"/>
        </w:rPr>
        <w:t xml:space="preserve">Information for 211 crisis lines: </w:t>
      </w:r>
    </w:p>
    <w:p w14:paraId="533B3D20" w14:textId="77777777" w:rsidR="003828F4" w:rsidRPr="006A3738" w:rsidRDefault="003828F4" w:rsidP="00F91598">
      <w:pPr>
        <w:pStyle w:val="ListParagraph"/>
        <w:rPr>
          <w:sz w:val="20"/>
          <w:szCs w:val="20"/>
        </w:rPr>
      </w:pPr>
      <w:r w:rsidRPr="006A3738">
        <w:rPr>
          <w:sz w:val="20"/>
          <w:szCs w:val="20"/>
        </w:rPr>
        <w:t>Assistance with housing, utilities, mental health, food programs, and family services</w:t>
      </w:r>
    </w:p>
    <w:p w14:paraId="22A4D18A" w14:textId="77777777" w:rsidR="003828F4" w:rsidRDefault="004104FB" w:rsidP="00F91598">
      <w:pPr>
        <w:pStyle w:val="ListParagraph"/>
        <w:rPr>
          <w:sz w:val="20"/>
          <w:szCs w:val="20"/>
        </w:rPr>
      </w:pPr>
      <w:hyperlink r:id="rId48" w:history="1">
        <w:r w:rsidR="003828F4" w:rsidRPr="006A3738">
          <w:rPr>
            <w:rStyle w:val="Hyperlink"/>
            <w:sz w:val="20"/>
            <w:szCs w:val="20"/>
          </w:rPr>
          <w:t>http://www.navigateresources.net/hlok/</w:t>
        </w:r>
      </w:hyperlink>
    </w:p>
    <w:p w14:paraId="2807579A" w14:textId="77777777" w:rsidR="003828F4" w:rsidRDefault="003828F4" w:rsidP="00F91598">
      <w:pPr>
        <w:pStyle w:val="ListParagraph"/>
        <w:ind w:left="0"/>
        <w:rPr>
          <w:sz w:val="20"/>
          <w:szCs w:val="20"/>
        </w:rPr>
      </w:pPr>
    </w:p>
    <w:p w14:paraId="3CB878D3" w14:textId="77777777" w:rsidR="003828F4" w:rsidRPr="00B97749" w:rsidRDefault="003828F4" w:rsidP="003828F4">
      <w:pPr>
        <w:pStyle w:val="ListParagraph"/>
        <w:numPr>
          <w:ilvl w:val="0"/>
          <w:numId w:val="20"/>
        </w:numPr>
        <w:rPr>
          <w:sz w:val="20"/>
          <w:szCs w:val="20"/>
        </w:rPr>
      </w:pPr>
      <w:r w:rsidRPr="006A3738">
        <w:rPr>
          <w:rStyle w:val="Strong"/>
          <w:rFonts w:eastAsia="Times New Roman" w:cs="Arial"/>
          <w:color w:val="555555"/>
          <w:sz w:val="20"/>
          <w:szCs w:val="20"/>
          <w:bdr w:val="none" w:sz="0" w:space="0" w:color="auto" w:frame="1"/>
        </w:rPr>
        <w:t>HSC Student Affairs</w:t>
      </w:r>
      <w:r w:rsidRPr="006A3738">
        <w:rPr>
          <w:rFonts w:eastAsia="Times New Roman" w:cs="Arial"/>
          <w:color w:val="555555"/>
          <w:sz w:val="20"/>
          <w:szCs w:val="20"/>
        </w:rPr>
        <w:br/>
      </w:r>
      <w:r w:rsidRPr="00B97749">
        <w:rPr>
          <w:rFonts w:eastAsia="Times New Roman" w:cs="Arial"/>
          <w:color w:val="000000" w:themeColor="text1"/>
          <w:sz w:val="20"/>
          <w:szCs w:val="20"/>
        </w:rPr>
        <w:t>University of Oklahoma Health Sciences Center</w:t>
      </w:r>
      <w:r w:rsidRPr="00B97749">
        <w:rPr>
          <w:rFonts w:eastAsia="Times New Roman" w:cs="Arial"/>
          <w:color w:val="000000" w:themeColor="text1"/>
          <w:sz w:val="20"/>
          <w:szCs w:val="20"/>
        </w:rPr>
        <w:br/>
        <w:t>David L. Boren Student Union</w:t>
      </w:r>
      <w:r w:rsidRPr="00B97749">
        <w:rPr>
          <w:rFonts w:eastAsia="Times New Roman" w:cs="Arial"/>
          <w:color w:val="000000" w:themeColor="text1"/>
          <w:sz w:val="20"/>
          <w:szCs w:val="20"/>
        </w:rPr>
        <w:br/>
        <w:t>1106 North Stonewall, Suite 300</w:t>
      </w:r>
      <w:r w:rsidRPr="00B97749">
        <w:rPr>
          <w:rFonts w:eastAsia="Times New Roman" w:cs="Arial"/>
          <w:color w:val="000000" w:themeColor="text1"/>
          <w:sz w:val="20"/>
          <w:szCs w:val="20"/>
        </w:rPr>
        <w:br/>
        <w:t>Oklahoma City, OK 73117-1200</w:t>
      </w:r>
      <w:r w:rsidRPr="00B97749">
        <w:rPr>
          <w:rFonts w:eastAsia="Times New Roman" w:cs="Arial"/>
          <w:color w:val="000000" w:themeColor="text1"/>
          <w:sz w:val="20"/>
          <w:szCs w:val="20"/>
        </w:rPr>
        <w:br/>
      </w:r>
      <w:hyperlink r:id="rId49" w:history="1">
        <w:r w:rsidRPr="00FD4668">
          <w:rPr>
            <w:rStyle w:val="Hyperlink"/>
            <w:rFonts w:eastAsia="Times New Roman" w:cs="Arial"/>
            <w:sz w:val="20"/>
            <w:szCs w:val="20"/>
          </w:rPr>
          <w:t>students@ouhsc.edu</w:t>
        </w:r>
      </w:hyperlink>
    </w:p>
    <w:p w14:paraId="0C00143E" w14:textId="77777777" w:rsidR="003828F4" w:rsidRDefault="003828F4" w:rsidP="00F91598">
      <w:pPr>
        <w:pStyle w:val="ListParagraph"/>
      </w:pPr>
      <w:r w:rsidRPr="00B97749">
        <w:rPr>
          <w:rFonts w:eastAsia="Times New Roman" w:cs="Arial"/>
          <w:color w:val="000000" w:themeColor="text1"/>
          <w:sz w:val="20"/>
          <w:szCs w:val="20"/>
        </w:rPr>
        <w:t>Phone: (405) 271-2416</w:t>
      </w:r>
      <w:r w:rsidRPr="00B97749">
        <w:rPr>
          <w:rFonts w:eastAsia="Times New Roman" w:cs="Arial"/>
          <w:color w:val="000000" w:themeColor="text1"/>
          <w:sz w:val="20"/>
          <w:szCs w:val="20"/>
        </w:rPr>
        <w:br/>
        <w:t>Fax: (405) 271-8817</w:t>
      </w:r>
      <w:r w:rsidRPr="00B97749">
        <w:rPr>
          <w:rFonts w:eastAsia="Times New Roman" w:cs="Arial"/>
          <w:color w:val="000000" w:themeColor="text1"/>
          <w:sz w:val="20"/>
          <w:szCs w:val="20"/>
        </w:rPr>
        <w:br/>
        <w:t>Toll-free: 1-877-577-5655</w:t>
      </w:r>
      <w:r w:rsidRPr="00B97749">
        <w:rPr>
          <w:rFonts w:eastAsia="Times New Roman" w:cs="Arial"/>
          <w:color w:val="000000" w:themeColor="text1"/>
          <w:sz w:val="20"/>
          <w:szCs w:val="20"/>
        </w:rPr>
        <w:br/>
      </w:r>
    </w:p>
    <w:p w14:paraId="7A153CFA" w14:textId="77777777" w:rsidR="003828F4" w:rsidRDefault="003828F4" w:rsidP="00F91598"/>
    <w:p w14:paraId="58059414" w14:textId="77777777" w:rsidR="003828F4" w:rsidRDefault="003828F4" w:rsidP="00BA4672"/>
    <w:p w14:paraId="1C33EAA8" w14:textId="27A4F920" w:rsidR="003365EA" w:rsidRPr="000D0BEC" w:rsidRDefault="003828F4" w:rsidP="000D0BEC">
      <w:pPr>
        <w:tabs>
          <w:tab w:val="left" w:pos="1149"/>
        </w:tabs>
      </w:pPr>
      <w:r>
        <w:rPr>
          <w:rFonts w:asciiTheme="minorHAnsi" w:hAnsiTheme="minorHAnsi"/>
        </w:rPr>
        <w:t>Appendix 5</w:t>
      </w:r>
      <w:r w:rsidR="000D0BEC">
        <w:rPr>
          <w:rFonts w:asciiTheme="minorHAnsi" w:hAnsiTheme="minorHAnsi"/>
        </w:rPr>
        <w:t>: SPSS Outputs</w:t>
      </w:r>
    </w:p>
    <w:p w14:paraId="4528A43C" w14:textId="77777777" w:rsidR="000D0BEC" w:rsidRPr="00B417BF" w:rsidRDefault="000D0BEC" w:rsidP="000D0BEC">
      <w:pPr>
        <w:rPr>
          <w:rFonts w:asciiTheme="minorHAnsi" w:hAnsiTheme="minorHAnsi"/>
        </w:rPr>
      </w:pPr>
    </w:p>
    <w:p w14:paraId="4331784D" w14:textId="77777777" w:rsidR="000D0BEC" w:rsidRPr="00B417BF" w:rsidRDefault="000D0BEC" w:rsidP="000D0BEC">
      <w:pPr>
        <w:rPr>
          <w:rFonts w:asciiTheme="minorHAnsi" w:hAnsiTheme="minorHAnsi"/>
          <w:color w:val="000000"/>
          <w:sz w:val="18"/>
          <w:szCs w:val="18"/>
        </w:rPr>
      </w:pPr>
      <w:r w:rsidRPr="00B417BF">
        <w:rPr>
          <w:rFonts w:asciiTheme="minorHAnsi" w:hAnsiTheme="minorHAnsi"/>
          <w:sz w:val="18"/>
          <w:szCs w:val="18"/>
        </w:rPr>
        <w:br/>
      </w:r>
      <w:r w:rsidRPr="00B417BF">
        <w:rPr>
          <w:rFonts w:asciiTheme="minorHAnsi" w:hAnsiTheme="minorHAnsi"/>
          <w:noProof/>
        </w:rPr>
        <w:drawing>
          <wp:inline distT="0" distB="0" distL="0" distR="0" wp14:anchorId="556314A8" wp14:editId="551C4B3E">
            <wp:extent cx="5394960" cy="2422525"/>
            <wp:effectExtent l="0" t="0" r="254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8-03-02 at 11.44.23 AM.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94960" cy="2422525"/>
                    </a:xfrm>
                    <a:prstGeom prst="rect">
                      <a:avLst/>
                    </a:prstGeom>
                  </pic:spPr>
                </pic:pic>
              </a:graphicData>
            </a:graphic>
          </wp:inline>
        </w:drawing>
      </w:r>
    </w:p>
    <w:p w14:paraId="5BE0E807" w14:textId="77777777" w:rsidR="000D0BEC" w:rsidRPr="00B417BF" w:rsidRDefault="000D0BEC" w:rsidP="000D0BEC">
      <w:pPr>
        <w:rPr>
          <w:rFonts w:asciiTheme="minorHAnsi" w:hAnsiTheme="minorHAnsi"/>
          <w:color w:val="000000"/>
          <w:sz w:val="18"/>
          <w:szCs w:val="18"/>
        </w:rPr>
      </w:pPr>
    </w:p>
    <w:p w14:paraId="5E324E60" w14:textId="77777777" w:rsidR="000D0BEC" w:rsidRPr="00B417BF" w:rsidRDefault="000D0BEC" w:rsidP="000D0BEC">
      <w:pPr>
        <w:rPr>
          <w:rFonts w:asciiTheme="minorHAnsi" w:hAnsiTheme="minorHAnsi"/>
          <w:color w:val="000000"/>
          <w:sz w:val="18"/>
          <w:szCs w:val="18"/>
        </w:rPr>
      </w:pPr>
    </w:p>
    <w:p w14:paraId="4AF5A00D" w14:textId="77777777" w:rsidR="000D0BEC" w:rsidRPr="00B417BF" w:rsidRDefault="000D0BEC" w:rsidP="000D0BEC">
      <w:pPr>
        <w:rPr>
          <w:rFonts w:asciiTheme="minorHAnsi" w:hAnsiTheme="minorHAnsi"/>
          <w:color w:val="000000"/>
          <w:sz w:val="18"/>
          <w:szCs w:val="18"/>
        </w:rPr>
      </w:pPr>
    </w:p>
    <w:p w14:paraId="4C09F122" w14:textId="77777777" w:rsidR="000D0BEC" w:rsidRPr="00B417BF" w:rsidRDefault="000D0BEC" w:rsidP="000D0BEC">
      <w:pPr>
        <w:rPr>
          <w:rFonts w:asciiTheme="minorHAnsi" w:hAnsiTheme="minorHAnsi"/>
          <w:color w:val="000000"/>
          <w:sz w:val="18"/>
          <w:szCs w:val="18"/>
        </w:rPr>
      </w:pPr>
    </w:p>
    <w:p w14:paraId="34747A19" w14:textId="77777777" w:rsidR="000D0BEC" w:rsidRPr="00B417BF" w:rsidRDefault="000D0BEC" w:rsidP="000D0BEC">
      <w:pPr>
        <w:rPr>
          <w:rFonts w:asciiTheme="minorHAnsi" w:hAnsiTheme="minorHAnsi"/>
          <w:color w:val="000000"/>
          <w:sz w:val="18"/>
          <w:szCs w:val="18"/>
        </w:rPr>
      </w:pPr>
    </w:p>
    <w:p w14:paraId="737CD544" w14:textId="77777777" w:rsidR="000D0BEC" w:rsidRPr="00B417BF" w:rsidRDefault="000D0BEC" w:rsidP="000D0BEC">
      <w:pPr>
        <w:rPr>
          <w:rFonts w:asciiTheme="minorHAnsi" w:hAnsiTheme="minorHAnsi"/>
          <w:color w:val="000000"/>
          <w:sz w:val="18"/>
          <w:szCs w:val="18"/>
        </w:rPr>
      </w:pPr>
      <w:r w:rsidRPr="00B417BF">
        <w:rPr>
          <w:rFonts w:asciiTheme="minorHAnsi" w:hAnsiTheme="minorHAnsi"/>
          <w:noProof/>
        </w:rPr>
        <w:lastRenderedPageBreak/>
        <w:drawing>
          <wp:inline distT="0" distB="0" distL="0" distR="0" wp14:anchorId="397F7E0A" wp14:editId="6B130A6A">
            <wp:extent cx="5394960" cy="20066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3-02 at 11.43.35 AM.png"/>
                    <pic:cNvPicPr/>
                  </pic:nvPicPr>
                  <pic:blipFill>
                    <a:blip r:embed="rId51">
                      <a:extLst>
                        <a:ext uri="{28A0092B-C50C-407E-A947-70E740481C1C}">
                          <a14:useLocalDpi xmlns:a14="http://schemas.microsoft.com/office/drawing/2010/main" val="0"/>
                        </a:ext>
                      </a:extLst>
                    </a:blip>
                    <a:stretch>
                      <a:fillRect/>
                    </a:stretch>
                  </pic:blipFill>
                  <pic:spPr>
                    <a:xfrm>
                      <a:off x="0" y="0"/>
                      <a:ext cx="5394960" cy="2006600"/>
                    </a:xfrm>
                    <a:prstGeom prst="rect">
                      <a:avLst/>
                    </a:prstGeom>
                  </pic:spPr>
                </pic:pic>
              </a:graphicData>
            </a:graphic>
          </wp:inline>
        </w:drawing>
      </w:r>
    </w:p>
    <w:p w14:paraId="170E76C9" w14:textId="77777777" w:rsidR="000D0BEC" w:rsidRPr="00B417BF" w:rsidRDefault="000D0BEC" w:rsidP="000D0BEC">
      <w:pPr>
        <w:rPr>
          <w:rFonts w:asciiTheme="minorHAnsi" w:hAnsiTheme="minorHAnsi"/>
        </w:rPr>
      </w:pPr>
      <w:r w:rsidRPr="00B417BF">
        <w:rPr>
          <w:rFonts w:asciiTheme="minorHAnsi" w:hAnsiTheme="minorHAnsi"/>
          <w:noProof/>
        </w:rPr>
        <w:drawing>
          <wp:inline distT="0" distB="0" distL="0" distR="0" wp14:anchorId="54837AF8" wp14:editId="53115CAD">
            <wp:extent cx="5394960" cy="2513330"/>
            <wp:effectExtent l="0" t="0" r="254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3-02 at 11.41.53 AM.png"/>
                    <pic:cNvPicPr/>
                  </pic:nvPicPr>
                  <pic:blipFill>
                    <a:blip r:embed="rId52">
                      <a:extLst>
                        <a:ext uri="{28A0092B-C50C-407E-A947-70E740481C1C}">
                          <a14:useLocalDpi xmlns:a14="http://schemas.microsoft.com/office/drawing/2010/main" val="0"/>
                        </a:ext>
                      </a:extLst>
                    </a:blip>
                    <a:stretch>
                      <a:fillRect/>
                    </a:stretch>
                  </pic:blipFill>
                  <pic:spPr>
                    <a:xfrm>
                      <a:off x="0" y="0"/>
                      <a:ext cx="5394960" cy="2513330"/>
                    </a:xfrm>
                    <a:prstGeom prst="rect">
                      <a:avLst/>
                    </a:prstGeom>
                  </pic:spPr>
                </pic:pic>
              </a:graphicData>
            </a:graphic>
          </wp:inline>
        </w:drawing>
      </w:r>
    </w:p>
    <w:p w14:paraId="20EFB1D9" w14:textId="77777777" w:rsidR="000D0BEC" w:rsidRPr="00B417BF" w:rsidRDefault="000D0BEC" w:rsidP="000D0BEC">
      <w:pPr>
        <w:rPr>
          <w:rFonts w:asciiTheme="minorHAnsi" w:hAnsiTheme="minorHAnsi"/>
        </w:rPr>
      </w:pPr>
    </w:p>
    <w:p w14:paraId="2686877C" w14:textId="77777777" w:rsidR="000D0BEC" w:rsidRPr="00B417BF" w:rsidRDefault="000D0BEC" w:rsidP="000D0BEC">
      <w:pPr>
        <w:rPr>
          <w:rFonts w:asciiTheme="minorHAnsi" w:hAnsiTheme="minorHAnsi"/>
        </w:rPr>
      </w:pPr>
      <w:r w:rsidRPr="00B417BF">
        <w:rPr>
          <w:rFonts w:asciiTheme="minorHAnsi" w:hAnsiTheme="minorHAnsi"/>
          <w:noProof/>
        </w:rPr>
        <w:drawing>
          <wp:inline distT="0" distB="0" distL="0" distR="0" wp14:anchorId="5C1D37DB" wp14:editId="67F4B2AF">
            <wp:extent cx="5394960" cy="1899920"/>
            <wp:effectExtent l="0" t="0" r="254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3-02 at 11.40.58 AM.png"/>
                    <pic:cNvPicPr/>
                  </pic:nvPicPr>
                  <pic:blipFill>
                    <a:blip r:embed="rId53">
                      <a:extLst>
                        <a:ext uri="{28A0092B-C50C-407E-A947-70E740481C1C}">
                          <a14:useLocalDpi xmlns:a14="http://schemas.microsoft.com/office/drawing/2010/main" val="0"/>
                        </a:ext>
                      </a:extLst>
                    </a:blip>
                    <a:stretch>
                      <a:fillRect/>
                    </a:stretch>
                  </pic:blipFill>
                  <pic:spPr>
                    <a:xfrm>
                      <a:off x="0" y="0"/>
                      <a:ext cx="5394960" cy="1899920"/>
                    </a:xfrm>
                    <a:prstGeom prst="rect">
                      <a:avLst/>
                    </a:prstGeom>
                  </pic:spPr>
                </pic:pic>
              </a:graphicData>
            </a:graphic>
          </wp:inline>
        </w:drawing>
      </w:r>
    </w:p>
    <w:p w14:paraId="120855A0" w14:textId="77777777" w:rsidR="000D0BEC" w:rsidRPr="00B417BF" w:rsidRDefault="000D0BEC" w:rsidP="000D0BEC">
      <w:pPr>
        <w:rPr>
          <w:rFonts w:asciiTheme="minorHAnsi" w:hAnsiTheme="minorHAnsi"/>
        </w:rPr>
      </w:pPr>
    </w:p>
    <w:p w14:paraId="64C989BA" w14:textId="77777777" w:rsidR="000D0BEC" w:rsidRPr="00B417BF" w:rsidRDefault="000D0BEC" w:rsidP="000D0BEC">
      <w:pPr>
        <w:rPr>
          <w:rFonts w:asciiTheme="minorHAnsi" w:hAnsiTheme="minorHAnsi"/>
          <w:color w:val="FF2600"/>
          <w:sz w:val="18"/>
          <w:szCs w:val="18"/>
        </w:rPr>
      </w:pPr>
    </w:p>
    <w:p w14:paraId="22B5A407" w14:textId="77777777" w:rsidR="000D0BEC" w:rsidRPr="00B417BF" w:rsidRDefault="000D0BEC" w:rsidP="000D0BEC">
      <w:pPr>
        <w:rPr>
          <w:rFonts w:asciiTheme="minorHAnsi" w:hAnsiTheme="minorHAnsi"/>
          <w:color w:val="000000" w:themeColor="text1"/>
          <w:sz w:val="18"/>
          <w:szCs w:val="18"/>
        </w:rPr>
      </w:pPr>
      <w:r w:rsidRPr="00B417BF">
        <w:rPr>
          <w:rFonts w:asciiTheme="minorHAnsi" w:hAnsiTheme="minorHAnsi"/>
          <w:color w:val="000000" w:themeColor="text1"/>
          <w:sz w:val="18"/>
          <w:szCs w:val="18"/>
        </w:rPr>
        <w:t>Mixed ANOVA:</w:t>
      </w:r>
    </w:p>
    <w:p w14:paraId="2D6252E5" w14:textId="77777777" w:rsidR="000D0BEC" w:rsidRPr="00B417BF" w:rsidRDefault="000D0BEC" w:rsidP="000D0BEC">
      <w:pPr>
        <w:rPr>
          <w:rFonts w:asciiTheme="minorHAnsi" w:hAnsiTheme="minorHAnsi"/>
          <w:color w:val="000000" w:themeColor="text1"/>
          <w:sz w:val="18"/>
          <w:szCs w:val="18"/>
        </w:rPr>
      </w:pPr>
      <w:r w:rsidRPr="00B417BF">
        <w:rPr>
          <w:rFonts w:asciiTheme="minorHAnsi" w:hAnsiTheme="minorHAnsi"/>
          <w:noProof/>
          <w:sz w:val="18"/>
          <w:szCs w:val="18"/>
        </w:rPr>
        <w:lastRenderedPageBreak/>
        <w:drawing>
          <wp:inline distT="0" distB="0" distL="0" distR="0" wp14:anchorId="3177D385" wp14:editId="5CFA5707">
            <wp:extent cx="4559300" cy="2463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3-02 at 11.35.20 AM.png"/>
                    <pic:cNvPicPr/>
                  </pic:nvPicPr>
                  <pic:blipFill>
                    <a:blip r:embed="rId54"/>
                    <a:stretch>
                      <a:fillRect/>
                    </a:stretch>
                  </pic:blipFill>
                  <pic:spPr>
                    <a:xfrm>
                      <a:off x="0" y="0"/>
                      <a:ext cx="4559300" cy="2463800"/>
                    </a:xfrm>
                    <a:prstGeom prst="rect">
                      <a:avLst/>
                    </a:prstGeom>
                  </pic:spPr>
                </pic:pic>
              </a:graphicData>
            </a:graphic>
          </wp:inline>
        </w:drawing>
      </w:r>
    </w:p>
    <w:p w14:paraId="3012F76E" w14:textId="77777777" w:rsidR="000D0BEC" w:rsidRPr="00B417BF" w:rsidRDefault="000D0BEC" w:rsidP="000D0BEC">
      <w:pPr>
        <w:rPr>
          <w:rFonts w:asciiTheme="minorHAnsi" w:hAnsiTheme="minorHAnsi"/>
          <w:sz w:val="18"/>
          <w:szCs w:val="18"/>
        </w:rPr>
      </w:pPr>
      <w:r w:rsidRPr="00B417BF">
        <w:rPr>
          <w:rFonts w:asciiTheme="minorHAnsi" w:hAnsiTheme="minorHAnsi"/>
          <w:noProof/>
          <w:sz w:val="18"/>
          <w:szCs w:val="18"/>
        </w:rPr>
        <w:drawing>
          <wp:inline distT="0" distB="0" distL="0" distR="0" wp14:anchorId="0AE98CD9" wp14:editId="3CCD2A7D">
            <wp:extent cx="3683000" cy="149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3-02 at 11.33.36 AM.png"/>
                    <pic:cNvPicPr/>
                  </pic:nvPicPr>
                  <pic:blipFill>
                    <a:blip r:embed="rId55"/>
                    <a:stretch>
                      <a:fillRect/>
                    </a:stretch>
                  </pic:blipFill>
                  <pic:spPr>
                    <a:xfrm>
                      <a:off x="0" y="0"/>
                      <a:ext cx="3683000" cy="1498600"/>
                    </a:xfrm>
                    <a:prstGeom prst="rect">
                      <a:avLst/>
                    </a:prstGeom>
                  </pic:spPr>
                </pic:pic>
              </a:graphicData>
            </a:graphic>
          </wp:inline>
        </w:drawing>
      </w:r>
    </w:p>
    <w:p w14:paraId="2209D592" w14:textId="7F8D7B87" w:rsidR="000D0BEC" w:rsidRPr="00B417BF" w:rsidRDefault="00680D7D" w:rsidP="00680D7D">
      <w:pPr>
        <w:rPr>
          <w:rFonts w:asciiTheme="minorHAnsi" w:hAnsiTheme="minorHAnsi"/>
          <w:sz w:val="18"/>
          <w:szCs w:val="18"/>
        </w:rPr>
      </w:pPr>
      <w:r>
        <w:rPr>
          <w:rFonts w:asciiTheme="minorHAnsi" w:hAnsiTheme="minorHAnsi"/>
          <w:sz w:val="18"/>
          <w:szCs w:val="18"/>
        </w:rPr>
        <w:br w:type="page"/>
      </w:r>
    </w:p>
    <w:p w14:paraId="5BE6FA93" w14:textId="7B9666CE" w:rsidR="00680D7D" w:rsidRDefault="00680D7D">
      <w:pPr>
        <w:rPr>
          <w:rFonts w:asciiTheme="minorHAnsi" w:hAnsiTheme="minorHAnsi"/>
        </w:rPr>
      </w:pPr>
      <w:r>
        <w:rPr>
          <w:rFonts w:asciiTheme="minorHAnsi" w:hAnsiTheme="minorHAnsi"/>
        </w:rPr>
        <w:lastRenderedPageBreak/>
        <w:t xml:space="preserve">Appendix </w:t>
      </w:r>
      <w:r w:rsidR="006A2099">
        <w:rPr>
          <w:rFonts w:asciiTheme="minorHAnsi" w:hAnsiTheme="minorHAnsi"/>
        </w:rPr>
        <w:t>B</w:t>
      </w:r>
      <w:r>
        <w:rPr>
          <w:rFonts w:asciiTheme="minorHAnsi" w:hAnsiTheme="minorHAnsi"/>
        </w:rPr>
        <w:t>6: IRB approval letter</w:t>
      </w:r>
    </w:p>
    <w:p w14:paraId="4253D5B4" w14:textId="77777777" w:rsidR="00680D7D" w:rsidRDefault="00680D7D">
      <w:pPr>
        <w:rPr>
          <w:rFonts w:asciiTheme="minorHAnsi" w:hAnsiTheme="minorHAnsi"/>
        </w:rPr>
      </w:pPr>
    </w:p>
    <w:p w14:paraId="0F563653" w14:textId="77777777" w:rsidR="00FE7ADB" w:rsidRDefault="00FE7ADB">
      <w:pPr>
        <w:rPr>
          <w:rFonts w:asciiTheme="minorHAnsi" w:hAnsiTheme="minorHAnsi"/>
        </w:rPr>
      </w:pPr>
    </w:p>
    <w:p w14:paraId="2A2F21D7" w14:textId="6386672A" w:rsidR="00FE7ADB" w:rsidRDefault="00FE7ADB">
      <w:pPr>
        <w:rPr>
          <w:rFonts w:asciiTheme="minorHAnsi" w:hAnsiTheme="minorHAnsi"/>
        </w:rPr>
      </w:pPr>
      <w:r>
        <w:rPr>
          <w:rFonts w:asciiTheme="minorHAnsi" w:hAnsiTheme="minorHAnsi"/>
          <w:noProof/>
        </w:rPr>
        <w:drawing>
          <wp:inline distT="0" distB="0" distL="0" distR="0" wp14:anchorId="36309B43" wp14:editId="01C12D7D">
            <wp:extent cx="3886200" cy="5029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RB approval.pdf"/>
                    <pic:cNvPicPr/>
                  </pic:nvPicPr>
                  <pic:blipFill>
                    <a:blip r:embed="rId56"/>
                    <a:stretch>
                      <a:fillRect/>
                    </a:stretch>
                  </pic:blipFill>
                  <pic:spPr>
                    <a:xfrm>
                      <a:off x="0" y="0"/>
                      <a:ext cx="3886200" cy="5029200"/>
                    </a:xfrm>
                    <a:prstGeom prst="rect">
                      <a:avLst/>
                    </a:prstGeom>
                  </pic:spPr>
                </pic:pic>
              </a:graphicData>
            </a:graphic>
          </wp:inline>
        </w:drawing>
      </w:r>
    </w:p>
    <w:p w14:paraId="3406F080" w14:textId="77777777" w:rsidR="00FE7ADB" w:rsidRDefault="00FE7ADB">
      <w:pPr>
        <w:rPr>
          <w:rFonts w:asciiTheme="minorHAnsi" w:hAnsiTheme="minorHAnsi"/>
        </w:rPr>
      </w:pPr>
    </w:p>
    <w:p w14:paraId="3FF6AE9F" w14:textId="77777777" w:rsidR="00FE7ADB" w:rsidRDefault="00FE7ADB">
      <w:pPr>
        <w:rPr>
          <w:rFonts w:asciiTheme="minorHAnsi" w:hAnsiTheme="minorHAnsi"/>
        </w:rPr>
      </w:pPr>
      <w:r>
        <w:rPr>
          <w:rFonts w:asciiTheme="minorHAnsi" w:hAnsiTheme="minorHAnsi"/>
        </w:rPr>
        <w:br w:type="page"/>
      </w:r>
    </w:p>
    <w:p w14:paraId="36BA5004" w14:textId="17662B7D" w:rsidR="00680D7D" w:rsidRDefault="00FE7ADB">
      <w:pPr>
        <w:rPr>
          <w:rFonts w:asciiTheme="minorHAnsi" w:hAnsiTheme="minorHAnsi"/>
        </w:rPr>
      </w:pPr>
      <w:r>
        <w:rPr>
          <w:rFonts w:asciiTheme="minorHAnsi" w:hAnsiTheme="minorHAnsi"/>
        </w:rPr>
        <w:lastRenderedPageBreak/>
        <w:t xml:space="preserve">Appendix B7:  IRB Final Report—Inactivation </w:t>
      </w:r>
    </w:p>
    <w:p w14:paraId="459F1108" w14:textId="025D49B6" w:rsidR="00FE7ADB" w:rsidRDefault="00FE7ADB">
      <w:pPr>
        <w:rPr>
          <w:rFonts w:asciiTheme="minorHAnsi" w:hAnsiTheme="minorHAnsi"/>
        </w:rPr>
      </w:pPr>
    </w:p>
    <w:p w14:paraId="4FE16A83" w14:textId="2904626D" w:rsidR="00FE7ADB" w:rsidRDefault="00FE7ADB">
      <w:pPr>
        <w:rPr>
          <w:rFonts w:asciiTheme="minorHAnsi" w:hAnsiTheme="minorHAnsi"/>
        </w:rPr>
      </w:pPr>
      <w:r w:rsidRPr="00FE7ADB">
        <w:rPr>
          <w:rFonts w:asciiTheme="minorHAnsi" w:hAnsiTheme="minorHAnsi"/>
          <w:noProof/>
        </w:rPr>
        <w:drawing>
          <wp:inline distT="0" distB="0" distL="0" distR="0" wp14:anchorId="7DD321BE" wp14:editId="3EA981ED">
            <wp:extent cx="5303520" cy="5158740"/>
            <wp:effectExtent l="0" t="0" r="508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303520" cy="5158740"/>
                    </a:xfrm>
                    <a:prstGeom prst="rect">
                      <a:avLst/>
                    </a:prstGeom>
                  </pic:spPr>
                </pic:pic>
              </a:graphicData>
            </a:graphic>
          </wp:inline>
        </w:drawing>
      </w:r>
    </w:p>
    <w:p w14:paraId="2840AADE" w14:textId="53E7D420" w:rsidR="00F90416" w:rsidRDefault="00F90416">
      <w:pPr>
        <w:rPr>
          <w:rFonts w:asciiTheme="minorHAnsi" w:hAnsiTheme="minorHAnsi"/>
        </w:rPr>
      </w:pPr>
    </w:p>
    <w:p w14:paraId="7FC1A26B" w14:textId="4280D80F" w:rsidR="00F90416" w:rsidRDefault="00F90416">
      <w:pPr>
        <w:rPr>
          <w:rFonts w:asciiTheme="minorHAnsi" w:hAnsiTheme="minorHAnsi"/>
        </w:rPr>
      </w:pPr>
    </w:p>
    <w:p w14:paraId="63ED9495" w14:textId="2C6A0FDE" w:rsidR="00F90416" w:rsidRDefault="00F90416">
      <w:pPr>
        <w:rPr>
          <w:rFonts w:asciiTheme="minorHAnsi" w:hAnsiTheme="minorHAnsi"/>
        </w:rPr>
      </w:pPr>
    </w:p>
    <w:p w14:paraId="7BEF7529" w14:textId="2C6EAAF8" w:rsidR="00F90416" w:rsidRDefault="00F90416">
      <w:pPr>
        <w:rPr>
          <w:rFonts w:asciiTheme="minorHAnsi" w:hAnsiTheme="minorHAnsi"/>
        </w:rPr>
      </w:pPr>
    </w:p>
    <w:p w14:paraId="2CA1B659" w14:textId="52DD4E65" w:rsidR="00F90416" w:rsidRDefault="00F90416">
      <w:pPr>
        <w:rPr>
          <w:rFonts w:asciiTheme="minorHAnsi" w:hAnsiTheme="minorHAnsi"/>
        </w:rPr>
      </w:pPr>
    </w:p>
    <w:p w14:paraId="0F155F46" w14:textId="41F4A718" w:rsidR="00F90416" w:rsidRDefault="00F90416">
      <w:pPr>
        <w:rPr>
          <w:rFonts w:asciiTheme="minorHAnsi" w:hAnsiTheme="minorHAnsi"/>
        </w:rPr>
      </w:pPr>
    </w:p>
    <w:p w14:paraId="40C06C75" w14:textId="0DFF6BCE" w:rsidR="00F90416" w:rsidRDefault="00F90416">
      <w:pPr>
        <w:rPr>
          <w:rFonts w:asciiTheme="minorHAnsi" w:hAnsiTheme="minorHAnsi"/>
        </w:rPr>
      </w:pPr>
    </w:p>
    <w:sectPr w:rsidR="00F90416" w:rsidSect="005E6BA1">
      <w:pgSz w:w="12240" w:h="15840"/>
      <w:pgMar w:top="1440" w:right="1440" w:bottom="1440" w:left="24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D2DE0" w14:textId="77777777" w:rsidR="004104FB" w:rsidRDefault="004104FB">
      <w:r>
        <w:separator/>
      </w:r>
    </w:p>
  </w:endnote>
  <w:endnote w:type="continuationSeparator" w:id="0">
    <w:p w14:paraId="67740ED4" w14:textId="77777777" w:rsidR="004104FB" w:rsidRDefault="0041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D99FD" w14:textId="77777777" w:rsidR="00041D3B" w:rsidRDefault="00041D3B" w:rsidP="00FA597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4951B6" w14:textId="77777777" w:rsidR="00041D3B" w:rsidRDefault="00041D3B" w:rsidP="009D30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C92A9" w14:textId="1B2B3B71" w:rsidR="00041D3B" w:rsidRDefault="00041D3B" w:rsidP="00A0679E">
    <w:pPr>
      <w:pStyle w:val="Footer"/>
      <w:framePr w:wrap="none" w:vAnchor="text" w:hAnchor="margin" w:xAlign="right" w:y="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80248" w14:textId="1FEDD36B" w:rsidR="00041D3B" w:rsidRDefault="00041D3B" w:rsidP="00F90416">
    <w:pPr>
      <w:pStyle w:val="Footer"/>
      <w:framePr w:wrap="none" w:vAnchor="text" w:hAnchor="margin" w:xAlign="right" w:y="1"/>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6327B" w14:textId="77777777" w:rsidR="004104FB" w:rsidRDefault="004104FB">
      <w:r>
        <w:separator/>
      </w:r>
    </w:p>
  </w:footnote>
  <w:footnote w:type="continuationSeparator" w:id="0">
    <w:p w14:paraId="6952B6F2" w14:textId="77777777" w:rsidR="004104FB" w:rsidRDefault="004104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95802"/>
    <w:multiLevelType w:val="hybridMultilevel"/>
    <w:tmpl w:val="85D4A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A1F2C"/>
    <w:multiLevelType w:val="hybridMultilevel"/>
    <w:tmpl w:val="5344C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CC6720"/>
    <w:multiLevelType w:val="hybridMultilevel"/>
    <w:tmpl w:val="018E0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281C38"/>
    <w:multiLevelType w:val="hybridMultilevel"/>
    <w:tmpl w:val="0F64D5B6"/>
    <w:lvl w:ilvl="0" w:tplc="D4FC5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AF6E88"/>
    <w:multiLevelType w:val="hybridMultilevel"/>
    <w:tmpl w:val="018E0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E519D2"/>
    <w:multiLevelType w:val="hybridMultilevel"/>
    <w:tmpl w:val="9DB825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CB0F84"/>
    <w:multiLevelType w:val="hybridMultilevel"/>
    <w:tmpl w:val="0F64D5B6"/>
    <w:lvl w:ilvl="0" w:tplc="D4FC5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7721B2"/>
    <w:multiLevelType w:val="hybridMultilevel"/>
    <w:tmpl w:val="DED08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A37ADA"/>
    <w:multiLevelType w:val="hybridMultilevel"/>
    <w:tmpl w:val="0F64D5B6"/>
    <w:lvl w:ilvl="0" w:tplc="D4FC5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204719"/>
    <w:multiLevelType w:val="hybridMultilevel"/>
    <w:tmpl w:val="018E0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9B304F"/>
    <w:multiLevelType w:val="hybridMultilevel"/>
    <w:tmpl w:val="0F64D5B6"/>
    <w:lvl w:ilvl="0" w:tplc="D4FC5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B33F25"/>
    <w:multiLevelType w:val="hybridMultilevel"/>
    <w:tmpl w:val="408CB9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73C37"/>
    <w:multiLevelType w:val="hybridMultilevel"/>
    <w:tmpl w:val="DED08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49072A"/>
    <w:multiLevelType w:val="hybridMultilevel"/>
    <w:tmpl w:val="018E0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2D607C"/>
    <w:multiLevelType w:val="hybridMultilevel"/>
    <w:tmpl w:val="0F64D5B6"/>
    <w:lvl w:ilvl="0" w:tplc="D4FC5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E66C48"/>
    <w:multiLevelType w:val="hybridMultilevel"/>
    <w:tmpl w:val="B824D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3E12B7"/>
    <w:multiLevelType w:val="hybridMultilevel"/>
    <w:tmpl w:val="85D4A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175C09"/>
    <w:multiLevelType w:val="hybridMultilevel"/>
    <w:tmpl w:val="17A09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DA781F"/>
    <w:multiLevelType w:val="hybridMultilevel"/>
    <w:tmpl w:val="E6B67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8450B7"/>
    <w:multiLevelType w:val="hybridMultilevel"/>
    <w:tmpl w:val="0F64D5B6"/>
    <w:lvl w:ilvl="0" w:tplc="D4FC5B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396A05"/>
    <w:multiLevelType w:val="hybridMultilevel"/>
    <w:tmpl w:val="3EBCF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8"/>
  </w:num>
  <w:num w:numId="4">
    <w:abstractNumId w:val="0"/>
  </w:num>
  <w:num w:numId="5">
    <w:abstractNumId w:val="10"/>
  </w:num>
  <w:num w:numId="6">
    <w:abstractNumId w:val="6"/>
  </w:num>
  <w:num w:numId="7">
    <w:abstractNumId w:val="3"/>
  </w:num>
  <w:num w:numId="8">
    <w:abstractNumId w:val="19"/>
  </w:num>
  <w:num w:numId="9">
    <w:abstractNumId w:val="14"/>
  </w:num>
  <w:num w:numId="10">
    <w:abstractNumId w:val="12"/>
  </w:num>
  <w:num w:numId="11">
    <w:abstractNumId w:val="15"/>
  </w:num>
  <w:num w:numId="12">
    <w:abstractNumId w:val="2"/>
  </w:num>
  <w:num w:numId="13">
    <w:abstractNumId w:val="4"/>
  </w:num>
  <w:num w:numId="14">
    <w:abstractNumId w:val="9"/>
  </w:num>
  <w:num w:numId="15">
    <w:abstractNumId w:val="1"/>
  </w:num>
  <w:num w:numId="16">
    <w:abstractNumId w:val="11"/>
  </w:num>
  <w:num w:numId="17">
    <w:abstractNumId w:val="20"/>
  </w:num>
  <w:num w:numId="18">
    <w:abstractNumId w:val="5"/>
  </w:num>
  <w:num w:numId="19">
    <w:abstractNumId w:val="18"/>
  </w:num>
  <w:num w:numId="20">
    <w:abstractNumId w:val="1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04E"/>
    <w:rsid w:val="00002943"/>
    <w:rsid w:val="00006B09"/>
    <w:rsid w:val="000076AB"/>
    <w:rsid w:val="00013699"/>
    <w:rsid w:val="00021A49"/>
    <w:rsid w:val="00022161"/>
    <w:rsid w:val="00024196"/>
    <w:rsid w:val="00024CBC"/>
    <w:rsid w:val="00025EFE"/>
    <w:rsid w:val="00031F87"/>
    <w:rsid w:val="000342E7"/>
    <w:rsid w:val="00034FA2"/>
    <w:rsid w:val="000366D7"/>
    <w:rsid w:val="00041D3B"/>
    <w:rsid w:val="000438AC"/>
    <w:rsid w:val="00044295"/>
    <w:rsid w:val="00056A33"/>
    <w:rsid w:val="00065272"/>
    <w:rsid w:val="000665F7"/>
    <w:rsid w:val="00067AA4"/>
    <w:rsid w:val="00070AA7"/>
    <w:rsid w:val="00071B88"/>
    <w:rsid w:val="000734FE"/>
    <w:rsid w:val="000744FF"/>
    <w:rsid w:val="000875CA"/>
    <w:rsid w:val="00090229"/>
    <w:rsid w:val="00093BBF"/>
    <w:rsid w:val="00095898"/>
    <w:rsid w:val="000A1A22"/>
    <w:rsid w:val="000A24D1"/>
    <w:rsid w:val="000A5F7A"/>
    <w:rsid w:val="000A60CE"/>
    <w:rsid w:val="000B0A0E"/>
    <w:rsid w:val="000B2769"/>
    <w:rsid w:val="000B7185"/>
    <w:rsid w:val="000C4B4E"/>
    <w:rsid w:val="000C6F8F"/>
    <w:rsid w:val="000D079D"/>
    <w:rsid w:val="000D0BEC"/>
    <w:rsid w:val="000D18F4"/>
    <w:rsid w:val="000E2946"/>
    <w:rsid w:val="000E29D3"/>
    <w:rsid w:val="000E7DD5"/>
    <w:rsid w:val="001045E3"/>
    <w:rsid w:val="0011243D"/>
    <w:rsid w:val="00113AF3"/>
    <w:rsid w:val="001224F7"/>
    <w:rsid w:val="00137C13"/>
    <w:rsid w:val="001427C3"/>
    <w:rsid w:val="00143039"/>
    <w:rsid w:val="00145063"/>
    <w:rsid w:val="001524E2"/>
    <w:rsid w:val="001529D7"/>
    <w:rsid w:val="00160A68"/>
    <w:rsid w:val="00165634"/>
    <w:rsid w:val="001668D4"/>
    <w:rsid w:val="00166AA9"/>
    <w:rsid w:val="0017376D"/>
    <w:rsid w:val="001779CF"/>
    <w:rsid w:val="00177E33"/>
    <w:rsid w:val="00180EB7"/>
    <w:rsid w:val="001829D4"/>
    <w:rsid w:val="00183F21"/>
    <w:rsid w:val="00185154"/>
    <w:rsid w:val="00187C95"/>
    <w:rsid w:val="00193191"/>
    <w:rsid w:val="00195E6C"/>
    <w:rsid w:val="001973D3"/>
    <w:rsid w:val="001A195A"/>
    <w:rsid w:val="001A34C5"/>
    <w:rsid w:val="001A4428"/>
    <w:rsid w:val="001A780A"/>
    <w:rsid w:val="001B4828"/>
    <w:rsid w:val="001B5C0A"/>
    <w:rsid w:val="001C1A67"/>
    <w:rsid w:val="001D154E"/>
    <w:rsid w:val="001D26AE"/>
    <w:rsid w:val="001D5793"/>
    <w:rsid w:val="001D7261"/>
    <w:rsid w:val="001D77A8"/>
    <w:rsid w:val="001E2C50"/>
    <w:rsid w:val="001E6C28"/>
    <w:rsid w:val="001F0476"/>
    <w:rsid w:val="001F0E85"/>
    <w:rsid w:val="001F5350"/>
    <w:rsid w:val="001F6ACA"/>
    <w:rsid w:val="001F7F1B"/>
    <w:rsid w:val="002142E4"/>
    <w:rsid w:val="0021564C"/>
    <w:rsid w:val="0022116A"/>
    <w:rsid w:val="00223379"/>
    <w:rsid w:val="00230583"/>
    <w:rsid w:val="00237ECE"/>
    <w:rsid w:val="0024157A"/>
    <w:rsid w:val="0024305A"/>
    <w:rsid w:val="00243124"/>
    <w:rsid w:val="00255F60"/>
    <w:rsid w:val="00256B36"/>
    <w:rsid w:val="00256F72"/>
    <w:rsid w:val="002604C1"/>
    <w:rsid w:val="0026407F"/>
    <w:rsid w:val="00267983"/>
    <w:rsid w:val="0027120E"/>
    <w:rsid w:val="0027324B"/>
    <w:rsid w:val="00273C34"/>
    <w:rsid w:val="00275DBD"/>
    <w:rsid w:val="0028156E"/>
    <w:rsid w:val="00281D21"/>
    <w:rsid w:val="002835B4"/>
    <w:rsid w:val="00285F58"/>
    <w:rsid w:val="002918F9"/>
    <w:rsid w:val="002948C0"/>
    <w:rsid w:val="0029704D"/>
    <w:rsid w:val="002A2342"/>
    <w:rsid w:val="002B5228"/>
    <w:rsid w:val="002B62BD"/>
    <w:rsid w:val="002C242D"/>
    <w:rsid w:val="002C6551"/>
    <w:rsid w:val="002C72C1"/>
    <w:rsid w:val="002D5B15"/>
    <w:rsid w:val="002D5C3C"/>
    <w:rsid w:val="002D6826"/>
    <w:rsid w:val="002D79FA"/>
    <w:rsid w:val="002E18F7"/>
    <w:rsid w:val="002E4308"/>
    <w:rsid w:val="002E4F00"/>
    <w:rsid w:val="002E6792"/>
    <w:rsid w:val="002E7124"/>
    <w:rsid w:val="002E7530"/>
    <w:rsid w:val="002F2356"/>
    <w:rsid w:val="00300CFA"/>
    <w:rsid w:val="00301965"/>
    <w:rsid w:val="00302E27"/>
    <w:rsid w:val="00303072"/>
    <w:rsid w:val="00303D4C"/>
    <w:rsid w:val="00304DB5"/>
    <w:rsid w:val="00305572"/>
    <w:rsid w:val="003055D7"/>
    <w:rsid w:val="003065C8"/>
    <w:rsid w:val="003066B1"/>
    <w:rsid w:val="003074B6"/>
    <w:rsid w:val="00312071"/>
    <w:rsid w:val="003124E9"/>
    <w:rsid w:val="00312DE5"/>
    <w:rsid w:val="00312F4C"/>
    <w:rsid w:val="003170F5"/>
    <w:rsid w:val="00320FB5"/>
    <w:rsid w:val="00326F5D"/>
    <w:rsid w:val="003349E5"/>
    <w:rsid w:val="003365EA"/>
    <w:rsid w:val="003368F2"/>
    <w:rsid w:val="003371D5"/>
    <w:rsid w:val="0034449A"/>
    <w:rsid w:val="00352F91"/>
    <w:rsid w:val="00357CE9"/>
    <w:rsid w:val="00360639"/>
    <w:rsid w:val="00361B7C"/>
    <w:rsid w:val="003629AA"/>
    <w:rsid w:val="00364257"/>
    <w:rsid w:val="0036523F"/>
    <w:rsid w:val="003678FE"/>
    <w:rsid w:val="00370897"/>
    <w:rsid w:val="00376883"/>
    <w:rsid w:val="00377E93"/>
    <w:rsid w:val="00381EAA"/>
    <w:rsid w:val="003828F4"/>
    <w:rsid w:val="00390EE7"/>
    <w:rsid w:val="0039254A"/>
    <w:rsid w:val="003964FD"/>
    <w:rsid w:val="00397C26"/>
    <w:rsid w:val="003A287D"/>
    <w:rsid w:val="003A5FC9"/>
    <w:rsid w:val="003A75D1"/>
    <w:rsid w:val="003A7CC1"/>
    <w:rsid w:val="003B5338"/>
    <w:rsid w:val="003B5408"/>
    <w:rsid w:val="003B58D3"/>
    <w:rsid w:val="003B7E88"/>
    <w:rsid w:val="003C0371"/>
    <w:rsid w:val="003C10DD"/>
    <w:rsid w:val="003D3C50"/>
    <w:rsid w:val="003E2A7A"/>
    <w:rsid w:val="003F1045"/>
    <w:rsid w:val="003F2BF8"/>
    <w:rsid w:val="003F70A8"/>
    <w:rsid w:val="0040013A"/>
    <w:rsid w:val="00402DC4"/>
    <w:rsid w:val="00406573"/>
    <w:rsid w:val="004078FC"/>
    <w:rsid w:val="004104FB"/>
    <w:rsid w:val="00422386"/>
    <w:rsid w:val="004242FA"/>
    <w:rsid w:val="004269A6"/>
    <w:rsid w:val="004311C8"/>
    <w:rsid w:val="00431288"/>
    <w:rsid w:val="00431EFE"/>
    <w:rsid w:val="00436972"/>
    <w:rsid w:val="00436B79"/>
    <w:rsid w:val="0044592B"/>
    <w:rsid w:val="0045004A"/>
    <w:rsid w:val="00450DD7"/>
    <w:rsid w:val="00460602"/>
    <w:rsid w:val="004641FC"/>
    <w:rsid w:val="0047175C"/>
    <w:rsid w:val="0047215A"/>
    <w:rsid w:val="00473942"/>
    <w:rsid w:val="004828E8"/>
    <w:rsid w:val="00484511"/>
    <w:rsid w:val="00484960"/>
    <w:rsid w:val="0049067E"/>
    <w:rsid w:val="00494AE6"/>
    <w:rsid w:val="00497664"/>
    <w:rsid w:val="004A3357"/>
    <w:rsid w:val="004A4E46"/>
    <w:rsid w:val="004B1039"/>
    <w:rsid w:val="004B2E13"/>
    <w:rsid w:val="004C2356"/>
    <w:rsid w:val="004C245E"/>
    <w:rsid w:val="004C4B9F"/>
    <w:rsid w:val="004C637F"/>
    <w:rsid w:val="004D01B8"/>
    <w:rsid w:val="004D6282"/>
    <w:rsid w:val="004E629A"/>
    <w:rsid w:val="004E7236"/>
    <w:rsid w:val="004F017F"/>
    <w:rsid w:val="004F578B"/>
    <w:rsid w:val="004F770F"/>
    <w:rsid w:val="0050642D"/>
    <w:rsid w:val="005070A1"/>
    <w:rsid w:val="00510E22"/>
    <w:rsid w:val="005120B2"/>
    <w:rsid w:val="00527F72"/>
    <w:rsid w:val="005310DD"/>
    <w:rsid w:val="00536DA3"/>
    <w:rsid w:val="00544D9F"/>
    <w:rsid w:val="005563D9"/>
    <w:rsid w:val="005619A1"/>
    <w:rsid w:val="00564AC9"/>
    <w:rsid w:val="00566FCC"/>
    <w:rsid w:val="005723EB"/>
    <w:rsid w:val="00572721"/>
    <w:rsid w:val="00576C5D"/>
    <w:rsid w:val="005859F2"/>
    <w:rsid w:val="00586CDB"/>
    <w:rsid w:val="00593A4F"/>
    <w:rsid w:val="005A156E"/>
    <w:rsid w:val="005A1E32"/>
    <w:rsid w:val="005A42F7"/>
    <w:rsid w:val="005B1052"/>
    <w:rsid w:val="005B5035"/>
    <w:rsid w:val="005C3819"/>
    <w:rsid w:val="005D6B38"/>
    <w:rsid w:val="005E2BD6"/>
    <w:rsid w:val="005E4450"/>
    <w:rsid w:val="005E4E4C"/>
    <w:rsid w:val="005E537A"/>
    <w:rsid w:val="005E6BA1"/>
    <w:rsid w:val="005E79DB"/>
    <w:rsid w:val="005F3783"/>
    <w:rsid w:val="00604C23"/>
    <w:rsid w:val="00605E20"/>
    <w:rsid w:val="00607FB5"/>
    <w:rsid w:val="00614868"/>
    <w:rsid w:val="00615503"/>
    <w:rsid w:val="00617A45"/>
    <w:rsid w:val="0062015E"/>
    <w:rsid w:val="00620CC1"/>
    <w:rsid w:val="00621F1D"/>
    <w:rsid w:val="00622C8F"/>
    <w:rsid w:val="00640B54"/>
    <w:rsid w:val="0064161C"/>
    <w:rsid w:val="00641991"/>
    <w:rsid w:val="00643FA4"/>
    <w:rsid w:val="006457AE"/>
    <w:rsid w:val="00645AF8"/>
    <w:rsid w:val="00646700"/>
    <w:rsid w:val="00650A3F"/>
    <w:rsid w:val="00651384"/>
    <w:rsid w:val="00653488"/>
    <w:rsid w:val="00653862"/>
    <w:rsid w:val="0066623B"/>
    <w:rsid w:val="0067255E"/>
    <w:rsid w:val="006745D7"/>
    <w:rsid w:val="00675FB7"/>
    <w:rsid w:val="00680C19"/>
    <w:rsid w:val="00680D7D"/>
    <w:rsid w:val="00691805"/>
    <w:rsid w:val="00694FA2"/>
    <w:rsid w:val="006A19D0"/>
    <w:rsid w:val="006A2099"/>
    <w:rsid w:val="006A42C0"/>
    <w:rsid w:val="006A4560"/>
    <w:rsid w:val="006A684A"/>
    <w:rsid w:val="006B235F"/>
    <w:rsid w:val="006B3858"/>
    <w:rsid w:val="006C3576"/>
    <w:rsid w:val="006C5061"/>
    <w:rsid w:val="006D3DFF"/>
    <w:rsid w:val="006D4818"/>
    <w:rsid w:val="006D499C"/>
    <w:rsid w:val="006E00C8"/>
    <w:rsid w:val="006F1E53"/>
    <w:rsid w:val="006F2043"/>
    <w:rsid w:val="006F4C8E"/>
    <w:rsid w:val="006F660B"/>
    <w:rsid w:val="00714164"/>
    <w:rsid w:val="007213CE"/>
    <w:rsid w:val="00726BD9"/>
    <w:rsid w:val="007363D1"/>
    <w:rsid w:val="00736779"/>
    <w:rsid w:val="007374D4"/>
    <w:rsid w:val="00740841"/>
    <w:rsid w:val="0075319C"/>
    <w:rsid w:val="0075415D"/>
    <w:rsid w:val="00760D96"/>
    <w:rsid w:val="00764028"/>
    <w:rsid w:val="00771147"/>
    <w:rsid w:val="0077719C"/>
    <w:rsid w:val="00777C95"/>
    <w:rsid w:val="00777CEC"/>
    <w:rsid w:val="007842CA"/>
    <w:rsid w:val="00786BD7"/>
    <w:rsid w:val="007925EA"/>
    <w:rsid w:val="00793054"/>
    <w:rsid w:val="007968AC"/>
    <w:rsid w:val="007A0B8E"/>
    <w:rsid w:val="007A14B3"/>
    <w:rsid w:val="007A3A84"/>
    <w:rsid w:val="007A4B28"/>
    <w:rsid w:val="007A548F"/>
    <w:rsid w:val="007A60C6"/>
    <w:rsid w:val="007A705E"/>
    <w:rsid w:val="007A7D56"/>
    <w:rsid w:val="007B028C"/>
    <w:rsid w:val="007B2905"/>
    <w:rsid w:val="007C64C0"/>
    <w:rsid w:val="007D108D"/>
    <w:rsid w:val="007D6DAD"/>
    <w:rsid w:val="007E703D"/>
    <w:rsid w:val="007F1994"/>
    <w:rsid w:val="007F775A"/>
    <w:rsid w:val="007F7C3B"/>
    <w:rsid w:val="008034F5"/>
    <w:rsid w:val="00803D5A"/>
    <w:rsid w:val="00804EF9"/>
    <w:rsid w:val="0080690B"/>
    <w:rsid w:val="008236FC"/>
    <w:rsid w:val="00823823"/>
    <w:rsid w:val="00837922"/>
    <w:rsid w:val="0084199F"/>
    <w:rsid w:val="00842C93"/>
    <w:rsid w:val="0084650D"/>
    <w:rsid w:val="00846A1B"/>
    <w:rsid w:val="008537E4"/>
    <w:rsid w:val="00853C62"/>
    <w:rsid w:val="00855627"/>
    <w:rsid w:val="00863349"/>
    <w:rsid w:val="0086387C"/>
    <w:rsid w:val="008644D0"/>
    <w:rsid w:val="008709C6"/>
    <w:rsid w:val="00871B46"/>
    <w:rsid w:val="0087312A"/>
    <w:rsid w:val="00877B14"/>
    <w:rsid w:val="008801F3"/>
    <w:rsid w:val="00881924"/>
    <w:rsid w:val="00884F72"/>
    <w:rsid w:val="00885349"/>
    <w:rsid w:val="00886CAF"/>
    <w:rsid w:val="0089088E"/>
    <w:rsid w:val="00892414"/>
    <w:rsid w:val="00893445"/>
    <w:rsid w:val="00897AB2"/>
    <w:rsid w:val="008A6917"/>
    <w:rsid w:val="008B0226"/>
    <w:rsid w:val="008B14A2"/>
    <w:rsid w:val="008B4E53"/>
    <w:rsid w:val="008B4EF0"/>
    <w:rsid w:val="008B6867"/>
    <w:rsid w:val="008B6DBE"/>
    <w:rsid w:val="008C74F7"/>
    <w:rsid w:val="008D1855"/>
    <w:rsid w:val="008D4BD6"/>
    <w:rsid w:val="008E63FA"/>
    <w:rsid w:val="008F3B40"/>
    <w:rsid w:val="008F4766"/>
    <w:rsid w:val="008F7522"/>
    <w:rsid w:val="0090140E"/>
    <w:rsid w:val="00903CCD"/>
    <w:rsid w:val="00903D2D"/>
    <w:rsid w:val="00906DB4"/>
    <w:rsid w:val="009139BF"/>
    <w:rsid w:val="00913F89"/>
    <w:rsid w:val="0091790B"/>
    <w:rsid w:val="00917FD0"/>
    <w:rsid w:val="00921E3B"/>
    <w:rsid w:val="0092332E"/>
    <w:rsid w:val="00925540"/>
    <w:rsid w:val="009258BC"/>
    <w:rsid w:val="009320D2"/>
    <w:rsid w:val="009333B3"/>
    <w:rsid w:val="009338F7"/>
    <w:rsid w:val="00934210"/>
    <w:rsid w:val="00934CDB"/>
    <w:rsid w:val="0094133E"/>
    <w:rsid w:val="00953349"/>
    <w:rsid w:val="00954530"/>
    <w:rsid w:val="00956D8A"/>
    <w:rsid w:val="009651F9"/>
    <w:rsid w:val="009674B6"/>
    <w:rsid w:val="009751E1"/>
    <w:rsid w:val="00980736"/>
    <w:rsid w:val="0098699E"/>
    <w:rsid w:val="0099327E"/>
    <w:rsid w:val="00993F27"/>
    <w:rsid w:val="009A1177"/>
    <w:rsid w:val="009A7DCB"/>
    <w:rsid w:val="009B322C"/>
    <w:rsid w:val="009B44EA"/>
    <w:rsid w:val="009B7517"/>
    <w:rsid w:val="009C2467"/>
    <w:rsid w:val="009C4FAD"/>
    <w:rsid w:val="009C6C75"/>
    <w:rsid w:val="009D2CB8"/>
    <w:rsid w:val="009D3017"/>
    <w:rsid w:val="009D5D58"/>
    <w:rsid w:val="009D7FFB"/>
    <w:rsid w:val="009E17F0"/>
    <w:rsid w:val="00A035A2"/>
    <w:rsid w:val="00A0679E"/>
    <w:rsid w:val="00A06F0D"/>
    <w:rsid w:val="00A077A0"/>
    <w:rsid w:val="00A07C9D"/>
    <w:rsid w:val="00A07D03"/>
    <w:rsid w:val="00A16E61"/>
    <w:rsid w:val="00A21909"/>
    <w:rsid w:val="00A269E3"/>
    <w:rsid w:val="00A325D0"/>
    <w:rsid w:val="00A34B46"/>
    <w:rsid w:val="00A3653A"/>
    <w:rsid w:val="00A36BA3"/>
    <w:rsid w:val="00A37639"/>
    <w:rsid w:val="00A43188"/>
    <w:rsid w:val="00A51954"/>
    <w:rsid w:val="00A57B40"/>
    <w:rsid w:val="00A623C5"/>
    <w:rsid w:val="00A62C6F"/>
    <w:rsid w:val="00A63003"/>
    <w:rsid w:val="00A658B0"/>
    <w:rsid w:val="00A671E1"/>
    <w:rsid w:val="00A73241"/>
    <w:rsid w:val="00A736B1"/>
    <w:rsid w:val="00A819FE"/>
    <w:rsid w:val="00A81ACD"/>
    <w:rsid w:val="00A8221D"/>
    <w:rsid w:val="00A875F9"/>
    <w:rsid w:val="00A94160"/>
    <w:rsid w:val="00A94794"/>
    <w:rsid w:val="00A94DAB"/>
    <w:rsid w:val="00AA2D4D"/>
    <w:rsid w:val="00AA3B5B"/>
    <w:rsid w:val="00AB20EC"/>
    <w:rsid w:val="00AB2D92"/>
    <w:rsid w:val="00AB6204"/>
    <w:rsid w:val="00AD0471"/>
    <w:rsid w:val="00AD27C4"/>
    <w:rsid w:val="00AE3640"/>
    <w:rsid w:val="00AF0066"/>
    <w:rsid w:val="00AF00D6"/>
    <w:rsid w:val="00AF6F1A"/>
    <w:rsid w:val="00B05DE5"/>
    <w:rsid w:val="00B0632E"/>
    <w:rsid w:val="00B07809"/>
    <w:rsid w:val="00B100DF"/>
    <w:rsid w:val="00B13E90"/>
    <w:rsid w:val="00B20AC4"/>
    <w:rsid w:val="00B303B8"/>
    <w:rsid w:val="00B30AD0"/>
    <w:rsid w:val="00B32891"/>
    <w:rsid w:val="00B33E83"/>
    <w:rsid w:val="00B34E96"/>
    <w:rsid w:val="00B417BF"/>
    <w:rsid w:val="00B43995"/>
    <w:rsid w:val="00B462BF"/>
    <w:rsid w:val="00B50BD3"/>
    <w:rsid w:val="00B516E2"/>
    <w:rsid w:val="00B54D94"/>
    <w:rsid w:val="00B57DBD"/>
    <w:rsid w:val="00B633F0"/>
    <w:rsid w:val="00B63488"/>
    <w:rsid w:val="00B65381"/>
    <w:rsid w:val="00B71D50"/>
    <w:rsid w:val="00B72608"/>
    <w:rsid w:val="00B72956"/>
    <w:rsid w:val="00B75C05"/>
    <w:rsid w:val="00B77E15"/>
    <w:rsid w:val="00B83039"/>
    <w:rsid w:val="00B84109"/>
    <w:rsid w:val="00B90606"/>
    <w:rsid w:val="00B94C97"/>
    <w:rsid w:val="00BA4672"/>
    <w:rsid w:val="00BB0A3F"/>
    <w:rsid w:val="00BB3B8D"/>
    <w:rsid w:val="00BB5DB5"/>
    <w:rsid w:val="00BB6130"/>
    <w:rsid w:val="00BB7386"/>
    <w:rsid w:val="00BC1283"/>
    <w:rsid w:val="00BC4C83"/>
    <w:rsid w:val="00BC7487"/>
    <w:rsid w:val="00BE2593"/>
    <w:rsid w:val="00BE2DA0"/>
    <w:rsid w:val="00BE4075"/>
    <w:rsid w:val="00BE7AC7"/>
    <w:rsid w:val="00BF1E86"/>
    <w:rsid w:val="00C077B0"/>
    <w:rsid w:val="00C136DA"/>
    <w:rsid w:val="00C163D6"/>
    <w:rsid w:val="00C240E1"/>
    <w:rsid w:val="00C268E3"/>
    <w:rsid w:val="00C26EC6"/>
    <w:rsid w:val="00C32082"/>
    <w:rsid w:val="00C34437"/>
    <w:rsid w:val="00C35795"/>
    <w:rsid w:val="00C40AF2"/>
    <w:rsid w:val="00C42165"/>
    <w:rsid w:val="00C42375"/>
    <w:rsid w:val="00C4515B"/>
    <w:rsid w:val="00C50297"/>
    <w:rsid w:val="00C53C6B"/>
    <w:rsid w:val="00C56311"/>
    <w:rsid w:val="00C56B2A"/>
    <w:rsid w:val="00C60E66"/>
    <w:rsid w:val="00C616B8"/>
    <w:rsid w:val="00C6704E"/>
    <w:rsid w:val="00C67BAC"/>
    <w:rsid w:val="00C75996"/>
    <w:rsid w:val="00C77520"/>
    <w:rsid w:val="00C85D66"/>
    <w:rsid w:val="00C9630C"/>
    <w:rsid w:val="00CA129E"/>
    <w:rsid w:val="00CA13F7"/>
    <w:rsid w:val="00CA1A2F"/>
    <w:rsid w:val="00CA36BE"/>
    <w:rsid w:val="00CA51F9"/>
    <w:rsid w:val="00CA6C5B"/>
    <w:rsid w:val="00CB5412"/>
    <w:rsid w:val="00CB6DE5"/>
    <w:rsid w:val="00CC5011"/>
    <w:rsid w:val="00CC7994"/>
    <w:rsid w:val="00CD2FF7"/>
    <w:rsid w:val="00CD3861"/>
    <w:rsid w:val="00CE1A7F"/>
    <w:rsid w:val="00CE7646"/>
    <w:rsid w:val="00CF240C"/>
    <w:rsid w:val="00CF35BE"/>
    <w:rsid w:val="00CF3AA4"/>
    <w:rsid w:val="00CF73F4"/>
    <w:rsid w:val="00D01A40"/>
    <w:rsid w:val="00D01A5E"/>
    <w:rsid w:val="00D11D1C"/>
    <w:rsid w:val="00D12190"/>
    <w:rsid w:val="00D15ECA"/>
    <w:rsid w:val="00D2124E"/>
    <w:rsid w:val="00D22D9B"/>
    <w:rsid w:val="00D23DFE"/>
    <w:rsid w:val="00D32051"/>
    <w:rsid w:val="00D34FAF"/>
    <w:rsid w:val="00D37C82"/>
    <w:rsid w:val="00D454B1"/>
    <w:rsid w:val="00D5095E"/>
    <w:rsid w:val="00D53B3D"/>
    <w:rsid w:val="00D56B1D"/>
    <w:rsid w:val="00D6078D"/>
    <w:rsid w:val="00D61DD8"/>
    <w:rsid w:val="00D67164"/>
    <w:rsid w:val="00D73881"/>
    <w:rsid w:val="00D742BB"/>
    <w:rsid w:val="00D77559"/>
    <w:rsid w:val="00D811DD"/>
    <w:rsid w:val="00D8540E"/>
    <w:rsid w:val="00D91A74"/>
    <w:rsid w:val="00D94D81"/>
    <w:rsid w:val="00D97D9B"/>
    <w:rsid w:val="00DA1B13"/>
    <w:rsid w:val="00DA4732"/>
    <w:rsid w:val="00DB03F1"/>
    <w:rsid w:val="00DB7FCC"/>
    <w:rsid w:val="00DC05BC"/>
    <w:rsid w:val="00DC0C5F"/>
    <w:rsid w:val="00DC53BE"/>
    <w:rsid w:val="00DD263E"/>
    <w:rsid w:val="00DD5351"/>
    <w:rsid w:val="00DE2197"/>
    <w:rsid w:val="00DE6276"/>
    <w:rsid w:val="00DE634B"/>
    <w:rsid w:val="00DE6FE9"/>
    <w:rsid w:val="00DF085A"/>
    <w:rsid w:val="00DF226A"/>
    <w:rsid w:val="00DF4683"/>
    <w:rsid w:val="00E04913"/>
    <w:rsid w:val="00E05FE5"/>
    <w:rsid w:val="00E14A8D"/>
    <w:rsid w:val="00E20AAA"/>
    <w:rsid w:val="00E27CE3"/>
    <w:rsid w:val="00E320C7"/>
    <w:rsid w:val="00E33B29"/>
    <w:rsid w:val="00E34902"/>
    <w:rsid w:val="00E36806"/>
    <w:rsid w:val="00E36F36"/>
    <w:rsid w:val="00E37152"/>
    <w:rsid w:val="00E37A09"/>
    <w:rsid w:val="00E43C0D"/>
    <w:rsid w:val="00E50254"/>
    <w:rsid w:val="00E524C0"/>
    <w:rsid w:val="00E56C4A"/>
    <w:rsid w:val="00E618B3"/>
    <w:rsid w:val="00E7524D"/>
    <w:rsid w:val="00E771F1"/>
    <w:rsid w:val="00E77FA8"/>
    <w:rsid w:val="00E802AC"/>
    <w:rsid w:val="00E803C4"/>
    <w:rsid w:val="00E94362"/>
    <w:rsid w:val="00E95FBC"/>
    <w:rsid w:val="00EA2926"/>
    <w:rsid w:val="00EA7ED2"/>
    <w:rsid w:val="00EB0A04"/>
    <w:rsid w:val="00EB0AB9"/>
    <w:rsid w:val="00EB3322"/>
    <w:rsid w:val="00EB5B71"/>
    <w:rsid w:val="00EB5BF4"/>
    <w:rsid w:val="00EB6F16"/>
    <w:rsid w:val="00EC4D2B"/>
    <w:rsid w:val="00EC5EC7"/>
    <w:rsid w:val="00ED1839"/>
    <w:rsid w:val="00ED2B57"/>
    <w:rsid w:val="00ED4C2E"/>
    <w:rsid w:val="00ED54CD"/>
    <w:rsid w:val="00EE1A68"/>
    <w:rsid w:val="00EE6AD9"/>
    <w:rsid w:val="00EF6DD2"/>
    <w:rsid w:val="00EF7C01"/>
    <w:rsid w:val="00F017D9"/>
    <w:rsid w:val="00F03A00"/>
    <w:rsid w:val="00F05E7B"/>
    <w:rsid w:val="00F10874"/>
    <w:rsid w:val="00F11F4C"/>
    <w:rsid w:val="00F14629"/>
    <w:rsid w:val="00F16A73"/>
    <w:rsid w:val="00F32156"/>
    <w:rsid w:val="00F33301"/>
    <w:rsid w:val="00F37CAC"/>
    <w:rsid w:val="00F459DB"/>
    <w:rsid w:val="00F521B2"/>
    <w:rsid w:val="00F52962"/>
    <w:rsid w:val="00F55E95"/>
    <w:rsid w:val="00F64868"/>
    <w:rsid w:val="00F72319"/>
    <w:rsid w:val="00F73900"/>
    <w:rsid w:val="00F8023B"/>
    <w:rsid w:val="00F81282"/>
    <w:rsid w:val="00F848DD"/>
    <w:rsid w:val="00F84901"/>
    <w:rsid w:val="00F90416"/>
    <w:rsid w:val="00F90A02"/>
    <w:rsid w:val="00F91598"/>
    <w:rsid w:val="00F91A3D"/>
    <w:rsid w:val="00F94693"/>
    <w:rsid w:val="00FA004E"/>
    <w:rsid w:val="00FA2B5B"/>
    <w:rsid w:val="00FA3F2A"/>
    <w:rsid w:val="00FA4993"/>
    <w:rsid w:val="00FA5977"/>
    <w:rsid w:val="00FB69DC"/>
    <w:rsid w:val="00FC5AA3"/>
    <w:rsid w:val="00FD071F"/>
    <w:rsid w:val="00FD09B1"/>
    <w:rsid w:val="00FD2BAE"/>
    <w:rsid w:val="00FD2D88"/>
    <w:rsid w:val="00FD384E"/>
    <w:rsid w:val="00FD467F"/>
    <w:rsid w:val="00FE1344"/>
    <w:rsid w:val="00FE1C2B"/>
    <w:rsid w:val="00FE4BAA"/>
    <w:rsid w:val="00FE76BB"/>
    <w:rsid w:val="00FE7ADB"/>
    <w:rsid w:val="00FF376F"/>
    <w:rsid w:val="00FF39C1"/>
    <w:rsid w:val="00FF6C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9C2B2B"/>
  <w14:defaultImageDpi w14:val="300"/>
  <w15:docId w15:val="{A8BAD85E-AA4E-024A-82C6-3D8A33ED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5F58"/>
    <w:rPr>
      <w:rFonts w:ascii="Times New Roman" w:eastAsia="Times New Roman" w:hAnsi="Times New Roman" w:cs="Times New Roman"/>
    </w:rPr>
  </w:style>
  <w:style w:type="paragraph" w:styleId="Heading1">
    <w:name w:val="heading 1"/>
    <w:basedOn w:val="Normal"/>
    <w:link w:val="Heading1Char"/>
    <w:uiPriority w:val="1"/>
    <w:qFormat/>
    <w:rsid w:val="00A81ACD"/>
    <w:pPr>
      <w:widowControl w:val="0"/>
      <w:spacing w:before="193"/>
      <w:ind w:left="548"/>
      <w:outlineLvl w:val="0"/>
    </w:pPr>
    <w:rPr>
      <w:rFonts w:cstheme="minorBidi"/>
      <w:sz w:val="25"/>
      <w:szCs w:val="25"/>
    </w:rPr>
  </w:style>
  <w:style w:type="paragraph" w:styleId="Heading2">
    <w:name w:val="heading 2"/>
    <w:basedOn w:val="Normal"/>
    <w:link w:val="Heading2Char"/>
    <w:uiPriority w:val="1"/>
    <w:qFormat/>
    <w:rsid w:val="00A81ACD"/>
    <w:pPr>
      <w:widowControl w:val="0"/>
      <w:ind w:left="548"/>
      <w:outlineLvl w:val="1"/>
    </w:pPr>
    <w:rPr>
      <w:rFonts w:ascii="Arial" w:eastAsia="Arial" w:hAnsi="Arial" w:cstheme="minorBidi"/>
      <w:b/>
      <w:bCs/>
    </w:rPr>
  </w:style>
  <w:style w:type="paragraph" w:styleId="Heading3">
    <w:name w:val="heading 3"/>
    <w:basedOn w:val="Normal"/>
    <w:link w:val="Heading3Char"/>
    <w:uiPriority w:val="1"/>
    <w:qFormat/>
    <w:rsid w:val="00A81ACD"/>
    <w:pPr>
      <w:widowControl w:val="0"/>
      <w:ind w:left="548"/>
      <w:outlineLvl w:val="2"/>
    </w:pPr>
    <w:rPr>
      <w:rFonts w:ascii="Arial" w:eastAsia="Arial" w:hAnsi="Arial"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FA004E"/>
    <w:pPr>
      <w:tabs>
        <w:tab w:val="left" w:pos="500"/>
      </w:tabs>
      <w:spacing w:after="240"/>
      <w:ind w:left="504" w:hanging="504"/>
    </w:pPr>
    <w:rPr>
      <w:rFonts w:asciiTheme="minorHAnsi" w:eastAsiaTheme="minorEastAsia" w:hAnsiTheme="minorHAnsi" w:cstheme="minorBidi"/>
    </w:rPr>
  </w:style>
  <w:style w:type="character" w:styleId="CommentReference">
    <w:name w:val="annotation reference"/>
    <w:basedOn w:val="DefaultParagraphFont"/>
    <w:uiPriority w:val="99"/>
    <w:semiHidden/>
    <w:unhideWhenUsed/>
    <w:rsid w:val="00FA004E"/>
    <w:rPr>
      <w:sz w:val="18"/>
      <w:szCs w:val="18"/>
    </w:rPr>
  </w:style>
  <w:style w:type="paragraph" w:styleId="CommentText">
    <w:name w:val="annotation text"/>
    <w:basedOn w:val="Normal"/>
    <w:link w:val="CommentTextChar"/>
    <w:uiPriority w:val="99"/>
    <w:semiHidden/>
    <w:unhideWhenUsed/>
    <w:rsid w:val="00FA004E"/>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FA004E"/>
  </w:style>
  <w:style w:type="paragraph" w:styleId="BalloonText">
    <w:name w:val="Balloon Text"/>
    <w:basedOn w:val="Normal"/>
    <w:link w:val="BalloonTextChar"/>
    <w:uiPriority w:val="99"/>
    <w:semiHidden/>
    <w:unhideWhenUsed/>
    <w:rsid w:val="00FA004E"/>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FA004E"/>
    <w:rPr>
      <w:rFonts w:ascii="Lucida Grande" w:hAnsi="Lucida Grande" w:cs="Lucida Grande"/>
      <w:sz w:val="18"/>
      <w:szCs w:val="18"/>
    </w:rPr>
  </w:style>
  <w:style w:type="paragraph" w:styleId="ListParagraph">
    <w:name w:val="List Paragraph"/>
    <w:basedOn w:val="Normal"/>
    <w:uiPriority w:val="34"/>
    <w:qFormat/>
    <w:rsid w:val="00FA004E"/>
    <w:pPr>
      <w:ind w:left="720"/>
      <w:contextualSpacing/>
    </w:pPr>
    <w:rPr>
      <w:rFonts w:asciiTheme="minorHAnsi" w:eastAsiaTheme="minorEastAsia" w:hAnsiTheme="minorHAnsi" w:cstheme="minorBidi"/>
    </w:rPr>
  </w:style>
  <w:style w:type="paragraph" w:styleId="Footer">
    <w:name w:val="footer"/>
    <w:basedOn w:val="Normal"/>
    <w:link w:val="FooterChar"/>
    <w:uiPriority w:val="99"/>
    <w:unhideWhenUsed/>
    <w:rsid w:val="00FA004E"/>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FA004E"/>
  </w:style>
  <w:style w:type="character" w:styleId="PageNumber">
    <w:name w:val="page number"/>
    <w:basedOn w:val="DefaultParagraphFont"/>
    <w:uiPriority w:val="99"/>
    <w:semiHidden/>
    <w:unhideWhenUsed/>
    <w:rsid w:val="00FA004E"/>
  </w:style>
  <w:style w:type="character" w:customStyle="1" w:styleId="apple-converted-space">
    <w:name w:val="apple-converted-space"/>
    <w:basedOn w:val="DefaultParagraphFont"/>
    <w:rsid w:val="00D742BB"/>
  </w:style>
  <w:style w:type="character" w:styleId="Hyperlink">
    <w:name w:val="Hyperlink"/>
    <w:basedOn w:val="DefaultParagraphFont"/>
    <w:uiPriority w:val="99"/>
    <w:unhideWhenUsed/>
    <w:rsid w:val="00D742BB"/>
    <w:rPr>
      <w:color w:val="0000FF"/>
      <w:u w:val="single"/>
    </w:rPr>
  </w:style>
  <w:style w:type="character" w:customStyle="1" w:styleId="m-7769775972868665743hoenzb">
    <w:name w:val="m_-7769775972868665743hoenzb"/>
    <w:basedOn w:val="DefaultParagraphFont"/>
    <w:rsid w:val="00D742BB"/>
  </w:style>
  <w:style w:type="paragraph" w:styleId="CommentSubject">
    <w:name w:val="annotation subject"/>
    <w:basedOn w:val="CommentText"/>
    <w:next w:val="CommentText"/>
    <w:link w:val="CommentSubjectChar"/>
    <w:uiPriority w:val="99"/>
    <w:semiHidden/>
    <w:unhideWhenUsed/>
    <w:rsid w:val="00576C5D"/>
    <w:rPr>
      <w:b/>
      <w:bCs/>
      <w:sz w:val="20"/>
      <w:szCs w:val="20"/>
    </w:rPr>
  </w:style>
  <w:style w:type="character" w:customStyle="1" w:styleId="CommentSubjectChar">
    <w:name w:val="Comment Subject Char"/>
    <w:basedOn w:val="CommentTextChar"/>
    <w:link w:val="CommentSubject"/>
    <w:uiPriority w:val="99"/>
    <w:semiHidden/>
    <w:rsid w:val="00576C5D"/>
    <w:rPr>
      <w:b/>
      <w:bCs/>
      <w:sz w:val="20"/>
      <w:szCs w:val="20"/>
    </w:rPr>
  </w:style>
  <w:style w:type="paragraph" w:styleId="NormalWeb">
    <w:name w:val="Normal (Web)"/>
    <w:basedOn w:val="Normal"/>
    <w:uiPriority w:val="99"/>
    <w:unhideWhenUsed/>
    <w:rsid w:val="00285F58"/>
    <w:pPr>
      <w:spacing w:before="100" w:beforeAutospacing="1" w:after="100" w:afterAutospacing="1"/>
    </w:pPr>
  </w:style>
  <w:style w:type="paragraph" w:styleId="Header">
    <w:name w:val="header"/>
    <w:basedOn w:val="Normal"/>
    <w:link w:val="HeaderChar"/>
    <w:uiPriority w:val="99"/>
    <w:unhideWhenUsed/>
    <w:rsid w:val="00646700"/>
    <w:pPr>
      <w:tabs>
        <w:tab w:val="center" w:pos="4680"/>
        <w:tab w:val="right" w:pos="9360"/>
      </w:tabs>
    </w:pPr>
  </w:style>
  <w:style w:type="character" w:customStyle="1" w:styleId="HeaderChar">
    <w:name w:val="Header Char"/>
    <w:basedOn w:val="DefaultParagraphFont"/>
    <w:link w:val="Header"/>
    <w:uiPriority w:val="99"/>
    <w:rsid w:val="00646700"/>
    <w:rPr>
      <w:rFonts w:ascii="Times New Roman" w:eastAsia="Times New Roman" w:hAnsi="Times New Roman" w:cs="Times New Roman"/>
    </w:rPr>
  </w:style>
  <w:style w:type="character" w:customStyle="1" w:styleId="Heading1Char">
    <w:name w:val="Heading 1 Char"/>
    <w:basedOn w:val="DefaultParagraphFont"/>
    <w:link w:val="Heading1"/>
    <w:uiPriority w:val="1"/>
    <w:rsid w:val="00A81ACD"/>
    <w:rPr>
      <w:rFonts w:ascii="Times New Roman" w:eastAsia="Times New Roman" w:hAnsi="Times New Roman"/>
      <w:sz w:val="25"/>
      <w:szCs w:val="25"/>
    </w:rPr>
  </w:style>
  <w:style w:type="character" w:customStyle="1" w:styleId="Heading2Char">
    <w:name w:val="Heading 2 Char"/>
    <w:basedOn w:val="DefaultParagraphFont"/>
    <w:link w:val="Heading2"/>
    <w:uiPriority w:val="1"/>
    <w:rsid w:val="00A81ACD"/>
    <w:rPr>
      <w:rFonts w:ascii="Arial" w:eastAsia="Arial" w:hAnsi="Arial"/>
      <w:b/>
      <w:bCs/>
    </w:rPr>
  </w:style>
  <w:style w:type="character" w:customStyle="1" w:styleId="Heading3Char">
    <w:name w:val="Heading 3 Char"/>
    <w:basedOn w:val="DefaultParagraphFont"/>
    <w:link w:val="Heading3"/>
    <w:uiPriority w:val="1"/>
    <w:rsid w:val="00A81ACD"/>
    <w:rPr>
      <w:rFonts w:ascii="Arial" w:eastAsia="Arial" w:hAnsi="Arial"/>
    </w:rPr>
  </w:style>
  <w:style w:type="paragraph" w:styleId="BodyText">
    <w:name w:val="Body Text"/>
    <w:basedOn w:val="Normal"/>
    <w:link w:val="BodyTextChar"/>
    <w:uiPriority w:val="1"/>
    <w:qFormat/>
    <w:rsid w:val="00A81ACD"/>
    <w:pPr>
      <w:widowControl w:val="0"/>
      <w:ind w:left="803"/>
    </w:pPr>
    <w:rPr>
      <w:rFonts w:ascii="Arial" w:eastAsia="Arial" w:hAnsi="Arial" w:cstheme="minorBidi"/>
      <w:sz w:val="18"/>
      <w:szCs w:val="18"/>
    </w:rPr>
  </w:style>
  <w:style w:type="character" w:customStyle="1" w:styleId="BodyTextChar">
    <w:name w:val="Body Text Char"/>
    <w:basedOn w:val="DefaultParagraphFont"/>
    <w:link w:val="BodyText"/>
    <w:uiPriority w:val="1"/>
    <w:rsid w:val="00A81ACD"/>
    <w:rPr>
      <w:rFonts w:ascii="Arial" w:eastAsia="Arial" w:hAnsi="Arial"/>
      <w:sz w:val="18"/>
      <w:szCs w:val="18"/>
    </w:rPr>
  </w:style>
  <w:style w:type="paragraph" w:customStyle="1" w:styleId="TableParagraph">
    <w:name w:val="Table Paragraph"/>
    <w:basedOn w:val="Normal"/>
    <w:uiPriority w:val="1"/>
    <w:qFormat/>
    <w:rsid w:val="00A81ACD"/>
    <w:pPr>
      <w:widowControl w:val="0"/>
    </w:pPr>
    <w:rPr>
      <w:rFonts w:asciiTheme="minorHAnsi" w:eastAsiaTheme="minorHAnsi" w:hAnsiTheme="minorHAnsi" w:cstheme="minorBidi"/>
      <w:sz w:val="22"/>
      <w:szCs w:val="22"/>
    </w:rPr>
  </w:style>
  <w:style w:type="character" w:styleId="Strong">
    <w:name w:val="Strong"/>
    <w:basedOn w:val="DefaultParagraphFont"/>
    <w:uiPriority w:val="22"/>
    <w:qFormat/>
    <w:rsid w:val="003828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7841">
      <w:bodyDiv w:val="1"/>
      <w:marLeft w:val="0"/>
      <w:marRight w:val="0"/>
      <w:marTop w:val="0"/>
      <w:marBottom w:val="0"/>
      <w:divBdr>
        <w:top w:val="none" w:sz="0" w:space="0" w:color="auto"/>
        <w:left w:val="none" w:sz="0" w:space="0" w:color="auto"/>
        <w:bottom w:val="none" w:sz="0" w:space="0" w:color="auto"/>
        <w:right w:val="none" w:sz="0" w:space="0" w:color="auto"/>
      </w:divBdr>
    </w:div>
    <w:div w:id="39473844">
      <w:bodyDiv w:val="1"/>
      <w:marLeft w:val="0"/>
      <w:marRight w:val="0"/>
      <w:marTop w:val="0"/>
      <w:marBottom w:val="0"/>
      <w:divBdr>
        <w:top w:val="none" w:sz="0" w:space="0" w:color="auto"/>
        <w:left w:val="none" w:sz="0" w:space="0" w:color="auto"/>
        <w:bottom w:val="none" w:sz="0" w:space="0" w:color="auto"/>
        <w:right w:val="none" w:sz="0" w:space="0" w:color="auto"/>
      </w:divBdr>
    </w:div>
    <w:div w:id="72628957">
      <w:bodyDiv w:val="1"/>
      <w:marLeft w:val="0"/>
      <w:marRight w:val="0"/>
      <w:marTop w:val="0"/>
      <w:marBottom w:val="0"/>
      <w:divBdr>
        <w:top w:val="none" w:sz="0" w:space="0" w:color="auto"/>
        <w:left w:val="none" w:sz="0" w:space="0" w:color="auto"/>
        <w:bottom w:val="none" w:sz="0" w:space="0" w:color="auto"/>
        <w:right w:val="none" w:sz="0" w:space="0" w:color="auto"/>
      </w:divBdr>
    </w:div>
    <w:div w:id="164564290">
      <w:bodyDiv w:val="1"/>
      <w:marLeft w:val="0"/>
      <w:marRight w:val="0"/>
      <w:marTop w:val="0"/>
      <w:marBottom w:val="0"/>
      <w:divBdr>
        <w:top w:val="none" w:sz="0" w:space="0" w:color="auto"/>
        <w:left w:val="none" w:sz="0" w:space="0" w:color="auto"/>
        <w:bottom w:val="none" w:sz="0" w:space="0" w:color="auto"/>
        <w:right w:val="none" w:sz="0" w:space="0" w:color="auto"/>
      </w:divBdr>
    </w:div>
    <w:div w:id="295525343">
      <w:bodyDiv w:val="1"/>
      <w:marLeft w:val="0"/>
      <w:marRight w:val="0"/>
      <w:marTop w:val="0"/>
      <w:marBottom w:val="0"/>
      <w:divBdr>
        <w:top w:val="none" w:sz="0" w:space="0" w:color="auto"/>
        <w:left w:val="none" w:sz="0" w:space="0" w:color="auto"/>
        <w:bottom w:val="none" w:sz="0" w:space="0" w:color="auto"/>
        <w:right w:val="none" w:sz="0" w:space="0" w:color="auto"/>
      </w:divBdr>
    </w:div>
    <w:div w:id="574121597">
      <w:bodyDiv w:val="1"/>
      <w:marLeft w:val="0"/>
      <w:marRight w:val="0"/>
      <w:marTop w:val="0"/>
      <w:marBottom w:val="0"/>
      <w:divBdr>
        <w:top w:val="none" w:sz="0" w:space="0" w:color="auto"/>
        <w:left w:val="none" w:sz="0" w:space="0" w:color="auto"/>
        <w:bottom w:val="none" w:sz="0" w:space="0" w:color="auto"/>
        <w:right w:val="none" w:sz="0" w:space="0" w:color="auto"/>
      </w:divBdr>
    </w:div>
    <w:div w:id="619996238">
      <w:bodyDiv w:val="1"/>
      <w:marLeft w:val="0"/>
      <w:marRight w:val="0"/>
      <w:marTop w:val="0"/>
      <w:marBottom w:val="0"/>
      <w:divBdr>
        <w:top w:val="none" w:sz="0" w:space="0" w:color="auto"/>
        <w:left w:val="none" w:sz="0" w:space="0" w:color="auto"/>
        <w:bottom w:val="none" w:sz="0" w:space="0" w:color="auto"/>
        <w:right w:val="none" w:sz="0" w:space="0" w:color="auto"/>
      </w:divBdr>
    </w:div>
    <w:div w:id="641813777">
      <w:bodyDiv w:val="1"/>
      <w:marLeft w:val="0"/>
      <w:marRight w:val="0"/>
      <w:marTop w:val="0"/>
      <w:marBottom w:val="0"/>
      <w:divBdr>
        <w:top w:val="none" w:sz="0" w:space="0" w:color="auto"/>
        <w:left w:val="none" w:sz="0" w:space="0" w:color="auto"/>
        <w:bottom w:val="none" w:sz="0" w:space="0" w:color="auto"/>
        <w:right w:val="none" w:sz="0" w:space="0" w:color="auto"/>
      </w:divBdr>
    </w:div>
    <w:div w:id="711735022">
      <w:bodyDiv w:val="1"/>
      <w:marLeft w:val="0"/>
      <w:marRight w:val="0"/>
      <w:marTop w:val="0"/>
      <w:marBottom w:val="0"/>
      <w:divBdr>
        <w:top w:val="none" w:sz="0" w:space="0" w:color="auto"/>
        <w:left w:val="none" w:sz="0" w:space="0" w:color="auto"/>
        <w:bottom w:val="none" w:sz="0" w:space="0" w:color="auto"/>
        <w:right w:val="none" w:sz="0" w:space="0" w:color="auto"/>
      </w:divBdr>
    </w:div>
    <w:div w:id="802506179">
      <w:bodyDiv w:val="1"/>
      <w:marLeft w:val="0"/>
      <w:marRight w:val="0"/>
      <w:marTop w:val="0"/>
      <w:marBottom w:val="0"/>
      <w:divBdr>
        <w:top w:val="none" w:sz="0" w:space="0" w:color="auto"/>
        <w:left w:val="none" w:sz="0" w:space="0" w:color="auto"/>
        <w:bottom w:val="none" w:sz="0" w:space="0" w:color="auto"/>
        <w:right w:val="none" w:sz="0" w:space="0" w:color="auto"/>
      </w:divBdr>
    </w:div>
    <w:div w:id="959339794">
      <w:bodyDiv w:val="1"/>
      <w:marLeft w:val="0"/>
      <w:marRight w:val="0"/>
      <w:marTop w:val="0"/>
      <w:marBottom w:val="0"/>
      <w:divBdr>
        <w:top w:val="none" w:sz="0" w:space="0" w:color="auto"/>
        <w:left w:val="none" w:sz="0" w:space="0" w:color="auto"/>
        <w:bottom w:val="none" w:sz="0" w:space="0" w:color="auto"/>
        <w:right w:val="none" w:sz="0" w:space="0" w:color="auto"/>
      </w:divBdr>
    </w:div>
    <w:div w:id="1100680778">
      <w:bodyDiv w:val="1"/>
      <w:marLeft w:val="0"/>
      <w:marRight w:val="0"/>
      <w:marTop w:val="0"/>
      <w:marBottom w:val="0"/>
      <w:divBdr>
        <w:top w:val="none" w:sz="0" w:space="0" w:color="auto"/>
        <w:left w:val="none" w:sz="0" w:space="0" w:color="auto"/>
        <w:bottom w:val="none" w:sz="0" w:space="0" w:color="auto"/>
        <w:right w:val="none" w:sz="0" w:space="0" w:color="auto"/>
      </w:divBdr>
    </w:div>
    <w:div w:id="1125198988">
      <w:bodyDiv w:val="1"/>
      <w:marLeft w:val="0"/>
      <w:marRight w:val="0"/>
      <w:marTop w:val="0"/>
      <w:marBottom w:val="0"/>
      <w:divBdr>
        <w:top w:val="none" w:sz="0" w:space="0" w:color="auto"/>
        <w:left w:val="none" w:sz="0" w:space="0" w:color="auto"/>
        <w:bottom w:val="none" w:sz="0" w:space="0" w:color="auto"/>
        <w:right w:val="none" w:sz="0" w:space="0" w:color="auto"/>
      </w:divBdr>
      <w:divsChild>
        <w:div w:id="7906353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0214518">
              <w:marLeft w:val="0"/>
              <w:marRight w:val="0"/>
              <w:marTop w:val="0"/>
              <w:marBottom w:val="0"/>
              <w:divBdr>
                <w:top w:val="none" w:sz="0" w:space="0" w:color="auto"/>
                <w:left w:val="none" w:sz="0" w:space="0" w:color="auto"/>
                <w:bottom w:val="none" w:sz="0" w:space="0" w:color="auto"/>
                <w:right w:val="none" w:sz="0" w:space="0" w:color="auto"/>
              </w:divBdr>
              <w:divsChild>
                <w:div w:id="169487896">
                  <w:marLeft w:val="0"/>
                  <w:marRight w:val="0"/>
                  <w:marTop w:val="0"/>
                  <w:marBottom w:val="0"/>
                  <w:divBdr>
                    <w:top w:val="none" w:sz="0" w:space="0" w:color="auto"/>
                    <w:left w:val="none" w:sz="0" w:space="0" w:color="auto"/>
                    <w:bottom w:val="none" w:sz="0" w:space="0" w:color="auto"/>
                    <w:right w:val="none" w:sz="0" w:space="0" w:color="auto"/>
                  </w:divBdr>
                  <w:divsChild>
                    <w:div w:id="1603149099">
                      <w:marLeft w:val="0"/>
                      <w:marRight w:val="0"/>
                      <w:marTop w:val="0"/>
                      <w:marBottom w:val="0"/>
                      <w:divBdr>
                        <w:top w:val="none" w:sz="0" w:space="0" w:color="auto"/>
                        <w:left w:val="none" w:sz="0" w:space="0" w:color="auto"/>
                        <w:bottom w:val="none" w:sz="0" w:space="0" w:color="auto"/>
                        <w:right w:val="none" w:sz="0" w:space="0" w:color="auto"/>
                      </w:divBdr>
                    </w:div>
                    <w:div w:id="422184965">
                      <w:marLeft w:val="0"/>
                      <w:marRight w:val="0"/>
                      <w:marTop w:val="0"/>
                      <w:marBottom w:val="0"/>
                      <w:divBdr>
                        <w:top w:val="none" w:sz="0" w:space="0" w:color="auto"/>
                        <w:left w:val="none" w:sz="0" w:space="0" w:color="auto"/>
                        <w:bottom w:val="none" w:sz="0" w:space="0" w:color="auto"/>
                        <w:right w:val="none" w:sz="0" w:space="0" w:color="auto"/>
                      </w:divBdr>
                    </w:div>
                    <w:div w:id="961691980">
                      <w:marLeft w:val="0"/>
                      <w:marRight w:val="0"/>
                      <w:marTop w:val="0"/>
                      <w:marBottom w:val="0"/>
                      <w:divBdr>
                        <w:top w:val="none" w:sz="0" w:space="0" w:color="auto"/>
                        <w:left w:val="none" w:sz="0" w:space="0" w:color="auto"/>
                        <w:bottom w:val="none" w:sz="0" w:space="0" w:color="auto"/>
                        <w:right w:val="none" w:sz="0" w:space="0" w:color="auto"/>
                      </w:divBdr>
                    </w:div>
                    <w:div w:id="251789882">
                      <w:marLeft w:val="0"/>
                      <w:marRight w:val="0"/>
                      <w:marTop w:val="0"/>
                      <w:marBottom w:val="0"/>
                      <w:divBdr>
                        <w:top w:val="none" w:sz="0" w:space="0" w:color="auto"/>
                        <w:left w:val="none" w:sz="0" w:space="0" w:color="auto"/>
                        <w:bottom w:val="none" w:sz="0" w:space="0" w:color="auto"/>
                        <w:right w:val="none" w:sz="0" w:space="0" w:color="auto"/>
                      </w:divBdr>
                    </w:div>
                    <w:div w:id="1984234710">
                      <w:marLeft w:val="0"/>
                      <w:marRight w:val="0"/>
                      <w:marTop w:val="0"/>
                      <w:marBottom w:val="0"/>
                      <w:divBdr>
                        <w:top w:val="none" w:sz="0" w:space="0" w:color="auto"/>
                        <w:left w:val="none" w:sz="0" w:space="0" w:color="auto"/>
                        <w:bottom w:val="none" w:sz="0" w:space="0" w:color="auto"/>
                        <w:right w:val="none" w:sz="0" w:space="0" w:color="auto"/>
                      </w:divBdr>
                    </w:div>
                    <w:div w:id="119033878">
                      <w:marLeft w:val="0"/>
                      <w:marRight w:val="0"/>
                      <w:marTop w:val="0"/>
                      <w:marBottom w:val="0"/>
                      <w:divBdr>
                        <w:top w:val="none" w:sz="0" w:space="0" w:color="auto"/>
                        <w:left w:val="none" w:sz="0" w:space="0" w:color="auto"/>
                        <w:bottom w:val="none" w:sz="0" w:space="0" w:color="auto"/>
                        <w:right w:val="none" w:sz="0" w:space="0" w:color="auto"/>
                      </w:divBdr>
                    </w:div>
                    <w:div w:id="111632619">
                      <w:marLeft w:val="0"/>
                      <w:marRight w:val="0"/>
                      <w:marTop w:val="0"/>
                      <w:marBottom w:val="0"/>
                      <w:divBdr>
                        <w:top w:val="none" w:sz="0" w:space="0" w:color="auto"/>
                        <w:left w:val="none" w:sz="0" w:space="0" w:color="auto"/>
                        <w:bottom w:val="none" w:sz="0" w:space="0" w:color="auto"/>
                        <w:right w:val="none" w:sz="0" w:space="0" w:color="auto"/>
                      </w:divBdr>
                    </w:div>
                    <w:div w:id="692614165">
                      <w:marLeft w:val="0"/>
                      <w:marRight w:val="0"/>
                      <w:marTop w:val="0"/>
                      <w:marBottom w:val="0"/>
                      <w:divBdr>
                        <w:top w:val="none" w:sz="0" w:space="0" w:color="auto"/>
                        <w:left w:val="none" w:sz="0" w:space="0" w:color="auto"/>
                        <w:bottom w:val="none" w:sz="0" w:space="0" w:color="auto"/>
                        <w:right w:val="none" w:sz="0" w:space="0" w:color="auto"/>
                      </w:divBdr>
                    </w:div>
                    <w:div w:id="1509976599">
                      <w:marLeft w:val="0"/>
                      <w:marRight w:val="0"/>
                      <w:marTop w:val="0"/>
                      <w:marBottom w:val="0"/>
                      <w:divBdr>
                        <w:top w:val="none" w:sz="0" w:space="0" w:color="auto"/>
                        <w:left w:val="none" w:sz="0" w:space="0" w:color="auto"/>
                        <w:bottom w:val="none" w:sz="0" w:space="0" w:color="auto"/>
                        <w:right w:val="none" w:sz="0" w:space="0" w:color="auto"/>
                      </w:divBdr>
                      <w:divsChild>
                        <w:div w:id="1887184036">
                          <w:marLeft w:val="0"/>
                          <w:marRight w:val="0"/>
                          <w:marTop w:val="0"/>
                          <w:marBottom w:val="0"/>
                          <w:divBdr>
                            <w:top w:val="none" w:sz="0" w:space="0" w:color="auto"/>
                            <w:left w:val="none" w:sz="0" w:space="0" w:color="auto"/>
                            <w:bottom w:val="none" w:sz="0" w:space="0" w:color="auto"/>
                            <w:right w:val="none" w:sz="0" w:space="0" w:color="auto"/>
                          </w:divBdr>
                        </w:div>
                        <w:div w:id="1881934591">
                          <w:marLeft w:val="0"/>
                          <w:marRight w:val="0"/>
                          <w:marTop w:val="0"/>
                          <w:marBottom w:val="0"/>
                          <w:divBdr>
                            <w:top w:val="none" w:sz="0" w:space="0" w:color="auto"/>
                            <w:left w:val="none" w:sz="0" w:space="0" w:color="auto"/>
                            <w:bottom w:val="none" w:sz="0" w:space="0" w:color="auto"/>
                            <w:right w:val="none" w:sz="0" w:space="0" w:color="auto"/>
                          </w:divBdr>
                          <w:divsChild>
                            <w:div w:id="2109420298">
                              <w:marLeft w:val="0"/>
                              <w:marRight w:val="0"/>
                              <w:marTop w:val="0"/>
                              <w:marBottom w:val="0"/>
                              <w:divBdr>
                                <w:top w:val="none" w:sz="0" w:space="0" w:color="auto"/>
                                <w:left w:val="none" w:sz="0" w:space="0" w:color="auto"/>
                                <w:bottom w:val="none" w:sz="0" w:space="0" w:color="auto"/>
                                <w:right w:val="none" w:sz="0" w:space="0" w:color="auto"/>
                              </w:divBdr>
                              <w:divsChild>
                                <w:div w:id="582421472">
                                  <w:marLeft w:val="0"/>
                                  <w:marRight w:val="0"/>
                                  <w:marTop w:val="0"/>
                                  <w:marBottom w:val="0"/>
                                  <w:divBdr>
                                    <w:top w:val="none" w:sz="0" w:space="0" w:color="auto"/>
                                    <w:left w:val="none" w:sz="0" w:space="0" w:color="auto"/>
                                    <w:bottom w:val="none" w:sz="0" w:space="0" w:color="auto"/>
                                    <w:right w:val="none" w:sz="0" w:space="0" w:color="auto"/>
                                  </w:divBdr>
                                </w:div>
                                <w:div w:id="361902070">
                                  <w:marLeft w:val="0"/>
                                  <w:marRight w:val="0"/>
                                  <w:marTop w:val="0"/>
                                  <w:marBottom w:val="0"/>
                                  <w:divBdr>
                                    <w:top w:val="none" w:sz="0" w:space="0" w:color="auto"/>
                                    <w:left w:val="none" w:sz="0" w:space="0" w:color="auto"/>
                                    <w:bottom w:val="none" w:sz="0" w:space="0" w:color="auto"/>
                                    <w:right w:val="none" w:sz="0" w:space="0" w:color="auto"/>
                                  </w:divBdr>
                                </w:div>
                              </w:divsChild>
                            </w:div>
                            <w:div w:id="1866552055">
                              <w:marLeft w:val="0"/>
                              <w:marRight w:val="0"/>
                              <w:marTop w:val="0"/>
                              <w:marBottom w:val="0"/>
                              <w:divBdr>
                                <w:top w:val="none" w:sz="0" w:space="0" w:color="auto"/>
                                <w:left w:val="none" w:sz="0" w:space="0" w:color="auto"/>
                                <w:bottom w:val="none" w:sz="0" w:space="0" w:color="auto"/>
                                <w:right w:val="none" w:sz="0" w:space="0" w:color="auto"/>
                              </w:divBdr>
                              <w:divsChild>
                                <w:div w:id="532621868">
                                  <w:marLeft w:val="0"/>
                                  <w:marRight w:val="0"/>
                                  <w:marTop w:val="0"/>
                                  <w:marBottom w:val="0"/>
                                  <w:divBdr>
                                    <w:top w:val="none" w:sz="0" w:space="0" w:color="auto"/>
                                    <w:left w:val="none" w:sz="0" w:space="0" w:color="auto"/>
                                    <w:bottom w:val="none" w:sz="0" w:space="0" w:color="auto"/>
                                    <w:right w:val="none" w:sz="0" w:space="0" w:color="auto"/>
                                  </w:divBdr>
                                  <w:divsChild>
                                    <w:div w:id="112330740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13235585">
                                          <w:marLeft w:val="0"/>
                                          <w:marRight w:val="0"/>
                                          <w:marTop w:val="0"/>
                                          <w:marBottom w:val="0"/>
                                          <w:divBdr>
                                            <w:top w:val="none" w:sz="0" w:space="0" w:color="auto"/>
                                            <w:left w:val="none" w:sz="0" w:space="0" w:color="auto"/>
                                            <w:bottom w:val="none" w:sz="0" w:space="0" w:color="auto"/>
                                            <w:right w:val="none" w:sz="0" w:space="0" w:color="auto"/>
                                          </w:divBdr>
                                          <w:divsChild>
                                            <w:div w:id="502934502">
                                              <w:marLeft w:val="0"/>
                                              <w:marRight w:val="0"/>
                                              <w:marTop w:val="0"/>
                                              <w:marBottom w:val="0"/>
                                              <w:divBdr>
                                                <w:top w:val="none" w:sz="0" w:space="0" w:color="auto"/>
                                                <w:left w:val="none" w:sz="0" w:space="0" w:color="auto"/>
                                                <w:bottom w:val="none" w:sz="0" w:space="0" w:color="auto"/>
                                                <w:right w:val="none" w:sz="0" w:space="0" w:color="auto"/>
                                              </w:divBdr>
                                            </w:div>
                                            <w:div w:id="714043163">
                                              <w:marLeft w:val="0"/>
                                              <w:marRight w:val="0"/>
                                              <w:marTop w:val="0"/>
                                              <w:marBottom w:val="0"/>
                                              <w:divBdr>
                                                <w:top w:val="none" w:sz="0" w:space="0" w:color="auto"/>
                                                <w:left w:val="none" w:sz="0" w:space="0" w:color="auto"/>
                                                <w:bottom w:val="none" w:sz="0" w:space="0" w:color="auto"/>
                                                <w:right w:val="none" w:sz="0" w:space="0" w:color="auto"/>
                                              </w:divBdr>
                                            </w:div>
                                            <w:div w:id="1192961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0673249">
                                                  <w:marLeft w:val="0"/>
                                                  <w:marRight w:val="0"/>
                                                  <w:marTop w:val="0"/>
                                                  <w:marBottom w:val="0"/>
                                                  <w:divBdr>
                                                    <w:top w:val="none" w:sz="0" w:space="0" w:color="auto"/>
                                                    <w:left w:val="none" w:sz="0" w:space="0" w:color="auto"/>
                                                    <w:bottom w:val="none" w:sz="0" w:space="0" w:color="auto"/>
                                                    <w:right w:val="none" w:sz="0" w:space="0" w:color="auto"/>
                                                  </w:divBdr>
                                                  <w:divsChild>
                                                    <w:div w:id="320425909">
                                                      <w:marLeft w:val="0"/>
                                                      <w:marRight w:val="0"/>
                                                      <w:marTop w:val="0"/>
                                                      <w:marBottom w:val="0"/>
                                                      <w:divBdr>
                                                        <w:top w:val="none" w:sz="0" w:space="0" w:color="auto"/>
                                                        <w:left w:val="none" w:sz="0" w:space="0" w:color="auto"/>
                                                        <w:bottom w:val="none" w:sz="0" w:space="0" w:color="auto"/>
                                                        <w:right w:val="none" w:sz="0" w:space="0" w:color="auto"/>
                                                      </w:divBdr>
                                                      <w:divsChild>
                                                        <w:div w:id="176239377">
                                                          <w:marLeft w:val="0"/>
                                                          <w:marRight w:val="0"/>
                                                          <w:marTop w:val="0"/>
                                                          <w:marBottom w:val="0"/>
                                                          <w:divBdr>
                                                            <w:top w:val="none" w:sz="0" w:space="0" w:color="auto"/>
                                                            <w:left w:val="none" w:sz="0" w:space="0" w:color="auto"/>
                                                            <w:bottom w:val="none" w:sz="0" w:space="0" w:color="auto"/>
                                                            <w:right w:val="none" w:sz="0" w:space="0" w:color="auto"/>
                                                          </w:divBdr>
                                                        </w:div>
                                                        <w:div w:id="875656804">
                                                          <w:marLeft w:val="0"/>
                                                          <w:marRight w:val="0"/>
                                                          <w:marTop w:val="0"/>
                                                          <w:marBottom w:val="0"/>
                                                          <w:divBdr>
                                                            <w:top w:val="none" w:sz="0" w:space="0" w:color="auto"/>
                                                            <w:left w:val="none" w:sz="0" w:space="0" w:color="auto"/>
                                                            <w:bottom w:val="none" w:sz="0" w:space="0" w:color="auto"/>
                                                            <w:right w:val="none" w:sz="0" w:space="0" w:color="auto"/>
                                                          </w:divBdr>
                                                        </w:div>
                                                        <w:div w:id="2113429410">
                                                          <w:marLeft w:val="0"/>
                                                          <w:marRight w:val="0"/>
                                                          <w:marTop w:val="0"/>
                                                          <w:marBottom w:val="0"/>
                                                          <w:divBdr>
                                                            <w:top w:val="none" w:sz="0" w:space="0" w:color="auto"/>
                                                            <w:left w:val="none" w:sz="0" w:space="0" w:color="auto"/>
                                                            <w:bottom w:val="none" w:sz="0" w:space="0" w:color="auto"/>
                                                            <w:right w:val="none" w:sz="0" w:space="0" w:color="auto"/>
                                                          </w:divBdr>
                                                        </w:div>
                                                        <w:div w:id="1884361598">
                                                          <w:marLeft w:val="0"/>
                                                          <w:marRight w:val="0"/>
                                                          <w:marTop w:val="0"/>
                                                          <w:marBottom w:val="0"/>
                                                          <w:divBdr>
                                                            <w:top w:val="none" w:sz="0" w:space="0" w:color="auto"/>
                                                            <w:left w:val="none" w:sz="0" w:space="0" w:color="auto"/>
                                                            <w:bottom w:val="none" w:sz="0" w:space="0" w:color="auto"/>
                                                            <w:right w:val="none" w:sz="0" w:space="0" w:color="auto"/>
                                                          </w:divBdr>
                                                        </w:div>
                                                        <w:div w:id="1410349869">
                                                          <w:marLeft w:val="0"/>
                                                          <w:marRight w:val="0"/>
                                                          <w:marTop w:val="0"/>
                                                          <w:marBottom w:val="0"/>
                                                          <w:divBdr>
                                                            <w:top w:val="none" w:sz="0" w:space="0" w:color="auto"/>
                                                            <w:left w:val="none" w:sz="0" w:space="0" w:color="auto"/>
                                                            <w:bottom w:val="none" w:sz="0" w:space="0" w:color="auto"/>
                                                            <w:right w:val="none" w:sz="0" w:space="0" w:color="auto"/>
                                                          </w:divBdr>
                                                        </w:div>
                                                        <w:div w:id="1253472428">
                                                          <w:marLeft w:val="0"/>
                                                          <w:marRight w:val="0"/>
                                                          <w:marTop w:val="0"/>
                                                          <w:marBottom w:val="0"/>
                                                          <w:divBdr>
                                                            <w:top w:val="none" w:sz="0" w:space="0" w:color="auto"/>
                                                            <w:left w:val="none" w:sz="0" w:space="0" w:color="auto"/>
                                                            <w:bottom w:val="none" w:sz="0" w:space="0" w:color="auto"/>
                                                            <w:right w:val="none" w:sz="0" w:space="0" w:color="auto"/>
                                                          </w:divBdr>
                                                        </w:div>
                                                      </w:divsChild>
                                                    </w:div>
                                                    <w:div w:id="1095705600">
                                                      <w:marLeft w:val="0"/>
                                                      <w:marRight w:val="0"/>
                                                      <w:marTop w:val="0"/>
                                                      <w:marBottom w:val="0"/>
                                                      <w:divBdr>
                                                        <w:top w:val="none" w:sz="0" w:space="0" w:color="auto"/>
                                                        <w:left w:val="none" w:sz="0" w:space="0" w:color="auto"/>
                                                        <w:bottom w:val="none" w:sz="0" w:space="0" w:color="auto"/>
                                                        <w:right w:val="none" w:sz="0" w:space="0" w:color="auto"/>
                                                      </w:divBdr>
                                                      <w:divsChild>
                                                        <w:div w:id="612438235">
                                                          <w:marLeft w:val="0"/>
                                                          <w:marRight w:val="0"/>
                                                          <w:marTop w:val="0"/>
                                                          <w:marBottom w:val="0"/>
                                                          <w:divBdr>
                                                            <w:top w:val="none" w:sz="0" w:space="0" w:color="auto"/>
                                                            <w:left w:val="none" w:sz="0" w:space="0" w:color="auto"/>
                                                            <w:bottom w:val="none" w:sz="0" w:space="0" w:color="auto"/>
                                                            <w:right w:val="none" w:sz="0" w:space="0" w:color="auto"/>
                                                          </w:divBdr>
                                                          <w:divsChild>
                                                            <w:div w:id="1870529420">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200287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56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6185789">
                          <w:marLeft w:val="0"/>
                          <w:marRight w:val="0"/>
                          <w:marTop w:val="0"/>
                          <w:marBottom w:val="0"/>
                          <w:divBdr>
                            <w:top w:val="none" w:sz="0" w:space="0" w:color="auto"/>
                            <w:left w:val="none" w:sz="0" w:space="0" w:color="auto"/>
                            <w:bottom w:val="none" w:sz="0" w:space="0" w:color="auto"/>
                            <w:right w:val="none" w:sz="0" w:space="0" w:color="auto"/>
                          </w:divBdr>
                          <w:divsChild>
                            <w:div w:id="1570728339">
                              <w:marLeft w:val="0"/>
                              <w:marRight w:val="0"/>
                              <w:marTop w:val="45"/>
                              <w:marBottom w:val="0"/>
                              <w:divBdr>
                                <w:top w:val="none" w:sz="0" w:space="0" w:color="auto"/>
                                <w:left w:val="none" w:sz="0" w:space="0" w:color="auto"/>
                                <w:bottom w:val="none" w:sz="0" w:space="0" w:color="auto"/>
                                <w:right w:val="none" w:sz="0" w:space="0" w:color="auto"/>
                              </w:divBdr>
                              <w:divsChild>
                                <w:div w:id="806317910">
                                  <w:marLeft w:val="0"/>
                                  <w:marRight w:val="0"/>
                                  <w:marTop w:val="0"/>
                                  <w:marBottom w:val="0"/>
                                  <w:divBdr>
                                    <w:top w:val="none" w:sz="0" w:space="0" w:color="auto"/>
                                    <w:left w:val="none" w:sz="0" w:space="0" w:color="auto"/>
                                    <w:bottom w:val="none" w:sz="0" w:space="0" w:color="auto"/>
                                    <w:right w:val="none" w:sz="0" w:space="0" w:color="auto"/>
                                  </w:divBdr>
                                  <w:divsChild>
                                    <w:div w:id="176830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735364">
                          <w:marLeft w:val="0"/>
                          <w:marRight w:val="0"/>
                          <w:marTop w:val="0"/>
                          <w:marBottom w:val="0"/>
                          <w:divBdr>
                            <w:top w:val="none" w:sz="0" w:space="0" w:color="auto"/>
                            <w:left w:val="none" w:sz="0" w:space="0" w:color="auto"/>
                            <w:bottom w:val="none" w:sz="0" w:space="0" w:color="auto"/>
                            <w:right w:val="none" w:sz="0" w:space="0" w:color="auto"/>
                          </w:divBdr>
                          <w:divsChild>
                            <w:div w:id="1365791668">
                              <w:marLeft w:val="0"/>
                              <w:marRight w:val="0"/>
                              <w:marTop w:val="0"/>
                              <w:marBottom w:val="0"/>
                              <w:divBdr>
                                <w:top w:val="none" w:sz="0" w:space="0" w:color="auto"/>
                                <w:left w:val="none" w:sz="0" w:space="0" w:color="auto"/>
                                <w:bottom w:val="none" w:sz="0" w:space="0" w:color="auto"/>
                                <w:right w:val="none" w:sz="0" w:space="0" w:color="auto"/>
                              </w:divBdr>
                              <w:divsChild>
                                <w:div w:id="497575853">
                                  <w:marLeft w:val="0"/>
                                  <w:marRight w:val="0"/>
                                  <w:marTop w:val="0"/>
                                  <w:marBottom w:val="0"/>
                                  <w:divBdr>
                                    <w:top w:val="none" w:sz="0" w:space="0" w:color="auto"/>
                                    <w:left w:val="none" w:sz="0" w:space="0" w:color="auto"/>
                                    <w:bottom w:val="none" w:sz="0" w:space="0" w:color="auto"/>
                                    <w:right w:val="none" w:sz="0" w:space="0" w:color="auto"/>
                                  </w:divBdr>
                                </w:div>
                                <w:div w:id="132455945">
                                  <w:marLeft w:val="0"/>
                                  <w:marRight w:val="0"/>
                                  <w:marTop w:val="0"/>
                                  <w:marBottom w:val="0"/>
                                  <w:divBdr>
                                    <w:top w:val="none" w:sz="0" w:space="0" w:color="auto"/>
                                    <w:left w:val="none" w:sz="0" w:space="0" w:color="auto"/>
                                    <w:bottom w:val="none" w:sz="0" w:space="0" w:color="auto"/>
                                    <w:right w:val="none" w:sz="0" w:space="0" w:color="auto"/>
                                  </w:divBdr>
                                </w:div>
                              </w:divsChild>
                            </w:div>
                            <w:div w:id="148135616">
                              <w:marLeft w:val="0"/>
                              <w:marRight w:val="0"/>
                              <w:marTop w:val="0"/>
                              <w:marBottom w:val="0"/>
                              <w:divBdr>
                                <w:top w:val="none" w:sz="0" w:space="0" w:color="auto"/>
                                <w:left w:val="none" w:sz="0" w:space="0" w:color="auto"/>
                                <w:bottom w:val="none" w:sz="0" w:space="0" w:color="auto"/>
                                <w:right w:val="none" w:sz="0" w:space="0" w:color="auto"/>
                              </w:divBdr>
                              <w:divsChild>
                                <w:div w:id="1622762023">
                                  <w:marLeft w:val="0"/>
                                  <w:marRight w:val="0"/>
                                  <w:marTop w:val="0"/>
                                  <w:marBottom w:val="0"/>
                                  <w:divBdr>
                                    <w:top w:val="none" w:sz="0" w:space="0" w:color="auto"/>
                                    <w:left w:val="none" w:sz="0" w:space="0" w:color="auto"/>
                                    <w:bottom w:val="none" w:sz="0" w:space="0" w:color="auto"/>
                                    <w:right w:val="none" w:sz="0" w:space="0" w:color="auto"/>
                                  </w:divBdr>
                                  <w:divsChild>
                                    <w:div w:id="516578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25843713">
                                          <w:marLeft w:val="0"/>
                                          <w:marRight w:val="0"/>
                                          <w:marTop w:val="0"/>
                                          <w:marBottom w:val="0"/>
                                          <w:divBdr>
                                            <w:top w:val="none" w:sz="0" w:space="0" w:color="auto"/>
                                            <w:left w:val="none" w:sz="0" w:space="0" w:color="auto"/>
                                            <w:bottom w:val="none" w:sz="0" w:space="0" w:color="auto"/>
                                            <w:right w:val="none" w:sz="0" w:space="0" w:color="auto"/>
                                          </w:divBdr>
                                          <w:divsChild>
                                            <w:div w:id="859199399">
                                              <w:marLeft w:val="0"/>
                                              <w:marRight w:val="0"/>
                                              <w:marTop w:val="0"/>
                                              <w:marBottom w:val="0"/>
                                              <w:divBdr>
                                                <w:top w:val="none" w:sz="0" w:space="0" w:color="auto"/>
                                                <w:left w:val="none" w:sz="0" w:space="0" w:color="auto"/>
                                                <w:bottom w:val="none" w:sz="0" w:space="0" w:color="auto"/>
                                                <w:right w:val="none" w:sz="0" w:space="0" w:color="auto"/>
                                              </w:divBdr>
                                            </w:div>
                                            <w:div w:id="1379695607">
                                              <w:marLeft w:val="0"/>
                                              <w:marRight w:val="0"/>
                                              <w:marTop w:val="0"/>
                                              <w:marBottom w:val="0"/>
                                              <w:divBdr>
                                                <w:top w:val="none" w:sz="0" w:space="0" w:color="auto"/>
                                                <w:left w:val="none" w:sz="0" w:space="0" w:color="auto"/>
                                                <w:bottom w:val="none" w:sz="0" w:space="0" w:color="auto"/>
                                                <w:right w:val="none" w:sz="0" w:space="0" w:color="auto"/>
                                              </w:divBdr>
                                            </w:div>
                                            <w:div w:id="920911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233408">
                                                  <w:marLeft w:val="0"/>
                                                  <w:marRight w:val="0"/>
                                                  <w:marTop w:val="0"/>
                                                  <w:marBottom w:val="0"/>
                                                  <w:divBdr>
                                                    <w:top w:val="none" w:sz="0" w:space="0" w:color="auto"/>
                                                    <w:left w:val="none" w:sz="0" w:space="0" w:color="auto"/>
                                                    <w:bottom w:val="none" w:sz="0" w:space="0" w:color="auto"/>
                                                    <w:right w:val="none" w:sz="0" w:space="0" w:color="auto"/>
                                                  </w:divBdr>
                                                  <w:divsChild>
                                                    <w:div w:id="1655455411">
                                                      <w:marLeft w:val="0"/>
                                                      <w:marRight w:val="0"/>
                                                      <w:marTop w:val="0"/>
                                                      <w:marBottom w:val="0"/>
                                                      <w:divBdr>
                                                        <w:top w:val="none" w:sz="0" w:space="0" w:color="auto"/>
                                                        <w:left w:val="none" w:sz="0" w:space="0" w:color="auto"/>
                                                        <w:bottom w:val="none" w:sz="0" w:space="0" w:color="auto"/>
                                                        <w:right w:val="none" w:sz="0" w:space="0" w:color="auto"/>
                                                      </w:divBdr>
                                                      <w:divsChild>
                                                        <w:div w:id="1353604658">
                                                          <w:marLeft w:val="0"/>
                                                          <w:marRight w:val="0"/>
                                                          <w:marTop w:val="0"/>
                                                          <w:marBottom w:val="0"/>
                                                          <w:divBdr>
                                                            <w:top w:val="none" w:sz="0" w:space="0" w:color="auto"/>
                                                            <w:left w:val="none" w:sz="0" w:space="0" w:color="auto"/>
                                                            <w:bottom w:val="none" w:sz="0" w:space="0" w:color="auto"/>
                                                            <w:right w:val="none" w:sz="0" w:space="0" w:color="auto"/>
                                                          </w:divBdr>
                                                        </w:div>
                                                        <w:div w:id="1455102509">
                                                          <w:marLeft w:val="0"/>
                                                          <w:marRight w:val="0"/>
                                                          <w:marTop w:val="0"/>
                                                          <w:marBottom w:val="0"/>
                                                          <w:divBdr>
                                                            <w:top w:val="none" w:sz="0" w:space="0" w:color="auto"/>
                                                            <w:left w:val="none" w:sz="0" w:space="0" w:color="auto"/>
                                                            <w:bottom w:val="none" w:sz="0" w:space="0" w:color="auto"/>
                                                            <w:right w:val="none" w:sz="0" w:space="0" w:color="auto"/>
                                                          </w:divBdr>
                                                        </w:div>
                                                        <w:div w:id="1318341974">
                                                          <w:marLeft w:val="0"/>
                                                          <w:marRight w:val="0"/>
                                                          <w:marTop w:val="0"/>
                                                          <w:marBottom w:val="0"/>
                                                          <w:divBdr>
                                                            <w:top w:val="none" w:sz="0" w:space="0" w:color="auto"/>
                                                            <w:left w:val="none" w:sz="0" w:space="0" w:color="auto"/>
                                                            <w:bottom w:val="none" w:sz="0" w:space="0" w:color="auto"/>
                                                            <w:right w:val="none" w:sz="0" w:space="0" w:color="auto"/>
                                                          </w:divBdr>
                                                        </w:div>
                                                        <w:div w:id="1959334338">
                                                          <w:marLeft w:val="0"/>
                                                          <w:marRight w:val="0"/>
                                                          <w:marTop w:val="0"/>
                                                          <w:marBottom w:val="0"/>
                                                          <w:divBdr>
                                                            <w:top w:val="none" w:sz="0" w:space="0" w:color="auto"/>
                                                            <w:left w:val="none" w:sz="0" w:space="0" w:color="auto"/>
                                                            <w:bottom w:val="none" w:sz="0" w:space="0" w:color="auto"/>
                                                            <w:right w:val="none" w:sz="0" w:space="0" w:color="auto"/>
                                                          </w:divBdr>
                                                        </w:div>
                                                        <w:div w:id="1197892360">
                                                          <w:marLeft w:val="0"/>
                                                          <w:marRight w:val="0"/>
                                                          <w:marTop w:val="0"/>
                                                          <w:marBottom w:val="0"/>
                                                          <w:divBdr>
                                                            <w:top w:val="none" w:sz="0" w:space="0" w:color="auto"/>
                                                            <w:left w:val="none" w:sz="0" w:space="0" w:color="auto"/>
                                                            <w:bottom w:val="none" w:sz="0" w:space="0" w:color="auto"/>
                                                            <w:right w:val="none" w:sz="0" w:space="0" w:color="auto"/>
                                                          </w:divBdr>
                                                        </w:div>
                                                        <w:div w:id="1302150975">
                                                          <w:marLeft w:val="0"/>
                                                          <w:marRight w:val="0"/>
                                                          <w:marTop w:val="0"/>
                                                          <w:marBottom w:val="0"/>
                                                          <w:divBdr>
                                                            <w:top w:val="none" w:sz="0" w:space="0" w:color="auto"/>
                                                            <w:left w:val="none" w:sz="0" w:space="0" w:color="auto"/>
                                                            <w:bottom w:val="none" w:sz="0" w:space="0" w:color="auto"/>
                                                            <w:right w:val="none" w:sz="0" w:space="0" w:color="auto"/>
                                                          </w:divBdr>
                                                        </w:div>
                                                      </w:divsChild>
                                                    </w:div>
                                                    <w:div w:id="83500422">
                                                      <w:marLeft w:val="0"/>
                                                      <w:marRight w:val="0"/>
                                                      <w:marTop w:val="0"/>
                                                      <w:marBottom w:val="0"/>
                                                      <w:divBdr>
                                                        <w:top w:val="none" w:sz="0" w:space="0" w:color="auto"/>
                                                        <w:left w:val="none" w:sz="0" w:space="0" w:color="auto"/>
                                                        <w:bottom w:val="none" w:sz="0" w:space="0" w:color="auto"/>
                                                        <w:right w:val="none" w:sz="0" w:space="0" w:color="auto"/>
                                                      </w:divBdr>
                                                      <w:divsChild>
                                                        <w:div w:id="901410210">
                                                          <w:marLeft w:val="0"/>
                                                          <w:marRight w:val="0"/>
                                                          <w:marTop w:val="0"/>
                                                          <w:marBottom w:val="0"/>
                                                          <w:divBdr>
                                                            <w:top w:val="none" w:sz="0" w:space="0" w:color="auto"/>
                                                            <w:left w:val="none" w:sz="0" w:space="0" w:color="auto"/>
                                                            <w:bottom w:val="none" w:sz="0" w:space="0" w:color="auto"/>
                                                            <w:right w:val="none" w:sz="0" w:space="0" w:color="auto"/>
                                                          </w:divBdr>
                                                          <w:divsChild>
                                                            <w:div w:id="100078351">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536503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76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1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463285">
      <w:bodyDiv w:val="1"/>
      <w:marLeft w:val="0"/>
      <w:marRight w:val="0"/>
      <w:marTop w:val="0"/>
      <w:marBottom w:val="0"/>
      <w:divBdr>
        <w:top w:val="none" w:sz="0" w:space="0" w:color="auto"/>
        <w:left w:val="none" w:sz="0" w:space="0" w:color="auto"/>
        <w:bottom w:val="none" w:sz="0" w:space="0" w:color="auto"/>
        <w:right w:val="none" w:sz="0" w:space="0" w:color="auto"/>
      </w:divBdr>
    </w:div>
    <w:div w:id="1371035038">
      <w:bodyDiv w:val="1"/>
      <w:marLeft w:val="0"/>
      <w:marRight w:val="0"/>
      <w:marTop w:val="0"/>
      <w:marBottom w:val="0"/>
      <w:divBdr>
        <w:top w:val="none" w:sz="0" w:space="0" w:color="auto"/>
        <w:left w:val="none" w:sz="0" w:space="0" w:color="auto"/>
        <w:bottom w:val="none" w:sz="0" w:space="0" w:color="auto"/>
        <w:right w:val="none" w:sz="0" w:space="0" w:color="auto"/>
      </w:divBdr>
    </w:div>
    <w:div w:id="1532453775">
      <w:bodyDiv w:val="1"/>
      <w:marLeft w:val="0"/>
      <w:marRight w:val="0"/>
      <w:marTop w:val="0"/>
      <w:marBottom w:val="0"/>
      <w:divBdr>
        <w:top w:val="none" w:sz="0" w:space="0" w:color="auto"/>
        <w:left w:val="none" w:sz="0" w:space="0" w:color="auto"/>
        <w:bottom w:val="none" w:sz="0" w:space="0" w:color="auto"/>
        <w:right w:val="none" w:sz="0" w:space="0" w:color="auto"/>
      </w:divBdr>
    </w:div>
    <w:div w:id="1658419915">
      <w:bodyDiv w:val="1"/>
      <w:marLeft w:val="0"/>
      <w:marRight w:val="0"/>
      <w:marTop w:val="0"/>
      <w:marBottom w:val="0"/>
      <w:divBdr>
        <w:top w:val="none" w:sz="0" w:space="0" w:color="auto"/>
        <w:left w:val="none" w:sz="0" w:space="0" w:color="auto"/>
        <w:bottom w:val="none" w:sz="0" w:space="0" w:color="auto"/>
        <w:right w:val="none" w:sz="0" w:space="0" w:color="auto"/>
      </w:divBdr>
    </w:div>
    <w:div w:id="1752003451">
      <w:bodyDiv w:val="1"/>
      <w:marLeft w:val="0"/>
      <w:marRight w:val="0"/>
      <w:marTop w:val="0"/>
      <w:marBottom w:val="0"/>
      <w:divBdr>
        <w:top w:val="none" w:sz="0" w:space="0" w:color="auto"/>
        <w:left w:val="none" w:sz="0" w:space="0" w:color="auto"/>
        <w:bottom w:val="none" w:sz="0" w:space="0" w:color="auto"/>
        <w:right w:val="none" w:sz="0" w:space="0" w:color="auto"/>
      </w:divBdr>
    </w:div>
    <w:div w:id="1928684240">
      <w:bodyDiv w:val="1"/>
      <w:marLeft w:val="0"/>
      <w:marRight w:val="0"/>
      <w:marTop w:val="0"/>
      <w:marBottom w:val="0"/>
      <w:divBdr>
        <w:top w:val="none" w:sz="0" w:space="0" w:color="auto"/>
        <w:left w:val="none" w:sz="0" w:space="0" w:color="auto"/>
        <w:bottom w:val="none" w:sz="0" w:space="0" w:color="auto"/>
        <w:right w:val="none" w:sz="0" w:space="0" w:color="auto"/>
      </w:divBdr>
    </w:div>
    <w:div w:id="2056271806">
      <w:bodyDiv w:val="1"/>
      <w:marLeft w:val="0"/>
      <w:marRight w:val="0"/>
      <w:marTop w:val="0"/>
      <w:marBottom w:val="0"/>
      <w:divBdr>
        <w:top w:val="none" w:sz="0" w:space="0" w:color="auto"/>
        <w:left w:val="none" w:sz="0" w:space="0" w:color="auto"/>
        <w:bottom w:val="none" w:sz="0" w:space="0" w:color="auto"/>
        <w:right w:val="none" w:sz="0" w:space="0" w:color="auto"/>
      </w:divBdr>
    </w:div>
    <w:div w:id="2066290712">
      <w:bodyDiv w:val="1"/>
      <w:marLeft w:val="0"/>
      <w:marRight w:val="0"/>
      <w:marTop w:val="0"/>
      <w:marBottom w:val="0"/>
      <w:divBdr>
        <w:top w:val="none" w:sz="0" w:space="0" w:color="auto"/>
        <w:left w:val="none" w:sz="0" w:space="0" w:color="auto"/>
        <w:bottom w:val="none" w:sz="0" w:space="0" w:color="auto"/>
        <w:right w:val="none" w:sz="0" w:space="0" w:color="auto"/>
      </w:divBdr>
    </w:div>
    <w:div w:id="2089840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1.emf"/><Relationship Id="rId39" Type="http://schemas.openxmlformats.org/officeDocument/2006/relationships/image" Target="media/image14.emf"/><Relationship Id="rId21" Type="http://schemas.openxmlformats.org/officeDocument/2006/relationships/diagramData" Target="diagrams/data3.xml"/><Relationship Id="rId34" Type="http://schemas.openxmlformats.org/officeDocument/2006/relationships/image" Target="media/image9.emf"/><Relationship Id="rId42" Type="http://schemas.openxmlformats.org/officeDocument/2006/relationships/image" Target="media/image17.emf"/><Relationship Id="rId47" Type="http://schemas.openxmlformats.org/officeDocument/2006/relationships/hyperlink" Target="http://www.red-rock.com/Locations/Norman.html" TargetMode="External"/><Relationship Id="rId50" Type="http://schemas.openxmlformats.org/officeDocument/2006/relationships/image" Target="media/image19.png"/><Relationship Id="rId55" Type="http://schemas.openxmlformats.org/officeDocument/2006/relationships/image" Target="media/image2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image" Target="media/image4.emf"/><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image" Target="media/image7.emf"/><Relationship Id="rId37" Type="http://schemas.openxmlformats.org/officeDocument/2006/relationships/image" Target="media/image12.emf"/><Relationship Id="rId40" Type="http://schemas.openxmlformats.org/officeDocument/2006/relationships/image" Target="media/image15.emf"/><Relationship Id="rId45" Type="http://schemas.openxmlformats.org/officeDocument/2006/relationships/hyperlink" Target="mailto:drc@ou.edu" TargetMode="External"/><Relationship Id="rId53" Type="http://schemas.openxmlformats.org/officeDocument/2006/relationships/image" Target="media/image22.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image" Target="media/image2.emf"/><Relationship Id="rId30" Type="http://schemas.openxmlformats.org/officeDocument/2006/relationships/image" Target="media/image5.emf"/><Relationship Id="rId35"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hyperlink" Target="http://www.navigateresources.net/hlok/" TargetMode="External"/><Relationship Id="rId56" Type="http://schemas.openxmlformats.org/officeDocument/2006/relationships/image" Target="media/image25.(null)"/><Relationship Id="rId8" Type="http://schemas.openxmlformats.org/officeDocument/2006/relationships/footer" Target="footer1.xml"/><Relationship Id="rId51"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image" Target="media/image8.emf"/><Relationship Id="rId38" Type="http://schemas.openxmlformats.org/officeDocument/2006/relationships/image" Target="media/image13.emf"/><Relationship Id="rId46" Type="http://schemas.openxmlformats.org/officeDocument/2006/relationships/hyperlink" Target="mailto:sarah-bramlett@ouhsc.edu" TargetMode="External"/><Relationship Id="rId59" Type="http://schemas.openxmlformats.org/officeDocument/2006/relationships/glossaryDocument" Target="glossary/document.xml"/><Relationship Id="rId20" Type="http://schemas.microsoft.com/office/2007/relationships/diagramDrawing" Target="diagrams/drawing2.xml"/><Relationship Id="rId41" Type="http://schemas.openxmlformats.org/officeDocument/2006/relationships/image" Target="media/image16.emf"/><Relationship Id="rId54"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image" Target="media/image3.emf"/><Relationship Id="rId36" Type="http://schemas.openxmlformats.org/officeDocument/2006/relationships/image" Target="media/image11.emf"/><Relationship Id="rId49" Type="http://schemas.openxmlformats.org/officeDocument/2006/relationships/hyperlink" Target="mailto:students@ouhsc.edu" TargetMode="External"/><Relationship Id="rId57" Type="http://schemas.openxmlformats.org/officeDocument/2006/relationships/image" Target="media/image26.tiff"/><Relationship Id="rId10" Type="http://schemas.openxmlformats.org/officeDocument/2006/relationships/footer" Target="footer3.xml"/><Relationship Id="rId31" Type="http://schemas.openxmlformats.org/officeDocument/2006/relationships/image" Target="media/image6.emf"/><Relationship Id="rId44" Type="http://schemas.openxmlformats.org/officeDocument/2006/relationships/hyperlink" Target="http://www.ou.edu/content/police/home.html" TargetMode="External"/><Relationship Id="rId52" Type="http://schemas.openxmlformats.org/officeDocument/2006/relationships/image" Target="media/image21.png"/><Relationship Id="rId6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C3B5B7-21AE-124D-AE80-9591596E77E6}" type="doc">
      <dgm:prSet loTypeId="urn:microsoft.com/office/officeart/2005/8/layout/lProcess1" loCatId="" qsTypeId="urn:microsoft.com/office/officeart/2005/8/quickstyle/simple1" qsCatId="simple" csTypeId="urn:microsoft.com/office/officeart/2005/8/colors/accent1_2" csCatId="accent1" phldr="1"/>
      <dgm:spPr/>
      <dgm:t>
        <a:bodyPr/>
        <a:lstStyle/>
        <a:p>
          <a:endParaRPr lang="en-US"/>
        </a:p>
      </dgm:t>
    </dgm:pt>
    <dgm:pt modelId="{14D70279-C011-DA43-9EC2-BD472E49C8C2}">
      <dgm:prSet phldrT="[Text]"/>
      <dgm:spPr/>
      <dgm:t>
        <a:bodyPr/>
        <a:lstStyle/>
        <a:p>
          <a:r>
            <a:rPr lang="en-US"/>
            <a:t>Control Group 2016</a:t>
          </a:r>
        </a:p>
      </dgm:t>
    </dgm:pt>
    <dgm:pt modelId="{BFA6489D-4C5A-9B41-B1B0-E85F6AB4FCC5}" type="parTrans" cxnId="{E06125FD-5CD4-7648-8751-0868A1D7955F}">
      <dgm:prSet/>
      <dgm:spPr/>
      <dgm:t>
        <a:bodyPr/>
        <a:lstStyle/>
        <a:p>
          <a:endParaRPr lang="en-US"/>
        </a:p>
      </dgm:t>
    </dgm:pt>
    <dgm:pt modelId="{7C8B6D32-48FA-A546-92E1-E428A090BD05}" type="sibTrans" cxnId="{E06125FD-5CD4-7648-8751-0868A1D7955F}">
      <dgm:prSet/>
      <dgm:spPr/>
      <dgm:t>
        <a:bodyPr/>
        <a:lstStyle/>
        <a:p>
          <a:endParaRPr lang="en-US"/>
        </a:p>
      </dgm:t>
    </dgm:pt>
    <dgm:pt modelId="{5282C9D3-0FC8-B14F-934F-203AF91FA03A}">
      <dgm:prSet phldrT="[Text]"/>
      <dgm:spPr/>
      <dgm:t>
        <a:bodyPr/>
        <a:lstStyle/>
        <a:p>
          <a:r>
            <a:rPr lang="en-US"/>
            <a:t>Exam Completion x3</a:t>
          </a:r>
        </a:p>
      </dgm:t>
    </dgm:pt>
    <dgm:pt modelId="{82FEA38E-03BC-B340-97C6-831826545D9A}" type="parTrans" cxnId="{81B6F454-732A-6548-94CE-52940173CECE}">
      <dgm:prSet/>
      <dgm:spPr/>
      <dgm:t>
        <a:bodyPr/>
        <a:lstStyle/>
        <a:p>
          <a:endParaRPr lang="en-US"/>
        </a:p>
      </dgm:t>
    </dgm:pt>
    <dgm:pt modelId="{F9A484AB-6C57-554E-B9ED-F6D1BA9CB9D4}" type="sibTrans" cxnId="{81B6F454-732A-6548-94CE-52940173CECE}">
      <dgm:prSet/>
      <dgm:spPr/>
      <dgm:t>
        <a:bodyPr/>
        <a:lstStyle/>
        <a:p>
          <a:endParaRPr lang="en-US"/>
        </a:p>
      </dgm:t>
    </dgm:pt>
    <dgm:pt modelId="{223737D4-325C-3848-A503-0854E4A53152}">
      <dgm:prSet phldrT="[Text]"/>
      <dgm:spPr/>
      <dgm:t>
        <a:bodyPr/>
        <a:lstStyle/>
        <a:p>
          <a:r>
            <a:rPr lang="en-US"/>
            <a:t>Brief COPE Survey x3</a:t>
          </a:r>
        </a:p>
      </dgm:t>
    </dgm:pt>
    <dgm:pt modelId="{7EF59969-A277-2E42-B0D6-1321C90031B8}" type="parTrans" cxnId="{292DA2FE-D6E3-CB4C-BA04-318FDD5BCDE5}">
      <dgm:prSet/>
      <dgm:spPr/>
      <dgm:t>
        <a:bodyPr/>
        <a:lstStyle/>
        <a:p>
          <a:endParaRPr lang="en-US"/>
        </a:p>
      </dgm:t>
    </dgm:pt>
    <dgm:pt modelId="{EF0B80CD-07C9-3C4D-84AC-9564E60B1B72}" type="sibTrans" cxnId="{292DA2FE-D6E3-CB4C-BA04-318FDD5BCDE5}">
      <dgm:prSet/>
      <dgm:spPr/>
      <dgm:t>
        <a:bodyPr/>
        <a:lstStyle/>
        <a:p>
          <a:endParaRPr lang="en-US"/>
        </a:p>
      </dgm:t>
    </dgm:pt>
    <dgm:pt modelId="{047F7ED9-1A76-7E49-8BD5-157FE76E8865}">
      <dgm:prSet phldrT="[Text]"/>
      <dgm:spPr/>
      <dgm:t>
        <a:bodyPr/>
        <a:lstStyle/>
        <a:p>
          <a:r>
            <a:rPr lang="en-US"/>
            <a:t>Experimental Group 2017</a:t>
          </a:r>
        </a:p>
      </dgm:t>
    </dgm:pt>
    <dgm:pt modelId="{597E3363-5149-214E-ABA6-559D31330995}" type="parTrans" cxnId="{01A0B8D1-ADAF-3D4F-892A-832234BEFA37}">
      <dgm:prSet/>
      <dgm:spPr/>
      <dgm:t>
        <a:bodyPr/>
        <a:lstStyle/>
        <a:p>
          <a:endParaRPr lang="en-US"/>
        </a:p>
      </dgm:t>
    </dgm:pt>
    <dgm:pt modelId="{0A745733-E8C7-2F41-80F0-8F0EB69BC84F}" type="sibTrans" cxnId="{01A0B8D1-ADAF-3D4F-892A-832234BEFA37}">
      <dgm:prSet/>
      <dgm:spPr/>
      <dgm:t>
        <a:bodyPr/>
        <a:lstStyle/>
        <a:p>
          <a:endParaRPr lang="en-US"/>
        </a:p>
      </dgm:t>
    </dgm:pt>
    <dgm:pt modelId="{9BA66F55-581A-464C-AAED-BB19F0AF5EE5}">
      <dgm:prSet phldrT="[Text]"/>
      <dgm:spPr/>
      <dgm:t>
        <a:bodyPr/>
        <a:lstStyle/>
        <a:p>
          <a:r>
            <a:rPr lang="en-US"/>
            <a:t>Support Service Education Email x4</a:t>
          </a:r>
        </a:p>
      </dgm:t>
    </dgm:pt>
    <dgm:pt modelId="{6F2A2ED7-AEFD-CE4C-AAEC-B833372FDC5C}" type="parTrans" cxnId="{3725663F-74B7-0247-8941-00465CA35C24}">
      <dgm:prSet/>
      <dgm:spPr/>
      <dgm:t>
        <a:bodyPr/>
        <a:lstStyle/>
        <a:p>
          <a:endParaRPr lang="en-US"/>
        </a:p>
      </dgm:t>
    </dgm:pt>
    <dgm:pt modelId="{FA301CD0-AE2A-9D40-90A7-596A159189E5}" type="sibTrans" cxnId="{3725663F-74B7-0247-8941-00465CA35C24}">
      <dgm:prSet/>
      <dgm:spPr/>
      <dgm:t>
        <a:bodyPr/>
        <a:lstStyle/>
        <a:p>
          <a:endParaRPr lang="en-US"/>
        </a:p>
      </dgm:t>
    </dgm:pt>
    <dgm:pt modelId="{3426FF51-B384-9741-8B82-7425F6B5DCB7}">
      <dgm:prSet phldrT="[Text]"/>
      <dgm:spPr/>
      <dgm:t>
        <a:bodyPr/>
        <a:lstStyle/>
        <a:p>
          <a:r>
            <a:rPr lang="en-US"/>
            <a:t>Exam Completion x3</a:t>
          </a:r>
        </a:p>
      </dgm:t>
    </dgm:pt>
    <dgm:pt modelId="{A0153EFB-5E53-104F-8AD8-D330C23AD8DE}" type="parTrans" cxnId="{98BFD872-6967-1A4F-9B75-07601BD3D91B}">
      <dgm:prSet/>
      <dgm:spPr/>
      <dgm:t>
        <a:bodyPr/>
        <a:lstStyle/>
        <a:p>
          <a:endParaRPr lang="en-US"/>
        </a:p>
      </dgm:t>
    </dgm:pt>
    <dgm:pt modelId="{080BFEEE-25B5-3B48-8C05-1AC775648075}" type="sibTrans" cxnId="{98BFD872-6967-1A4F-9B75-07601BD3D91B}">
      <dgm:prSet/>
      <dgm:spPr/>
      <dgm:t>
        <a:bodyPr/>
        <a:lstStyle/>
        <a:p>
          <a:endParaRPr lang="en-US"/>
        </a:p>
      </dgm:t>
    </dgm:pt>
    <dgm:pt modelId="{0F759041-2794-194C-A16E-F7F9FF6DF0C9}">
      <dgm:prSet/>
      <dgm:spPr/>
      <dgm:t>
        <a:bodyPr/>
        <a:lstStyle/>
        <a:p>
          <a:r>
            <a:rPr lang="en-US"/>
            <a:t>Brief COPE Survey x3</a:t>
          </a:r>
        </a:p>
      </dgm:t>
    </dgm:pt>
    <dgm:pt modelId="{12C5192D-3508-0847-9335-037E873A0091}" type="parTrans" cxnId="{C407A3E1-064B-A74D-BBE1-7741D03AC1AA}">
      <dgm:prSet/>
      <dgm:spPr/>
      <dgm:t>
        <a:bodyPr/>
        <a:lstStyle/>
        <a:p>
          <a:endParaRPr lang="en-US"/>
        </a:p>
      </dgm:t>
    </dgm:pt>
    <dgm:pt modelId="{9A2C2ABA-82CB-AA49-9E59-EC072FA89073}" type="sibTrans" cxnId="{C407A3E1-064B-A74D-BBE1-7741D03AC1AA}">
      <dgm:prSet/>
      <dgm:spPr/>
      <dgm:t>
        <a:bodyPr/>
        <a:lstStyle/>
        <a:p>
          <a:endParaRPr lang="en-US"/>
        </a:p>
      </dgm:t>
    </dgm:pt>
    <dgm:pt modelId="{8F7AC901-3D82-6B46-9D76-2F08783A7EA1}">
      <dgm:prSet/>
      <dgm:spPr/>
      <dgm:t>
        <a:bodyPr/>
        <a:lstStyle/>
        <a:p>
          <a:r>
            <a:rPr lang="en-US"/>
            <a:t>End of Course Survey x1</a:t>
          </a:r>
        </a:p>
      </dgm:t>
    </dgm:pt>
    <dgm:pt modelId="{DE3CA24E-29E0-A64A-8F78-54F0B5539FBF}" type="parTrans" cxnId="{134FC61C-A8B0-7442-B37D-1CCB88D5099A}">
      <dgm:prSet/>
      <dgm:spPr/>
      <dgm:t>
        <a:bodyPr/>
        <a:lstStyle/>
        <a:p>
          <a:endParaRPr lang="en-US"/>
        </a:p>
      </dgm:t>
    </dgm:pt>
    <dgm:pt modelId="{861B1FBC-9D8B-4A46-B81F-F578A72F4CA1}" type="sibTrans" cxnId="{134FC61C-A8B0-7442-B37D-1CCB88D5099A}">
      <dgm:prSet/>
      <dgm:spPr/>
      <dgm:t>
        <a:bodyPr/>
        <a:lstStyle/>
        <a:p>
          <a:endParaRPr lang="en-US"/>
        </a:p>
      </dgm:t>
    </dgm:pt>
    <dgm:pt modelId="{7750C4F1-0855-6841-8C1E-9F5CAB6AC626}">
      <dgm:prSet/>
      <dgm:spPr/>
      <dgm:t>
        <a:bodyPr/>
        <a:lstStyle/>
        <a:p>
          <a:r>
            <a:rPr lang="en-US"/>
            <a:t>End of Course Survey x1</a:t>
          </a:r>
        </a:p>
      </dgm:t>
    </dgm:pt>
    <dgm:pt modelId="{F50ADE28-29E7-F344-AAFA-E59003ED6CFD}" type="parTrans" cxnId="{1DE463D8-1E32-3443-95A3-457202F2E383}">
      <dgm:prSet/>
      <dgm:spPr/>
      <dgm:t>
        <a:bodyPr/>
        <a:lstStyle/>
        <a:p>
          <a:endParaRPr lang="en-US"/>
        </a:p>
      </dgm:t>
    </dgm:pt>
    <dgm:pt modelId="{ABDB6233-1A63-0E4E-A724-533F6A107820}" type="sibTrans" cxnId="{1DE463D8-1E32-3443-95A3-457202F2E383}">
      <dgm:prSet/>
      <dgm:spPr/>
      <dgm:t>
        <a:bodyPr/>
        <a:lstStyle/>
        <a:p>
          <a:endParaRPr lang="en-US"/>
        </a:p>
      </dgm:t>
    </dgm:pt>
    <dgm:pt modelId="{9B4BC8DB-3DCA-7846-8C9E-4E473C90861B}" type="pres">
      <dgm:prSet presAssocID="{F1C3B5B7-21AE-124D-AE80-9591596E77E6}" presName="Name0" presStyleCnt="0">
        <dgm:presLayoutVars>
          <dgm:dir/>
          <dgm:animLvl val="lvl"/>
          <dgm:resizeHandles val="exact"/>
        </dgm:presLayoutVars>
      </dgm:prSet>
      <dgm:spPr/>
    </dgm:pt>
    <dgm:pt modelId="{954A92AD-3C78-6D4C-87AD-E8A6083279E6}" type="pres">
      <dgm:prSet presAssocID="{14D70279-C011-DA43-9EC2-BD472E49C8C2}" presName="vertFlow" presStyleCnt="0"/>
      <dgm:spPr/>
    </dgm:pt>
    <dgm:pt modelId="{091F4D94-6693-B44C-8413-374F1A194A5B}" type="pres">
      <dgm:prSet presAssocID="{14D70279-C011-DA43-9EC2-BD472E49C8C2}" presName="header" presStyleLbl="node1" presStyleIdx="0" presStyleCnt="2"/>
      <dgm:spPr/>
    </dgm:pt>
    <dgm:pt modelId="{814A317A-3029-7F4B-B03A-1C7A790FDA95}" type="pres">
      <dgm:prSet presAssocID="{82FEA38E-03BC-B340-97C6-831826545D9A}" presName="parTrans" presStyleLbl="sibTrans2D1" presStyleIdx="0" presStyleCnt="7"/>
      <dgm:spPr/>
    </dgm:pt>
    <dgm:pt modelId="{EFA275DE-9A4C-BA40-9A5D-9E9A69CB05BD}" type="pres">
      <dgm:prSet presAssocID="{5282C9D3-0FC8-B14F-934F-203AF91FA03A}" presName="child" presStyleLbl="alignAccFollowNode1" presStyleIdx="0" presStyleCnt="7">
        <dgm:presLayoutVars>
          <dgm:chMax val="0"/>
          <dgm:bulletEnabled val="1"/>
        </dgm:presLayoutVars>
      </dgm:prSet>
      <dgm:spPr/>
    </dgm:pt>
    <dgm:pt modelId="{D3A48C49-A0EF-4A42-9DBC-B91D9572D81F}" type="pres">
      <dgm:prSet presAssocID="{F9A484AB-6C57-554E-B9ED-F6D1BA9CB9D4}" presName="sibTrans" presStyleLbl="sibTrans2D1" presStyleIdx="1" presStyleCnt="7"/>
      <dgm:spPr/>
    </dgm:pt>
    <dgm:pt modelId="{0602449A-D362-6143-94AB-0D44926C9A76}" type="pres">
      <dgm:prSet presAssocID="{223737D4-325C-3848-A503-0854E4A53152}" presName="child" presStyleLbl="alignAccFollowNode1" presStyleIdx="1" presStyleCnt="7">
        <dgm:presLayoutVars>
          <dgm:chMax val="0"/>
          <dgm:bulletEnabled val="1"/>
        </dgm:presLayoutVars>
      </dgm:prSet>
      <dgm:spPr/>
    </dgm:pt>
    <dgm:pt modelId="{709472F5-8F2D-0E47-A4BF-C663457B211A}" type="pres">
      <dgm:prSet presAssocID="{EF0B80CD-07C9-3C4D-84AC-9564E60B1B72}" presName="sibTrans" presStyleLbl="sibTrans2D1" presStyleIdx="2" presStyleCnt="7"/>
      <dgm:spPr/>
    </dgm:pt>
    <dgm:pt modelId="{37BF4E92-C174-AB4C-8166-A5C9D389F374}" type="pres">
      <dgm:prSet presAssocID="{7750C4F1-0855-6841-8C1E-9F5CAB6AC626}" presName="child" presStyleLbl="alignAccFollowNode1" presStyleIdx="2" presStyleCnt="7">
        <dgm:presLayoutVars>
          <dgm:chMax val="0"/>
          <dgm:bulletEnabled val="1"/>
        </dgm:presLayoutVars>
      </dgm:prSet>
      <dgm:spPr/>
    </dgm:pt>
    <dgm:pt modelId="{ED043DCC-5E1B-F44C-A317-6D4FC330D081}" type="pres">
      <dgm:prSet presAssocID="{14D70279-C011-DA43-9EC2-BD472E49C8C2}" presName="hSp" presStyleCnt="0"/>
      <dgm:spPr/>
    </dgm:pt>
    <dgm:pt modelId="{614272D7-455F-F949-9727-9B4B99BD29DC}" type="pres">
      <dgm:prSet presAssocID="{047F7ED9-1A76-7E49-8BD5-157FE76E8865}" presName="vertFlow" presStyleCnt="0"/>
      <dgm:spPr/>
    </dgm:pt>
    <dgm:pt modelId="{8BED7A75-A67A-9C4A-9B85-47ED3B14413C}" type="pres">
      <dgm:prSet presAssocID="{047F7ED9-1A76-7E49-8BD5-157FE76E8865}" presName="header" presStyleLbl="node1" presStyleIdx="1" presStyleCnt="2"/>
      <dgm:spPr/>
    </dgm:pt>
    <dgm:pt modelId="{84799E73-303A-E848-BCE9-B9D4A2538C8A}" type="pres">
      <dgm:prSet presAssocID="{6F2A2ED7-AEFD-CE4C-AAEC-B833372FDC5C}" presName="parTrans" presStyleLbl="sibTrans2D1" presStyleIdx="3" presStyleCnt="7"/>
      <dgm:spPr/>
    </dgm:pt>
    <dgm:pt modelId="{74CB4969-3443-1041-8BCF-49C71085C9ED}" type="pres">
      <dgm:prSet presAssocID="{9BA66F55-581A-464C-AAED-BB19F0AF5EE5}" presName="child" presStyleLbl="alignAccFollowNode1" presStyleIdx="3" presStyleCnt="7">
        <dgm:presLayoutVars>
          <dgm:chMax val="0"/>
          <dgm:bulletEnabled val="1"/>
        </dgm:presLayoutVars>
      </dgm:prSet>
      <dgm:spPr/>
    </dgm:pt>
    <dgm:pt modelId="{0E7BA205-BA0B-034F-AE97-5EB81BE752BA}" type="pres">
      <dgm:prSet presAssocID="{FA301CD0-AE2A-9D40-90A7-596A159189E5}" presName="sibTrans" presStyleLbl="sibTrans2D1" presStyleIdx="4" presStyleCnt="7"/>
      <dgm:spPr/>
    </dgm:pt>
    <dgm:pt modelId="{2DC9CB03-B7F7-1C43-9E08-AB9425904F57}" type="pres">
      <dgm:prSet presAssocID="{3426FF51-B384-9741-8B82-7425F6B5DCB7}" presName="child" presStyleLbl="alignAccFollowNode1" presStyleIdx="4" presStyleCnt="7">
        <dgm:presLayoutVars>
          <dgm:chMax val="0"/>
          <dgm:bulletEnabled val="1"/>
        </dgm:presLayoutVars>
      </dgm:prSet>
      <dgm:spPr/>
    </dgm:pt>
    <dgm:pt modelId="{D2EEC038-CAD3-5C42-BCF1-8853B21730BC}" type="pres">
      <dgm:prSet presAssocID="{080BFEEE-25B5-3B48-8C05-1AC775648075}" presName="sibTrans" presStyleLbl="sibTrans2D1" presStyleIdx="5" presStyleCnt="7"/>
      <dgm:spPr/>
    </dgm:pt>
    <dgm:pt modelId="{F636B27C-6C6C-954C-8F7B-7D75AE5C0F1E}" type="pres">
      <dgm:prSet presAssocID="{0F759041-2794-194C-A16E-F7F9FF6DF0C9}" presName="child" presStyleLbl="alignAccFollowNode1" presStyleIdx="5" presStyleCnt="7">
        <dgm:presLayoutVars>
          <dgm:chMax val="0"/>
          <dgm:bulletEnabled val="1"/>
        </dgm:presLayoutVars>
      </dgm:prSet>
      <dgm:spPr/>
    </dgm:pt>
    <dgm:pt modelId="{04761811-4176-2E42-8140-C9C041E563DC}" type="pres">
      <dgm:prSet presAssocID="{9A2C2ABA-82CB-AA49-9E59-EC072FA89073}" presName="sibTrans" presStyleLbl="sibTrans2D1" presStyleIdx="6" presStyleCnt="7"/>
      <dgm:spPr/>
    </dgm:pt>
    <dgm:pt modelId="{F247DC7A-3201-9347-87C9-99A1580E79DA}" type="pres">
      <dgm:prSet presAssocID="{8F7AC901-3D82-6B46-9D76-2F08783A7EA1}" presName="child" presStyleLbl="alignAccFollowNode1" presStyleIdx="6" presStyleCnt="7">
        <dgm:presLayoutVars>
          <dgm:chMax val="0"/>
          <dgm:bulletEnabled val="1"/>
        </dgm:presLayoutVars>
      </dgm:prSet>
      <dgm:spPr/>
    </dgm:pt>
  </dgm:ptLst>
  <dgm:cxnLst>
    <dgm:cxn modelId="{134FC61C-A8B0-7442-B37D-1CCB88D5099A}" srcId="{047F7ED9-1A76-7E49-8BD5-157FE76E8865}" destId="{8F7AC901-3D82-6B46-9D76-2F08783A7EA1}" srcOrd="3" destOrd="0" parTransId="{DE3CA24E-29E0-A64A-8F78-54F0B5539FBF}" sibTransId="{861B1FBC-9D8B-4A46-B81F-F578A72F4CA1}"/>
    <dgm:cxn modelId="{C4CAED21-5282-5745-96AC-7946FC339510}" type="presOf" srcId="{82FEA38E-03BC-B340-97C6-831826545D9A}" destId="{814A317A-3029-7F4B-B03A-1C7A790FDA95}" srcOrd="0" destOrd="0" presId="urn:microsoft.com/office/officeart/2005/8/layout/lProcess1"/>
    <dgm:cxn modelId="{49D72538-0B41-D148-8774-73D71158CCD3}" type="presOf" srcId="{14D70279-C011-DA43-9EC2-BD472E49C8C2}" destId="{091F4D94-6693-B44C-8413-374F1A194A5B}" srcOrd="0" destOrd="0" presId="urn:microsoft.com/office/officeart/2005/8/layout/lProcess1"/>
    <dgm:cxn modelId="{705AEA38-7C67-8240-BC86-5E6459ADD384}" type="presOf" srcId="{7750C4F1-0855-6841-8C1E-9F5CAB6AC626}" destId="{37BF4E92-C174-AB4C-8166-A5C9D389F374}" srcOrd="0" destOrd="0" presId="urn:microsoft.com/office/officeart/2005/8/layout/lProcess1"/>
    <dgm:cxn modelId="{3725663F-74B7-0247-8941-00465CA35C24}" srcId="{047F7ED9-1A76-7E49-8BD5-157FE76E8865}" destId="{9BA66F55-581A-464C-AAED-BB19F0AF5EE5}" srcOrd="0" destOrd="0" parTransId="{6F2A2ED7-AEFD-CE4C-AAEC-B833372FDC5C}" sibTransId="{FA301CD0-AE2A-9D40-90A7-596A159189E5}"/>
    <dgm:cxn modelId="{6C5B2D4B-E19B-9442-9B95-105C394E2B98}" type="presOf" srcId="{0F759041-2794-194C-A16E-F7F9FF6DF0C9}" destId="{F636B27C-6C6C-954C-8F7B-7D75AE5C0F1E}" srcOrd="0" destOrd="0" presId="urn:microsoft.com/office/officeart/2005/8/layout/lProcess1"/>
    <dgm:cxn modelId="{81B6F454-732A-6548-94CE-52940173CECE}" srcId="{14D70279-C011-DA43-9EC2-BD472E49C8C2}" destId="{5282C9D3-0FC8-B14F-934F-203AF91FA03A}" srcOrd="0" destOrd="0" parTransId="{82FEA38E-03BC-B340-97C6-831826545D9A}" sibTransId="{F9A484AB-6C57-554E-B9ED-F6D1BA9CB9D4}"/>
    <dgm:cxn modelId="{3A5C905B-5704-E649-8BE2-FCACB7003B2A}" type="presOf" srcId="{047F7ED9-1A76-7E49-8BD5-157FE76E8865}" destId="{8BED7A75-A67A-9C4A-9B85-47ED3B14413C}" srcOrd="0" destOrd="0" presId="urn:microsoft.com/office/officeart/2005/8/layout/lProcess1"/>
    <dgm:cxn modelId="{D8862C69-3829-6D4F-9C0F-53E32650227E}" type="presOf" srcId="{EF0B80CD-07C9-3C4D-84AC-9564E60B1B72}" destId="{709472F5-8F2D-0E47-A4BF-C663457B211A}" srcOrd="0" destOrd="0" presId="urn:microsoft.com/office/officeart/2005/8/layout/lProcess1"/>
    <dgm:cxn modelId="{C99A2D71-94EA-914B-85C9-94AA5D30EC93}" type="presOf" srcId="{9A2C2ABA-82CB-AA49-9E59-EC072FA89073}" destId="{04761811-4176-2E42-8140-C9C041E563DC}" srcOrd="0" destOrd="0" presId="urn:microsoft.com/office/officeart/2005/8/layout/lProcess1"/>
    <dgm:cxn modelId="{98BFD872-6967-1A4F-9B75-07601BD3D91B}" srcId="{047F7ED9-1A76-7E49-8BD5-157FE76E8865}" destId="{3426FF51-B384-9741-8B82-7425F6B5DCB7}" srcOrd="1" destOrd="0" parTransId="{A0153EFB-5E53-104F-8AD8-D330C23AD8DE}" sibTransId="{080BFEEE-25B5-3B48-8C05-1AC775648075}"/>
    <dgm:cxn modelId="{952A6D81-3012-FD4E-BE93-3E1BC6CB0CDD}" type="presOf" srcId="{080BFEEE-25B5-3B48-8C05-1AC775648075}" destId="{D2EEC038-CAD3-5C42-BCF1-8853B21730BC}" srcOrd="0" destOrd="0" presId="urn:microsoft.com/office/officeart/2005/8/layout/lProcess1"/>
    <dgm:cxn modelId="{5FB1A38A-EC6F-F34F-AB31-AB88309D13D4}" type="presOf" srcId="{F9A484AB-6C57-554E-B9ED-F6D1BA9CB9D4}" destId="{D3A48C49-A0EF-4A42-9DBC-B91D9572D81F}" srcOrd="0" destOrd="0" presId="urn:microsoft.com/office/officeart/2005/8/layout/lProcess1"/>
    <dgm:cxn modelId="{60C55D8F-8776-B643-897A-472140FDDBA9}" type="presOf" srcId="{F1C3B5B7-21AE-124D-AE80-9591596E77E6}" destId="{9B4BC8DB-3DCA-7846-8C9E-4E473C90861B}" srcOrd="0" destOrd="0" presId="urn:microsoft.com/office/officeart/2005/8/layout/lProcess1"/>
    <dgm:cxn modelId="{F1769EA0-0D99-284E-95F4-02CB6A80E5CB}" type="presOf" srcId="{FA301CD0-AE2A-9D40-90A7-596A159189E5}" destId="{0E7BA205-BA0B-034F-AE97-5EB81BE752BA}" srcOrd="0" destOrd="0" presId="urn:microsoft.com/office/officeart/2005/8/layout/lProcess1"/>
    <dgm:cxn modelId="{14D06BA6-904D-2C45-837A-1E1BE51AE1FE}" type="presOf" srcId="{5282C9D3-0FC8-B14F-934F-203AF91FA03A}" destId="{EFA275DE-9A4C-BA40-9A5D-9E9A69CB05BD}" srcOrd="0" destOrd="0" presId="urn:microsoft.com/office/officeart/2005/8/layout/lProcess1"/>
    <dgm:cxn modelId="{FD7ABAB2-AE55-5A40-9988-A6398E905560}" type="presOf" srcId="{6F2A2ED7-AEFD-CE4C-AAEC-B833372FDC5C}" destId="{84799E73-303A-E848-BCE9-B9D4A2538C8A}" srcOrd="0" destOrd="0" presId="urn:microsoft.com/office/officeart/2005/8/layout/lProcess1"/>
    <dgm:cxn modelId="{00158DBC-8778-2444-A22B-E560377EA292}" type="presOf" srcId="{223737D4-325C-3848-A503-0854E4A53152}" destId="{0602449A-D362-6143-94AB-0D44926C9A76}" srcOrd="0" destOrd="0" presId="urn:microsoft.com/office/officeart/2005/8/layout/lProcess1"/>
    <dgm:cxn modelId="{1FF1CDC0-38BB-284B-94A9-262A0A9C182F}" type="presOf" srcId="{8F7AC901-3D82-6B46-9D76-2F08783A7EA1}" destId="{F247DC7A-3201-9347-87C9-99A1580E79DA}" srcOrd="0" destOrd="0" presId="urn:microsoft.com/office/officeart/2005/8/layout/lProcess1"/>
    <dgm:cxn modelId="{01A0B8D1-ADAF-3D4F-892A-832234BEFA37}" srcId="{F1C3B5B7-21AE-124D-AE80-9591596E77E6}" destId="{047F7ED9-1A76-7E49-8BD5-157FE76E8865}" srcOrd="1" destOrd="0" parTransId="{597E3363-5149-214E-ABA6-559D31330995}" sibTransId="{0A745733-E8C7-2F41-80F0-8F0EB69BC84F}"/>
    <dgm:cxn modelId="{1DE463D8-1E32-3443-95A3-457202F2E383}" srcId="{14D70279-C011-DA43-9EC2-BD472E49C8C2}" destId="{7750C4F1-0855-6841-8C1E-9F5CAB6AC626}" srcOrd="2" destOrd="0" parTransId="{F50ADE28-29E7-F344-AAFA-E59003ED6CFD}" sibTransId="{ABDB6233-1A63-0E4E-A724-533F6A107820}"/>
    <dgm:cxn modelId="{66C242DD-E5A4-624A-91D3-05E5E5FC0EDC}" type="presOf" srcId="{3426FF51-B384-9741-8B82-7425F6B5DCB7}" destId="{2DC9CB03-B7F7-1C43-9E08-AB9425904F57}" srcOrd="0" destOrd="0" presId="urn:microsoft.com/office/officeart/2005/8/layout/lProcess1"/>
    <dgm:cxn modelId="{C407A3E1-064B-A74D-BBE1-7741D03AC1AA}" srcId="{047F7ED9-1A76-7E49-8BD5-157FE76E8865}" destId="{0F759041-2794-194C-A16E-F7F9FF6DF0C9}" srcOrd="2" destOrd="0" parTransId="{12C5192D-3508-0847-9335-037E873A0091}" sibTransId="{9A2C2ABA-82CB-AA49-9E59-EC072FA89073}"/>
    <dgm:cxn modelId="{E12E76EC-BB67-9648-9DD7-5C17AB5A2D91}" type="presOf" srcId="{9BA66F55-581A-464C-AAED-BB19F0AF5EE5}" destId="{74CB4969-3443-1041-8BCF-49C71085C9ED}" srcOrd="0" destOrd="0" presId="urn:microsoft.com/office/officeart/2005/8/layout/lProcess1"/>
    <dgm:cxn modelId="{E06125FD-5CD4-7648-8751-0868A1D7955F}" srcId="{F1C3B5B7-21AE-124D-AE80-9591596E77E6}" destId="{14D70279-C011-DA43-9EC2-BD472E49C8C2}" srcOrd="0" destOrd="0" parTransId="{BFA6489D-4C5A-9B41-B1B0-E85F6AB4FCC5}" sibTransId="{7C8B6D32-48FA-A546-92E1-E428A090BD05}"/>
    <dgm:cxn modelId="{292DA2FE-D6E3-CB4C-BA04-318FDD5BCDE5}" srcId="{14D70279-C011-DA43-9EC2-BD472E49C8C2}" destId="{223737D4-325C-3848-A503-0854E4A53152}" srcOrd="1" destOrd="0" parTransId="{7EF59969-A277-2E42-B0D6-1321C90031B8}" sibTransId="{EF0B80CD-07C9-3C4D-84AC-9564E60B1B72}"/>
    <dgm:cxn modelId="{F2B3989B-242C-9E47-975B-65592DB9882A}" type="presParOf" srcId="{9B4BC8DB-3DCA-7846-8C9E-4E473C90861B}" destId="{954A92AD-3C78-6D4C-87AD-E8A6083279E6}" srcOrd="0" destOrd="0" presId="urn:microsoft.com/office/officeart/2005/8/layout/lProcess1"/>
    <dgm:cxn modelId="{7BB229F9-277E-E24E-A500-6C3DC82F6915}" type="presParOf" srcId="{954A92AD-3C78-6D4C-87AD-E8A6083279E6}" destId="{091F4D94-6693-B44C-8413-374F1A194A5B}" srcOrd="0" destOrd="0" presId="urn:microsoft.com/office/officeart/2005/8/layout/lProcess1"/>
    <dgm:cxn modelId="{34295C57-5079-DC43-A750-29EC4C769D92}" type="presParOf" srcId="{954A92AD-3C78-6D4C-87AD-E8A6083279E6}" destId="{814A317A-3029-7F4B-B03A-1C7A790FDA95}" srcOrd="1" destOrd="0" presId="urn:microsoft.com/office/officeart/2005/8/layout/lProcess1"/>
    <dgm:cxn modelId="{B9CE308C-B859-EC44-960B-62291C0F0C6C}" type="presParOf" srcId="{954A92AD-3C78-6D4C-87AD-E8A6083279E6}" destId="{EFA275DE-9A4C-BA40-9A5D-9E9A69CB05BD}" srcOrd="2" destOrd="0" presId="urn:microsoft.com/office/officeart/2005/8/layout/lProcess1"/>
    <dgm:cxn modelId="{6B6E2F87-F35C-F34B-8F41-DD58FF8A10DD}" type="presParOf" srcId="{954A92AD-3C78-6D4C-87AD-E8A6083279E6}" destId="{D3A48C49-A0EF-4A42-9DBC-B91D9572D81F}" srcOrd="3" destOrd="0" presId="urn:microsoft.com/office/officeart/2005/8/layout/lProcess1"/>
    <dgm:cxn modelId="{C04C9966-4B08-5B48-978F-8C9E5E5E8FC0}" type="presParOf" srcId="{954A92AD-3C78-6D4C-87AD-E8A6083279E6}" destId="{0602449A-D362-6143-94AB-0D44926C9A76}" srcOrd="4" destOrd="0" presId="urn:microsoft.com/office/officeart/2005/8/layout/lProcess1"/>
    <dgm:cxn modelId="{093809E0-8B50-1B44-9A52-5E7B4981AD6F}" type="presParOf" srcId="{954A92AD-3C78-6D4C-87AD-E8A6083279E6}" destId="{709472F5-8F2D-0E47-A4BF-C663457B211A}" srcOrd="5" destOrd="0" presId="urn:microsoft.com/office/officeart/2005/8/layout/lProcess1"/>
    <dgm:cxn modelId="{B688CC7C-E72A-294D-875E-0DD060270231}" type="presParOf" srcId="{954A92AD-3C78-6D4C-87AD-E8A6083279E6}" destId="{37BF4E92-C174-AB4C-8166-A5C9D389F374}" srcOrd="6" destOrd="0" presId="urn:microsoft.com/office/officeart/2005/8/layout/lProcess1"/>
    <dgm:cxn modelId="{FF1EC394-48E5-8643-95A4-31A7125CCA68}" type="presParOf" srcId="{9B4BC8DB-3DCA-7846-8C9E-4E473C90861B}" destId="{ED043DCC-5E1B-F44C-A317-6D4FC330D081}" srcOrd="1" destOrd="0" presId="urn:microsoft.com/office/officeart/2005/8/layout/lProcess1"/>
    <dgm:cxn modelId="{ED9118CA-AA93-BF4D-AA20-15EC09BC554B}" type="presParOf" srcId="{9B4BC8DB-3DCA-7846-8C9E-4E473C90861B}" destId="{614272D7-455F-F949-9727-9B4B99BD29DC}" srcOrd="2" destOrd="0" presId="urn:microsoft.com/office/officeart/2005/8/layout/lProcess1"/>
    <dgm:cxn modelId="{F921E7CA-CEC8-D242-825B-E7F15B1ACA92}" type="presParOf" srcId="{614272D7-455F-F949-9727-9B4B99BD29DC}" destId="{8BED7A75-A67A-9C4A-9B85-47ED3B14413C}" srcOrd="0" destOrd="0" presId="urn:microsoft.com/office/officeart/2005/8/layout/lProcess1"/>
    <dgm:cxn modelId="{DA0EB2D4-AECE-984F-8A78-EE55EB85C9F8}" type="presParOf" srcId="{614272D7-455F-F949-9727-9B4B99BD29DC}" destId="{84799E73-303A-E848-BCE9-B9D4A2538C8A}" srcOrd="1" destOrd="0" presId="urn:microsoft.com/office/officeart/2005/8/layout/lProcess1"/>
    <dgm:cxn modelId="{7F3BBF72-7998-5F43-A056-8ECF2C9978CD}" type="presParOf" srcId="{614272D7-455F-F949-9727-9B4B99BD29DC}" destId="{74CB4969-3443-1041-8BCF-49C71085C9ED}" srcOrd="2" destOrd="0" presId="urn:microsoft.com/office/officeart/2005/8/layout/lProcess1"/>
    <dgm:cxn modelId="{F5BDB903-D809-A34D-8CB5-C002ABB70496}" type="presParOf" srcId="{614272D7-455F-F949-9727-9B4B99BD29DC}" destId="{0E7BA205-BA0B-034F-AE97-5EB81BE752BA}" srcOrd="3" destOrd="0" presId="urn:microsoft.com/office/officeart/2005/8/layout/lProcess1"/>
    <dgm:cxn modelId="{C34108F2-310A-564A-99A5-11979752CD8E}" type="presParOf" srcId="{614272D7-455F-F949-9727-9B4B99BD29DC}" destId="{2DC9CB03-B7F7-1C43-9E08-AB9425904F57}" srcOrd="4" destOrd="0" presId="urn:microsoft.com/office/officeart/2005/8/layout/lProcess1"/>
    <dgm:cxn modelId="{CB49B125-2D64-7440-9029-A11E424C27B9}" type="presParOf" srcId="{614272D7-455F-F949-9727-9B4B99BD29DC}" destId="{D2EEC038-CAD3-5C42-BCF1-8853B21730BC}" srcOrd="5" destOrd="0" presId="urn:microsoft.com/office/officeart/2005/8/layout/lProcess1"/>
    <dgm:cxn modelId="{37D4FE80-D8E3-094B-BBF3-AD28D6002383}" type="presParOf" srcId="{614272D7-455F-F949-9727-9B4B99BD29DC}" destId="{F636B27C-6C6C-954C-8F7B-7D75AE5C0F1E}" srcOrd="6" destOrd="0" presId="urn:microsoft.com/office/officeart/2005/8/layout/lProcess1"/>
    <dgm:cxn modelId="{8771A986-2982-E643-B52D-1BBD326B47BC}" type="presParOf" srcId="{614272D7-455F-F949-9727-9B4B99BD29DC}" destId="{04761811-4176-2E42-8140-C9C041E563DC}" srcOrd="7" destOrd="0" presId="urn:microsoft.com/office/officeart/2005/8/layout/lProcess1"/>
    <dgm:cxn modelId="{8E49B294-199E-F849-8D6B-88996B5540E5}" type="presParOf" srcId="{614272D7-455F-F949-9727-9B4B99BD29DC}" destId="{F247DC7A-3201-9347-87C9-99A1580E79DA}" srcOrd="8" destOrd="0" presId="urn:microsoft.com/office/officeart/2005/8/layout/l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9D89196-DE73-C44D-8437-01D440265B0C}" type="doc">
      <dgm:prSet loTypeId="urn:microsoft.com/office/officeart/2005/8/layout/default" loCatId="" qsTypeId="urn:microsoft.com/office/officeart/2005/8/quickstyle/simple1" qsCatId="simple" csTypeId="urn:microsoft.com/office/officeart/2005/8/colors/accent1_2" csCatId="accent1" phldr="1"/>
      <dgm:spPr/>
      <dgm:t>
        <a:bodyPr/>
        <a:lstStyle/>
        <a:p>
          <a:endParaRPr lang="en-US"/>
        </a:p>
      </dgm:t>
    </dgm:pt>
    <dgm:pt modelId="{E0F423AE-7983-0A48-A653-3F48E2FBE273}">
      <dgm:prSet phldrT="[Text]" custT="1"/>
      <dgm:spPr/>
      <dgm:t>
        <a:bodyPr/>
        <a:lstStyle/>
        <a:p>
          <a:r>
            <a:rPr lang="en-US" sz="1200"/>
            <a:t>Exam 1 Brief COPE and support usage data</a:t>
          </a:r>
        </a:p>
      </dgm:t>
    </dgm:pt>
    <dgm:pt modelId="{0F38654E-B1B4-944E-8947-4B6C2784C71A}" type="parTrans" cxnId="{3179483B-3BC1-D248-A077-40A564FDB514}">
      <dgm:prSet/>
      <dgm:spPr/>
      <dgm:t>
        <a:bodyPr/>
        <a:lstStyle/>
        <a:p>
          <a:endParaRPr lang="en-US"/>
        </a:p>
      </dgm:t>
    </dgm:pt>
    <dgm:pt modelId="{2B63FA80-CD5D-9A42-9FF3-2719AF86E933}" type="sibTrans" cxnId="{3179483B-3BC1-D248-A077-40A564FDB514}">
      <dgm:prSet/>
      <dgm:spPr/>
      <dgm:t>
        <a:bodyPr/>
        <a:lstStyle/>
        <a:p>
          <a:endParaRPr lang="en-US"/>
        </a:p>
      </dgm:t>
    </dgm:pt>
    <dgm:pt modelId="{0E64D6A4-07A3-2D48-8EA6-E31BAEC1295F}">
      <dgm:prSet phldrT="[Text]" custT="1"/>
      <dgm:spPr/>
      <dgm:t>
        <a:bodyPr/>
        <a:lstStyle/>
        <a:p>
          <a:r>
            <a:rPr lang="en-US" sz="1200"/>
            <a:t>Exam 2 Brief COPE and support usage data</a:t>
          </a:r>
        </a:p>
      </dgm:t>
    </dgm:pt>
    <dgm:pt modelId="{321E763B-32EC-A349-ABDB-11B4EB1D0EAD}" type="parTrans" cxnId="{7F37D77C-4FDC-0F48-A23A-271B94182532}">
      <dgm:prSet/>
      <dgm:spPr/>
      <dgm:t>
        <a:bodyPr/>
        <a:lstStyle/>
        <a:p>
          <a:endParaRPr lang="en-US"/>
        </a:p>
      </dgm:t>
    </dgm:pt>
    <dgm:pt modelId="{7B0CCF0D-1DAA-EA4F-B11E-F403E96EA968}" type="sibTrans" cxnId="{7F37D77C-4FDC-0F48-A23A-271B94182532}">
      <dgm:prSet/>
      <dgm:spPr/>
      <dgm:t>
        <a:bodyPr/>
        <a:lstStyle/>
        <a:p>
          <a:endParaRPr lang="en-US"/>
        </a:p>
      </dgm:t>
    </dgm:pt>
    <dgm:pt modelId="{185F3C1D-CE6D-624F-A117-3999D02B814A}">
      <dgm:prSet phldrT="[Text]" custT="1"/>
      <dgm:spPr/>
      <dgm:t>
        <a:bodyPr/>
        <a:lstStyle/>
        <a:p>
          <a:r>
            <a:rPr lang="en-US" sz="1200"/>
            <a:t>Exam 3 Brief COPE and support usage data</a:t>
          </a:r>
        </a:p>
      </dgm:t>
    </dgm:pt>
    <dgm:pt modelId="{A7CDF4FC-D2E7-BD4A-858B-56DE43CFC6E2}" type="parTrans" cxnId="{14FE4EBA-FE5E-624F-959B-2F2FB93CC105}">
      <dgm:prSet/>
      <dgm:spPr/>
      <dgm:t>
        <a:bodyPr/>
        <a:lstStyle/>
        <a:p>
          <a:endParaRPr lang="en-US"/>
        </a:p>
      </dgm:t>
    </dgm:pt>
    <dgm:pt modelId="{D9EED890-0C4A-D34D-AEAC-DA14F47BFDB1}" type="sibTrans" cxnId="{14FE4EBA-FE5E-624F-959B-2F2FB93CC105}">
      <dgm:prSet/>
      <dgm:spPr/>
      <dgm:t>
        <a:bodyPr/>
        <a:lstStyle/>
        <a:p>
          <a:endParaRPr lang="en-US"/>
        </a:p>
      </dgm:t>
    </dgm:pt>
    <dgm:pt modelId="{313B90CB-BCFA-8B43-968A-E3E4F7BD20FA}">
      <dgm:prSet phldrT="[Text]" custT="1"/>
      <dgm:spPr/>
      <dgm:t>
        <a:bodyPr/>
        <a:lstStyle/>
        <a:p>
          <a:r>
            <a:rPr lang="en-US" sz="1200"/>
            <a:t>Exam 1 Brief COPE and support usage data</a:t>
          </a:r>
        </a:p>
      </dgm:t>
    </dgm:pt>
    <dgm:pt modelId="{31E3B7B6-AB3B-3D45-9B29-02570C8AC7A4}" type="parTrans" cxnId="{3F3FFF16-9290-C84D-BDD5-D9AEB3A28079}">
      <dgm:prSet/>
      <dgm:spPr/>
      <dgm:t>
        <a:bodyPr/>
        <a:lstStyle/>
        <a:p>
          <a:endParaRPr lang="en-US"/>
        </a:p>
      </dgm:t>
    </dgm:pt>
    <dgm:pt modelId="{57BA518F-DCD4-1447-B70A-7197E6A9198E}" type="sibTrans" cxnId="{3F3FFF16-9290-C84D-BDD5-D9AEB3A28079}">
      <dgm:prSet/>
      <dgm:spPr/>
      <dgm:t>
        <a:bodyPr/>
        <a:lstStyle/>
        <a:p>
          <a:endParaRPr lang="en-US"/>
        </a:p>
      </dgm:t>
    </dgm:pt>
    <dgm:pt modelId="{20FA51B2-FFF0-914A-B7DE-F45554FF8351}">
      <dgm:prSet phldrT="[Text]" custT="1"/>
      <dgm:spPr/>
      <dgm:t>
        <a:bodyPr/>
        <a:lstStyle/>
        <a:p>
          <a:r>
            <a:rPr lang="en-US" sz="1200"/>
            <a:t>Exam 2 Brief COPE and support usage data</a:t>
          </a:r>
        </a:p>
      </dgm:t>
    </dgm:pt>
    <dgm:pt modelId="{5D1B25E5-359C-8F45-AF85-B198925C9A5D}" type="parTrans" cxnId="{B2646312-89BD-864B-8B46-43A60ECBE881}">
      <dgm:prSet/>
      <dgm:spPr/>
      <dgm:t>
        <a:bodyPr/>
        <a:lstStyle/>
        <a:p>
          <a:endParaRPr lang="en-US"/>
        </a:p>
      </dgm:t>
    </dgm:pt>
    <dgm:pt modelId="{2EABDA95-8D49-F64D-8AA4-C0DCCC50E0A6}" type="sibTrans" cxnId="{B2646312-89BD-864B-8B46-43A60ECBE881}">
      <dgm:prSet/>
      <dgm:spPr/>
      <dgm:t>
        <a:bodyPr/>
        <a:lstStyle/>
        <a:p>
          <a:endParaRPr lang="en-US"/>
        </a:p>
      </dgm:t>
    </dgm:pt>
    <dgm:pt modelId="{80B82A8D-EB08-E841-A6FB-99BDC8746D24}">
      <dgm:prSet custT="1"/>
      <dgm:spPr/>
      <dgm:t>
        <a:bodyPr/>
        <a:lstStyle/>
        <a:p>
          <a:r>
            <a:rPr lang="en-US" sz="1200"/>
            <a:t>Exam 3 Brief COPE and support usage data</a:t>
          </a:r>
        </a:p>
      </dgm:t>
    </dgm:pt>
    <dgm:pt modelId="{D53EC38F-5355-EE4C-8614-CB97F925131E}" type="parTrans" cxnId="{45A13072-E4CE-004D-A68E-5580E5D9032F}">
      <dgm:prSet/>
      <dgm:spPr/>
      <dgm:t>
        <a:bodyPr/>
        <a:lstStyle/>
        <a:p>
          <a:endParaRPr lang="en-US"/>
        </a:p>
      </dgm:t>
    </dgm:pt>
    <dgm:pt modelId="{9A95504B-3EB2-1646-A628-41A6A3240218}" type="sibTrans" cxnId="{45A13072-E4CE-004D-A68E-5580E5D9032F}">
      <dgm:prSet/>
      <dgm:spPr/>
      <dgm:t>
        <a:bodyPr/>
        <a:lstStyle/>
        <a:p>
          <a:endParaRPr lang="en-US"/>
        </a:p>
      </dgm:t>
    </dgm:pt>
    <dgm:pt modelId="{9207E52A-CA6B-9841-99E0-8F56C452F5E2}" type="pres">
      <dgm:prSet presAssocID="{29D89196-DE73-C44D-8437-01D440265B0C}" presName="diagram" presStyleCnt="0">
        <dgm:presLayoutVars>
          <dgm:dir/>
          <dgm:resizeHandles val="exact"/>
        </dgm:presLayoutVars>
      </dgm:prSet>
      <dgm:spPr/>
    </dgm:pt>
    <dgm:pt modelId="{29867B45-32DD-4442-AB7F-7B034E6E9021}" type="pres">
      <dgm:prSet presAssocID="{E0F423AE-7983-0A48-A653-3F48E2FBE273}" presName="node" presStyleLbl="node1" presStyleIdx="0" presStyleCnt="6" custScaleX="91206" custScaleY="78990">
        <dgm:presLayoutVars>
          <dgm:bulletEnabled val="1"/>
        </dgm:presLayoutVars>
      </dgm:prSet>
      <dgm:spPr/>
    </dgm:pt>
    <dgm:pt modelId="{B4ADC8C4-0DC7-8B45-B4B7-A4454CD1D8A3}" type="pres">
      <dgm:prSet presAssocID="{2B63FA80-CD5D-9A42-9FF3-2719AF86E933}" presName="sibTrans" presStyleCnt="0"/>
      <dgm:spPr/>
    </dgm:pt>
    <dgm:pt modelId="{84A39BB0-C8FE-674B-ABB8-BE3A5486C091}" type="pres">
      <dgm:prSet presAssocID="{0E64D6A4-07A3-2D48-8EA6-E31BAEC1295F}" presName="node" presStyleLbl="node1" presStyleIdx="1" presStyleCnt="6" custScaleX="87123" custScaleY="77548">
        <dgm:presLayoutVars>
          <dgm:bulletEnabled val="1"/>
        </dgm:presLayoutVars>
      </dgm:prSet>
      <dgm:spPr/>
    </dgm:pt>
    <dgm:pt modelId="{1E0EC385-846B-6D4B-B10C-F3D83CFEFE8D}" type="pres">
      <dgm:prSet presAssocID="{7B0CCF0D-1DAA-EA4F-B11E-F403E96EA968}" presName="sibTrans" presStyleCnt="0"/>
      <dgm:spPr/>
    </dgm:pt>
    <dgm:pt modelId="{C77D6FB4-23A9-954B-ADCE-85F1F496F71C}" type="pres">
      <dgm:prSet presAssocID="{185F3C1D-CE6D-624F-A117-3999D02B814A}" presName="node" presStyleLbl="node1" presStyleIdx="2" presStyleCnt="6" custScaleX="91792" custScaleY="74665">
        <dgm:presLayoutVars>
          <dgm:bulletEnabled val="1"/>
        </dgm:presLayoutVars>
      </dgm:prSet>
      <dgm:spPr/>
    </dgm:pt>
    <dgm:pt modelId="{918E98B2-3D90-FE49-8B78-542C500F25FB}" type="pres">
      <dgm:prSet presAssocID="{D9EED890-0C4A-D34D-AEAC-DA14F47BFDB1}" presName="sibTrans" presStyleCnt="0"/>
      <dgm:spPr/>
    </dgm:pt>
    <dgm:pt modelId="{A93CF569-5CCD-E84B-A6F8-8F0930FF06B5}" type="pres">
      <dgm:prSet presAssocID="{313B90CB-BCFA-8B43-968A-E3E4F7BD20FA}" presName="node" presStyleLbl="node1" presStyleIdx="3" presStyleCnt="6" custScaleX="92535" custScaleY="86155" custLinFactNeighborX="-50658" custLinFactNeighborY="33101">
        <dgm:presLayoutVars>
          <dgm:bulletEnabled val="1"/>
        </dgm:presLayoutVars>
      </dgm:prSet>
      <dgm:spPr/>
    </dgm:pt>
    <dgm:pt modelId="{9523D3D7-E939-964D-82F4-FDA3747B369F}" type="pres">
      <dgm:prSet presAssocID="{57BA518F-DCD4-1447-B70A-7197E6A9198E}" presName="sibTrans" presStyleCnt="0"/>
      <dgm:spPr/>
    </dgm:pt>
    <dgm:pt modelId="{22DA64BA-79E5-BF41-B301-71B4DAF81C06}" type="pres">
      <dgm:prSet presAssocID="{20FA51B2-FFF0-914A-B7DE-F45554FF8351}" presName="node" presStyleLbl="node1" presStyleIdx="4" presStyleCnt="6" custScaleX="86646" custScaleY="84964" custLinFactNeighborX="-50154" custLinFactNeighborY="34565">
        <dgm:presLayoutVars>
          <dgm:bulletEnabled val="1"/>
        </dgm:presLayoutVars>
      </dgm:prSet>
      <dgm:spPr/>
    </dgm:pt>
    <dgm:pt modelId="{4CD58495-FCA5-9D4C-8759-995FC38F97B6}" type="pres">
      <dgm:prSet presAssocID="{2EABDA95-8D49-F64D-8AA4-C0DCCC50E0A6}" presName="sibTrans" presStyleCnt="0"/>
      <dgm:spPr/>
    </dgm:pt>
    <dgm:pt modelId="{781A4EC2-1FAE-FC46-8D7E-762D10E76CFE}" type="pres">
      <dgm:prSet presAssocID="{80B82A8D-EB08-E841-A6FB-99BDC8746D24}" presName="node" presStyleLbl="node1" presStyleIdx="5" presStyleCnt="6" custScaleX="94963" custScaleY="78508" custLinFactNeighborX="97767" custLinFactNeighborY="-65445">
        <dgm:presLayoutVars>
          <dgm:bulletEnabled val="1"/>
        </dgm:presLayoutVars>
      </dgm:prSet>
      <dgm:spPr/>
    </dgm:pt>
  </dgm:ptLst>
  <dgm:cxnLst>
    <dgm:cxn modelId="{B2646312-89BD-864B-8B46-43A60ECBE881}" srcId="{29D89196-DE73-C44D-8437-01D440265B0C}" destId="{20FA51B2-FFF0-914A-B7DE-F45554FF8351}" srcOrd="4" destOrd="0" parTransId="{5D1B25E5-359C-8F45-AF85-B198925C9A5D}" sibTransId="{2EABDA95-8D49-F64D-8AA4-C0DCCC50E0A6}"/>
    <dgm:cxn modelId="{3F3FFF16-9290-C84D-BDD5-D9AEB3A28079}" srcId="{29D89196-DE73-C44D-8437-01D440265B0C}" destId="{313B90CB-BCFA-8B43-968A-E3E4F7BD20FA}" srcOrd="3" destOrd="0" parTransId="{31E3B7B6-AB3B-3D45-9B29-02570C8AC7A4}" sibTransId="{57BA518F-DCD4-1447-B70A-7197E6A9198E}"/>
    <dgm:cxn modelId="{558CD634-0EA6-FB45-A940-721E1E9F7403}" type="presOf" srcId="{185F3C1D-CE6D-624F-A117-3999D02B814A}" destId="{C77D6FB4-23A9-954B-ADCE-85F1F496F71C}" srcOrd="0" destOrd="0" presId="urn:microsoft.com/office/officeart/2005/8/layout/default"/>
    <dgm:cxn modelId="{3179483B-3BC1-D248-A077-40A564FDB514}" srcId="{29D89196-DE73-C44D-8437-01D440265B0C}" destId="{E0F423AE-7983-0A48-A653-3F48E2FBE273}" srcOrd="0" destOrd="0" parTransId="{0F38654E-B1B4-944E-8947-4B6C2784C71A}" sibTransId="{2B63FA80-CD5D-9A42-9FF3-2719AF86E933}"/>
    <dgm:cxn modelId="{422A983C-D205-834B-9E57-5577BCE19D6F}" type="presOf" srcId="{E0F423AE-7983-0A48-A653-3F48E2FBE273}" destId="{29867B45-32DD-4442-AB7F-7B034E6E9021}" srcOrd="0" destOrd="0" presId="urn:microsoft.com/office/officeart/2005/8/layout/default"/>
    <dgm:cxn modelId="{431AC142-1D80-6942-AF53-17B9DF03F205}" type="presOf" srcId="{313B90CB-BCFA-8B43-968A-E3E4F7BD20FA}" destId="{A93CF569-5CCD-E84B-A6F8-8F0930FF06B5}" srcOrd="0" destOrd="0" presId="urn:microsoft.com/office/officeart/2005/8/layout/default"/>
    <dgm:cxn modelId="{781A915B-C97C-5943-8533-4BA8BC1DCE16}" type="presOf" srcId="{80B82A8D-EB08-E841-A6FB-99BDC8746D24}" destId="{781A4EC2-1FAE-FC46-8D7E-762D10E76CFE}" srcOrd="0" destOrd="0" presId="urn:microsoft.com/office/officeart/2005/8/layout/default"/>
    <dgm:cxn modelId="{0D18325D-CAAA-424B-9D20-BAEAB96E4C64}" type="presOf" srcId="{29D89196-DE73-C44D-8437-01D440265B0C}" destId="{9207E52A-CA6B-9841-99E0-8F56C452F5E2}" srcOrd="0" destOrd="0" presId="urn:microsoft.com/office/officeart/2005/8/layout/default"/>
    <dgm:cxn modelId="{45A13072-E4CE-004D-A68E-5580E5D9032F}" srcId="{29D89196-DE73-C44D-8437-01D440265B0C}" destId="{80B82A8D-EB08-E841-A6FB-99BDC8746D24}" srcOrd="5" destOrd="0" parTransId="{D53EC38F-5355-EE4C-8614-CB97F925131E}" sibTransId="{9A95504B-3EB2-1646-A628-41A6A3240218}"/>
    <dgm:cxn modelId="{7F37D77C-4FDC-0F48-A23A-271B94182532}" srcId="{29D89196-DE73-C44D-8437-01D440265B0C}" destId="{0E64D6A4-07A3-2D48-8EA6-E31BAEC1295F}" srcOrd="1" destOrd="0" parTransId="{321E763B-32EC-A349-ABDB-11B4EB1D0EAD}" sibTransId="{7B0CCF0D-1DAA-EA4F-B11E-F403E96EA968}"/>
    <dgm:cxn modelId="{14FE4EBA-FE5E-624F-959B-2F2FB93CC105}" srcId="{29D89196-DE73-C44D-8437-01D440265B0C}" destId="{185F3C1D-CE6D-624F-A117-3999D02B814A}" srcOrd="2" destOrd="0" parTransId="{A7CDF4FC-D2E7-BD4A-858B-56DE43CFC6E2}" sibTransId="{D9EED890-0C4A-D34D-AEAC-DA14F47BFDB1}"/>
    <dgm:cxn modelId="{B0E561C5-3326-C445-9C1E-FF661602B5A5}" type="presOf" srcId="{20FA51B2-FFF0-914A-B7DE-F45554FF8351}" destId="{22DA64BA-79E5-BF41-B301-71B4DAF81C06}" srcOrd="0" destOrd="0" presId="urn:microsoft.com/office/officeart/2005/8/layout/default"/>
    <dgm:cxn modelId="{6E9364F3-E8F3-1C4B-AAEE-79AF92AB9561}" type="presOf" srcId="{0E64D6A4-07A3-2D48-8EA6-E31BAEC1295F}" destId="{84A39BB0-C8FE-674B-ABB8-BE3A5486C091}" srcOrd="0" destOrd="0" presId="urn:microsoft.com/office/officeart/2005/8/layout/default"/>
    <dgm:cxn modelId="{7FEE4EEE-2CCE-F044-9575-860D26510F97}" type="presParOf" srcId="{9207E52A-CA6B-9841-99E0-8F56C452F5E2}" destId="{29867B45-32DD-4442-AB7F-7B034E6E9021}" srcOrd="0" destOrd="0" presId="urn:microsoft.com/office/officeart/2005/8/layout/default"/>
    <dgm:cxn modelId="{573AF317-2567-0147-818A-BAE2D4D9A067}" type="presParOf" srcId="{9207E52A-CA6B-9841-99E0-8F56C452F5E2}" destId="{B4ADC8C4-0DC7-8B45-B4B7-A4454CD1D8A3}" srcOrd="1" destOrd="0" presId="urn:microsoft.com/office/officeart/2005/8/layout/default"/>
    <dgm:cxn modelId="{345E92EA-74A7-BE47-9C5E-9C57BD029148}" type="presParOf" srcId="{9207E52A-CA6B-9841-99E0-8F56C452F5E2}" destId="{84A39BB0-C8FE-674B-ABB8-BE3A5486C091}" srcOrd="2" destOrd="0" presId="urn:microsoft.com/office/officeart/2005/8/layout/default"/>
    <dgm:cxn modelId="{A89DCE10-297F-CA4E-9870-6EF58AB8374B}" type="presParOf" srcId="{9207E52A-CA6B-9841-99E0-8F56C452F5E2}" destId="{1E0EC385-846B-6D4B-B10C-F3D83CFEFE8D}" srcOrd="3" destOrd="0" presId="urn:microsoft.com/office/officeart/2005/8/layout/default"/>
    <dgm:cxn modelId="{975CAECF-5721-8D48-93A3-76E6B707C8A2}" type="presParOf" srcId="{9207E52A-CA6B-9841-99E0-8F56C452F5E2}" destId="{C77D6FB4-23A9-954B-ADCE-85F1F496F71C}" srcOrd="4" destOrd="0" presId="urn:microsoft.com/office/officeart/2005/8/layout/default"/>
    <dgm:cxn modelId="{C9A63BFA-FE55-6547-8501-1810605E93C7}" type="presParOf" srcId="{9207E52A-CA6B-9841-99E0-8F56C452F5E2}" destId="{918E98B2-3D90-FE49-8B78-542C500F25FB}" srcOrd="5" destOrd="0" presId="urn:microsoft.com/office/officeart/2005/8/layout/default"/>
    <dgm:cxn modelId="{0152C791-9872-EC47-8BEE-069883D811D3}" type="presParOf" srcId="{9207E52A-CA6B-9841-99E0-8F56C452F5E2}" destId="{A93CF569-5CCD-E84B-A6F8-8F0930FF06B5}" srcOrd="6" destOrd="0" presId="urn:microsoft.com/office/officeart/2005/8/layout/default"/>
    <dgm:cxn modelId="{80625360-51BD-8D41-A179-599E167C0531}" type="presParOf" srcId="{9207E52A-CA6B-9841-99E0-8F56C452F5E2}" destId="{9523D3D7-E939-964D-82F4-FDA3747B369F}" srcOrd="7" destOrd="0" presId="urn:microsoft.com/office/officeart/2005/8/layout/default"/>
    <dgm:cxn modelId="{43AF30A5-17A8-7149-A3B4-6DF643061562}" type="presParOf" srcId="{9207E52A-CA6B-9841-99E0-8F56C452F5E2}" destId="{22DA64BA-79E5-BF41-B301-71B4DAF81C06}" srcOrd="8" destOrd="0" presId="urn:microsoft.com/office/officeart/2005/8/layout/default"/>
    <dgm:cxn modelId="{C775D88F-1194-ED4F-BFFD-9A58EA641DB7}" type="presParOf" srcId="{9207E52A-CA6B-9841-99E0-8F56C452F5E2}" destId="{4CD58495-FCA5-9D4C-8759-995FC38F97B6}" srcOrd="9" destOrd="0" presId="urn:microsoft.com/office/officeart/2005/8/layout/default"/>
    <dgm:cxn modelId="{A981403C-5203-444F-A75A-5DBD6A1F5AA9}" type="presParOf" srcId="{9207E52A-CA6B-9841-99E0-8F56C452F5E2}" destId="{781A4EC2-1FAE-FC46-8D7E-762D10E76CFE}" srcOrd="10" destOrd="0" presId="urn:microsoft.com/office/officeart/2005/8/layout/defaul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F99EE8C-DC47-7942-B82B-07E1C374AAA5}" type="doc">
      <dgm:prSet loTypeId="urn:microsoft.com/office/officeart/2005/8/layout/target3" loCatId="" qsTypeId="urn:microsoft.com/office/officeart/2005/8/quickstyle/3D3" qsCatId="3D" csTypeId="urn:microsoft.com/office/officeart/2005/8/colors/accent1_2" csCatId="accent1" phldr="1"/>
      <dgm:spPr/>
      <dgm:t>
        <a:bodyPr/>
        <a:lstStyle/>
        <a:p>
          <a:endParaRPr lang="en-US"/>
        </a:p>
      </dgm:t>
    </dgm:pt>
    <dgm:pt modelId="{20C535D8-0BBD-9C46-93D3-09817F6F5501}">
      <dgm:prSet phldrT="[Text]" custT="1"/>
      <dgm:spPr/>
      <dgm:t>
        <a:bodyPr/>
        <a:lstStyle/>
        <a:p>
          <a:r>
            <a:rPr lang="en-US" sz="2000"/>
            <a:t>Academic Environment</a:t>
          </a:r>
        </a:p>
      </dgm:t>
    </dgm:pt>
    <dgm:pt modelId="{F9A41567-5C27-4140-A9B8-9D5E2BB0AC58}" type="parTrans" cxnId="{16535544-7084-954C-BC63-E7112459E9F4}">
      <dgm:prSet/>
      <dgm:spPr/>
      <dgm:t>
        <a:bodyPr/>
        <a:lstStyle/>
        <a:p>
          <a:endParaRPr lang="en-US"/>
        </a:p>
      </dgm:t>
    </dgm:pt>
    <dgm:pt modelId="{D8BC07CA-1AF4-5C48-A258-F7124BF3E883}" type="sibTrans" cxnId="{16535544-7084-954C-BC63-E7112459E9F4}">
      <dgm:prSet/>
      <dgm:spPr/>
      <dgm:t>
        <a:bodyPr/>
        <a:lstStyle/>
        <a:p>
          <a:endParaRPr lang="en-US"/>
        </a:p>
      </dgm:t>
    </dgm:pt>
    <dgm:pt modelId="{335D3B43-3173-6F45-ACA0-E800854F56CD}">
      <dgm:prSet phldrT="[Text]"/>
      <dgm:spPr/>
      <dgm:t>
        <a:bodyPr/>
        <a:lstStyle/>
        <a:p>
          <a:r>
            <a:rPr lang="en-US"/>
            <a:t>Instructor Accessbility</a:t>
          </a:r>
        </a:p>
      </dgm:t>
    </dgm:pt>
    <dgm:pt modelId="{15FD07AA-3457-D648-BE19-1850998F82DA}" type="parTrans" cxnId="{FD4F4D08-400D-F140-8D59-62AE9C582DDD}">
      <dgm:prSet/>
      <dgm:spPr/>
      <dgm:t>
        <a:bodyPr/>
        <a:lstStyle/>
        <a:p>
          <a:endParaRPr lang="en-US"/>
        </a:p>
      </dgm:t>
    </dgm:pt>
    <dgm:pt modelId="{32AE9F4B-A5FB-BB45-89C7-3068BC5E26A5}" type="sibTrans" cxnId="{FD4F4D08-400D-F140-8D59-62AE9C582DDD}">
      <dgm:prSet/>
      <dgm:spPr/>
      <dgm:t>
        <a:bodyPr/>
        <a:lstStyle/>
        <a:p>
          <a:endParaRPr lang="en-US"/>
        </a:p>
      </dgm:t>
    </dgm:pt>
    <dgm:pt modelId="{995CB052-C8A5-684D-8F0C-222486DF09DD}">
      <dgm:prSet phldrT="[Text]"/>
      <dgm:spPr/>
      <dgm:t>
        <a:bodyPr/>
        <a:lstStyle/>
        <a:p>
          <a:r>
            <a:rPr lang="en-US"/>
            <a:t>Laboratory </a:t>
          </a:r>
        </a:p>
      </dgm:t>
    </dgm:pt>
    <dgm:pt modelId="{D65860CC-E484-2B46-86AC-BAF76F2C233A}" type="parTrans" cxnId="{AB5B350C-410A-3344-8639-6AFFD3719D70}">
      <dgm:prSet/>
      <dgm:spPr/>
      <dgm:t>
        <a:bodyPr/>
        <a:lstStyle/>
        <a:p>
          <a:endParaRPr lang="en-US"/>
        </a:p>
      </dgm:t>
    </dgm:pt>
    <dgm:pt modelId="{41CFAA07-D457-C246-862F-28B5A19D9816}" type="sibTrans" cxnId="{AB5B350C-410A-3344-8639-6AFFD3719D70}">
      <dgm:prSet/>
      <dgm:spPr/>
      <dgm:t>
        <a:bodyPr/>
        <a:lstStyle/>
        <a:p>
          <a:endParaRPr lang="en-US"/>
        </a:p>
      </dgm:t>
    </dgm:pt>
    <dgm:pt modelId="{3FFB7B9E-9D9E-8B43-B8FA-94975D86FEED}">
      <dgm:prSet phldrT="[Text]"/>
      <dgm:spPr/>
      <dgm:t>
        <a:bodyPr/>
        <a:lstStyle/>
        <a:p>
          <a:r>
            <a:rPr lang="en-US"/>
            <a:t>Student Supports</a:t>
          </a:r>
        </a:p>
      </dgm:t>
    </dgm:pt>
    <dgm:pt modelId="{237F2716-A92C-7E4F-B1F6-9048E4725792}" type="parTrans" cxnId="{6AC78EB9-EC37-2E48-A138-7AA6D3B0F783}">
      <dgm:prSet/>
      <dgm:spPr/>
      <dgm:t>
        <a:bodyPr/>
        <a:lstStyle/>
        <a:p>
          <a:endParaRPr lang="en-US"/>
        </a:p>
      </dgm:t>
    </dgm:pt>
    <dgm:pt modelId="{73CF8724-DABF-7D42-8C18-5978C213FD28}" type="sibTrans" cxnId="{6AC78EB9-EC37-2E48-A138-7AA6D3B0F783}">
      <dgm:prSet/>
      <dgm:spPr/>
      <dgm:t>
        <a:bodyPr/>
        <a:lstStyle/>
        <a:p>
          <a:endParaRPr lang="en-US"/>
        </a:p>
      </dgm:t>
    </dgm:pt>
    <dgm:pt modelId="{F56AF838-CFEC-C64F-A8A4-2AAF1A3C4889}">
      <dgm:prSet phldrT="[Text]"/>
      <dgm:spPr/>
      <dgm:t>
        <a:bodyPr/>
        <a:lstStyle/>
        <a:p>
          <a:r>
            <a:rPr lang="en-US"/>
            <a:t>Academic</a:t>
          </a:r>
        </a:p>
      </dgm:t>
    </dgm:pt>
    <dgm:pt modelId="{701F56D4-20D0-5642-9CA1-7B02A5A6DB06}" type="parTrans" cxnId="{6C290702-F4A6-6549-8388-09CECBF57F21}">
      <dgm:prSet/>
      <dgm:spPr/>
      <dgm:t>
        <a:bodyPr/>
        <a:lstStyle/>
        <a:p>
          <a:endParaRPr lang="en-US"/>
        </a:p>
      </dgm:t>
    </dgm:pt>
    <dgm:pt modelId="{D8F2F2FD-6031-3C4B-86F9-4856D51865B8}" type="sibTrans" cxnId="{6C290702-F4A6-6549-8388-09CECBF57F21}">
      <dgm:prSet/>
      <dgm:spPr/>
      <dgm:t>
        <a:bodyPr/>
        <a:lstStyle/>
        <a:p>
          <a:endParaRPr lang="en-US"/>
        </a:p>
      </dgm:t>
    </dgm:pt>
    <dgm:pt modelId="{E937F9B7-5AA1-544A-8409-98E4D776349C}">
      <dgm:prSet phldrT="[Text]"/>
      <dgm:spPr/>
      <dgm:t>
        <a:bodyPr/>
        <a:lstStyle/>
        <a:p>
          <a:r>
            <a:rPr lang="en-US"/>
            <a:t>Personal</a:t>
          </a:r>
        </a:p>
      </dgm:t>
    </dgm:pt>
    <dgm:pt modelId="{F053B957-644D-BE47-B416-3B9A95EE8687}" type="parTrans" cxnId="{15420579-13F0-A142-A3F8-B4788A28D894}">
      <dgm:prSet/>
      <dgm:spPr/>
      <dgm:t>
        <a:bodyPr/>
        <a:lstStyle/>
        <a:p>
          <a:endParaRPr lang="en-US"/>
        </a:p>
      </dgm:t>
    </dgm:pt>
    <dgm:pt modelId="{E026EDA1-77D5-6449-9ED6-60382B09C418}" type="sibTrans" cxnId="{15420579-13F0-A142-A3F8-B4788A28D894}">
      <dgm:prSet/>
      <dgm:spPr/>
      <dgm:t>
        <a:bodyPr/>
        <a:lstStyle/>
        <a:p>
          <a:endParaRPr lang="en-US"/>
        </a:p>
      </dgm:t>
    </dgm:pt>
    <dgm:pt modelId="{2219551E-9EA4-4547-80A7-932D8B5574DD}">
      <dgm:prSet phldrT="[Text]"/>
      <dgm:spPr/>
      <dgm:t>
        <a:bodyPr/>
        <a:lstStyle/>
        <a:p>
          <a:r>
            <a:rPr lang="en-US"/>
            <a:t>Physical Environment</a:t>
          </a:r>
        </a:p>
      </dgm:t>
    </dgm:pt>
    <dgm:pt modelId="{7F712A8A-4BE6-454D-A562-A227BAE6EB43}" type="parTrans" cxnId="{06553632-5554-AF4A-94B6-6780EE570209}">
      <dgm:prSet/>
      <dgm:spPr/>
      <dgm:t>
        <a:bodyPr/>
        <a:lstStyle/>
        <a:p>
          <a:endParaRPr lang="en-US"/>
        </a:p>
      </dgm:t>
    </dgm:pt>
    <dgm:pt modelId="{C0F56505-2A6D-DF41-A82B-7C7050DDBC02}" type="sibTrans" cxnId="{06553632-5554-AF4A-94B6-6780EE570209}">
      <dgm:prSet/>
      <dgm:spPr/>
      <dgm:t>
        <a:bodyPr/>
        <a:lstStyle/>
        <a:p>
          <a:endParaRPr lang="en-US"/>
        </a:p>
      </dgm:t>
    </dgm:pt>
    <dgm:pt modelId="{EBFE6E74-E217-7349-AACF-40455509B9E5}">
      <dgm:prSet phldrT="[Text]"/>
      <dgm:spPr/>
      <dgm:t>
        <a:bodyPr/>
        <a:lstStyle/>
        <a:p>
          <a:r>
            <a:rPr lang="en-US"/>
            <a:t>Room Temperature</a:t>
          </a:r>
        </a:p>
      </dgm:t>
    </dgm:pt>
    <dgm:pt modelId="{A9AF043D-44C7-E748-8DAC-153F69FF26D5}" type="parTrans" cxnId="{D695D0DD-4B54-9B4B-921F-9B41289993BC}">
      <dgm:prSet/>
      <dgm:spPr/>
      <dgm:t>
        <a:bodyPr/>
        <a:lstStyle/>
        <a:p>
          <a:endParaRPr lang="en-US"/>
        </a:p>
      </dgm:t>
    </dgm:pt>
    <dgm:pt modelId="{F19707BB-1696-9A47-BAEF-F8DC89B8759D}" type="sibTrans" cxnId="{D695D0DD-4B54-9B4B-921F-9B41289993BC}">
      <dgm:prSet/>
      <dgm:spPr/>
      <dgm:t>
        <a:bodyPr/>
        <a:lstStyle/>
        <a:p>
          <a:endParaRPr lang="en-US"/>
        </a:p>
      </dgm:t>
    </dgm:pt>
    <dgm:pt modelId="{09919DD5-7209-2547-A135-234F4B13E6C3}">
      <dgm:prSet phldrT="[Text]"/>
      <dgm:spPr/>
      <dgm:t>
        <a:bodyPr/>
        <a:lstStyle/>
        <a:p>
          <a:r>
            <a:rPr lang="en-US"/>
            <a:t>Space availibility</a:t>
          </a:r>
        </a:p>
      </dgm:t>
    </dgm:pt>
    <dgm:pt modelId="{5536BE93-286E-FD41-A215-50505DF81081}" type="parTrans" cxnId="{99EBA61D-B008-AC42-A381-19DCAB1CA1B6}">
      <dgm:prSet/>
      <dgm:spPr/>
      <dgm:t>
        <a:bodyPr/>
        <a:lstStyle/>
        <a:p>
          <a:endParaRPr lang="en-US"/>
        </a:p>
      </dgm:t>
    </dgm:pt>
    <dgm:pt modelId="{10BF8BDC-620C-A94A-8DBA-96C3B3E14CB9}" type="sibTrans" cxnId="{99EBA61D-B008-AC42-A381-19DCAB1CA1B6}">
      <dgm:prSet/>
      <dgm:spPr/>
      <dgm:t>
        <a:bodyPr/>
        <a:lstStyle/>
        <a:p>
          <a:endParaRPr lang="en-US"/>
        </a:p>
      </dgm:t>
    </dgm:pt>
    <dgm:pt modelId="{7786F85F-6CC5-974D-8A63-FDE12F82D280}">
      <dgm:prSet phldrT="[Text]"/>
      <dgm:spPr/>
      <dgm:t>
        <a:bodyPr/>
        <a:lstStyle/>
        <a:p>
          <a:r>
            <a:rPr lang="en-US"/>
            <a:t>Course Design</a:t>
          </a:r>
        </a:p>
      </dgm:t>
    </dgm:pt>
    <dgm:pt modelId="{D7D8B2AC-F00A-FD42-B410-143185E88A58}" type="parTrans" cxnId="{68987F31-81DF-C041-BE32-4782C72BE7C1}">
      <dgm:prSet/>
      <dgm:spPr/>
      <dgm:t>
        <a:bodyPr/>
        <a:lstStyle/>
        <a:p>
          <a:endParaRPr lang="en-US"/>
        </a:p>
      </dgm:t>
    </dgm:pt>
    <dgm:pt modelId="{D2726EEA-FF75-7D45-9C42-0CA0A91006CA}" type="sibTrans" cxnId="{68987F31-81DF-C041-BE32-4782C72BE7C1}">
      <dgm:prSet/>
      <dgm:spPr/>
      <dgm:t>
        <a:bodyPr/>
        <a:lstStyle/>
        <a:p>
          <a:endParaRPr lang="en-US"/>
        </a:p>
      </dgm:t>
    </dgm:pt>
    <dgm:pt modelId="{20F0D0B1-4AFA-DD4F-A92F-15CA0052AC72}">
      <dgm:prSet phldrT="[Text]"/>
      <dgm:spPr/>
      <dgm:t>
        <a:bodyPr/>
        <a:lstStyle/>
        <a:p>
          <a:r>
            <a:rPr lang="en-US"/>
            <a:t>Study Skills</a:t>
          </a:r>
        </a:p>
      </dgm:t>
    </dgm:pt>
    <dgm:pt modelId="{95DA2409-1DA3-484A-9590-E5BEA0E27398}" type="parTrans" cxnId="{1BB05A18-D4A8-234B-9F55-C71E5C20ABA6}">
      <dgm:prSet/>
      <dgm:spPr/>
      <dgm:t>
        <a:bodyPr/>
        <a:lstStyle/>
        <a:p>
          <a:endParaRPr lang="en-US"/>
        </a:p>
      </dgm:t>
    </dgm:pt>
    <dgm:pt modelId="{D41D1091-EEB4-E643-82F3-E418EBDE760B}" type="sibTrans" cxnId="{1BB05A18-D4A8-234B-9F55-C71E5C20ABA6}">
      <dgm:prSet/>
      <dgm:spPr/>
      <dgm:t>
        <a:bodyPr/>
        <a:lstStyle/>
        <a:p>
          <a:endParaRPr lang="en-US"/>
        </a:p>
      </dgm:t>
    </dgm:pt>
    <dgm:pt modelId="{2ABDDF83-2AC9-BC4E-8A35-B91D66D50E00}" type="pres">
      <dgm:prSet presAssocID="{4F99EE8C-DC47-7942-B82B-07E1C374AAA5}" presName="Name0" presStyleCnt="0">
        <dgm:presLayoutVars>
          <dgm:chMax val="7"/>
          <dgm:dir/>
          <dgm:animLvl val="lvl"/>
          <dgm:resizeHandles val="exact"/>
        </dgm:presLayoutVars>
      </dgm:prSet>
      <dgm:spPr/>
    </dgm:pt>
    <dgm:pt modelId="{294900B2-4A23-524D-AB2A-33AF163542FF}" type="pres">
      <dgm:prSet presAssocID="{20C535D8-0BBD-9C46-93D3-09817F6F5501}" presName="circle1" presStyleLbl="node1" presStyleIdx="0" presStyleCnt="3"/>
      <dgm:spPr/>
    </dgm:pt>
    <dgm:pt modelId="{240680A7-92C1-6F48-8046-3F6367F8DF80}" type="pres">
      <dgm:prSet presAssocID="{20C535D8-0BBD-9C46-93D3-09817F6F5501}" presName="space" presStyleCnt="0"/>
      <dgm:spPr/>
    </dgm:pt>
    <dgm:pt modelId="{DB0203FE-5B94-AA48-A0AC-5DDD0D3FBE7B}" type="pres">
      <dgm:prSet presAssocID="{20C535D8-0BBD-9C46-93D3-09817F6F5501}" presName="rect1" presStyleLbl="alignAcc1" presStyleIdx="0" presStyleCnt="3"/>
      <dgm:spPr/>
    </dgm:pt>
    <dgm:pt modelId="{592751B6-8062-474B-8FA5-640D9786B9E1}" type="pres">
      <dgm:prSet presAssocID="{3FFB7B9E-9D9E-8B43-B8FA-94975D86FEED}" presName="vertSpace2" presStyleLbl="node1" presStyleIdx="0" presStyleCnt="3"/>
      <dgm:spPr/>
    </dgm:pt>
    <dgm:pt modelId="{44A819E2-F459-D14A-9987-AFBA03C6C259}" type="pres">
      <dgm:prSet presAssocID="{3FFB7B9E-9D9E-8B43-B8FA-94975D86FEED}" presName="circle2" presStyleLbl="node1" presStyleIdx="1" presStyleCnt="3"/>
      <dgm:spPr/>
    </dgm:pt>
    <dgm:pt modelId="{4B76ED23-FCF9-6D48-90E7-85BA769C8E37}" type="pres">
      <dgm:prSet presAssocID="{3FFB7B9E-9D9E-8B43-B8FA-94975D86FEED}" presName="rect2" presStyleLbl="alignAcc1" presStyleIdx="1" presStyleCnt="3"/>
      <dgm:spPr/>
    </dgm:pt>
    <dgm:pt modelId="{C1373DC8-21AA-E640-9FBC-76FFF0A56004}" type="pres">
      <dgm:prSet presAssocID="{2219551E-9EA4-4547-80A7-932D8B5574DD}" presName="vertSpace3" presStyleLbl="node1" presStyleIdx="1" presStyleCnt="3"/>
      <dgm:spPr/>
    </dgm:pt>
    <dgm:pt modelId="{653A9795-45A9-B549-9122-1A5CB35B57A8}" type="pres">
      <dgm:prSet presAssocID="{2219551E-9EA4-4547-80A7-932D8B5574DD}" presName="circle3" presStyleLbl="node1" presStyleIdx="2" presStyleCnt="3"/>
      <dgm:spPr/>
    </dgm:pt>
    <dgm:pt modelId="{E2EA4FC0-2D0A-6245-B1BD-8C68E9BB7908}" type="pres">
      <dgm:prSet presAssocID="{2219551E-9EA4-4547-80A7-932D8B5574DD}" presName="rect3" presStyleLbl="alignAcc1" presStyleIdx="2" presStyleCnt="3"/>
      <dgm:spPr/>
    </dgm:pt>
    <dgm:pt modelId="{E91C6965-F8B0-F348-8EA8-4137EC45E57B}" type="pres">
      <dgm:prSet presAssocID="{20C535D8-0BBD-9C46-93D3-09817F6F5501}" presName="rect1ParTx" presStyleLbl="alignAcc1" presStyleIdx="2" presStyleCnt="3">
        <dgm:presLayoutVars>
          <dgm:chMax val="1"/>
          <dgm:bulletEnabled val="1"/>
        </dgm:presLayoutVars>
      </dgm:prSet>
      <dgm:spPr/>
    </dgm:pt>
    <dgm:pt modelId="{CCEDD0F4-C418-CE46-BB77-EA45D684E298}" type="pres">
      <dgm:prSet presAssocID="{20C535D8-0BBD-9C46-93D3-09817F6F5501}" presName="rect1ChTx" presStyleLbl="alignAcc1" presStyleIdx="2" presStyleCnt="3">
        <dgm:presLayoutVars>
          <dgm:bulletEnabled val="1"/>
        </dgm:presLayoutVars>
      </dgm:prSet>
      <dgm:spPr/>
    </dgm:pt>
    <dgm:pt modelId="{F3AE93E4-C1DC-9740-9D61-69E0E9EBA40E}" type="pres">
      <dgm:prSet presAssocID="{3FFB7B9E-9D9E-8B43-B8FA-94975D86FEED}" presName="rect2ParTx" presStyleLbl="alignAcc1" presStyleIdx="2" presStyleCnt="3">
        <dgm:presLayoutVars>
          <dgm:chMax val="1"/>
          <dgm:bulletEnabled val="1"/>
        </dgm:presLayoutVars>
      </dgm:prSet>
      <dgm:spPr/>
    </dgm:pt>
    <dgm:pt modelId="{D07847DA-E190-024C-868E-318976B2FE7A}" type="pres">
      <dgm:prSet presAssocID="{3FFB7B9E-9D9E-8B43-B8FA-94975D86FEED}" presName="rect2ChTx" presStyleLbl="alignAcc1" presStyleIdx="2" presStyleCnt="3">
        <dgm:presLayoutVars>
          <dgm:bulletEnabled val="1"/>
        </dgm:presLayoutVars>
      </dgm:prSet>
      <dgm:spPr/>
    </dgm:pt>
    <dgm:pt modelId="{D695819B-C0DB-1742-8B83-B0E991AE50C7}" type="pres">
      <dgm:prSet presAssocID="{2219551E-9EA4-4547-80A7-932D8B5574DD}" presName="rect3ParTx" presStyleLbl="alignAcc1" presStyleIdx="2" presStyleCnt="3">
        <dgm:presLayoutVars>
          <dgm:chMax val="1"/>
          <dgm:bulletEnabled val="1"/>
        </dgm:presLayoutVars>
      </dgm:prSet>
      <dgm:spPr/>
    </dgm:pt>
    <dgm:pt modelId="{390D2D7E-0D8F-4F45-962F-847BEC14FCA4}" type="pres">
      <dgm:prSet presAssocID="{2219551E-9EA4-4547-80A7-932D8B5574DD}" presName="rect3ChTx" presStyleLbl="alignAcc1" presStyleIdx="2" presStyleCnt="3">
        <dgm:presLayoutVars>
          <dgm:bulletEnabled val="1"/>
        </dgm:presLayoutVars>
      </dgm:prSet>
      <dgm:spPr/>
    </dgm:pt>
  </dgm:ptLst>
  <dgm:cxnLst>
    <dgm:cxn modelId="{6C290702-F4A6-6549-8388-09CECBF57F21}" srcId="{3FFB7B9E-9D9E-8B43-B8FA-94975D86FEED}" destId="{F56AF838-CFEC-C64F-A8A4-2AAF1A3C4889}" srcOrd="0" destOrd="0" parTransId="{701F56D4-20D0-5642-9CA1-7B02A5A6DB06}" sibTransId="{D8F2F2FD-6031-3C4B-86F9-4856D51865B8}"/>
    <dgm:cxn modelId="{FD4F4D08-400D-F140-8D59-62AE9C582DDD}" srcId="{20C535D8-0BBD-9C46-93D3-09817F6F5501}" destId="{335D3B43-3173-6F45-ACA0-E800854F56CD}" srcOrd="0" destOrd="0" parTransId="{15FD07AA-3457-D648-BE19-1850998F82DA}" sibTransId="{32AE9F4B-A5FB-BB45-89C7-3068BC5E26A5}"/>
    <dgm:cxn modelId="{AB5B350C-410A-3344-8639-6AFFD3719D70}" srcId="{20C535D8-0BBD-9C46-93D3-09817F6F5501}" destId="{995CB052-C8A5-684D-8F0C-222486DF09DD}" srcOrd="2" destOrd="0" parTransId="{D65860CC-E484-2B46-86AC-BAF76F2C233A}" sibTransId="{41CFAA07-D457-C246-862F-28B5A19D9816}"/>
    <dgm:cxn modelId="{3CE75012-82F4-AC47-9BEE-E02172D046DD}" type="presOf" srcId="{E937F9B7-5AA1-544A-8409-98E4D776349C}" destId="{D07847DA-E190-024C-868E-318976B2FE7A}" srcOrd="0" destOrd="1" presId="urn:microsoft.com/office/officeart/2005/8/layout/target3"/>
    <dgm:cxn modelId="{1BB05A18-D4A8-234B-9F55-C71E5C20ABA6}" srcId="{3FFB7B9E-9D9E-8B43-B8FA-94975D86FEED}" destId="{20F0D0B1-4AFA-DD4F-A92F-15CA0052AC72}" srcOrd="2" destOrd="0" parTransId="{95DA2409-1DA3-484A-9590-E5BEA0E27398}" sibTransId="{D41D1091-EEB4-E643-82F3-E418EBDE760B}"/>
    <dgm:cxn modelId="{99EBA61D-B008-AC42-A381-19DCAB1CA1B6}" srcId="{2219551E-9EA4-4547-80A7-932D8B5574DD}" destId="{09919DD5-7209-2547-A135-234F4B13E6C3}" srcOrd="1" destOrd="0" parTransId="{5536BE93-286E-FD41-A215-50505DF81081}" sibTransId="{10BF8BDC-620C-A94A-8DBA-96C3B3E14CB9}"/>
    <dgm:cxn modelId="{6D0BC626-C03E-B443-BC79-21A2EED7D4B4}" type="presOf" srcId="{335D3B43-3173-6F45-ACA0-E800854F56CD}" destId="{CCEDD0F4-C418-CE46-BB77-EA45D684E298}" srcOrd="0" destOrd="0" presId="urn:microsoft.com/office/officeart/2005/8/layout/target3"/>
    <dgm:cxn modelId="{A071B82D-E5FC-0D4E-A2D0-9254BFD6106B}" type="presOf" srcId="{F56AF838-CFEC-C64F-A8A4-2AAF1A3C4889}" destId="{D07847DA-E190-024C-868E-318976B2FE7A}" srcOrd="0" destOrd="0" presId="urn:microsoft.com/office/officeart/2005/8/layout/target3"/>
    <dgm:cxn modelId="{68987F31-81DF-C041-BE32-4782C72BE7C1}" srcId="{20C535D8-0BBD-9C46-93D3-09817F6F5501}" destId="{7786F85F-6CC5-974D-8A63-FDE12F82D280}" srcOrd="1" destOrd="0" parTransId="{D7D8B2AC-F00A-FD42-B410-143185E88A58}" sibTransId="{D2726EEA-FF75-7D45-9C42-0CA0A91006CA}"/>
    <dgm:cxn modelId="{06553632-5554-AF4A-94B6-6780EE570209}" srcId="{4F99EE8C-DC47-7942-B82B-07E1C374AAA5}" destId="{2219551E-9EA4-4547-80A7-932D8B5574DD}" srcOrd="2" destOrd="0" parTransId="{7F712A8A-4BE6-454D-A562-A227BAE6EB43}" sibTransId="{C0F56505-2A6D-DF41-A82B-7C7050DDBC02}"/>
    <dgm:cxn modelId="{CBDCA83D-9F86-614A-8861-92DE1A5636AD}" type="presOf" srcId="{20C535D8-0BBD-9C46-93D3-09817F6F5501}" destId="{DB0203FE-5B94-AA48-A0AC-5DDD0D3FBE7B}" srcOrd="0" destOrd="0" presId="urn:microsoft.com/office/officeart/2005/8/layout/target3"/>
    <dgm:cxn modelId="{16535544-7084-954C-BC63-E7112459E9F4}" srcId="{4F99EE8C-DC47-7942-B82B-07E1C374AAA5}" destId="{20C535D8-0BBD-9C46-93D3-09817F6F5501}" srcOrd="0" destOrd="0" parTransId="{F9A41567-5C27-4140-A9B8-9D5E2BB0AC58}" sibTransId="{D8BC07CA-1AF4-5C48-A258-F7124BF3E883}"/>
    <dgm:cxn modelId="{5133DA6F-1D17-024B-B82A-6C733033BD30}" type="presOf" srcId="{3FFB7B9E-9D9E-8B43-B8FA-94975D86FEED}" destId="{4B76ED23-FCF9-6D48-90E7-85BA769C8E37}" srcOrd="0" destOrd="0" presId="urn:microsoft.com/office/officeart/2005/8/layout/target3"/>
    <dgm:cxn modelId="{15420579-13F0-A142-A3F8-B4788A28D894}" srcId="{3FFB7B9E-9D9E-8B43-B8FA-94975D86FEED}" destId="{E937F9B7-5AA1-544A-8409-98E4D776349C}" srcOrd="1" destOrd="0" parTransId="{F053B957-644D-BE47-B416-3B9A95EE8687}" sibTransId="{E026EDA1-77D5-6449-9ED6-60382B09C418}"/>
    <dgm:cxn modelId="{C9624E8D-1ECB-5D44-9AF1-939AAC245BD9}" type="presOf" srcId="{995CB052-C8A5-684D-8F0C-222486DF09DD}" destId="{CCEDD0F4-C418-CE46-BB77-EA45D684E298}" srcOrd="0" destOrd="2" presId="urn:microsoft.com/office/officeart/2005/8/layout/target3"/>
    <dgm:cxn modelId="{18AE9C96-DA4D-1443-83B2-EE13C4D1F053}" type="presOf" srcId="{2219551E-9EA4-4547-80A7-932D8B5574DD}" destId="{D695819B-C0DB-1742-8B83-B0E991AE50C7}" srcOrd="1" destOrd="0" presId="urn:microsoft.com/office/officeart/2005/8/layout/target3"/>
    <dgm:cxn modelId="{D7F4B09D-45FC-F043-996F-B13CCA4AB5EF}" type="presOf" srcId="{EBFE6E74-E217-7349-AACF-40455509B9E5}" destId="{390D2D7E-0D8F-4F45-962F-847BEC14FCA4}" srcOrd="0" destOrd="0" presId="urn:microsoft.com/office/officeart/2005/8/layout/target3"/>
    <dgm:cxn modelId="{600E8FA5-6ACA-ED42-AAFF-73530E0CFCAF}" type="presOf" srcId="{7786F85F-6CC5-974D-8A63-FDE12F82D280}" destId="{CCEDD0F4-C418-CE46-BB77-EA45D684E298}" srcOrd="0" destOrd="1" presId="urn:microsoft.com/office/officeart/2005/8/layout/target3"/>
    <dgm:cxn modelId="{654B0DAA-9074-1542-8FB5-512E55D9782D}" type="presOf" srcId="{09919DD5-7209-2547-A135-234F4B13E6C3}" destId="{390D2D7E-0D8F-4F45-962F-847BEC14FCA4}" srcOrd="0" destOrd="1" presId="urn:microsoft.com/office/officeart/2005/8/layout/target3"/>
    <dgm:cxn modelId="{6AC78EB9-EC37-2E48-A138-7AA6D3B0F783}" srcId="{4F99EE8C-DC47-7942-B82B-07E1C374AAA5}" destId="{3FFB7B9E-9D9E-8B43-B8FA-94975D86FEED}" srcOrd="1" destOrd="0" parTransId="{237F2716-A92C-7E4F-B1F6-9048E4725792}" sibTransId="{73CF8724-DABF-7D42-8C18-5978C213FD28}"/>
    <dgm:cxn modelId="{6AE524C1-91A0-8147-93C7-5FBE02719E76}" type="presOf" srcId="{2219551E-9EA4-4547-80A7-932D8B5574DD}" destId="{E2EA4FC0-2D0A-6245-B1BD-8C68E9BB7908}" srcOrd="0" destOrd="0" presId="urn:microsoft.com/office/officeart/2005/8/layout/target3"/>
    <dgm:cxn modelId="{4D60ACD4-D445-444B-BE2B-B7C8AD227491}" type="presOf" srcId="{4F99EE8C-DC47-7942-B82B-07E1C374AAA5}" destId="{2ABDDF83-2AC9-BC4E-8A35-B91D66D50E00}" srcOrd="0" destOrd="0" presId="urn:microsoft.com/office/officeart/2005/8/layout/target3"/>
    <dgm:cxn modelId="{D695D0DD-4B54-9B4B-921F-9B41289993BC}" srcId="{2219551E-9EA4-4547-80A7-932D8B5574DD}" destId="{EBFE6E74-E217-7349-AACF-40455509B9E5}" srcOrd="0" destOrd="0" parTransId="{A9AF043D-44C7-E748-8DAC-153F69FF26D5}" sibTransId="{F19707BB-1696-9A47-BAEF-F8DC89B8759D}"/>
    <dgm:cxn modelId="{361DCEE8-3F42-CD44-87C6-6D2426ECCB37}" type="presOf" srcId="{3FFB7B9E-9D9E-8B43-B8FA-94975D86FEED}" destId="{F3AE93E4-C1DC-9740-9D61-69E0E9EBA40E}" srcOrd="1" destOrd="0" presId="urn:microsoft.com/office/officeart/2005/8/layout/target3"/>
    <dgm:cxn modelId="{29A332F3-46E6-4B4F-A3C8-F31E943F2466}" type="presOf" srcId="{20F0D0B1-4AFA-DD4F-A92F-15CA0052AC72}" destId="{D07847DA-E190-024C-868E-318976B2FE7A}" srcOrd="0" destOrd="2" presId="urn:microsoft.com/office/officeart/2005/8/layout/target3"/>
    <dgm:cxn modelId="{3451C9F4-2B48-C841-A359-1FB947DC752A}" type="presOf" srcId="{20C535D8-0BBD-9C46-93D3-09817F6F5501}" destId="{E91C6965-F8B0-F348-8EA8-4137EC45E57B}" srcOrd="1" destOrd="0" presId="urn:microsoft.com/office/officeart/2005/8/layout/target3"/>
    <dgm:cxn modelId="{B2E60DC9-EA8A-5841-A716-B1FD691D6857}" type="presParOf" srcId="{2ABDDF83-2AC9-BC4E-8A35-B91D66D50E00}" destId="{294900B2-4A23-524D-AB2A-33AF163542FF}" srcOrd="0" destOrd="0" presId="urn:microsoft.com/office/officeart/2005/8/layout/target3"/>
    <dgm:cxn modelId="{F4438047-A720-F841-8C74-EDB64303DD44}" type="presParOf" srcId="{2ABDDF83-2AC9-BC4E-8A35-B91D66D50E00}" destId="{240680A7-92C1-6F48-8046-3F6367F8DF80}" srcOrd="1" destOrd="0" presId="urn:microsoft.com/office/officeart/2005/8/layout/target3"/>
    <dgm:cxn modelId="{19D81ADA-7C6C-8A4C-B62E-0D97113BEE52}" type="presParOf" srcId="{2ABDDF83-2AC9-BC4E-8A35-B91D66D50E00}" destId="{DB0203FE-5B94-AA48-A0AC-5DDD0D3FBE7B}" srcOrd="2" destOrd="0" presId="urn:microsoft.com/office/officeart/2005/8/layout/target3"/>
    <dgm:cxn modelId="{24E55E94-D162-C543-BDAD-36F1FDC2DAC0}" type="presParOf" srcId="{2ABDDF83-2AC9-BC4E-8A35-B91D66D50E00}" destId="{592751B6-8062-474B-8FA5-640D9786B9E1}" srcOrd="3" destOrd="0" presId="urn:microsoft.com/office/officeart/2005/8/layout/target3"/>
    <dgm:cxn modelId="{E2F002D5-7F1F-6443-BBE3-8079B847368A}" type="presParOf" srcId="{2ABDDF83-2AC9-BC4E-8A35-B91D66D50E00}" destId="{44A819E2-F459-D14A-9987-AFBA03C6C259}" srcOrd="4" destOrd="0" presId="urn:microsoft.com/office/officeart/2005/8/layout/target3"/>
    <dgm:cxn modelId="{E9E87EBE-0FC2-3740-8FD9-2B2E7AA9F291}" type="presParOf" srcId="{2ABDDF83-2AC9-BC4E-8A35-B91D66D50E00}" destId="{4B76ED23-FCF9-6D48-90E7-85BA769C8E37}" srcOrd="5" destOrd="0" presId="urn:microsoft.com/office/officeart/2005/8/layout/target3"/>
    <dgm:cxn modelId="{E0B933E4-C9F0-654D-80F2-3F91A89D4145}" type="presParOf" srcId="{2ABDDF83-2AC9-BC4E-8A35-B91D66D50E00}" destId="{C1373DC8-21AA-E640-9FBC-76FFF0A56004}" srcOrd="6" destOrd="0" presId="urn:microsoft.com/office/officeart/2005/8/layout/target3"/>
    <dgm:cxn modelId="{6FF3F0AE-F7C3-B444-AEBE-94732FE7CA32}" type="presParOf" srcId="{2ABDDF83-2AC9-BC4E-8A35-B91D66D50E00}" destId="{653A9795-45A9-B549-9122-1A5CB35B57A8}" srcOrd="7" destOrd="0" presId="urn:microsoft.com/office/officeart/2005/8/layout/target3"/>
    <dgm:cxn modelId="{819E624F-521B-3C42-9473-6DB0A52F264B}" type="presParOf" srcId="{2ABDDF83-2AC9-BC4E-8A35-B91D66D50E00}" destId="{E2EA4FC0-2D0A-6245-B1BD-8C68E9BB7908}" srcOrd="8" destOrd="0" presId="urn:microsoft.com/office/officeart/2005/8/layout/target3"/>
    <dgm:cxn modelId="{389790F4-E6EB-C64F-A491-D32D10B5E803}" type="presParOf" srcId="{2ABDDF83-2AC9-BC4E-8A35-B91D66D50E00}" destId="{E91C6965-F8B0-F348-8EA8-4137EC45E57B}" srcOrd="9" destOrd="0" presId="urn:microsoft.com/office/officeart/2005/8/layout/target3"/>
    <dgm:cxn modelId="{4662F5D9-6525-8740-81A3-F6DA2F02F2F3}" type="presParOf" srcId="{2ABDDF83-2AC9-BC4E-8A35-B91D66D50E00}" destId="{CCEDD0F4-C418-CE46-BB77-EA45D684E298}" srcOrd="10" destOrd="0" presId="urn:microsoft.com/office/officeart/2005/8/layout/target3"/>
    <dgm:cxn modelId="{E3C921C5-A451-EB4B-82F7-85B04806C670}" type="presParOf" srcId="{2ABDDF83-2AC9-BC4E-8A35-B91D66D50E00}" destId="{F3AE93E4-C1DC-9740-9D61-69E0E9EBA40E}" srcOrd="11" destOrd="0" presId="urn:microsoft.com/office/officeart/2005/8/layout/target3"/>
    <dgm:cxn modelId="{FEF40B14-63C8-0746-931C-5506DB0FD8CD}" type="presParOf" srcId="{2ABDDF83-2AC9-BC4E-8A35-B91D66D50E00}" destId="{D07847DA-E190-024C-868E-318976B2FE7A}" srcOrd="12" destOrd="0" presId="urn:microsoft.com/office/officeart/2005/8/layout/target3"/>
    <dgm:cxn modelId="{91C6934E-C959-7A4F-BDDC-8B17DE7FAC8B}" type="presParOf" srcId="{2ABDDF83-2AC9-BC4E-8A35-B91D66D50E00}" destId="{D695819B-C0DB-1742-8B83-B0E991AE50C7}" srcOrd="13" destOrd="0" presId="urn:microsoft.com/office/officeart/2005/8/layout/target3"/>
    <dgm:cxn modelId="{36E4F445-8682-5C4F-9715-4C4FF08F4AC1}" type="presParOf" srcId="{2ABDDF83-2AC9-BC4E-8A35-B91D66D50E00}" destId="{390D2D7E-0D8F-4F45-962F-847BEC14FCA4}" srcOrd="14" destOrd="0" presId="urn:microsoft.com/office/officeart/2005/8/layout/target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1F4D94-6693-B44C-8413-374F1A194A5B}">
      <dsp:nvSpPr>
        <dsp:cNvPr id="0" name=""/>
        <dsp:cNvSpPr/>
      </dsp:nvSpPr>
      <dsp:spPr>
        <a:xfrm>
          <a:off x="686571" y="0"/>
          <a:ext cx="1582964" cy="3957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Control Group 2016</a:t>
          </a:r>
        </a:p>
      </dsp:txBody>
      <dsp:txXfrm>
        <a:off x="698162" y="11591"/>
        <a:ext cx="1559782" cy="372559"/>
      </dsp:txXfrm>
    </dsp:sp>
    <dsp:sp modelId="{814A317A-3029-7F4B-B03A-1C7A790FDA95}">
      <dsp:nvSpPr>
        <dsp:cNvPr id="0" name=""/>
        <dsp:cNvSpPr/>
      </dsp:nvSpPr>
      <dsp:spPr>
        <a:xfrm rot="5400000">
          <a:off x="1443425" y="430368"/>
          <a:ext cx="69254" cy="69254"/>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FA275DE-9A4C-BA40-9A5D-9E9A69CB05BD}">
      <dsp:nvSpPr>
        <dsp:cNvPr id="0" name=""/>
        <dsp:cNvSpPr/>
      </dsp:nvSpPr>
      <dsp:spPr>
        <a:xfrm>
          <a:off x="686571" y="534250"/>
          <a:ext cx="1582964" cy="395741"/>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Exam Completion x3</a:t>
          </a:r>
        </a:p>
      </dsp:txBody>
      <dsp:txXfrm>
        <a:off x="698162" y="545841"/>
        <a:ext cx="1559782" cy="372559"/>
      </dsp:txXfrm>
    </dsp:sp>
    <dsp:sp modelId="{D3A48C49-A0EF-4A42-9DBC-B91D9572D81F}">
      <dsp:nvSpPr>
        <dsp:cNvPr id="0" name=""/>
        <dsp:cNvSpPr/>
      </dsp:nvSpPr>
      <dsp:spPr>
        <a:xfrm rot="5400000">
          <a:off x="1443425" y="964618"/>
          <a:ext cx="69254" cy="69254"/>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602449A-D362-6143-94AB-0D44926C9A76}">
      <dsp:nvSpPr>
        <dsp:cNvPr id="0" name=""/>
        <dsp:cNvSpPr/>
      </dsp:nvSpPr>
      <dsp:spPr>
        <a:xfrm>
          <a:off x="686571" y="1068500"/>
          <a:ext cx="1582964" cy="395741"/>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Brief COPE Survey x3</a:t>
          </a:r>
        </a:p>
      </dsp:txBody>
      <dsp:txXfrm>
        <a:off x="698162" y="1080091"/>
        <a:ext cx="1559782" cy="372559"/>
      </dsp:txXfrm>
    </dsp:sp>
    <dsp:sp modelId="{709472F5-8F2D-0E47-A4BF-C663457B211A}">
      <dsp:nvSpPr>
        <dsp:cNvPr id="0" name=""/>
        <dsp:cNvSpPr/>
      </dsp:nvSpPr>
      <dsp:spPr>
        <a:xfrm rot="5400000">
          <a:off x="1443425" y="1498869"/>
          <a:ext cx="69254" cy="69254"/>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7BF4E92-C174-AB4C-8166-A5C9D389F374}">
      <dsp:nvSpPr>
        <dsp:cNvPr id="0" name=""/>
        <dsp:cNvSpPr/>
      </dsp:nvSpPr>
      <dsp:spPr>
        <a:xfrm>
          <a:off x="686571" y="1602751"/>
          <a:ext cx="1582964" cy="395741"/>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End of Course Survey x1</a:t>
          </a:r>
        </a:p>
      </dsp:txBody>
      <dsp:txXfrm>
        <a:off x="698162" y="1614342"/>
        <a:ext cx="1559782" cy="372559"/>
      </dsp:txXfrm>
    </dsp:sp>
    <dsp:sp modelId="{8BED7A75-A67A-9C4A-9B85-47ED3B14413C}">
      <dsp:nvSpPr>
        <dsp:cNvPr id="0" name=""/>
        <dsp:cNvSpPr/>
      </dsp:nvSpPr>
      <dsp:spPr>
        <a:xfrm>
          <a:off x="2491150" y="0"/>
          <a:ext cx="1582964" cy="3957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Experimental Group 2017</a:t>
          </a:r>
        </a:p>
      </dsp:txBody>
      <dsp:txXfrm>
        <a:off x="2502741" y="11591"/>
        <a:ext cx="1559782" cy="372559"/>
      </dsp:txXfrm>
    </dsp:sp>
    <dsp:sp modelId="{84799E73-303A-E848-BCE9-B9D4A2538C8A}">
      <dsp:nvSpPr>
        <dsp:cNvPr id="0" name=""/>
        <dsp:cNvSpPr/>
      </dsp:nvSpPr>
      <dsp:spPr>
        <a:xfrm rot="5400000">
          <a:off x="3248005" y="430368"/>
          <a:ext cx="69254" cy="69254"/>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4CB4969-3443-1041-8BCF-49C71085C9ED}">
      <dsp:nvSpPr>
        <dsp:cNvPr id="0" name=""/>
        <dsp:cNvSpPr/>
      </dsp:nvSpPr>
      <dsp:spPr>
        <a:xfrm>
          <a:off x="2491150" y="534250"/>
          <a:ext cx="1582964" cy="395741"/>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Support Service Education Email x4</a:t>
          </a:r>
        </a:p>
      </dsp:txBody>
      <dsp:txXfrm>
        <a:off x="2502741" y="545841"/>
        <a:ext cx="1559782" cy="372559"/>
      </dsp:txXfrm>
    </dsp:sp>
    <dsp:sp modelId="{0E7BA205-BA0B-034F-AE97-5EB81BE752BA}">
      <dsp:nvSpPr>
        <dsp:cNvPr id="0" name=""/>
        <dsp:cNvSpPr/>
      </dsp:nvSpPr>
      <dsp:spPr>
        <a:xfrm rot="5400000">
          <a:off x="3248005" y="964618"/>
          <a:ext cx="69254" cy="69254"/>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C9CB03-B7F7-1C43-9E08-AB9425904F57}">
      <dsp:nvSpPr>
        <dsp:cNvPr id="0" name=""/>
        <dsp:cNvSpPr/>
      </dsp:nvSpPr>
      <dsp:spPr>
        <a:xfrm>
          <a:off x="2491150" y="1068500"/>
          <a:ext cx="1582964" cy="395741"/>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Exam Completion x3</a:t>
          </a:r>
        </a:p>
      </dsp:txBody>
      <dsp:txXfrm>
        <a:off x="2502741" y="1080091"/>
        <a:ext cx="1559782" cy="372559"/>
      </dsp:txXfrm>
    </dsp:sp>
    <dsp:sp modelId="{D2EEC038-CAD3-5C42-BCF1-8853B21730BC}">
      <dsp:nvSpPr>
        <dsp:cNvPr id="0" name=""/>
        <dsp:cNvSpPr/>
      </dsp:nvSpPr>
      <dsp:spPr>
        <a:xfrm rot="5400000">
          <a:off x="3248005" y="1498869"/>
          <a:ext cx="69254" cy="69254"/>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636B27C-6C6C-954C-8F7B-7D75AE5C0F1E}">
      <dsp:nvSpPr>
        <dsp:cNvPr id="0" name=""/>
        <dsp:cNvSpPr/>
      </dsp:nvSpPr>
      <dsp:spPr>
        <a:xfrm>
          <a:off x="2491150" y="1602751"/>
          <a:ext cx="1582964" cy="395741"/>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Brief COPE Survey x3</a:t>
          </a:r>
        </a:p>
      </dsp:txBody>
      <dsp:txXfrm>
        <a:off x="2502741" y="1614342"/>
        <a:ext cx="1559782" cy="372559"/>
      </dsp:txXfrm>
    </dsp:sp>
    <dsp:sp modelId="{04761811-4176-2E42-8140-C9C041E563DC}">
      <dsp:nvSpPr>
        <dsp:cNvPr id="0" name=""/>
        <dsp:cNvSpPr/>
      </dsp:nvSpPr>
      <dsp:spPr>
        <a:xfrm rot="5400000">
          <a:off x="3248005" y="2033119"/>
          <a:ext cx="69254" cy="69254"/>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247DC7A-3201-9347-87C9-99A1580E79DA}">
      <dsp:nvSpPr>
        <dsp:cNvPr id="0" name=""/>
        <dsp:cNvSpPr/>
      </dsp:nvSpPr>
      <dsp:spPr>
        <a:xfrm>
          <a:off x="2491150" y="2137001"/>
          <a:ext cx="1582964" cy="395741"/>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End of Course Survey x1</a:t>
          </a:r>
        </a:p>
      </dsp:txBody>
      <dsp:txXfrm>
        <a:off x="2502741" y="2148592"/>
        <a:ext cx="1559782" cy="37255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867B45-32DD-4442-AB7F-7B034E6E9021}">
      <dsp:nvSpPr>
        <dsp:cNvPr id="0" name=""/>
        <dsp:cNvSpPr/>
      </dsp:nvSpPr>
      <dsp:spPr>
        <a:xfrm>
          <a:off x="3469" y="11271"/>
          <a:ext cx="1685460" cy="8758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Exam 1 Brief COPE and support usage data</a:t>
          </a:r>
        </a:p>
      </dsp:txBody>
      <dsp:txXfrm>
        <a:off x="3469" y="11271"/>
        <a:ext cx="1685460" cy="875827"/>
      </dsp:txXfrm>
    </dsp:sp>
    <dsp:sp modelId="{84A39BB0-C8FE-674B-ABB8-BE3A5486C091}">
      <dsp:nvSpPr>
        <dsp:cNvPr id="0" name=""/>
        <dsp:cNvSpPr/>
      </dsp:nvSpPr>
      <dsp:spPr>
        <a:xfrm>
          <a:off x="1873726" y="19266"/>
          <a:ext cx="1610007" cy="8598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Exam 2 Brief COPE and support usage data</a:t>
          </a:r>
        </a:p>
      </dsp:txBody>
      <dsp:txXfrm>
        <a:off x="1873726" y="19266"/>
        <a:ext cx="1610007" cy="859838"/>
      </dsp:txXfrm>
    </dsp:sp>
    <dsp:sp modelId="{C77D6FB4-23A9-954B-ADCE-85F1F496F71C}">
      <dsp:nvSpPr>
        <dsp:cNvPr id="0" name=""/>
        <dsp:cNvSpPr/>
      </dsp:nvSpPr>
      <dsp:spPr>
        <a:xfrm>
          <a:off x="3668531" y="35249"/>
          <a:ext cx="1696289" cy="8278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Exam 3 Brief COPE and support usage data</a:t>
          </a:r>
        </a:p>
      </dsp:txBody>
      <dsp:txXfrm>
        <a:off x="3668531" y="35249"/>
        <a:ext cx="1696289" cy="827872"/>
      </dsp:txXfrm>
    </dsp:sp>
    <dsp:sp modelId="{A93CF569-5CCD-E84B-A6F8-8F0930FF06B5}">
      <dsp:nvSpPr>
        <dsp:cNvPr id="0" name=""/>
        <dsp:cNvSpPr/>
      </dsp:nvSpPr>
      <dsp:spPr>
        <a:xfrm>
          <a:off x="0" y="1438914"/>
          <a:ext cx="1710019" cy="9552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Exam 1 Brief COPE and support usage data</a:t>
          </a:r>
        </a:p>
      </dsp:txBody>
      <dsp:txXfrm>
        <a:off x="0" y="1438914"/>
        <a:ext cx="1710019" cy="955271"/>
      </dsp:txXfrm>
    </dsp:sp>
    <dsp:sp modelId="{22DA64BA-79E5-BF41-B301-71B4DAF81C06}">
      <dsp:nvSpPr>
        <dsp:cNvPr id="0" name=""/>
        <dsp:cNvSpPr/>
      </dsp:nvSpPr>
      <dsp:spPr>
        <a:xfrm>
          <a:off x="1904125" y="1461749"/>
          <a:ext cx="1601192" cy="94206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Exam 2 Brief COPE and support usage data</a:t>
          </a:r>
        </a:p>
      </dsp:txBody>
      <dsp:txXfrm>
        <a:off x="1904125" y="1461749"/>
        <a:ext cx="1601192" cy="942066"/>
      </dsp:txXfrm>
    </dsp:sp>
    <dsp:sp modelId="{781A4EC2-1FAE-FC46-8D7E-762D10E76CFE}">
      <dsp:nvSpPr>
        <dsp:cNvPr id="0" name=""/>
        <dsp:cNvSpPr/>
      </dsp:nvSpPr>
      <dsp:spPr>
        <a:xfrm>
          <a:off x="3613401" y="1486322"/>
          <a:ext cx="1754888" cy="8704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Exam 3 Brief COPE and support usage data</a:t>
          </a:r>
        </a:p>
      </dsp:txBody>
      <dsp:txXfrm>
        <a:off x="3613401" y="1486322"/>
        <a:ext cx="1754888" cy="8704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4900B2-4A23-524D-AB2A-33AF163542FF}">
      <dsp:nvSpPr>
        <dsp:cNvPr id="0" name=""/>
        <dsp:cNvSpPr/>
      </dsp:nvSpPr>
      <dsp:spPr>
        <a:xfrm>
          <a:off x="0" y="0"/>
          <a:ext cx="2479853" cy="2479853"/>
        </a:xfrm>
        <a:prstGeom prst="pie">
          <a:avLst>
            <a:gd name="adj1" fmla="val 5400000"/>
            <a:gd name="adj2" fmla="val 1620000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DB0203FE-5B94-AA48-A0AC-5DDD0D3FBE7B}">
      <dsp:nvSpPr>
        <dsp:cNvPr id="0" name=""/>
        <dsp:cNvSpPr/>
      </dsp:nvSpPr>
      <dsp:spPr>
        <a:xfrm>
          <a:off x="1239926" y="0"/>
          <a:ext cx="3485692" cy="2479853"/>
        </a:xfrm>
        <a:prstGeom prst="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Academic Environment</a:t>
          </a:r>
        </a:p>
      </dsp:txBody>
      <dsp:txXfrm>
        <a:off x="1239926" y="0"/>
        <a:ext cx="1742846" cy="743957"/>
      </dsp:txXfrm>
    </dsp:sp>
    <dsp:sp modelId="{44A819E2-F459-D14A-9987-AFBA03C6C259}">
      <dsp:nvSpPr>
        <dsp:cNvPr id="0" name=""/>
        <dsp:cNvSpPr/>
      </dsp:nvSpPr>
      <dsp:spPr>
        <a:xfrm>
          <a:off x="433975" y="743957"/>
          <a:ext cx="1611902" cy="1611902"/>
        </a:xfrm>
        <a:prstGeom prst="pie">
          <a:avLst>
            <a:gd name="adj1" fmla="val 5400000"/>
            <a:gd name="adj2" fmla="val 1620000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B76ED23-FCF9-6D48-90E7-85BA769C8E37}">
      <dsp:nvSpPr>
        <dsp:cNvPr id="0" name=""/>
        <dsp:cNvSpPr/>
      </dsp:nvSpPr>
      <dsp:spPr>
        <a:xfrm>
          <a:off x="1239926" y="743957"/>
          <a:ext cx="3485692" cy="1611902"/>
        </a:xfrm>
        <a:prstGeom prst="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en-US" sz="2100" kern="1200"/>
            <a:t>Student Supports</a:t>
          </a:r>
        </a:p>
      </dsp:txBody>
      <dsp:txXfrm>
        <a:off x="1239926" y="743957"/>
        <a:ext cx="1742846" cy="743955"/>
      </dsp:txXfrm>
    </dsp:sp>
    <dsp:sp modelId="{653A9795-45A9-B549-9122-1A5CB35B57A8}">
      <dsp:nvSpPr>
        <dsp:cNvPr id="0" name=""/>
        <dsp:cNvSpPr/>
      </dsp:nvSpPr>
      <dsp:spPr>
        <a:xfrm>
          <a:off x="867948" y="1487912"/>
          <a:ext cx="743955" cy="743955"/>
        </a:xfrm>
        <a:prstGeom prst="pie">
          <a:avLst>
            <a:gd name="adj1" fmla="val 5400000"/>
            <a:gd name="adj2" fmla="val 1620000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E2EA4FC0-2D0A-6245-B1BD-8C68E9BB7908}">
      <dsp:nvSpPr>
        <dsp:cNvPr id="0" name=""/>
        <dsp:cNvSpPr/>
      </dsp:nvSpPr>
      <dsp:spPr>
        <a:xfrm>
          <a:off x="1239926" y="1487912"/>
          <a:ext cx="3485692" cy="743955"/>
        </a:xfrm>
        <a:prstGeom prst="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en-US" sz="2100" kern="1200"/>
            <a:t>Physical Environment</a:t>
          </a:r>
        </a:p>
      </dsp:txBody>
      <dsp:txXfrm>
        <a:off x="1239926" y="1487912"/>
        <a:ext cx="1742846" cy="743955"/>
      </dsp:txXfrm>
    </dsp:sp>
    <dsp:sp modelId="{CCEDD0F4-C418-CE46-BB77-EA45D684E298}">
      <dsp:nvSpPr>
        <dsp:cNvPr id="0" name=""/>
        <dsp:cNvSpPr/>
      </dsp:nvSpPr>
      <dsp:spPr>
        <a:xfrm>
          <a:off x="2982772" y="0"/>
          <a:ext cx="1742846" cy="743957"/>
        </a:xfrm>
        <a:prstGeom prst="rect">
          <a:avLst/>
        </a:prstGeom>
        <a:noFill/>
        <a:ln>
          <a:noFill/>
        </a:ln>
        <a:effectLst/>
        <a:scene3d>
          <a:camera prst="orthographicFront">
            <a:rot lat="0" lon="0" rev="0"/>
          </a:camera>
          <a:lightRig rig="contrasting" dir="t">
            <a:rot lat="0" lon="0" rev="1200000"/>
          </a:lightRig>
        </a:scene3d>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t>Instructor Accessbility</a:t>
          </a:r>
        </a:p>
        <a:p>
          <a:pPr marL="114300" lvl="1" indent="-114300" algn="l" defTabSz="533400">
            <a:lnSpc>
              <a:spcPct val="90000"/>
            </a:lnSpc>
            <a:spcBef>
              <a:spcPct val="0"/>
            </a:spcBef>
            <a:spcAft>
              <a:spcPct val="15000"/>
            </a:spcAft>
            <a:buChar char="•"/>
          </a:pPr>
          <a:r>
            <a:rPr lang="en-US" sz="1200" kern="1200"/>
            <a:t>Course Design</a:t>
          </a:r>
        </a:p>
        <a:p>
          <a:pPr marL="114300" lvl="1" indent="-114300" algn="l" defTabSz="533400">
            <a:lnSpc>
              <a:spcPct val="90000"/>
            </a:lnSpc>
            <a:spcBef>
              <a:spcPct val="0"/>
            </a:spcBef>
            <a:spcAft>
              <a:spcPct val="15000"/>
            </a:spcAft>
            <a:buChar char="•"/>
          </a:pPr>
          <a:r>
            <a:rPr lang="en-US" sz="1200" kern="1200"/>
            <a:t>Laboratory </a:t>
          </a:r>
        </a:p>
      </dsp:txBody>
      <dsp:txXfrm>
        <a:off x="2982772" y="0"/>
        <a:ext cx="1742846" cy="743957"/>
      </dsp:txXfrm>
    </dsp:sp>
    <dsp:sp modelId="{D07847DA-E190-024C-868E-318976B2FE7A}">
      <dsp:nvSpPr>
        <dsp:cNvPr id="0" name=""/>
        <dsp:cNvSpPr/>
      </dsp:nvSpPr>
      <dsp:spPr>
        <a:xfrm>
          <a:off x="2982772" y="743957"/>
          <a:ext cx="1742846" cy="743955"/>
        </a:xfrm>
        <a:prstGeom prst="rect">
          <a:avLst/>
        </a:prstGeom>
        <a:noFill/>
        <a:ln>
          <a:noFill/>
        </a:ln>
        <a:effectLst/>
        <a:scene3d>
          <a:camera prst="orthographicFront">
            <a:rot lat="0" lon="0" rev="0"/>
          </a:camera>
          <a:lightRig rig="contrasting" dir="t">
            <a:rot lat="0" lon="0" rev="1200000"/>
          </a:lightRig>
        </a:scene3d>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t>Academic</a:t>
          </a:r>
        </a:p>
        <a:p>
          <a:pPr marL="114300" lvl="1" indent="-114300" algn="l" defTabSz="533400">
            <a:lnSpc>
              <a:spcPct val="90000"/>
            </a:lnSpc>
            <a:spcBef>
              <a:spcPct val="0"/>
            </a:spcBef>
            <a:spcAft>
              <a:spcPct val="15000"/>
            </a:spcAft>
            <a:buChar char="•"/>
          </a:pPr>
          <a:r>
            <a:rPr lang="en-US" sz="1200" kern="1200"/>
            <a:t>Personal</a:t>
          </a:r>
        </a:p>
        <a:p>
          <a:pPr marL="114300" lvl="1" indent="-114300" algn="l" defTabSz="533400">
            <a:lnSpc>
              <a:spcPct val="90000"/>
            </a:lnSpc>
            <a:spcBef>
              <a:spcPct val="0"/>
            </a:spcBef>
            <a:spcAft>
              <a:spcPct val="15000"/>
            </a:spcAft>
            <a:buChar char="•"/>
          </a:pPr>
          <a:r>
            <a:rPr lang="en-US" sz="1200" kern="1200"/>
            <a:t>Study Skills</a:t>
          </a:r>
        </a:p>
      </dsp:txBody>
      <dsp:txXfrm>
        <a:off x="2982772" y="743957"/>
        <a:ext cx="1742846" cy="743955"/>
      </dsp:txXfrm>
    </dsp:sp>
    <dsp:sp modelId="{390D2D7E-0D8F-4F45-962F-847BEC14FCA4}">
      <dsp:nvSpPr>
        <dsp:cNvPr id="0" name=""/>
        <dsp:cNvSpPr/>
      </dsp:nvSpPr>
      <dsp:spPr>
        <a:xfrm>
          <a:off x="2982772" y="1487912"/>
          <a:ext cx="1742846" cy="743955"/>
        </a:xfrm>
        <a:prstGeom prst="rect">
          <a:avLst/>
        </a:prstGeom>
        <a:noFill/>
        <a:ln>
          <a:noFill/>
        </a:ln>
        <a:effectLst/>
        <a:scene3d>
          <a:camera prst="orthographicFront">
            <a:rot lat="0" lon="0" rev="0"/>
          </a:camera>
          <a:lightRig rig="contrasting" dir="t">
            <a:rot lat="0" lon="0" rev="1200000"/>
          </a:lightRig>
        </a:scene3d>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n-US" sz="1200" kern="1200"/>
            <a:t>Room Temperature</a:t>
          </a:r>
        </a:p>
        <a:p>
          <a:pPr marL="114300" lvl="1" indent="-114300" algn="l" defTabSz="533400">
            <a:lnSpc>
              <a:spcPct val="90000"/>
            </a:lnSpc>
            <a:spcBef>
              <a:spcPct val="0"/>
            </a:spcBef>
            <a:spcAft>
              <a:spcPct val="15000"/>
            </a:spcAft>
            <a:buChar char="•"/>
          </a:pPr>
          <a:r>
            <a:rPr lang="en-US" sz="1200" kern="1200"/>
            <a:t>Space availibility</a:t>
          </a:r>
        </a:p>
      </dsp:txBody>
      <dsp:txXfrm>
        <a:off x="2982772" y="1487912"/>
        <a:ext cx="1742846" cy="74395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E80507EE43DC4B8F1306D7B9DCB00C"/>
        <w:category>
          <w:name w:val="General"/>
          <w:gallery w:val="placeholder"/>
        </w:category>
        <w:types>
          <w:type w:val="bbPlcHdr"/>
        </w:types>
        <w:behaviors>
          <w:behavior w:val="content"/>
        </w:behaviors>
        <w:guid w:val="{FE04F430-B73E-6E4E-88EF-3FADDA3CCDB7}"/>
      </w:docPartPr>
      <w:docPartBody>
        <w:p w:rsidR="00000000" w:rsidRDefault="00534614" w:rsidP="00534614">
          <w:pPr>
            <w:pStyle w:val="22E80507EE43DC4B8F1306D7B9DCB00C"/>
          </w:pPr>
          <w:r w:rsidRPr="001F1C68">
            <w:rPr>
              <w:rStyle w:val="PlaceholderText"/>
            </w:rPr>
            <w:t>Click here to enter text.</w:t>
          </w:r>
        </w:p>
      </w:docPartBody>
    </w:docPart>
    <w:docPart>
      <w:docPartPr>
        <w:name w:val="11D0AB2E19219E469D1D3BAE831F6DE9"/>
        <w:category>
          <w:name w:val="General"/>
          <w:gallery w:val="placeholder"/>
        </w:category>
        <w:types>
          <w:type w:val="bbPlcHdr"/>
        </w:types>
        <w:behaviors>
          <w:behavior w:val="content"/>
        </w:behaviors>
        <w:guid w:val="{255B40B6-4E98-1342-A447-C6ED5B4C817E}"/>
      </w:docPartPr>
      <w:docPartBody>
        <w:p w:rsidR="00000000" w:rsidRDefault="00534614" w:rsidP="00534614">
          <w:pPr>
            <w:pStyle w:val="11D0AB2E19219E469D1D3BAE831F6DE9"/>
          </w:pPr>
          <w:r w:rsidRPr="001F1C68">
            <w:rPr>
              <w:rStyle w:val="PlaceholderText"/>
            </w:rPr>
            <w:t>Choose an item.</w:t>
          </w:r>
        </w:p>
      </w:docPartBody>
    </w:docPart>
    <w:docPart>
      <w:docPartPr>
        <w:name w:val="72E56DEFF15E5F43BEC18675653C5425"/>
        <w:category>
          <w:name w:val="General"/>
          <w:gallery w:val="placeholder"/>
        </w:category>
        <w:types>
          <w:type w:val="bbPlcHdr"/>
        </w:types>
        <w:behaviors>
          <w:behavior w:val="content"/>
        </w:behaviors>
        <w:guid w:val="{B884F98D-7ECF-9349-93C6-2B550C71D1BD}"/>
      </w:docPartPr>
      <w:docPartBody>
        <w:p w:rsidR="00000000" w:rsidRDefault="00534614" w:rsidP="00534614">
          <w:pPr>
            <w:pStyle w:val="72E56DEFF15E5F43BEC18675653C5425"/>
          </w:pPr>
          <w:r w:rsidRPr="00AC7F25">
            <w:rPr>
              <w:rStyle w:val="PlaceholderText"/>
            </w:rPr>
            <w:t>Choose an item.</w:t>
          </w:r>
        </w:p>
      </w:docPartBody>
    </w:docPart>
    <w:docPart>
      <w:docPartPr>
        <w:name w:val="94FA08F3946366438AF40CD60DDDFB18"/>
        <w:category>
          <w:name w:val="General"/>
          <w:gallery w:val="placeholder"/>
        </w:category>
        <w:types>
          <w:type w:val="bbPlcHdr"/>
        </w:types>
        <w:behaviors>
          <w:behavior w:val="content"/>
        </w:behaviors>
        <w:guid w:val="{FF0F2430-257A-EC45-97B9-643976CFFBFB}"/>
      </w:docPartPr>
      <w:docPartBody>
        <w:p w:rsidR="00000000" w:rsidRDefault="00534614" w:rsidP="00534614">
          <w:pPr>
            <w:pStyle w:val="94FA08F3946366438AF40CD60DDDFB18"/>
          </w:pPr>
          <w:r w:rsidRPr="00BB1A19">
            <w:rPr>
              <w:rStyle w:val="PlaceholderText"/>
            </w:rPr>
            <w:t>Click here to enter text.</w:t>
          </w:r>
        </w:p>
      </w:docPartBody>
    </w:docPart>
    <w:docPart>
      <w:docPartPr>
        <w:name w:val="E4152F7999055249BC0049741EB137DD"/>
        <w:category>
          <w:name w:val="General"/>
          <w:gallery w:val="placeholder"/>
        </w:category>
        <w:types>
          <w:type w:val="bbPlcHdr"/>
        </w:types>
        <w:behaviors>
          <w:behavior w:val="content"/>
        </w:behaviors>
        <w:guid w:val="{FEE0C9FE-727D-1F40-B3D2-6A84F13C1EC3}"/>
      </w:docPartPr>
      <w:docPartBody>
        <w:p w:rsidR="00000000" w:rsidRDefault="00534614" w:rsidP="00534614">
          <w:pPr>
            <w:pStyle w:val="E4152F7999055249BC0049741EB137DD"/>
          </w:pPr>
          <w:r w:rsidRPr="001F1C68">
            <w:rPr>
              <w:rStyle w:val="PlaceholderText"/>
            </w:rPr>
            <w:t>Click here to enter text.</w:t>
          </w:r>
        </w:p>
      </w:docPartBody>
    </w:docPart>
    <w:docPart>
      <w:docPartPr>
        <w:name w:val="7F36835D0AFEE34289DA93786E3CCE74"/>
        <w:category>
          <w:name w:val="General"/>
          <w:gallery w:val="placeholder"/>
        </w:category>
        <w:types>
          <w:type w:val="bbPlcHdr"/>
        </w:types>
        <w:behaviors>
          <w:behavior w:val="content"/>
        </w:behaviors>
        <w:guid w:val="{B261F283-F209-354D-A341-79CDC3E6A29F}"/>
      </w:docPartPr>
      <w:docPartBody>
        <w:p w:rsidR="00000000" w:rsidRDefault="00534614" w:rsidP="00534614">
          <w:pPr>
            <w:pStyle w:val="7F36835D0AFEE34289DA93786E3CCE74"/>
          </w:pPr>
          <w:r w:rsidRPr="001F1C68">
            <w:rPr>
              <w:rStyle w:val="PlaceholderText"/>
            </w:rPr>
            <w:t>Choose an item.</w:t>
          </w:r>
        </w:p>
      </w:docPartBody>
    </w:docPart>
    <w:docPart>
      <w:docPartPr>
        <w:name w:val="EDDBCFEBA5BE0D42A0F0AF6194801A4D"/>
        <w:category>
          <w:name w:val="General"/>
          <w:gallery w:val="placeholder"/>
        </w:category>
        <w:types>
          <w:type w:val="bbPlcHdr"/>
        </w:types>
        <w:behaviors>
          <w:behavior w:val="content"/>
        </w:behaviors>
        <w:guid w:val="{38759E08-A066-894F-9E29-2E674A310A32}"/>
      </w:docPartPr>
      <w:docPartBody>
        <w:p w:rsidR="00000000" w:rsidRDefault="00534614" w:rsidP="00534614">
          <w:pPr>
            <w:pStyle w:val="EDDBCFEBA5BE0D42A0F0AF6194801A4D"/>
          </w:pPr>
          <w:r w:rsidRPr="00DB664C">
            <w:rPr>
              <w:rStyle w:val="PlaceholderText"/>
            </w:rPr>
            <w:t>[EXACT NAME OF YOUR ACADEMIC UNIT IN ALL CAPS]</w:t>
          </w:r>
        </w:p>
      </w:docPartBody>
    </w:docPart>
    <w:docPart>
      <w:docPartPr>
        <w:name w:val="FB568A3C323E7A4EA6C58547ACD904D6"/>
        <w:category>
          <w:name w:val="General"/>
          <w:gallery w:val="placeholder"/>
        </w:category>
        <w:types>
          <w:type w:val="bbPlcHdr"/>
        </w:types>
        <w:behaviors>
          <w:behavior w:val="content"/>
        </w:behaviors>
        <w:guid w:val="{26929A9E-FD4E-9A41-B8CE-F79D2E70E431}"/>
      </w:docPartPr>
      <w:docPartBody>
        <w:p w:rsidR="00000000" w:rsidRDefault="00534614" w:rsidP="00534614">
          <w:pPr>
            <w:pStyle w:val="FB568A3C323E7A4EA6C58547ACD904D6"/>
          </w:pPr>
          <w:r w:rsidRPr="00AC7F25">
            <w:rPr>
              <w:rStyle w:val="PlaceholderText"/>
            </w:rPr>
            <w:t>Choose an item.</w:t>
          </w:r>
        </w:p>
      </w:docPartBody>
    </w:docPart>
    <w:docPart>
      <w:docPartPr>
        <w:name w:val="AD78225E07D979489CCFF48A4E3ABE15"/>
        <w:category>
          <w:name w:val="General"/>
          <w:gallery w:val="placeholder"/>
        </w:category>
        <w:types>
          <w:type w:val="bbPlcHdr"/>
        </w:types>
        <w:behaviors>
          <w:behavior w:val="content"/>
        </w:behaviors>
        <w:guid w:val="{C19FA128-A442-034B-A890-3F75EF031287}"/>
      </w:docPartPr>
      <w:docPartBody>
        <w:p w:rsidR="00000000" w:rsidRDefault="00534614" w:rsidP="00534614">
          <w:pPr>
            <w:pStyle w:val="AD78225E07D979489CCFF48A4E3ABE15"/>
          </w:pPr>
          <w:r w:rsidRPr="001F1C68">
            <w:rPr>
              <w:rStyle w:val="PlaceholderText"/>
            </w:rPr>
            <w:t>Click here to enter text.</w:t>
          </w:r>
        </w:p>
      </w:docPartBody>
    </w:docPart>
    <w:docPart>
      <w:docPartPr>
        <w:name w:val="9EAFCFF10D8ED248AADC013E657EFF66"/>
        <w:category>
          <w:name w:val="General"/>
          <w:gallery w:val="placeholder"/>
        </w:category>
        <w:types>
          <w:type w:val="bbPlcHdr"/>
        </w:types>
        <w:behaviors>
          <w:behavior w:val="content"/>
        </w:behaviors>
        <w:guid w:val="{396B6D71-C184-0A48-824C-F7035167CE1A}"/>
      </w:docPartPr>
      <w:docPartBody>
        <w:p w:rsidR="00000000" w:rsidRDefault="00534614" w:rsidP="00534614">
          <w:pPr>
            <w:pStyle w:val="9EAFCFF10D8ED248AADC013E657EFF66"/>
          </w:pPr>
          <w:r w:rsidRPr="00AC7F25">
            <w:rPr>
              <w:rStyle w:val="PlaceholderText"/>
            </w:rPr>
            <w:t>Choose an item.</w:t>
          </w:r>
        </w:p>
      </w:docPartBody>
    </w:docPart>
    <w:docPart>
      <w:docPartPr>
        <w:name w:val="E9CC648FED5DAC4299EAA9B6D2500EAB"/>
        <w:category>
          <w:name w:val="General"/>
          <w:gallery w:val="placeholder"/>
        </w:category>
        <w:types>
          <w:type w:val="bbPlcHdr"/>
        </w:types>
        <w:behaviors>
          <w:behavior w:val="content"/>
        </w:behaviors>
        <w:guid w:val="{BECD5A0B-AB02-6B45-B084-B14D0F44A9A1}"/>
      </w:docPartPr>
      <w:docPartBody>
        <w:p w:rsidR="00000000" w:rsidRDefault="00534614" w:rsidP="00534614">
          <w:pPr>
            <w:pStyle w:val="E9CC648FED5DAC4299EAA9B6D2500EAB"/>
          </w:pPr>
          <w:r w:rsidRPr="001F1C68">
            <w:rPr>
              <w:rStyle w:val="PlaceholderText"/>
            </w:rPr>
            <w:t>Click here to enter text.</w:t>
          </w:r>
        </w:p>
      </w:docPartBody>
    </w:docPart>
    <w:docPart>
      <w:docPartPr>
        <w:name w:val="06642DF57B41CE4DAC9686F3FF1BB427"/>
        <w:category>
          <w:name w:val="General"/>
          <w:gallery w:val="placeholder"/>
        </w:category>
        <w:types>
          <w:type w:val="bbPlcHdr"/>
        </w:types>
        <w:behaviors>
          <w:behavior w:val="content"/>
        </w:behaviors>
        <w:guid w:val="{1F09B7A2-C1A3-A149-86EA-E23E1F90C352}"/>
      </w:docPartPr>
      <w:docPartBody>
        <w:p w:rsidR="00000000" w:rsidRDefault="00534614" w:rsidP="00534614">
          <w:pPr>
            <w:pStyle w:val="06642DF57B41CE4DAC9686F3FF1BB427"/>
          </w:pPr>
          <w:r w:rsidRPr="00AC7F25">
            <w:rPr>
              <w:rStyle w:val="PlaceholderText"/>
            </w:rPr>
            <w:t>Choose an item.</w:t>
          </w:r>
        </w:p>
      </w:docPartBody>
    </w:docPart>
    <w:docPart>
      <w:docPartPr>
        <w:name w:val="D857D1E723E0EA4FA5BDF24015E884AA"/>
        <w:category>
          <w:name w:val="General"/>
          <w:gallery w:val="placeholder"/>
        </w:category>
        <w:types>
          <w:type w:val="bbPlcHdr"/>
        </w:types>
        <w:behaviors>
          <w:behavior w:val="content"/>
        </w:behaviors>
        <w:guid w:val="{C4415A6C-134D-D444-A06F-A2968A759608}"/>
      </w:docPartPr>
      <w:docPartBody>
        <w:p w:rsidR="00000000" w:rsidRDefault="00534614" w:rsidP="00534614">
          <w:pPr>
            <w:pStyle w:val="D857D1E723E0EA4FA5BDF24015E884AA"/>
          </w:pPr>
          <w:r w:rsidRPr="001F1C68">
            <w:rPr>
              <w:rStyle w:val="PlaceholderText"/>
            </w:rPr>
            <w:t>Click here to enter text.</w:t>
          </w:r>
        </w:p>
      </w:docPartBody>
    </w:docPart>
    <w:docPart>
      <w:docPartPr>
        <w:name w:val="9D4AD39051835B4495C057D1BC20B75E"/>
        <w:category>
          <w:name w:val="General"/>
          <w:gallery w:val="placeholder"/>
        </w:category>
        <w:types>
          <w:type w:val="bbPlcHdr"/>
        </w:types>
        <w:behaviors>
          <w:behavior w:val="content"/>
        </w:behaviors>
        <w:guid w:val="{19D19D00-9E76-2A49-BCFD-73AB2007B295}"/>
      </w:docPartPr>
      <w:docPartBody>
        <w:p w:rsidR="00000000" w:rsidRDefault="00534614" w:rsidP="00534614">
          <w:pPr>
            <w:pStyle w:val="9D4AD39051835B4495C057D1BC20B75E"/>
          </w:pPr>
          <w:r w:rsidRPr="00AC7F25">
            <w:rPr>
              <w:rStyle w:val="PlaceholderText"/>
            </w:rPr>
            <w:t>Choose an item.</w:t>
          </w:r>
        </w:p>
      </w:docPartBody>
    </w:docPart>
    <w:docPart>
      <w:docPartPr>
        <w:name w:val="4F5D6E0A5DED0A4FA8D4E4167B965A7E"/>
        <w:category>
          <w:name w:val="General"/>
          <w:gallery w:val="placeholder"/>
        </w:category>
        <w:types>
          <w:type w:val="bbPlcHdr"/>
        </w:types>
        <w:behaviors>
          <w:behavior w:val="content"/>
        </w:behaviors>
        <w:guid w:val="{8A675C26-12E0-1547-9AD2-7DAC4493F5FE}"/>
      </w:docPartPr>
      <w:docPartBody>
        <w:p w:rsidR="00000000" w:rsidRDefault="00534614" w:rsidP="00534614">
          <w:pPr>
            <w:pStyle w:val="4F5D6E0A5DED0A4FA8D4E4167B965A7E"/>
          </w:pPr>
          <w:r w:rsidRPr="001F1C68">
            <w:rPr>
              <w:rStyle w:val="PlaceholderText"/>
            </w:rPr>
            <w:t>Click here to enter text.</w:t>
          </w:r>
        </w:p>
      </w:docPartBody>
    </w:docPart>
    <w:docPart>
      <w:docPartPr>
        <w:name w:val="6D101AD1830F0B4E916826016F7398FF"/>
        <w:category>
          <w:name w:val="General"/>
          <w:gallery w:val="placeholder"/>
        </w:category>
        <w:types>
          <w:type w:val="bbPlcHdr"/>
        </w:types>
        <w:behaviors>
          <w:behavior w:val="content"/>
        </w:behaviors>
        <w:guid w:val="{FAD27297-7350-C743-A577-19B661EB586A}"/>
      </w:docPartPr>
      <w:docPartBody>
        <w:p w:rsidR="00000000" w:rsidRDefault="00534614" w:rsidP="00534614">
          <w:pPr>
            <w:pStyle w:val="6D101AD1830F0B4E916826016F7398FF"/>
          </w:pPr>
          <w:r w:rsidRPr="00AC7F25">
            <w:rPr>
              <w:rStyle w:val="PlaceholderText"/>
            </w:rPr>
            <w:t>Choose an item.</w:t>
          </w:r>
        </w:p>
      </w:docPartBody>
    </w:docPart>
    <w:docPart>
      <w:docPartPr>
        <w:name w:val="A8F1BAECE2F5BD419F6864830A283996"/>
        <w:category>
          <w:name w:val="General"/>
          <w:gallery w:val="placeholder"/>
        </w:category>
        <w:types>
          <w:type w:val="bbPlcHdr"/>
        </w:types>
        <w:behaviors>
          <w:behavior w:val="content"/>
        </w:behaviors>
        <w:guid w:val="{D9BB360F-6890-304C-ADA5-44450416150E}"/>
      </w:docPartPr>
      <w:docPartBody>
        <w:p w:rsidR="00000000" w:rsidRDefault="00534614" w:rsidP="00534614">
          <w:pPr>
            <w:pStyle w:val="A8F1BAECE2F5BD419F6864830A283996"/>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614"/>
    <w:rsid w:val="00470F62"/>
    <w:rsid w:val="00534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4614"/>
    <w:rPr>
      <w:color w:val="808080"/>
    </w:rPr>
  </w:style>
  <w:style w:type="paragraph" w:customStyle="1" w:styleId="22E80507EE43DC4B8F1306D7B9DCB00C">
    <w:name w:val="22E80507EE43DC4B8F1306D7B9DCB00C"/>
    <w:rsid w:val="00534614"/>
  </w:style>
  <w:style w:type="paragraph" w:customStyle="1" w:styleId="11D0AB2E19219E469D1D3BAE831F6DE9">
    <w:name w:val="11D0AB2E19219E469D1D3BAE831F6DE9"/>
    <w:rsid w:val="00534614"/>
  </w:style>
  <w:style w:type="paragraph" w:customStyle="1" w:styleId="72E56DEFF15E5F43BEC18675653C5425">
    <w:name w:val="72E56DEFF15E5F43BEC18675653C5425"/>
    <w:rsid w:val="00534614"/>
  </w:style>
  <w:style w:type="paragraph" w:customStyle="1" w:styleId="94FA08F3946366438AF40CD60DDDFB18">
    <w:name w:val="94FA08F3946366438AF40CD60DDDFB18"/>
    <w:rsid w:val="00534614"/>
  </w:style>
  <w:style w:type="paragraph" w:customStyle="1" w:styleId="E4152F7999055249BC0049741EB137DD">
    <w:name w:val="E4152F7999055249BC0049741EB137DD"/>
    <w:rsid w:val="00534614"/>
  </w:style>
  <w:style w:type="paragraph" w:customStyle="1" w:styleId="7F36835D0AFEE34289DA93786E3CCE74">
    <w:name w:val="7F36835D0AFEE34289DA93786E3CCE74"/>
    <w:rsid w:val="00534614"/>
  </w:style>
  <w:style w:type="paragraph" w:customStyle="1" w:styleId="EDDBCFEBA5BE0D42A0F0AF6194801A4D">
    <w:name w:val="EDDBCFEBA5BE0D42A0F0AF6194801A4D"/>
    <w:rsid w:val="00534614"/>
  </w:style>
  <w:style w:type="paragraph" w:customStyle="1" w:styleId="FB568A3C323E7A4EA6C58547ACD904D6">
    <w:name w:val="FB568A3C323E7A4EA6C58547ACD904D6"/>
    <w:rsid w:val="00534614"/>
  </w:style>
  <w:style w:type="paragraph" w:customStyle="1" w:styleId="AD78225E07D979489CCFF48A4E3ABE15">
    <w:name w:val="AD78225E07D979489CCFF48A4E3ABE15"/>
    <w:rsid w:val="00534614"/>
  </w:style>
  <w:style w:type="paragraph" w:customStyle="1" w:styleId="9EAFCFF10D8ED248AADC013E657EFF66">
    <w:name w:val="9EAFCFF10D8ED248AADC013E657EFF66"/>
    <w:rsid w:val="00534614"/>
  </w:style>
  <w:style w:type="paragraph" w:customStyle="1" w:styleId="E9CC648FED5DAC4299EAA9B6D2500EAB">
    <w:name w:val="E9CC648FED5DAC4299EAA9B6D2500EAB"/>
    <w:rsid w:val="00534614"/>
  </w:style>
  <w:style w:type="paragraph" w:customStyle="1" w:styleId="06642DF57B41CE4DAC9686F3FF1BB427">
    <w:name w:val="06642DF57B41CE4DAC9686F3FF1BB427"/>
    <w:rsid w:val="00534614"/>
  </w:style>
  <w:style w:type="paragraph" w:customStyle="1" w:styleId="D857D1E723E0EA4FA5BDF24015E884AA">
    <w:name w:val="D857D1E723E0EA4FA5BDF24015E884AA"/>
    <w:rsid w:val="00534614"/>
  </w:style>
  <w:style w:type="paragraph" w:customStyle="1" w:styleId="9D4AD39051835B4495C057D1BC20B75E">
    <w:name w:val="9D4AD39051835B4495C057D1BC20B75E"/>
    <w:rsid w:val="00534614"/>
  </w:style>
  <w:style w:type="paragraph" w:customStyle="1" w:styleId="4F5D6E0A5DED0A4FA8D4E4167B965A7E">
    <w:name w:val="4F5D6E0A5DED0A4FA8D4E4167B965A7E"/>
    <w:rsid w:val="00534614"/>
  </w:style>
  <w:style w:type="paragraph" w:customStyle="1" w:styleId="6D101AD1830F0B4E916826016F7398FF">
    <w:name w:val="6D101AD1830F0B4E916826016F7398FF"/>
    <w:rsid w:val="00534614"/>
  </w:style>
  <w:style w:type="paragraph" w:customStyle="1" w:styleId="A8F1BAECE2F5BD419F6864830A283996">
    <w:name w:val="A8F1BAECE2F5BD419F6864830A283996"/>
    <w:rsid w:val="00534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2011D-466C-DB4E-B2EA-D1BA0263B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134</Pages>
  <Words>66338</Words>
  <Characters>378132</Characters>
  <Application>Microsoft Office Word</Application>
  <DocSecurity>0</DocSecurity>
  <Lines>3151</Lines>
  <Paragraphs>887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Thiessen</dc:creator>
  <cp:keywords/>
  <dc:description/>
  <cp:lastModifiedBy>Thiessen, Amy S.</cp:lastModifiedBy>
  <cp:revision>3</cp:revision>
  <cp:lastPrinted>2018-04-27T11:56:00Z</cp:lastPrinted>
  <dcterms:created xsi:type="dcterms:W3CDTF">2018-05-05T20:04:00Z</dcterms:created>
  <dcterms:modified xsi:type="dcterms:W3CDTF">2018-05-10T02:18:00Z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zotero-version="5.0.45"&gt;&lt;session id="LTQK2Tdj"/&gt;&lt;style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 name="dontAskDelayCitationUpdates" value="true"/&gt;&lt;/prefs&gt;&lt;/data&gt;</vt:lpwstr>
  </property>
</Properties>
</file>